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42E7D2">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宋体" w:hAnsi="宋体" w:eastAsia="宋体" w:cs="宋体"/>
          <w:kern w:val="0"/>
          <w:sz w:val="28"/>
          <w:szCs w:val="28"/>
        </w:rPr>
      </w:pPr>
      <w:r>
        <w:rPr>
          <w:rFonts w:hint="eastAsia" w:ascii="宋体" w:hAnsi="宋体" w:eastAsia="宋体" w:cs="宋体"/>
          <w:kern w:val="0"/>
          <w:sz w:val="28"/>
          <w:szCs w:val="28"/>
        </w:rPr>
        <w:t>如有建议或意见，请以书面形式并加盖公章、注明联系人、联系方式，于202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26</w:t>
      </w:r>
      <w:r>
        <w:rPr>
          <w:rFonts w:hint="eastAsia" w:ascii="宋体" w:hAnsi="宋体" w:eastAsia="宋体" w:cs="宋体"/>
          <w:kern w:val="0"/>
          <w:sz w:val="28"/>
          <w:szCs w:val="28"/>
        </w:rPr>
        <w:t>日17:00之前送至我单位，逾期不受理（如邮寄，202</w:t>
      </w:r>
      <w:r>
        <w:rPr>
          <w:rFonts w:hint="eastAsia" w:ascii="宋体" w:hAnsi="宋体" w:eastAsia="宋体" w:cs="宋体"/>
          <w:kern w:val="0"/>
          <w:sz w:val="28"/>
          <w:szCs w:val="28"/>
          <w:lang w:val="en-US" w:eastAsia="zh-CN"/>
        </w:rPr>
        <w:t>6</w:t>
      </w:r>
      <w:r>
        <w:rPr>
          <w:rFonts w:hint="eastAsia" w:ascii="宋体" w:hAnsi="宋体" w:eastAsia="宋体" w:cs="宋体"/>
          <w:kern w:val="0"/>
          <w:sz w:val="28"/>
          <w:szCs w:val="28"/>
        </w:rPr>
        <w:t>年</w:t>
      </w:r>
      <w:r>
        <w:rPr>
          <w:rFonts w:hint="eastAsia" w:ascii="宋体" w:hAnsi="宋体" w:eastAsia="宋体" w:cs="宋体"/>
          <w:kern w:val="0"/>
          <w:sz w:val="28"/>
          <w:szCs w:val="28"/>
          <w:lang w:val="en-US" w:eastAsia="zh-CN"/>
        </w:rPr>
        <w:t>8</w:t>
      </w:r>
      <w:r>
        <w:rPr>
          <w:rFonts w:hint="eastAsia" w:ascii="宋体" w:hAnsi="宋体" w:eastAsia="宋体" w:cs="宋体"/>
          <w:kern w:val="0"/>
          <w:sz w:val="28"/>
          <w:szCs w:val="28"/>
        </w:rPr>
        <w:t>月</w:t>
      </w:r>
      <w:r>
        <w:rPr>
          <w:rFonts w:hint="eastAsia" w:ascii="宋体" w:hAnsi="宋体" w:eastAsia="宋体" w:cs="宋体"/>
          <w:kern w:val="0"/>
          <w:sz w:val="28"/>
          <w:szCs w:val="28"/>
          <w:lang w:val="en-US" w:eastAsia="zh-CN"/>
        </w:rPr>
        <w:t>26</w:t>
      </w:r>
      <w:r>
        <w:rPr>
          <w:rFonts w:hint="eastAsia" w:ascii="宋体" w:hAnsi="宋体" w:eastAsia="宋体" w:cs="宋体"/>
          <w:kern w:val="0"/>
          <w:sz w:val="28"/>
          <w:szCs w:val="28"/>
        </w:rPr>
        <w:t>日17：00之后到达本单位的邮件将不再受理）。</w:t>
      </w:r>
    </w:p>
    <w:p w14:paraId="73586E84">
      <w:pPr>
        <w:rPr>
          <w:rFonts w:hint="eastAsia" w:ascii="宋体" w:hAnsi="宋体" w:eastAsia="宋体" w:cs="宋体"/>
          <w:kern w:val="0"/>
          <w:sz w:val="28"/>
          <w:szCs w:val="28"/>
        </w:rPr>
      </w:pPr>
      <w:r>
        <w:rPr>
          <w:rFonts w:hint="eastAsia" w:ascii="宋体" w:hAnsi="宋体" w:eastAsia="宋体" w:cs="宋体"/>
          <w:kern w:val="0"/>
          <w:sz w:val="28"/>
          <w:szCs w:val="28"/>
        </w:rPr>
        <w:br w:type="page"/>
      </w:r>
    </w:p>
    <w:p w14:paraId="641AD7C9">
      <w:pPr>
        <w:widowControl/>
        <w:numPr>
          <w:ilvl w:val="0"/>
          <w:numId w:val="1"/>
        </w:numPr>
        <w:pBdr>
          <w:top w:val="none" w:color="000000" w:sz="0" w:space="0"/>
          <w:left w:val="none" w:color="000000" w:sz="0" w:space="0"/>
          <w:bottom w:val="none" w:color="000000" w:sz="0" w:space="0"/>
          <w:right w:val="none" w:color="000000" w:sz="0" w:space="0"/>
        </w:pBdr>
        <w:spacing w:before="240" w:after="240" w:line="85" w:lineRule="atLeast"/>
        <w:ind w:left="0" w:right="0" w:firstLine="0"/>
        <w:jc w:val="center"/>
        <w:rPr>
          <w:rFonts w:ascii="宋体" w:hAnsi="宋体" w:eastAsia="宋体" w:cs="宋体"/>
          <w:b/>
          <w:color w:val="000000"/>
          <w:kern w:val="0"/>
          <w:sz w:val="30"/>
          <w:szCs w:val="22"/>
          <w:u w:val="none"/>
          <w:lang/>
        </w:rPr>
      </w:pPr>
      <w:r>
        <w:rPr>
          <w:rFonts w:ascii="宋体" w:hAnsi="宋体" w:eastAsia="宋体" w:cs="宋体"/>
          <w:b/>
          <w:color w:val="000000"/>
          <w:kern w:val="0"/>
          <w:sz w:val="30"/>
          <w:szCs w:val="22"/>
          <w:u w:val="none"/>
          <w:lang/>
        </w:rPr>
        <w:t>采购需求</w:t>
      </w:r>
    </w:p>
    <w:p w14:paraId="7A1E3F4D">
      <w:pPr>
        <w:widowControl w:val="0"/>
        <w:spacing w:before="62" w:after="93" w:line="300" w:lineRule="auto"/>
        <w:ind w:firstLine="482" w:firstLineChars="200"/>
        <w:jc w:val="both"/>
        <w:rPr>
          <w:rFonts w:ascii="Times New Roman" w:hAnsi="Times New Roman" w:eastAsia="宋体" w:cs="Times New Roman"/>
          <w:b/>
          <w:bCs/>
          <w:kern w:val="2"/>
          <w:sz w:val="24"/>
          <w:szCs w:val="24"/>
          <w:lang w:val="zh-CN" w:eastAsia="zh-CN" w:bidi="ar-SA"/>
        </w:rPr>
      </w:pPr>
      <w:r>
        <w:rPr>
          <w:rFonts w:ascii="Times New Roman" w:hAnsi="Times New Roman" w:eastAsia="宋体" w:cs="Times New Roman"/>
          <w:b/>
          <w:bCs/>
          <w:kern w:val="2"/>
          <w:sz w:val="24"/>
          <w:szCs w:val="24"/>
          <w:lang w:val="zh-CN" w:eastAsia="zh-CN" w:bidi="ar-SA"/>
        </w:rPr>
        <w:t>一、项目预算：</w:t>
      </w:r>
    </w:p>
    <w:p w14:paraId="7679C4EE">
      <w:pPr>
        <w:widowControl w:val="0"/>
        <w:spacing w:before="62" w:after="93" w:line="300" w:lineRule="auto"/>
        <w:ind w:firstLine="560" w:firstLineChars="200"/>
        <w:jc w:val="both"/>
        <w:rPr>
          <w:rFonts w:hint="eastAsia" w:ascii="宋体" w:hAnsi="宋体" w:eastAsia="宋体" w:cs="宋体"/>
          <w:color w:val="000000"/>
          <w:kern w:val="0"/>
          <w:sz w:val="28"/>
          <w:szCs w:val="22"/>
          <w:lang w:val="zh-CN" w:eastAsia="zh-CN"/>
        </w:rPr>
      </w:pPr>
      <w:r>
        <w:rPr>
          <w:rFonts w:hint="eastAsia" w:ascii="宋体" w:hAnsi="宋体" w:eastAsia="宋体" w:cs="宋体"/>
          <w:color w:val="000000"/>
          <w:kern w:val="0"/>
          <w:sz w:val="28"/>
          <w:szCs w:val="22"/>
          <w:lang w:val="zh-CN" w:eastAsia="zh-CN"/>
        </w:rPr>
        <w:t>本项目预算</w:t>
      </w:r>
      <w:r>
        <w:rPr>
          <w:rFonts w:hint="eastAsia" w:ascii="宋体" w:hAnsi="宋体" w:eastAsia="宋体" w:cs="宋体"/>
          <w:color w:val="000000"/>
          <w:kern w:val="0"/>
          <w:sz w:val="28"/>
          <w:szCs w:val="22"/>
          <w:lang w:val="en-US" w:eastAsia="zh-CN"/>
        </w:rPr>
        <w:t>总额</w:t>
      </w:r>
      <w:r>
        <w:rPr>
          <w:rFonts w:hint="eastAsia" w:ascii="宋体" w:hAnsi="宋体" w:eastAsia="宋体" w:cs="宋体"/>
          <w:color w:val="000000"/>
          <w:kern w:val="0"/>
          <w:sz w:val="28"/>
          <w:szCs w:val="22"/>
          <w:lang w:val="zh-CN" w:eastAsia="zh-CN"/>
        </w:rPr>
        <w:t>为300万元人民币</w:t>
      </w:r>
      <w:r>
        <w:rPr>
          <w:rFonts w:ascii="宋体" w:hAnsi="宋体" w:eastAsia="宋体" w:cs="宋体"/>
          <w:color w:val="000000"/>
          <w:kern w:val="0"/>
          <w:sz w:val="28"/>
          <w:szCs w:val="22"/>
          <w:lang/>
        </w:rPr>
        <w:t>（单价</w:t>
      </w:r>
      <w:r>
        <w:rPr>
          <w:rFonts w:hint="eastAsia" w:ascii="宋体" w:hAnsi="宋体" w:eastAsia="宋体" w:cs="宋体"/>
          <w:color w:val="000000"/>
          <w:kern w:val="0"/>
          <w:sz w:val="28"/>
          <w:szCs w:val="22"/>
          <w:lang w:val="en-US" w:eastAsia="zh-CN"/>
        </w:rPr>
        <w:t>150</w:t>
      </w:r>
      <w:r>
        <w:rPr>
          <w:rFonts w:ascii="宋体" w:hAnsi="宋体" w:eastAsia="宋体" w:cs="宋体"/>
          <w:color w:val="000000"/>
          <w:kern w:val="0"/>
          <w:sz w:val="28"/>
          <w:szCs w:val="22"/>
          <w:lang/>
        </w:rPr>
        <w:t>万元人民币/年）</w:t>
      </w:r>
      <w:r>
        <w:rPr>
          <w:rFonts w:hint="eastAsia" w:ascii="宋体" w:hAnsi="宋体" w:eastAsia="宋体" w:cs="宋体"/>
          <w:color w:val="000000"/>
          <w:kern w:val="0"/>
          <w:sz w:val="28"/>
          <w:szCs w:val="22"/>
          <w:lang w:val="zh-CN" w:eastAsia="zh-CN"/>
        </w:rPr>
        <w:t>，最终结算总价不超过</w:t>
      </w:r>
      <w:r>
        <w:rPr>
          <w:rFonts w:hint="eastAsia" w:ascii="宋体" w:hAnsi="宋体" w:eastAsia="宋体" w:cs="宋体"/>
          <w:color w:val="000000"/>
          <w:kern w:val="0"/>
          <w:sz w:val="28"/>
          <w:szCs w:val="22"/>
          <w:lang w:val="en-US" w:eastAsia="zh-CN"/>
        </w:rPr>
        <w:t>150</w:t>
      </w:r>
      <w:r>
        <w:rPr>
          <w:rFonts w:ascii="宋体" w:hAnsi="宋体" w:eastAsia="宋体" w:cs="宋体"/>
          <w:color w:val="000000"/>
          <w:kern w:val="0"/>
          <w:sz w:val="28"/>
          <w:szCs w:val="22"/>
          <w:lang/>
        </w:rPr>
        <w:t>万元人民币/年</w:t>
      </w:r>
      <w:r>
        <w:rPr>
          <w:rFonts w:hint="eastAsia" w:ascii="宋体" w:hAnsi="宋体" w:eastAsia="宋体" w:cs="宋体"/>
          <w:color w:val="000000"/>
          <w:kern w:val="0"/>
          <w:sz w:val="28"/>
          <w:szCs w:val="22"/>
          <w:lang w:val="zh-CN" w:eastAsia="zh-CN"/>
        </w:rPr>
        <w:t>（采购项目预算金额）。</w:t>
      </w:r>
    </w:p>
    <w:p w14:paraId="4ACD5A2B">
      <w:pPr>
        <w:widowControl w:val="0"/>
        <w:spacing w:before="62" w:after="93" w:line="300" w:lineRule="auto"/>
        <w:ind w:firstLine="482" w:firstLineChars="200"/>
        <w:jc w:val="both"/>
        <w:rPr>
          <w:rFonts w:ascii="Times New Roman" w:hAnsi="Times New Roman" w:eastAsia="宋体" w:cs="Times New Roman"/>
          <w:b/>
          <w:bCs/>
          <w:kern w:val="2"/>
          <w:sz w:val="24"/>
          <w:szCs w:val="24"/>
          <w:highlight w:val="yellow"/>
          <w:lang w:val="zh-CN" w:eastAsia="zh-CN" w:bidi="ar-SA"/>
        </w:rPr>
      </w:pPr>
      <w:r>
        <w:rPr>
          <w:rFonts w:hint="eastAsia" w:ascii="Times New Roman" w:hAnsi="Times New Roman" w:eastAsia="宋体" w:cs="Times New Roman"/>
          <w:b/>
          <w:bCs/>
          <w:kern w:val="2"/>
          <w:sz w:val="24"/>
          <w:szCs w:val="24"/>
          <w:highlight w:val="yellow"/>
          <w:lang w:val="zh-CN" w:eastAsia="zh-CN" w:bidi="ar-SA"/>
        </w:rPr>
        <w:t>特别说明：</w:t>
      </w:r>
    </w:p>
    <w:p w14:paraId="4308F751">
      <w:pPr>
        <w:widowControl w:val="0"/>
        <w:spacing w:before="62" w:after="93" w:line="300" w:lineRule="auto"/>
        <w:ind w:firstLine="482" w:firstLineChars="200"/>
        <w:jc w:val="both"/>
        <w:rPr>
          <w:rFonts w:ascii="Times New Roman" w:hAnsi="Times New Roman" w:eastAsia="宋体" w:cs="Times New Roman"/>
          <w:b/>
          <w:bCs/>
          <w:kern w:val="2"/>
          <w:sz w:val="24"/>
          <w:szCs w:val="24"/>
          <w:highlight w:val="yellow"/>
          <w:lang w:val="zh-CN" w:eastAsia="zh-CN" w:bidi="ar-SA"/>
        </w:rPr>
      </w:pPr>
      <w:r>
        <w:rPr>
          <w:rFonts w:hint="eastAsia" w:ascii="Times New Roman" w:hAnsi="Times New Roman" w:eastAsia="宋体" w:cs="Times New Roman"/>
          <w:b/>
          <w:bCs/>
          <w:kern w:val="2"/>
          <w:sz w:val="24"/>
          <w:szCs w:val="24"/>
          <w:highlight w:val="yellow"/>
          <w:lang w:val="zh-CN" w:eastAsia="zh-CN" w:bidi="ar-SA"/>
        </w:rPr>
        <w:t>最高限价单价合计228633.00元；</w:t>
      </w:r>
    </w:p>
    <w:p w14:paraId="10115358">
      <w:pPr>
        <w:widowControl w:val="0"/>
        <w:spacing w:before="62" w:after="93" w:line="300" w:lineRule="auto"/>
        <w:ind w:firstLine="482" w:firstLineChars="200"/>
        <w:jc w:val="both"/>
        <w:rPr>
          <w:rFonts w:ascii="Times New Roman" w:hAnsi="Times New Roman" w:eastAsia="宋体" w:cs="Times New Roman"/>
          <w:b/>
          <w:bCs/>
          <w:kern w:val="2"/>
          <w:sz w:val="24"/>
          <w:szCs w:val="24"/>
          <w:lang w:val="zh-CN" w:eastAsia="zh-CN" w:bidi="ar-SA"/>
        </w:rPr>
      </w:pPr>
      <w:r>
        <w:rPr>
          <w:rFonts w:hint="eastAsia" w:ascii="Times New Roman" w:hAnsi="Times New Roman" w:eastAsia="宋体" w:cs="Times New Roman"/>
          <w:b/>
          <w:bCs/>
          <w:kern w:val="2"/>
          <w:sz w:val="24"/>
          <w:szCs w:val="24"/>
          <w:highlight w:val="yellow"/>
          <w:lang w:val="zh-CN" w:eastAsia="zh-CN" w:bidi="ar-SA"/>
        </w:rPr>
        <w:t>本项目采用单价</w:t>
      </w:r>
      <w:r>
        <w:rPr>
          <w:rFonts w:hint="eastAsia" w:ascii="Times New Roman" w:hAnsi="Times New Roman" w:eastAsia="宋体" w:cs="Times New Roman"/>
          <w:b/>
          <w:bCs/>
          <w:kern w:val="2"/>
          <w:sz w:val="24"/>
          <w:szCs w:val="24"/>
          <w:highlight w:val="yellow"/>
          <w:lang w:val="en-US" w:eastAsia="zh-CN" w:bidi="ar-SA"/>
        </w:rPr>
        <w:t>合计进行</w:t>
      </w:r>
      <w:r>
        <w:rPr>
          <w:rFonts w:hint="eastAsia" w:ascii="Times New Roman" w:hAnsi="Times New Roman" w:eastAsia="宋体" w:cs="Times New Roman"/>
          <w:b/>
          <w:bCs/>
          <w:kern w:val="2"/>
          <w:sz w:val="24"/>
          <w:szCs w:val="24"/>
          <w:highlight w:val="yellow"/>
          <w:lang w:val="zh-CN" w:eastAsia="zh-CN" w:bidi="ar-SA"/>
        </w:rPr>
        <w:t>报价</w:t>
      </w:r>
      <w:bookmarkStart w:id="2" w:name="_GoBack"/>
      <w:bookmarkEnd w:id="2"/>
      <w:r>
        <w:rPr>
          <w:rFonts w:hint="eastAsia" w:ascii="Times New Roman" w:hAnsi="Times New Roman" w:eastAsia="宋体" w:cs="Times New Roman"/>
          <w:b/>
          <w:bCs/>
          <w:kern w:val="2"/>
          <w:sz w:val="24"/>
          <w:szCs w:val="24"/>
          <w:highlight w:val="yellow"/>
          <w:lang w:val="zh-CN" w:eastAsia="zh-CN" w:bidi="ar-SA"/>
        </w:rPr>
        <w:t>，不接受超过最高限价单价及单价合计的报价，报价包含项目完成所需全部费用及其它相关费用，采购人不再支付报价以外的任何费用。</w:t>
      </w:r>
    </w:p>
    <w:p w14:paraId="5576331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按照中标人的中标单价，根据确认</w:t>
      </w:r>
      <w:r>
        <w:rPr>
          <w:rFonts w:hint="eastAsia" w:ascii="Times New Roman" w:hAnsi="Times New Roman" w:eastAsia="宋体" w:cs="Times New Roman"/>
          <w:kern w:val="2"/>
          <w:sz w:val="24"/>
          <w:szCs w:val="24"/>
          <w:lang w:val="en-US" w:eastAsia="zh-CN" w:bidi="ar-SA"/>
        </w:rPr>
        <w:t>的</w:t>
      </w:r>
      <w:r>
        <w:rPr>
          <w:rFonts w:ascii="Times New Roman" w:hAnsi="Times New Roman" w:eastAsia="宋体" w:cs="Times New Roman"/>
          <w:kern w:val="2"/>
          <w:sz w:val="24"/>
          <w:szCs w:val="24"/>
          <w:lang w:val="zh-CN" w:eastAsia="zh-CN" w:bidi="ar-SA"/>
        </w:rPr>
        <w:t>实际工作量进行结算。报价包括自签订合同起</w:t>
      </w:r>
      <w:r>
        <w:rPr>
          <w:rFonts w:hint="eastAsia" w:ascii="Times New Roman" w:hAnsi="Times New Roman" w:eastAsia="宋体" w:cs="Times New Roman"/>
          <w:kern w:val="2"/>
          <w:sz w:val="24"/>
          <w:szCs w:val="24"/>
          <w:lang w:val="zh-CN" w:eastAsia="zh-CN" w:bidi="ar-SA"/>
        </w:rPr>
        <w:t>两</w:t>
      </w:r>
      <w:r>
        <w:rPr>
          <w:rFonts w:ascii="Times New Roman" w:hAnsi="Times New Roman" w:eastAsia="宋体" w:cs="Times New Roman"/>
          <w:kern w:val="2"/>
          <w:sz w:val="24"/>
          <w:szCs w:val="24"/>
          <w:lang w:val="zh-CN" w:eastAsia="zh-CN" w:bidi="ar-SA"/>
        </w:rPr>
        <w:t>年服务期内所投范围内的交通信号控制系统维护工作费用，即开展常规服务所需要的一切费用。包括：维护人员的工资、社保和奖金等，维护人员的交通费、误餐费、通信费、加班费、设计费等，维护单位的人员管理费用办公场所、设备仓库、员工宿舍等费用，维护人员维护用设备和工具折旧费、专用车辆和设备费用（包含车辆租金、专职司机人工费用、日常维修保养、车辆保险（全保）、路桥费、油费、停车费、税费等）日常巡查巡检、设备清洁、路口勘察等完成保障系统正常运行所需的服务费用，维护工程工作即维修产生的施工、耗材费用。采购人不再支付报价以外的任何费用。</w:t>
      </w:r>
    </w:p>
    <w:p w14:paraId="3294196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二、项目概述</w:t>
      </w:r>
    </w:p>
    <w:p w14:paraId="76A083C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1.对</w:t>
      </w:r>
      <w:bookmarkStart w:id="0" w:name="_Hlk164156852"/>
      <w:r>
        <w:rPr>
          <w:rFonts w:ascii="Times New Roman" w:hAnsi="Times New Roman" w:eastAsia="宋体" w:cs="Times New Roman"/>
          <w:kern w:val="2"/>
          <w:sz w:val="24"/>
          <w:szCs w:val="24"/>
          <w:lang w:val="zh-CN" w:eastAsia="zh-CN" w:bidi="ar-SA"/>
        </w:rPr>
        <w:t>徐州经济技术开发区道路交通安全设施维护项目，内容包含信号机、信号灯具、灯杆、线缆、管道、窨井、标志牌、护栏、警示柱等信号灯附属设施维护等服务工作。</w:t>
      </w:r>
      <w:bookmarkEnd w:id="0"/>
    </w:p>
    <w:p w14:paraId="27FDCDF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2.服务期限：本次招标交通信号设施维保服务期限为</w:t>
      </w:r>
      <w:r>
        <w:rPr>
          <w:rFonts w:hint="eastAsia" w:ascii="Times New Roman" w:hAnsi="Times New Roman" w:eastAsia="宋体" w:cs="Times New Roman"/>
          <w:kern w:val="2"/>
          <w:sz w:val="24"/>
          <w:szCs w:val="24"/>
          <w:lang w:val="zh-CN" w:eastAsia="zh-CN" w:bidi="ar-SA"/>
        </w:rPr>
        <w:t>两年</w:t>
      </w:r>
      <w:r>
        <w:rPr>
          <w:rFonts w:ascii="Times New Roman" w:hAnsi="Times New Roman" w:eastAsia="宋体" w:cs="Times New Roman"/>
          <w:kern w:val="2"/>
          <w:sz w:val="24"/>
          <w:szCs w:val="24"/>
          <w:lang w:val="zh-CN" w:eastAsia="zh-CN" w:bidi="ar-SA"/>
        </w:rPr>
        <w:t>（具体时间以合同签订时间为准）。</w:t>
      </w:r>
      <w:r>
        <w:rPr>
          <w:rFonts w:hint="eastAsia" w:ascii="Times New Roman" w:hAnsi="Times New Roman" w:eastAsia="宋体" w:cs="Times New Roman"/>
          <w:kern w:val="2"/>
          <w:sz w:val="24"/>
          <w:szCs w:val="24"/>
          <w:highlight w:val="green"/>
          <w:lang w:val="zh-CN" w:eastAsia="zh-CN" w:bidi="ar-SA"/>
        </w:rPr>
        <w:t>合同一年一签，</w:t>
      </w:r>
      <w:r>
        <w:rPr>
          <w:rFonts w:hint="eastAsia" w:ascii="Times New Roman" w:hAnsi="Times New Roman" w:eastAsia="宋体" w:cs="Times New Roman"/>
          <w:kern w:val="2"/>
          <w:sz w:val="24"/>
          <w:szCs w:val="24"/>
          <w:highlight w:val="green"/>
          <w:lang w:val="en-US" w:eastAsia="zh-CN" w:bidi="ar-SA"/>
        </w:rPr>
        <w:t>采购人</w:t>
      </w:r>
      <w:r>
        <w:rPr>
          <w:rFonts w:hint="eastAsia" w:ascii="Times New Roman" w:hAnsi="Times New Roman" w:eastAsia="宋体" w:cs="Times New Roman"/>
          <w:kern w:val="2"/>
          <w:sz w:val="24"/>
          <w:szCs w:val="24"/>
          <w:highlight w:val="green"/>
          <w:lang w:val="zh-CN" w:eastAsia="zh-CN" w:bidi="ar-SA"/>
        </w:rPr>
        <w:t>每年进行考核，若考核不合格，</w:t>
      </w:r>
      <w:r>
        <w:rPr>
          <w:rFonts w:hint="eastAsia" w:ascii="Times New Roman" w:hAnsi="Times New Roman" w:eastAsia="宋体" w:cs="Times New Roman"/>
          <w:kern w:val="2"/>
          <w:sz w:val="24"/>
          <w:szCs w:val="24"/>
          <w:highlight w:val="green"/>
          <w:lang w:val="en-US" w:eastAsia="zh-CN" w:bidi="ar-SA"/>
        </w:rPr>
        <w:t>采购人</w:t>
      </w:r>
      <w:r>
        <w:rPr>
          <w:rFonts w:hint="eastAsia" w:ascii="Times New Roman" w:hAnsi="Times New Roman" w:eastAsia="宋体" w:cs="Times New Roman"/>
          <w:kern w:val="2"/>
          <w:sz w:val="24"/>
          <w:szCs w:val="24"/>
          <w:highlight w:val="green"/>
          <w:lang w:val="zh-CN" w:eastAsia="zh-CN" w:bidi="ar-SA"/>
        </w:rPr>
        <w:t>有权单方面终止续签。</w:t>
      </w:r>
      <w:r>
        <w:rPr>
          <w:rFonts w:ascii="Arial" w:hAnsi="Arial" w:eastAsia="Arial" w:cs="Times New Roman"/>
          <w:kern w:val="0"/>
          <w:szCs w:val="22"/>
          <w:lang/>
        </w:rPr>
        <w:commentReference w:id="0"/>
      </w:r>
    </w:p>
    <w:p w14:paraId="0A2C7E8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三、项目背景</w:t>
      </w:r>
    </w:p>
    <w:p w14:paraId="67FDACFE">
      <w:pPr>
        <w:widowControl w:val="0"/>
        <w:spacing w:before="62" w:after="93" w:line="300" w:lineRule="auto"/>
        <w:ind w:firstLine="480" w:firstLineChars="200"/>
        <w:jc w:val="both"/>
        <w:rPr>
          <w:rFonts w:ascii="Times New Roman" w:hAnsi="Times New Roman" w:eastAsia="宋体" w:cs="Times New Roman"/>
          <w:kern w:val="2"/>
          <w:sz w:val="24"/>
          <w:szCs w:val="24"/>
          <w:highlight w:val="none"/>
          <w:lang w:val="zh-CN" w:eastAsia="zh-CN" w:bidi="ar-SA"/>
        </w:rPr>
      </w:pPr>
      <w:r>
        <w:rPr>
          <w:rFonts w:ascii="Times New Roman" w:hAnsi="Times New Roman" w:eastAsia="宋体" w:cs="Times New Roman"/>
          <w:kern w:val="2"/>
          <w:sz w:val="24"/>
          <w:szCs w:val="24"/>
          <w:lang w:val="zh-CN" w:eastAsia="zh-CN" w:bidi="ar-SA"/>
        </w:rPr>
        <w:t>根据《全省城市道路交通信号灯设置和配时优化工作方案》（苏公交[2020]155号）精神，制订本项目。</w:t>
      </w:r>
    </w:p>
    <w:p w14:paraId="09E28AD5">
      <w:pPr>
        <w:widowControl w:val="0"/>
        <w:spacing w:before="62" w:after="93" w:line="300" w:lineRule="auto"/>
        <w:ind w:firstLine="480" w:firstLineChars="200"/>
        <w:jc w:val="both"/>
        <w:rPr>
          <w:rFonts w:hint="default" w:ascii="Times New Roman" w:hAnsi="Times New Roman" w:eastAsia="宋体" w:cs="Times New Roman"/>
          <w:kern w:val="2"/>
          <w:sz w:val="24"/>
          <w:szCs w:val="24"/>
          <w:highlight w:val="none"/>
          <w:lang w:val="en-US" w:eastAsia="zh-CN" w:bidi="ar-SA"/>
        </w:rPr>
      </w:pPr>
      <w:r>
        <w:rPr>
          <w:rFonts w:ascii="Times New Roman" w:hAnsi="Times New Roman" w:eastAsia="宋体" w:cs="Times New Roman"/>
          <w:kern w:val="2"/>
          <w:sz w:val="24"/>
          <w:szCs w:val="24"/>
          <w:highlight w:val="none"/>
          <w:lang w:val="zh-CN" w:eastAsia="zh-CN" w:bidi="ar-SA"/>
        </w:rPr>
        <w:t>就</w:t>
      </w:r>
      <w:r>
        <w:rPr>
          <w:rFonts w:hint="eastAsia" w:ascii="Times New Roman" w:hAnsi="Times New Roman" w:eastAsia="宋体" w:cs="Times New Roman"/>
          <w:kern w:val="2"/>
          <w:sz w:val="24"/>
          <w:szCs w:val="24"/>
          <w:highlight w:val="none"/>
          <w:lang w:val="zh-CN" w:eastAsia="zh-CN" w:bidi="ar-SA"/>
        </w:rPr>
        <w:t>徐州经济技术开发区道路交通安全设施</w:t>
      </w:r>
      <w:r>
        <w:rPr>
          <w:rFonts w:ascii="Times New Roman" w:hAnsi="Times New Roman" w:eastAsia="宋体" w:cs="Times New Roman"/>
          <w:kern w:val="2"/>
          <w:sz w:val="24"/>
          <w:szCs w:val="24"/>
          <w:highlight w:val="none"/>
          <w:lang w:val="zh-CN" w:eastAsia="zh-CN" w:bidi="ar-SA"/>
        </w:rPr>
        <w:t>开始社会化维管工作。信号灯路口根据城市规化数据在不断增减中，</w:t>
      </w:r>
      <w:r>
        <w:rPr>
          <w:rFonts w:hint="eastAsia" w:ascii="Times New Roman" w:hAnsi="Times New Roman" w:eastAsia="宋体" w:cs="Times New Roman"/>
          <w:kern w:val="2"/>
          <w:sz w:val="24"/>
          <w:szCs w:val="24"/>
          <w:highlight w:val="none"/>
          <w:lang w:val="en-US" w:eastAsia="zh-CN" w:bidi="ar-SA"/>
        </w:rPr>
        <w:t>下表为大概统计数量，本项目不限于以下服务内容，表中数据不作为结算依据，仅做报价参考，</w:t>
      </w:r>
      <w:r>
        <w:rPr>
          <w:rFonts w:ascii="Times New Roman" w:hAnsi="Times New Roman" w:eastAsia="宋体" w:cs="Times New Roman"/>
          <w:kern w:val="2"/>
          <w:sz w:val="24"/>
          <w:szCs w:val="24"/>
          <w:highlight w:val="none"/>
          <w:lang w:val="zh-CN" w:eastAsia="zh-CN" w:bidi="ar-SA"/>
        </w:rPr>
        <w:t>投标人需自行</w:t>
      </w:r>
      <w:r>
        <w:rPr>
          <w:rFonts w:hint="eastAsia" w:ascii="Times New Roman" w:hAnsi="Times New Roman" w:eastAsia="宋体" w:cs="Times New Roman"/>
          <w:kern w:val="2"/>
          <w:sz w:val="24"/>
          <w:szCs w:val="24"/>
          <w:highlight w:val="none"/>
          <w:lang w:val="en-US" w:eastAsia="zh-CN" w:bidi="ar-SA"/>
        </w:rPr>
        <w:t>勘察</w:t>
      </w:r>
      <w:r>
        <w:rPr>
          <w:rFonts w:ascii="Times New Roman" w:hAnsi="Times New Roman" w:eastAsia="宋体" w:cs="Times New Roman"/>
          <w:kern w:val="2"/>
          <w:sz w:val="24"/>
          <w:szCs w:val="24"/>
          <w:highlight w:val="none"/>
          <w:lang w:val="zh-CN" w:eastAsia="zh-CN" w:bidi="ar-SA"/>
        </w:rPr>
        <w:t>核算。</w:t>
      </w:r>
    </w:p>
    <w:tbl>
      <w:tblPr>
        <w:tblStyle w:val="2"/>
        <w:tblW w:w="76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934"/>
        <w:gridCol w:w="6717"/>
      </w:tblGrid>
      <w:tr w14:paraId="3D8EF8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7651" w:type="dxa"/>
            <w:gridSpan w:val="2"/>
            <w:tcBorders>
              <w:top w:val="single" w:color="000000" w:sz="4" w:space="0"/>
              <w:left w:val="single" w:color="000000" w:sz="4" w:space="0"/>
              <w:bottom w:val="single" w:color="000000" w:sz="4" w:space="0"/>
              <w:right w:val="single" w:color="000000" w:sz="4" w:space="0"/>
            </w:tcBorders>
            <w:shd w:val="clear" w:color="auto" w:fill="FFFF00"/>
            <w:noWrap/>
            <w:vAlign w:val="bottom"/>
          </w:tcPr>
          <w:p w14:paraId="2A026157">
            <w:pPr>
              <w:keepNext w:val="0"/>
              <w:keepLines w:val="0"/>
              <w:widowControl/>
              <w:suppressLineNumbers w:val="0"/>
              <w:jc w:val="center"/>
              <w:textAlignment w:val="bottom"/>
              <w:rPr>
                <w:rFonts w:ascii="等线" w:hAnsi="等线" w:eastAsia="等线" w:cs="等线"/>
                <w:b/>
                <w:bCs/>
                <w:i w:val="0"/>
                <w:iCs w:val="0"/>
                <w:color w:val="000000"/>
                <w:kern w:val="0"/>
                <w:sz w:val="22"/>
                <w:szCs w:val="22"/>
                <w:highlight w:val="none"/>
                <w:u w:val="none"/>
                <w:lang/>
              </w:rPr>
            </w:pPr>
            <w:r>
              <w:rPr>
                <w:rFonts w:hint="eastAsia" w:ascii="等线" w:hAnsi="等线" w:eastAsia="等线" w:cs="等线"/>
                <w:b/>
                <w:bCs/>
                <w:i w:val="0"/>
                <w:iCs w:val="0"/>
                <w:color w:val="000000"/>
                <w:kern w:val="0"/>
                <w:sz w:val="22"/>
                <w:szCs w:val="22"/>
                <w:highlight w:val="none"/>
                <w:u w:val="none"/>
                <w:lang w:val="en-US" w:eastAsia="zh-CN" w:bidi="ar"/>
              </w:rPr>
              <w:t>信号灯与标牌路口统计</w:t>
            </w:r>
          </w:p>
        </w:tc>
      </w:tr>
      <w:tr w14:paraId="54778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A24175">
            <w:pPr>
              <w:keepNext w:val="0"/>
              <w:keepLines w:val="0"/>
              <w:widowControl/>
              <w:suppressLineNumbers w:val="0"/>
              <w:jc w:val="center"/>
              <w:textAlignment w:val="center"/>
              <w:rPr>
                <w:rFonts w:hint="eastAsia" w:ascii="等线" w:hAnsi="等线" w:eastAsia="等线" w:cs="等线"/>
                <w:i w:val="0"/>
                <w:iCs w:val="0"/>
                <w:color w:val="000000"/>
                <w:kern w:val="0"/>
                <w:sz w:val="22"/>
                <w:szCs w:val="22"/>
                <w:highlight w:val="none"/>
                <w:u w:val="none"/>
                <w:lang/>
              </w:rPr>
            </w:pPr>
            <w:r>
              <w:rPr>
                <w:rFonts w:hint="eastAsia" w:ascii="等线" w:hAnsi="等线" w:eastAsia="等线" w:cs="等线"/>
                <w:i w:val="0"/>
                <w:iCs w:val="0"/>
                <w:color w:val="000000"/>
                <w:kern w:val="0"/>
                <w:sz w:val="22"/>
                <w:szCs w:val="22"/>
                <w:highlight w:val="none"/>
                <w:u w:val="none"/>
                <w:lang w:val="en-US" w:eastAsia="zh-CN" w:bidi="ar"/>
              </w:rPr>
              <w:t>序号</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7C61D8">
            <w:pPr>
              <w:keepNext w:val="0"/>
              <w:keepLines w:val="0"/>
              <w:widowControl/>
              <w:suppressLineNumbers w:val="0"/>
              <w:jc w:val="center"/>
              <w:textAlignment w:val="center"/>
              <w:rPr>
                <w:rFonts w:hint="eastAsia" w:ascii="等线" w:hAnsi="等线" w:eastAsia="等线" w:cs="等线"/>
                <w:i w:val="0"/>
                <w:iCs w:val="0"/>
                <w:color w:val="000000"/>
                <w:kern w:val="0"/>
                <w:sz w:val="22"/>
                <w:szCs w:val="22"/>
                <w:highlight w:val="none"/>
                <w:u w:val="none"/>
                <w:lang/>
              </w:rPr>
            </w:pPr>
            <w:r>
              <w:rPr>
                <w:rFonts w:hint="eastAsia" w:ascii="等线" w:hAnsi="等线" w:eastAsia="等线" w:cs="等线"/>
                <w:i w:val="0"/>
                <w:iCs w:val="0"/>
                <w:color w:val="000000"/>
                <w:kern w:val="0"/>
                <w:sz w:val="22"/>
                <w:szCs w:val="22"/>
                <w:highlight w:val="none"/>
                <w:u w:val="none"/>
                <w:lang w:val="en-US" w:eastAsia="zh-CN" w:bidi="ar"/>
              </w:rPr>
              <w:t>路口名称</w:t>
            </w:r>
          </w:p>
        </w:tc>
      </w:tr>
      <w:tr w14:paraId="31D27D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3963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EF62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五环路与赵疃</w:t>
            </w:r>
          </w:p>
        </w:tc>
      </w:tr>
      <w:tr w14:paraId="326D1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6BFD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0473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五环路与安乐村</w:t>
            </w:r>
          </w:p>
        </w:tc>
      </w:tr>
      <w:tr w14:paraId="0E1B7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2796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6459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五环路与徐庄镇周庄</w:t>
            </w:r>
          </w:p>
        </w:tc>
      </w:tr>
      <w:tr w14:paraId="46ACB2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70B8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361D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206与344交叉路口</w:t>
            </w:r>
          </w:p>
        </w:tc>
      </w:tr>
      <w:tr w14:paraId="39C68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B364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309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五环路与柳楼交叉口</w:t>
            </w:r>
          </w:p>
        </w:tc>
      </w:tr>
      <w:tr w14:paraId="101BA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1C7B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58377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311与206交叉路口</w:t>
            </w:r>
          </w:p>
        </w:tc>
      </w:tr>
      <w:tr w14:paraId="3E26BC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180FF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78D5B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344与双井路口</w:t>
            </w:r>
          </w:p>
        </w:tc>
      </w:tr>
      <w:tr w14:paraId="4ECE6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5BFD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C95E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344与陶公河中桥</w:t>
            </w:r>
          </w:p>
        </w:tc>
      </w:tr>
      <w:tr w14:paraId="2151F8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FBBF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F59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彭祖大道与紫房路交叉口</w:t>
            </w:r>
          </w:p>
        </w:tc>
      </w:tr>
      <w:tr w14:paraId="1D3855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E15CB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1501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344与黄庄路口</w:t>
            </w:r>
          </w:p>
        </w:tc>
      </w:tr>
      <w:tr w14:paraId="320F0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3D5D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131C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344苑东大沟中桥</w:t>
            </w:r>
          </w:p>
        </w:tc>
      </w:tr>
      <w:tr w14:paraId="190D55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27FB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3961B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344与金井</w:t>
            </w:r>
          </w:p>
        </w:tc>
      </w:tr>
      <w:tr w14:paraId="153441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3168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3D07F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344与203（博汇东路）</w:t>
            </w:r>
          </w:p>
        </w:tc>
      </w:tr>
      <w:tr w14:paraId="6896EB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1AD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44C85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344与兴镇南路</w:t>
            </w:r>
          </w:p>
        </w:tc>
      </w:tr>
      <w:tr w14:paraId="7342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C2D1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96823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龙湖南路与龙湖西路交叉口</w:t>
            </w:r>
          </w:p>
        </w:tc>
      </w:tr>
      <w:tr w14:paraId="02814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6169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94EC5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龙湖南路与龙湖东路交叉口</w:t>
            </w:r>
          </w:p>
        </w:tc>
      </w:tr>
      <w:tr w14:paraId="0BD498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FD06A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226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振兴大道与站南路交叉口</w:t>
            </w:r>
          </w:p>
        </w:tc>
      </w:tr>
      <w:tr w14:paraId="1D029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9A083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4053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玉湖路与振兴大道交叉口</w:t>
            </w:r>
          </w:p>
        </w:tc>
      </w:tr>
      <w:tr w14:paraId="21F37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3ED1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7154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和平路与振兴大道交叉口</w:t>
            </w:r>
          </w:p>
        </w:tc>
      </w:tr>
      <w:tr w14:paraId="3C825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2F0CF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E17E8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和平路与鲲鹏路交叉口</w:t>
            </w:r>
          </w:p>
        </w:tc>
      </w:tr>
      <w:tr w14:paraId="6F70C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BBE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2B72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和平路与站东路交叉口</w:t>
            </w:r>
          </w:p>
        </w:tc>
      </w:tr>
      <w:tr w14:paraId="699C87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2065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7AB7F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和平路与官庄交叉口</w:t>
            </w:r>
          </w:p>
        </w:tc>
      </w:tr>
      <w:tr w14:paraId="2A241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2915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72E87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和平路与鸿悦路交叉口</w:t>
            </w:r>
          </w:p>
        </w:tc>
      </w:tr>
      <w:tr w14:paraId="36CAA0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A8060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E1F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和平路徐工人才家园</w:t>
            </w:r>
          </w:p>
        </w:tc>
      </w:tr>
      <w:tr w14:paraId="00F27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13369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2DB3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和平路与高新路交叉路口</w:t>
            </w:r>
          </w:p>
        </w:tc>
      </w:tr>
      <w:tr w14:paraId="3842F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F37CB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909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和平路与凤凰路交叉路口</w:t>
            </w:r>
          </w:p>
        </w:tc>
      </w:tr>
      <w:tr w14:paraId="0857C9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A2E8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FB93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和平路与徐贾路交叉口</w:t>
            </w:r>
          </w:p>
        </w:tc>
      </w:tr>
      <w:tr w14:paraId="63383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822AA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D3201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和平路与西京路交叉口</w:t>
            </w:r>
          </w:p>
        </w:tc>
      </w:tr>
      <w:tr w14:paraId="24DF86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0E0F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FEEA7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和平路与兴镇路交叉口</w:t>
            </w:r>
          </w:p>
        </w:tc>
      </w:tr>
      <w:tr w14:paraId="02A6FB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7EF1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1E43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兴镇路与崇文路交叉口</w:t>
            </w:r>
          </w:p>
        </w:tc>
      </w:tr>
      <w:tr w14:paraId="7E87A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5E39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A045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庙兴路与兴镇路交叉口</w:t>
            </w:r>
          </w:p>
        </w:tc>
      </w:tr>
      <w:tr w14:paraId="13740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C8CF2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FDAD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庙兴路与西京路交叉口</w:t>
            </w:r>
          </w:p>
        </w:tc>
      </w:tr>
      <w:tr w14:paraId="2BED6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BAFA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D738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崇文路与西京路交叉口</w:t>
            </w:r>
          </w:p>
        </w:tc>
      </w:tr>
      <w:tr w14:paraId="3F47D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CB0FC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8A96C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西京路与河润路交叉口</w:t>
            </w:r>
          </w:p>
        </w:tc>
      </w:tr>
      <w:tr w14:paraId="6281D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865C5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F45E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庙兴路与崇德路交叉口</w:t>
            </w:r>
          </w:p>
        </w:tc>
      </w:tr>
      <w:tr w14:paraId="211E36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BCE91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6ED9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庙兴路与博汇路交叉口</w:t>
            </w:r>
          </w:p>
        </w:tc>
      </w:tr>
      <w:tr w14:paraId="22777B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0969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C7BF8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庙兴与徐工比亚迪（新建）</w:t>
            </w:r>
          </w:p>
        </w:tc>
      </w:tr>
      <w:tr w14:paraId="55C7B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79DDB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023E7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崇德路与崇文路交叉口</w:t>
            </w:r>
          </w:p>
        </w:tc>
      </w:tr>
      <w:tr w14:paraId="09FE9A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B6E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41E39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崇德路与永达路交叉口（新建）</w:t>
            </w:r>
          </w:p>
        </w:tc>
      </w:tr>
      <w:tr w14:paraId="3C22F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B401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ACB6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永达路与工业路（新建）</w:t>
            </w:r>
          </w:p>
        </w:tc>
      </w:tr>
      <w:tr w14:paraId="44DD7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E99D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1876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工业路与候集学校东（新建）</w:t>
            </w:r>
          </w:p>
        </w:tc>
      </w:tr>
      <w:tr w14:paraId="4DDCD7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2A7D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73D6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候集中学路口</w:t>
            </w:r>
          </w:p>
        </w:tc>
      </w:tr>
      <w:tr w14:paraId="01FC69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BB6DA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9BF4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兴镇路与文化西路</w:t>
            </w:r>
          </w:p>
        </w:tc>
      </w:tr>
      <w:tr w14:paraId="74FBC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8174D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F72F5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大大路与未来之宸（新建）</w:t>
            </w:r>
          </w:p>
        </w:tc>
      </w:tr>
      <w:tr w14:paraId="688046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6C43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2970F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城东大道与大大路</w:t>
            </w:r>
          </w:p>
        </w:tc>
      </w:tr>
      <w:tr w14:paraId="3EDE0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CA4C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67ECA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城东大道与矿二医院路口</w:t>
            </w:r>
          </w:p>
        </w:tc>
      </w:tr>
      <w:tr w14:paraId="4A1A9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AD6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2EA2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城东大道与安然（华升电梯）</w:t>
            </w:r>
          </w:p>
        </w:tc>
      </w:tr>
      <w:tr w14:paraId="7BABB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07E1D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4400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城东大道与老徐贾</w:t>
            </w:r>
          </w:p>
        </w:tc>
      </w:tr>
      <w:tr w14:paraId="6ACD6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1FC05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47D27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206与虎山</w:t>
            </w:r>
          </w:p>
        </w:tc>
      </w:tr>
      <w:tr w14:paraId="1EF3D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3730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45667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城东大道与梨市</w:t>
            </w:r>
          </w:p>
        </w:tc>
      </w:tr>
      <w:tr w14:paraId="0A705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8B78A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C5E46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站南路与鸿达路</w:t>
            </w:r>
          </w:p>
        </w:tc>
      </w:tr>
      <w:tr w14:paraId="20C295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D40AC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C333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龙湖南路与汉源大道</w:t>
            </w:r>
          </w:p>
        </w:tc>
      </w:tr>
      <w:tr w14:paraId="3D7BAC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98D3A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C3A52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城东大道与长安大道</w:t>
            </w:r>
          </w:p>
        </w:tc>
      </w:tr>
      <w:tr w14:paraId="346F4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DE38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41C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长安大道城置</w:t>
            </w:r>
          </w:p>
        </w:tc>
      </w:tr>
      <w:tr w14:paraId="6B19C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3F98D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CA7F3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长安大道泰隆商业街</w:t>
            </w:r>
          </w:p>
        </w:tc>
      </w:tr>
      <w:tr w14:paraId="48437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44839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0B934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长安大道与杨山路</w:t>
            </w:r>
          </w:p>
        </w:tc>
      </w:tr>
      <w:tr w14:paraId="4A18FF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77D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AC26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杨山路与蟠桃山路</w:t>
            </w:r>
          </w:p>
        </w:tc>
      </w:tr>
      <w:tr w14:paraId="4BA9E1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FC3C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D46FD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杨山路与桃园路</w:t>
            </w:r>
          </w:p>
        </w:tc>
      </w:tr>
      <w:tr w14:paraId="164D5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A4CC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1CB4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杨山路与龙潭路</w:t>
            </w:r>
          </w:p>
        </w:tc>
      </w:tr>
      <w:tr w14:paraId="1DAF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470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ABC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杨山路与东三环</w:t>
            </w:r>
          </w:p>
        </w:tc>
      </w:tr>
      <w:tr w14:paraId="21A24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6BC5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2BC0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和平路与徐贾</w:t>
            </w:r>
          </w:p>
        </w:tc>
      </w:tr>
      <w:tr w14:paraId="0AFED5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DBB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682C2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东三环与白云东路</w:t>
            </w:r>
          </w:p>
        </w:tc>
      </w:tr>
      <w:tr w14:paraId="18A49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966F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283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彭祖大道与徐贾</w:t>
            </w:r>
          </w:p>
        </w:tc>
      </w:tr>
      <w:tr w14:paraId="744D3B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59D5D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1E1C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东三环与洞山路</w:t>
            </w:r>
          </w:p>
        </w:tc>
      </w:tr>
      <w:tr w14:paraId="0526C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754C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31EA7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徐贾与主横一</w:t>
            </w:r>
          </w:p>
        </w:tc>
      </w:tr>
      <w:tr w14:paraId="56B338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8D05B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19FB7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洞山路与金桥路</w:t>
            </w:r>
          </w:p>
        </w:tc>
      </w:tr>
      <w:tr w14:paraId="3C866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8A59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DE3F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洞山路与桃园路</w:t>
            </w:r>
          </w:p>
        </w:tc>
      </w:tr>
      <w:tr w14:paraId="4762BF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D6B87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C462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宝莲寺路与蟠桃山路</w:t>
            </w:r>
          </w:p>
        </w:tc>
      </w:tr>
      <w:tr w14:paraId="7DA17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A2E87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7CF8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昆仑路与高新路</w:t>
            </w:r>
          </w:p>
        </w:tc>
      </w:tr>
      <w:tr w14:paraId="5B724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14CF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65F2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杨山路与宝莲寺路</w:t>
            </w:r>
          </w:p>
        </w:tc>
      </w:tr>
      <w:tr w14:paraId="0A5B2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5F66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742E5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昆仑大道与马庄</w:t>
            </w:r>
          </w:p>
        </w:tc>
      </w:tr>
      <w:tr w14:paraId="2C8B9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AC6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B89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杨山路与驮蓝山路</w:t>
            </w:r>
          </w:p>
        </w:tc>
      </w:tr>
      <w:tr w14:paraId="3D29A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829F4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E2DE1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昆仑路与林果场</w:t>
            </w:r>
          </w:p>
        </w:tc>
      </w:tr>
      <w:tr w14:paraId="17D471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FB4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589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驮蓝山路与锦绣路</w:t>
            </w:r>
          </w:p>
        </w:tc>
      </w:tr>
      <w:tr w14:paraId="3E229B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7EE22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259E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驮蓝山路与金川路</w:t>
            </w:r>
          </w:p>
        </w:tc>
      </w:tr>
      <w:tr w14:paraId="44FB9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9E4C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DFC8B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高新路与卢庄沟桥</w:t>
            </w:r>
          </w:p>
        </w:tc>
      </w:tr>
      <w:tr w14:paraId="4C8CAF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9DFC3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47AC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驮蓝山路与金水路</w:t>
            </w:r>
          </w:p>
        </w:tc>
      </w:tr>
      <w:tr w14:paraId="64F66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14C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80A73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高新路与望湖路</w:t>
            </w:r>
          </w:p>
        </w:tc>
      </w:tr>
      <w:tr w14:paraId="0D6CB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FD8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5FFFC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驮蓝山与金工路</w:t>
            </w:r>
          </w:p>
        </w:tc>
      </w:tr>
      <w:tr w14:paraId="619ED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B46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6836E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望湖路与锦华路</w:t>
            </w:r>
          </w:p>
        </w:tc>
      </w:tr>
      <w:tr w14:paraId="488B82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4914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DECA8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望湖路与环湖路</w:t>
            </w:r>
          </w:p>
        </w:tc>
      </w:tr>
      <w:tr w14:paraId="3B792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DAC2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CB77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环湖路与规划四</w:t>
            </w:r>
          </w:p>
        </w:tc>
      </w:tr>
      <w:tr w14:paraId="176C6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11E3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A0DE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驮蓝山路与金桥路</w:t>
            </w:r>
          </w:p>
        </w:tc>
      </w:tr>
      <w:tr w14:paraId="47B12B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AC91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239A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环湖路与规划三</w:t>
            </w:r>
          </w:p>
        </w:tc>
      </w:tr>
      <w:tr w14:paraId="081C8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9F67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5D823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环湖路与规划二</w:t>
            </w:r>
          </w:p>
        </w:tc>
      </w:tr>
      <w:tr w14:paraId="78E85A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863B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81FE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驮蓝山路与东三环</w:t>
            </w:r>
          </w:p>
        </w:tc>
      </w:tr>
      <w:tr w14:paraId="6560D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57C8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E311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环湖路与次联三</w:t>
            </w:r>
          </w:p>
        </w:tc>
      </w:tr>
      <w:tr w14:paraId="01609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E6310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9377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东三环与蟠桃山路</w:t>
            </w:r>
          </w:p>
        </w:tc>
      </w:tr>
      <w:tr w14:paraId="4FF33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4874C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70708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环湖路与规划一</w:t>
            </w:r>
          </w:p>
        </w:tc>
      </w:tr>
      <w:tr w14:paraId="33E858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9A01B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02D4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环湖二路与锦华（待建）</w:t>
            </w:r>
          </w:p>
        </w:tc>
      </w:tr>
      <w:tr w14:paraId="54FCA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43A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BD01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蟠桃山路与金桥路</w:t>
            </w:r>
          </w:p>
        </w:tc>
      </w:tr>
      <w:tr w14:paraId="30979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4920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6C7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望湖路与锦华路</w:t>
            </w:r>
          </w:p>
        </w:tc>
      </w:tr>
      <w:tr w14:paraId="01315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F388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22776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支二路云之湖</w:t>
            </w:r>
          </w:p>
        </w:tc>
      </w:tr>
      <w:tr w14:paraId="7B134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05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EE891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蟠桃山路与金工路</w:t>
            </w:r>
          </w:p>
        </w:tc>
      </w:tr>
      <w:tr w14:paraId="3D09E6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20AC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E5500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蟠桃山路与洞山路</w:t>
            </w:r>
          </w:p>
        </w:tc>
      </w:tr>
      <w:tr w14:paraId="43CDA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49BE7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F7BB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支环二路云与湖（新建）未移交</w:t>
            </w:r>
          </w:p>
        </w:tc>
      </w:tr>
      <w:tr w14:paraId="476CA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D031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4494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新徐大道与马庄</w:t>
            </w:r>
          </w:p>
        </w:tc>
      </w:tr>
      <w:tr w14:paraId="24F84A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AD02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48A46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彭祖大道与高新路</w:t>
            </w:r>
          </w:p>
        </w:tc>
      </w:tr>
      <w:tr w14:paraId="07722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15FE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1E361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高新路与创业路</w:t>
            </w:r>
          </w:p>
        </w:tc>
      </w:tr>
      <w:tr w14:paraId="526340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2DD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6ACF5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创业路与凤凰路</w:t>
            </w:r>
          </w:p>
        </w:tc>
      </w:tr>
      <w:tr w14:paraId="6AD32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3B36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ABCA6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高新路与创业路</w:t>
            </w:r>
          </w:p>
        </w:tc>
      </w:tr>
      <w:tr w14:paraId="451BA8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F5D72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9B2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徐贾路与创业路</w:t>
            </w:r>
          </w:p>
        </w:tc>
      </w:tr>
      <w:tr w14:paraId="1CE922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FF0C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7184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徐贾路与学成路</w:t>
            </w:r>
          </w:p>
        </w:tc>
      </w:tr>
      <w:tr w14:paraId="7D82D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DD618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4EA0A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城东大道与大庙村委会</w:t>
            </w:r>
          </w:p>
        </w:tc>
      </w:tr>
      <w:tr w14:paraId="3F07B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7441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5C88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第二殡仪馆</w:t>
            </w:r>
          </w:p>
        </w:tc>
      </w:tr>
      <w:tr w14:paraId="165F6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E278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D443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311徐庄路口</w:t>
            </w:r>
          </w:p>
        </w:tc>
      </w:tr>
      <w:tr w14:paraId="6626A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5F51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0DC27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紫庄路与兴业路</w:t>
            </w:r>
          </w:p>
        </w:tc>
      </w:tr>
      <w:tr w14:paraId="68DFB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46363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B49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紫房陇西家园</w:t>
            </w:r>
          </w:p>
        </w:tc>
      </w:tr>
      <w:tr w14:paraId="4A16CD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7A00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B4BB7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鸿达路与玉湖路</w:t>
            </w:r>
          </w:p>
        </w:tc>
      </w:tr>
      <w:tr w14:paraId="241C1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43124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19741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鸿达路与明湖路</w:t>
            </w:r>
          </w:p>
        </w:tc>
      </w:tr>
      <w:tr w14:paraId="19611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B038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2B3EF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鸿达路与云湖路</w:t>
            </w:r>
          </w:p>
        </w:tc>
      </w:tr>
      <w:tr w14:paraId="5ADBD7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D32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7AF1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鸿畅路与云湖路</w:t>
            </w:r>
          </w:p>
        </w:tc>
      </w:tr>
      <w:tr w14:paraId="5213B7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50E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2F84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鸿畅路与明湖路</w:t>
            </w:r>
          </w:p>
        </w:tc>
      </w:tr>
      <w:tr w14:paraId="3BF3F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B82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375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明湖路与鸿达路</w:t>
            </w:r>
          </w:p>
        </w:tc>
      </w:tr>
      <w:tr w14:paraId="16BB1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82173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068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鸿畅路与玉湖路</w:t>
            </w:r>
          </w:p>
        </w:tc>
      </w:tr>
      <w:tr w14:paraId="6FFE05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F440D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27148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玉湖路与鸿运路</w:t>
            </w:r>
          </w:p>
        </w:tc>
      </w:tr>
      <w:tr w14:paraId="6881DF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6614C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E8FFB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鲲鹏大道与玉湖路</w:t>
            </w:r>
          </w:p>
        </w:tc>
      </w:tr>
      <w:tr w14:paraId="5ED9E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1E15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A56FB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站南路与站西路</w:t>
            </w:r>
          </w:p>
        </w:tc>
      </w:tr>
      <w:tr w14:paraId="26C46A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9D62D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5812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站南路与鸿博路</w:t>
            </w:r>
          </w:p>
        </w:tc>
      </w:tr>
      <w:tr w14:paraId="6CB36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5FEA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7A8D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站东路与站南路</w:t>
            </w:r>
          </w:p>
        </w:tc>
      </w:tr>
      <w:tr w14:paraId="1A4B56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70EFC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38AF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站东路与玉湖路</w:t>
            </w:r>
          </w:p>
        </w:tc>
      </w:tr>
      <w:tr w14:paraId="51689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9ADF4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8EEF2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速达路与玉湖路</w:t>
            </w:r>
          </w:p>
        </w:tc>
      </w:tr>
      <w:tr w14:paraId="1508CA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F22B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F2A3C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速达路与顺平路</w:t>
            </w:r>
          </w:p>
        </w:tc>
      </w:tr>
      <w:tr w14:paraId="09A692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8A8A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F8DE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站东路与顺平路</w:t>
            </w:r>
          </w:p>
        </w:tc>
      </w:tr>
      <w:tr w14:paraId="572949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A2764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C1FC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站东路与顺安路</w:t>
            </w:r>
          </w:p>
        </w:tc>
      </w:tr>
      <w:tr w14:paraId="0D6C6B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2FCDC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13EC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站东路与站北路</w:t>
            </w:r>
          </w:p>
        </w:tc>
      </w:tr>
      <w:tr w14:paraId="733F6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906F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E8309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站北路</w:t>
            </w:r>
          </w:p>
        </w:tc>
      </w:tr>
      <w:tr w14:paraId="48AB1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D8D7B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34434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鲲鹏路与站北路</w:t>
            </w:r>
          </w:p>
        </w:tc>
      </w:tr>
      <w:tr w14:paraId="4E8C1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3794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C98B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鲲鹏路与金湖路</w:t>
            </w:r>
          </w:p>
        </w:tc>
      </w:tr>
      <w:tr w14:paraId="5F2F3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77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F884A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鲲鹏路中央大道</w:t>
            </w:r>
          </w:p>
        </w:tc>
      </w:tr>
      <w:tr w14:paraId="3B25D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628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3653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鲲鹏路与翠湖路</w:t>
            </w:r>
          </w:p>
        </w:tc>
      </w:tr>
      <w:tr w14:paraId="7C894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B62A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1661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鲲鹏路站南</w:t>
            </w:r>
          </w:p>
        </w:tc>
      </w:tr>
      <w:tr w14:paraId="219D5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269DF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2C99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站南路与鸿运路</w:t>
            </w:r>
          </w:p>
        </w:tc>
      </w:tr>
      <w:tr w14:paraId="33E6FF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9164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38E4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站南路与鸿畅路</w:t>
            </w:r>
          </w:p>
        </w:tc>
      </w:tr>
      <w:tr w14:paraId="4D2D14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B37EA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C9D0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振兴大道与站南路</w:t>
            </w:r>
          </w:p>
        </w:tc>
      </w:tr>
      <w:tr w14:paraId="35C061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C55A4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96B1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鸿达路金龙湖小学</w:t>
            </w:r>
          </w:p>
        </w:tc>
      </w:tr>
      <w:tr w14:paraId="798447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07F4E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FD6E7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振兴路与中央</w:t>
            </w:r>
          </w:p>
        </w:tc>
      </w:tr>
      <w:tr w14:paraId="7D7E5E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5131E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E0179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振兴路与金湖</w:t>
            </w:r>
          </w:p>
        </w:tc>
      </w:tr>
      <w:tr w14:paraId="0BD705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96676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17BA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龙湖东路与龙湖南</w:t>
            </w:r>
          </w:p>
        </w:tc>
      </w:tr>
      <w:tr w14:paraId="02660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C9D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F7B3C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龙湖北管委会</w:t>
            </w:r>
          </w:p>
        </w:tc>
      </w:tr>
      <w:tr w14:paraId="0A50FC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827C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643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城东大道与汉源</w:t>
            </w:r>
          </w:p>
        </w:tc>
      </w:tr>
      <w:tr w14:paraId="0DE4D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0FA2B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D4AF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城东大道宗申</w:t>
            </w:r>
          </w:p>
        </w:tc>
      </w:tr>
      <w:tr w14:paraId="13050B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4AD4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FE319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城东大道与广德路</w:t>
            </w:r>
          </w:p>
        </w:tc>
      </w:tr>
      <w:tr w14:paraId="34C55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EA5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B793B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城东大道与振兴大道</w:t>
            </w:r>
          </w:p>
        </w:tc>
      </w:tr>
      <w:tr w14:paraId="1338D2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C37F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7101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城东大道与鲲鹏路</w:t>
            </w:r>
          </w:p>
        </w:tc>
      </w:tr>
      <w:tr w14:paraId="772EB0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3946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AE801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城东大道金凤路</w:t>
            </w:r>
          </w:p>
        </w:tc>
      </w:tr>
      <w:tr w14:paraId="09A73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60D7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A43A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城东大道与高新路</w:t>
            </w:r>
          </w:p>
        </w:tc>
      </w:tr>
      <w:tr w14:paraId="11D10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A57C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BAA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城东大道与凤凰路</w:t>
            </w:r>
          </w:p>
        </w:tc>
      </w:tr>
      <w:tr w14:paraId="1E279F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C91E0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DAADE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城东大道与徐贾路</w:t>
            </w:r>
          </w:p>
        </w:tc>
      </w:tr>
      <w:tr w14:paraId="722D04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CC2A7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6EFB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杨山路大黄山实验学校</w:t>
            </w:r>
          </w:p>
        </w:tc>
      </w:tr>
      <w:tr w14:paraId="38053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80B8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7B5F9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杨山路与大大路</w:t>
            </w:r>
          </w:p>
        </w:tc>
      </w:tr>
      <w:tr w14:paraId="5ABFC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178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5554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杨山路黄外学校</w:t>
            </w:r>
          </w:p>
        </w:tc>
      </w:tr>
      <w:tr w14:paraId="42B7CB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D06D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FBA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杨山路安然山</w:t>
            </w:r>
          </w:p>
        </w:tc>
      </w:tr>
      <w:tr w14:paraId="43E741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5BB8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CEAA4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杨山路华科</w:t>
            </w:r>
          </w:p>
        </w:tc>
      </w:tr>
      <w:tr w14:paraId="40014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19A68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A47FA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杨山路与高新路</w:t>
            </w:r>
          </w:p>
        </w:tc>
      </w:tr>
      <w:tr w14:paraId="28B3E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B295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9D78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杨山路与金凤路</w:t>
            </w:r>
          </w:p>
        </w:tc>
      </w:tr>
      <w:tr w14:paraId="207BF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BA924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A3E14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杨山路金弘路（多晶硅）门口</w:t>
            </w:r>
          </w:p>
        </w:tc>
      </w:tr>
      <w:tr w14:paraId="0BB39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A64E2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451A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杨山路与永宁路</w:t>
            </w:r>
          </w:p>
        </w:tc>
      </w:tr>
      <w:tr w14:paraId="7E39F0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3FF28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D6DF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杨山路髙铁西支路</w:t>
            </w:r>
          </w:p>
        </w:tc>
      </w:tr>
      <w:tr w14:paraId="30A09B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700CE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F414E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杨山路港华东支路</w:t>
            </w:r>
          </w:p>
        </w:tc>
      </w:tr>
      <w:tr w14:paraId="67B35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640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CD13D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杨山路与振兴大道</w:t>
            </w:r>
          </w:p>
        </w:tc>
      </w:tr>
      <w:tr w14:paraId="3F0F4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F7E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B89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杨山路与广德路</w:t>
            </w:r>
          </w:p>
        </w:tc>
      </w:tr>
      <w:tr w14:paraId="5948E2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DAB8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B4BC2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广德路与广德东支路</w:t>
            </w:r>
          </w:p>
        </w:tc>
      </w:tr>
      <w:tr w14:paraId="4CBFF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D4510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71952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振兴路与广德东支路</w:t>
            </w:r>
          </w:p>
        </w:tc>
      </w:tr>
      <w:tr w14:paraId="46086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1952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F45F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振兴路与福地</w:t>
            </w:r>
          </w:p>
        </w:tc>
      </w:tr>
      <w:tr w14:paraId="3DDA7E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5526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0CD1A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振兴路与福泽路</w:t>
            </w:r>
          </w:p>
        </w:tc>
      </w:tr>
      <w:tr w14:paraId="61F7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2EBAA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FFA3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广德路与福泽</w:t>
            </w:r>
          </w:p>
        </w:tc>
      </w:tr>
      <w:tr w14:paraId="7F108D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2D0D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97C4C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和盛路与尚义路</w:t>
            </w:r>
          </w:p>
        </w:tc>
      </w:tr>
      <w:tr w14:paraId="3CB4A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F10DE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CFAA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振兴大道与福润路</w:t>
            </w:r>
          </w:p>
        </w:tc>
      </w:tr>
      <w:tr w14:paraId="30214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89CE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FF297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长安路与诚意</w:t>
            </w:r>
          </w:p>
        </w:tc>
      </w:tr>
      <w:tr w14:paraId="3E98F1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181E4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341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诚意与冬蕴路（新建）未移交</w:t>
            </w:r>
          </w:p>
        </w:tc>
      </w:tr>
      <w:tr w14:paraId="6DBD8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742D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FF5C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诚意路港口机械</w:t>
            </w:r>
          </w:p>
        </w:tc>
      </w:tr>
      <w:tr w14:paraId="7C7C1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C8BE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AAF91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诚意路与夏荣路</w:t>
            </w:r>
          </w:p>
        </w:tc>
      </w:tr>
      <w:tr w14:paraId="13BCE1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52B0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08C1E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诚意路与高新</w:t>
            </w:r>
          </w:p>
        </w:tc>
      </w:tr>
      <w:tr w14:paraId="035F00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DA118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F4A13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高新路与日丽路（新建）未移交</w:t>
            </w:r>
          </w:p>
        </w:tc>
      </w:tr>
      <w:tr w14:paraId="498E07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79E8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7D00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高新路与金阳新能源（新建）未移交</w:t>
            </w:r>
          </w:p>
        </w:tc>
      </w:tr>
      <w:tr w14:paraId="66CB8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187F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3B36D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高新路与纬一路（新建）未移交</w:t>
            </w:r>
          </w:p>
        </w:tc>
      </w:tr>
      <w:tr w14:paraId="22E4F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5184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1B9E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高新路古狼墩（新建）未移交</w:t>
            </w:r>
          </w:p>
        </w:tc>
      </w:tr>
      <w:tr w14:paraId="0EC21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EEAD5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E69ED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高新路与胜利河桥</w:t>
            </w:r>
          </w:p>
        </w:tc>
      </w:tr>
      <w:tr w14:paraId="27784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1C9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89357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夏荣与月皓路（新建）未移交</w:t>
            </w:r>
          </w:p>
        </w:tc>
      </w:tr>
      <w:tr w14:paraId="3E1F6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5183E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6092A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夏荣路与星灿路（新建）未移交</w:t>
            </w:r>
          </w:p>
        </w:tc>
      </w:tr>
      <w:tr w14:paraId="085991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4597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6ABA1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冬蕴路与星灿路（新建）未移交</w:t>
            </w:r>
          </w:p>
        </w:tc>
      </w:tr>
      <w:tr w14:paraId="33ADE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991D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8FB6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冬蕴路与月皓路（新建）未移交</w:t>
            </w:r>
          </w:p>
        </w:tc>
      </w:tr>
      <w:tr w14:paraId="28498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35840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F4DA7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冬蕴与日丽路（新建）未移交</w:t>
            </w:r>
          </w:p>
        </w:tc>
      </w:tr>
      <w:tr w14:paraId="7F5459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001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DE9E4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诚意高端智能产业园（新建）未移交</w:t>
            </w:r>
          </w:p>
        </w:tc>
      </w:tr>
      <w:tr w14:paraId="60B006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BB67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B3C0A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东三环与荆山路</w:t>
            </w:r>
          </w:p>
        </w:tc>
      </w:tr>
      <w:tr w14:paraId="2C2DA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9644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4854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荆山路与金桥路</w:t>
            </w:r>
          </w:p>
        </w:tc>
      </w:tr>
      <w:tr w14:paraId="57E77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2B006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494E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凤祥怡园</w:t>
            </w:r>
          </w:p>
        </w:tc>
      </w:tr>
      <w:tr w14:paraId="66A8DD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62CE2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4E41E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荆山路与金工路</w:t>
            </w:r>
          </w:p>
        </w:tc>
      </w:tr>
      <w:tr w14:paraId="324387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CF3D3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7659E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诚意与秋实（新建）未移交</w:t>
            </w:r>
          </w:p>
        </w:tc>
      </w:tr>
      <w:tr w14:paraId="39118D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059D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17C95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荆山路与金水路</w:t>
            </w:r>
          </w:p>
        </w:tc>
      </w:tr>
      <w:tr w14:paraId="088C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98DD6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36461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日丽与经一路</w:t>
            </w:r>
          </w:p>
        </w:tc>
      </w:tr>
      <w:tr w14:paraId="0583B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C77FD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E2AC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金水路与螺山路</w:t>
            </w:r>
          </w:p>
        </w:tc>
      </w:tr>
      <w:tr w14:paraId="1ACF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5F610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CDD1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夏荣路与日丽路（新建）未移交</w:t>
            </w:r>
          </w:p>
        </w:tc>
      </w:tr>
      <w:tr w14:paraId="64F56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CB1D1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FDD5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螺山路与锦绣路</w:t>
            </w:r>
          </w:p>
        </w:tc>
      </w:tr>
      <w:tr w14:paraId="369D5D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F68D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5C0E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高新路与宝港</w:t>
            </w:r>
          </w:p>
        </w:tc>
      </w:tr>
      <w:tr w14:paraId="54720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BD2E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BDC61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螺山路与东三环</w:t>
            </w:r>
          </w:p>
        </w:tc>
      </w:tr>
      <w:tr w14:paraId="187F83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6243B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7C01E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东三环与桃山路</w:t>
            </w:r>
          </w:p>
        </w:tc>
      </w:tr>
      <w:tr w14:paraId="0FAC27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CDEE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B768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桃山路与刘荆路</w:t>
            </w:r>
          </w:p>
        </w:tc>
      </w:tr>
      <w:tr w14:paraId="09ABC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7144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91ED1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桃山路与金水路</w:t>
            </w:r>
          </w:p>
        </w:tc>
      </w:tr>
      <w:tr w14:paraId="185E57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C898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A49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桃山路与锦绣路</w:t>
            </w:r>
          </w:p>
        </w:tc>
      </w:tr>
      <w:tr w14:paraId="3A993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34ABA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82E2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桃山路与荆马河北支路</w:t>
            </w:r>
          </w:p>
        </w:tc>
      </w:tr>
      <w:tr w14:paraId="554B9F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F8C4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600A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长安大道与桃山路</w:t>
            </w:r>
          </w:p>
        </w:tc>
      </w:tr>
      <w:tr w14:paraId="5D8AD4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1C74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42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长安大道与荆马河北支路</w:t>
            </w:r>
          </w:p>
        </w:tc>
      </w:tr>
      <w:tr w14:paraId="45FD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381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643C6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三环东路美好汇邻湾</w:t>
            </w:r>
          </w:p>
        </w:tc>
      </w:tr>
      <w:tr w14:paraId="3D6958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2547B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80959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三环东路与白云中路（新建）未移交</w:t>
            </w:r>
          </w:p>
        </w:tc>
      </w:tr>
      <w:tr w14:paraId="19628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72C9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575E6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金安路与知青桥</w:t>
            </w:r>
          </w:p>
        </w:tc>
      </w:tr>
      <w:tr w14:paraId="1F917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62AB6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86F0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三环东路香山路</w:t>
            </w:r>
          </w:p>
        </w:tc>
      </w:tr>
      <w:tr w14:paraId="60AEA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FBE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3289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金港路与金安路</w:t>
            </w:r>
          </w:p>
        </w:tc>
      </w:tr>
      <w:tr w14:paraId="4729B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9BB5E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1DD2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三环东路与响山路</w:t>
            </w:r>
          </w:p>
        </w:tc>
      </w:tr>
      <w:tr w14:paraId="416F0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E655D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560E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金港路与庙山路</w:t>
            </w:r>
          </w:p>
        </w:tc>
      </w:tr>
      <w:tr w14:paraId="71DD1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F0564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18DF1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庙山路与锦绣路</w:t>
            </w:r>
          </w:p>
        </w:tc>
      </w:tr>
      <w:tr w14:paraId="6697F7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9679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A572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庙山路与金水路</w:t>
            </w:r>
          </w:p>
        </w:tc>
      </w:tr>
      <w:tr w14:paraId="5F233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E4B26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54D53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三环东路与玉华</w:t>
            </w:r>
          </w:p>
        </w:tc>
      </w:tr>
      <w:tr w14:paraId="4C8042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0C9B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AB0BC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庙山路与刘荆路</w:t>
            </w:r>
          </w:p>
        </w:tc>
      </w:tr>
      <w:tr w14:paraId="269B67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34147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A43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东三环与庙山路</w:t>
            </w:r>
          </w:p>
        </w:tc>
      </w:tr>
      <w:tr w14:paraId="57B109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D5297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DB0D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金港路与东三环</w:t>
            </w:r>
          </w:p>
        </w:tc>
      </w:tr>
      <w:tr w14:paraId="4B16D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A4B1D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9A3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金港路与金水路</w:t>
            </w:r>
          </w:p>
        </w:tc>
      </w:tr>
      <w:tr w14:paraId="25027E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9213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D7A7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金港路与锦绣路</w:t>
            </w:r>
          </w:p>
        </w:tc>
      </w:tr>
      <w:tr w14:paraId="2AEE97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5D4C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D1F67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金港路与荆马河北支路</w:t>
            </w:r>
          </w:p>
        </w:tc>
      </w:tr>
      <w:tr w14:paraId="177C1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A81B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DE5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荆山路与瑞威东路</w:t>
            </w:r>
          </w:p>
        </w:tc>
      </w:tr>
      <w:tr w14:paraId="003FC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79C98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FA462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荆山路与引线河路</w:t>
            </w:r>
          </w:p>
        </w:tc>
      </w:tr>
      <w:tr w14:paraId="3C0158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6BE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F726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荆山路与振兴大道</w:t>
            </w:r>
          </w:p>
        </w:tc>
      </w:tr>
      <w:tr w14:paraId="66DAD6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F49FA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0A21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荆山路与广德路</w:t>
            </w:r>
          </w:p>
        </w:tc>
      </w:tr>
      <w:tr w14:paraId="276F42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A1EC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00A4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荆山路与长安大道</w:t>
            </w:r>
          </w:p>
        </w:tc>
      </w:tr>
      <w:tr w14:paraId="6F7E6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C0EA4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E56D3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长安大道与驮蓝山路</w:t>
            </w:r>
          </w:p>
        </w:tc>
      </w:tr>
      <w:tr w14:paraId="3241C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36E31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0CC8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202与吕梁高速入口</w:t>
            </w:r>
          </w:p>
        </w:tc>
      </w:tr>
      <w:tr w14:paraId="31DE47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34979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99053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202与山黄</w:t>
            </w:r>
          </w:p>
        </w:tc>
      </w:tr>
      <w:tr w14:paraId="72F12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3ACA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F825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宝莲寺路与广德路</w:t>
            </w:r>
          </w:p>
        </w:tc>
      </w:tr>
      <w:tr w14:paraId="2CE882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5E626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16DD0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宝莲寺路与振兴大道</w:t>
            </w:r>
          </w:p>
        </w:tc>
      </w:tr>
      <w:tr w14:paraId="423FA2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00B6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BA989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振兴大道与驮蓝山路</w:t>
            </w:r>
          </w:p>
        </w:tc>
      </w:tr>
      <w:tr w14:paraId="22E09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3598C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7DF1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驮蓝山路与广德路</w:t>
            </w:r>
          </w:p>
        </w:tc>
      </w:tr>
      <w:tr w14:paraId="0BBE07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9FD3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5600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荆山路与高铁西支路</w:t>
            </w:r>
          </w:p>
        </w:tc>
      </w:tr>
      <w:tr w14:paraId="506D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7E11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82CBE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荆山路与永宁路</w:t>
            </w:r>
          </w:p>
        </w:tc>
      </w:tr>
      <w:tr w14:paraId="1FBA78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6F9B1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1C5F0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荆山路与金凤路</w:t>
            </w:r>
          </w:p>
        </w:tc>
      </w:tr>
      <w:tr w14:paraId="13117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F0581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236</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D05D1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荆山路与高新路</w:t>
            </w:r>
          </w:p>
        </w:tc>
      </w:tr>
      <w:tr w14:paraId="39BEB7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E870E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237</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D5578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金港路与高新路</w:t>
            </w:r>
          </w:p>
        </w:tc>
      </w:tr>
      <w:tr w14:paraId="6FFDF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E8AB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238</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DD7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金港路综合保税区</w:t>
            </w:r>
          </w:p>
        </w:tc>
      </w:tr>
      <w:tr w14:paraId="4B4B99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AE348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239</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92BF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金港路与金凤路</w:t>
            </w:r>
          </w:p>
        </w:tc>
      </w:tr>
      <w:tr w14:paraId="20007A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0AA8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240</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ECF3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金港路与永宁路</w:t>
            </w:r>
          </w:p>
        </w:tc>
      </w:tr>
      <w:tr w14:paraId="3B9A71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7B1B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241</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5DD9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金凤路与鑫芯路</w:t>
            </w:r>
          </w:p>
        </w:tc>
      </w:tr>
      <w:tr w14:paraId="6130E5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6D07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242</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985DB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鑫芯路与高新路</w:t>
            </w:r>
          </w:p>
        </w:tc>
      </w:tr>
      <w:tr w14:paraId="707D0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4AD3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243</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65E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鑫芯路与金杨路</w:t>
            </w:r>
          </w:p>
        </w:tc>
      </w:tr>
      <w:tr w14:paraId="6EF1E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CCA3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244</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CA3A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金港路与金杨路</w:t>
            </w:r>
          </w:p>
        </w:tc>
      </w:tr>
      <w:tr w14:paraId="6EEF52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93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212EB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245</w:t>
            </w:r>
          </w:p>
        </w:tc>
        <w:tc>
          <w:tcPr>
            <w:tcW w:w="671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056AD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金港路与徐贾快速路</w:t>
            </w:r>
          </w:p>
        </w:tc>
      </w:tr>
    </w:tbl>
    <w:p w14:paraId="441BE88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p>
    <w:p w14:paraId="015C9A7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p>
    <w:tbl>
      <w:tblPr>
        <w:tblStyle w:val="2"/>
        <w:tblW w:w="87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825"/>
        <w:gridCol w:w="1656"/>
        <w:gridCol w:w="3178"/>
        <w:gridCol w:w="1379"/>
        <w:gridCol w:w="825"/>
        <w:gridCol w:w="856"/>
      </w:tblGrid>
      <w:tr w14:paraId="764DC8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8719" w:type="dxa"/>
            <w:gridSpan w:val="6"/>
            <w:tcBorders>
              <w:top w:val="single" w:color="000000" w:sz="4" w:space="0"/>
              <w:left w:val="single" w:color="000000" w:sz="4" w:space="0"/>
              <w:bottom w:val="single" w:color="000000" w:sz="4" w:space="0"/>
              <w:right w:val="single" w:color="000000" w:sz="4" w:space="0"/>
            </w:tcBorders>
            <w:shd w:val="clear" w:color="auto" w:fill="FFFF00"/>
            <w:noWrap/>
            <w:vAlign w:val="bottom"/>
          </w:tcPr>
          <w:p w14:paraId="1A1278A4">
            <w:pPr>
              <w:keepNext w:val="0"/>
              <w:keepLines w:val="0"/>
              <w:widowControl/>
              <w:suppressLineNumbers w:val="0"/>
              <w:jc w:val="center"/>
              <w:textAlignment w:val="bottom"/>
              <w:rPr>
                <w:rFonts w:ascii="等线" w:hAnsi="等线" w:eastAsia="等线" w:cs="等线"/>
                <w:b/>
                <w:bCs/>
                <w:i w:val="0"/>
                <w:iCs w:val="0"/>
                <w:color w:val="000000"/>
                <w:kern w:val="0"/>
                <w:sz w:val="22"/>
                <w:szCs w:val="22"/>
                <w:u w:val="none"/>
                <w:lang/>
              </w:rPr>
            </w:pPr>
            <w:r>
              <w:rPr>
                <w:rFonts w:hint="eastAsia" w:ascii="等线" w:hAnsi="等线" w:eastAsia="等线" w:cs="等线"/>
                <w:b/>
                <w:bCs/>
                <w:i w:val="0"/>
                <w:iCs w:val="0"/>
                <w:color w:val="000000"/>
                <w:kern w:val="0"/>
                <w:sz w:val="22"/>
                <w:szCs w:val="22"/>
                <w:u w:val="none"/>
                <w:lang w:val="en-US" w:eastAsia="zh-CN" w:bidi="ar"/>
              </w:rPr>
              <w:t>护栏统计</w:t>
            </w:r>
          </w:p>
        </w:tc>
      </w:tr>
      <w:tr w14:paraId="24025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4A2FE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F1AF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路名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EDB1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起点-终点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77A4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类型</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62C76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91C6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数量</w:t>
            </w:r>
          </w:p>
        </w:tc>
      </w:tr>
      <w:tr w14:paraId="645A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AC5B2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D0E88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广德路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5B0B9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杨山路-城东大道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8FF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E7EDD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1D239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2300</w:t>
            </w:r>
          </w:p>
        </w:tc>
      </w:tr>
      <w:tr w14:paraId="7B2C31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943E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AC07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010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尚礼路-城东大道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54580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8F99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20D6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954</w:t>
            </w:r>
          </w:p>
        </w:tc>
      </w:tr>
      <w:tr w14:paraId="555D8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217B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3ABD4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BB8EA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凤凰佳园-金龙湖派出所</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0275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C747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CBE5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1772</w:t>
            </w:r>
          </w:p>
        </w:tc>
      </w:tr>
      <w:tr w14:paraId="66217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6155B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49656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荆山路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EDE1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三环东路-金水路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E031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17949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0B7F3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1400</w:t>
            </w:r>
          </w:p>
        </w:tc>
      </w:tr>
      <w:tr w14:paraId="6EBE0A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DBA34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D995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金桥路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D8CB1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洞山路-荆山路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42ADE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A558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B97B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1400</w:t>
            </w:r>
          </w:p>
        </w:tc>
      </w:tr>
      <w:tr w14:paraId="2DB9E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5CAB9">
            <w:pPr>
              <w:widowControl/>
              <w:jc w:val="center"/>
              <w:rPr>
                <w:rFonts w:hint="eastAsia" w:ascii="等线" w:hAnsi="等线" w:eastAsia="等线" w:cs="等线"/>
                <w:i w:val="0"/>
                <w:iCs w:val="0"/>
                <w:color w:val="000000"/>
                <w:kern w:val="0"/>
                <w:sz w:val="22"/>
                <w:szCs w:val="22"/>
                <w:u w:val="none"/>
                <w:lang/>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05839">
            <w:pPr>
              <w:widowControl/>
              <w:jc w:val="center"/>
              <w:rPr>
                <w:rFonts w:hint="eastAsia" w:ascii="等线" w:hAnsi="等线" w:eastAsia="等线" w:cs="等线"/>
                <w:i w:val="0"/>
                <w:iCs w:val="0"/>
                <w:color w:val="000000"/>
                <w:kern w:val="0"/>
                <w:sz w:val="22"/>
                <w:szCs w:val="22"/>
                <w:u w:val="none"/>
                <w:lang/>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BA3085">
            <w:pPr>
              <w:widowControl/>
              <w:jc w:val="center"/>
              <w:rPr>
                <w:rFonts w:hint="eastAsia" w:ascii="等线" w:hAnsi="等线" w:eastAsia="等线" w:cs="等线"/>
                <w:i w:val="0"/>
                <w:iCs w:val="0"/>
                <w:color w:val="000000"/>
                <w:kern w:val="0"/>
                <w:sz w:val="22"/>
                <w:szCs w:val="22"/>
                <w:u w:val="none"/>
                <w:lang/>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8247F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70AB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8C64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2800</w:t>
            </w:r>
          </w:p>
        </w:tc>
      </w:tr>
      <w:tr w14:paraId="453E3E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43BCA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ABB2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玉湖路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FC27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站东路-速达路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71C42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89925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B0327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648</w:t>
            </w:r>
          </w:p>
        </w:tc>
      </w:tr>
      <w:tr w14:paraId="41F9F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77176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B60B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6A97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徐贾-西京路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1625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FB32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AB3C2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2400</w:t>
            </w:r>
          </w:p>
        </w:tc>
      </w:tr>
      <w:tr w14:paraId="56F08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1365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23EC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美的城西门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4678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龙湖北路-城东大道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58842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567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12FD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529</w:t>
            </w:r>
          </w:p>
        </w:tc>
      </w:tr>
      <w:tr w14:paraId="098F90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7EA9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49A48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紫房线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C64BA7">
            <w:pPr>
              <w:widowControl/>
              <w:jc w:val="center"/>
              <w:rPr>
                <w:rFonts w:hint="eastAsia" w:ascii="等线" w:hAnsi="等线" w:eastAsia="等线" w:cs="等线"/>
                <w:i w:val="0"/>
                <w:iCs w:val="0"/>
                <w:color w:val="000000"/>
                <w:kern w:val="0"/>
                <w:sz w:val="22"/>
                <w:szCs w:val="22"/>
                <w:u w:val="none"/>
                <w:lang/>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5439E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69333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4D42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160</w:t>
            </w:r>
          </w:p>
        </w:tc>
      </w:tr>
      <w:tr w14:paraId="393E69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FC4CC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2D39E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739F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三环东路-振兴大道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A6FB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DDA8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EF7D6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7200</w:t>
            </w:r>
          </w:p>
        </w:tc>
      </w:tr>
      <w:tr w14:paraId="15F72A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8419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0D70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2D3E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杨山路-城东大道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33DB8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18B13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F317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4800</w:t>
            </w:r>
          </w:p>
        </w:tc>
      </w:tr>
      <w:tr w14:paraId="68EA4E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30C4D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D84E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1573F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杨山路-城置小区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7BBB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632C3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6AC8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1200</w:t>
            </w:r>
          </w:p>
        </w:tc>
      </w:tr>
      <w:tr w14:paraId="4AF43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E5B1F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16A8D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A47D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和平路-彭祖大道</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E4F9B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ACAA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2F4E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1700</w:t>
            </w:r>
          </w:p>
        </w:tc>
      </w:tr>
      <w:tr w14:paraId="443371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17B7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C2BA7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7425A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大黄山办事处-安然山路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3DE1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E3A2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B6E1A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1700</w:t>
            </w:r>
          </w:p>
        </w:tc>
      </w:tr>
      <w:tr w14:paraId="2714B1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A797F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CF6F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安然山路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CC3C8C">
            <w:pPr>
              <w:widowControl/>
              <w:jc w:val="center"/>
              <w:rPr>
                <w:rFonts w:hint="eastAsia" w:ascii="等线" w:hAnsi="等线" w:eastAsia="等线" w:cs="等线"/>
                <w:i w:val="0"/>
                <w:iCs w:val="0"/>
                <w:color w:val="000000"/>
                <w:kern w:val="0"/>
                <w:sz w:val="22"/>
                <w:szCs w:val="22"/>
                <w:u w:val="none"/>
                <w:lang/>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BE837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B5D45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25842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950</w:t>
            </w:r>
          </w:p>
        </w:tc>
      </w:tr>
      <w:tr w14:paraId="6EB633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84F8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BF8A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高新路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6F57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西朱大桥-诚意路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C73A8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117E4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7C082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625</w:t>
            </w:r>
          </w:p>
        </w:tc>
      </w:tr>
      <w:tr w14:paraId="536970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3CEF7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FA17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蟠桃山路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36392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宝莲寺路-洞山路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A0D7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61FE5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F4DA1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1466</w:t>
            </w:r>
          </w:p>
        </w:tc>
      </w:tr>
      <w:tr w14:paraId="0662D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9E548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BFA16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兴镇路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0B6F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庙兴路-文化路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4F170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FAE9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7E1CD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688</w:t>
            </w:r>
          </w:p>
        </w:tc>
      </w:tr>
      <w:tr w14:paraId="6D754E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90F5B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19</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CF1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w:t>
            </w:r>
          </w:p>
        </w:tc>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C3012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长安大道-蟠桃山路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CD881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中间护栏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399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598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220</w:t>
            </w:r>
          </w:p>
        </w:tc>
      </w:tr>
      <w:tr w14:paraId="7146C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BFB12D">
            <w:pPr>
              <w:widowControl/>
              <w:jc w:val="center"/>
              <w:rPr>
                <w:rFonts w:hint="eastAsia" w:ascii="等线" w:hAnsi="等线" w:eastAsia="等线" w:cs="等线"/>
                <w:i w:val="0"/>
                <w:iCs w:val="0"/>
                <w:color w:val="000000"/>
                <w:kern w:val="0"/>
                <w:sz w:val="22"/>
                <w:szCs w:val="22"/>
                <w:u w:val="none"/>
                <w:lang/>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981257">
            <w:pPr>
              <w:widowControl/>
              <w:jc w:val="center"/>
              <w:rPr>
                <w:rFonts w:hint="eastAsia" w:ascii="等线" w:hAnsi="等线" w:eastAsia="等线" w:cs="等线"/>
                <w:i w:val="0"/>
                <w:iCs w:val="0"/>
                <w:color w:val="000000"/>
                <w:kern w:val="0"/>
                <w:sz w:val="22"/>
                <w:szCs w:val="22"/>
                <w:u w:val="none"/>
                <w:lang/>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870BC">
            <w:pPr>
              <w:widowControl/>
              <w:jc w:val="center"/>
              <w:rPr>
                <w:rFonts w:hint="eastAsia" w:ascii="等线" w:hAnsi="等线" w:eastAsia="等线" w:cs="等线"/>
                <w:i w:val="0"/>
                <w:iCs w:val="0"/>
                <w:color w:val="000000"/>
                <w:kern w:val="0"/>
                <w:sz w:val="22"/>
                <w:szCs w:val="22"/>
                <w:u w:val="none"/>
                <w:lang/>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E474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机非护栏</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4C3A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m</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3246E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440</w:t>
            </w:r>
          </w:p>
        </w:tc>
      </w:tr>
    </w:tbl>
    <w:p w14:paraId="35C701D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p>
    <w:p w14:paraId="7906196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p>
    <w:tbl>
      <w:tblPr>
        <w:tblStyle w:val="2"/>
        <w:tblW w:w="62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41"/>
        <w:gridCol w:w="2240"/>
        <w:gridCol w:w="1341"/>
        <w:gridCol w:w="1341"/>
      </w:tblGrid>
      <w:tr w14:paraId="40C9D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6263" w:type="dxa"/>
            <w:gridSpan w:val="4"/>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68DB53D9">
            <w:pPr>
              <w:keepNext w:val="0"/>
              <w:keepLines w:val="0"/>
              <w:widowControl/>
              <w:suppressLineNumbers w:val="0"/>
              <w:jc w:val="center"/>
              <w:textAlignment w:val="center"/>
              <w:rPr>
                <w:rFonts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止车杆</w:t>
            </w:r>
          </w:p>
        </w:tc>
      </w:tr>
      <w:tr w14:paraId="1FE5C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58C8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E495C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路名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E03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单位</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EE90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数量</w:t>
            </w:r>
          </w:p>
        </w:tc>
      </w:tr>
      <w:tr w14:paraId="506AC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A0892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44B73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站东路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C16F3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31DD7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26</w:t>
            </w:r>
          </w:p>
        </w:tc>
      </w:tr>
      <w:tr w14:paraId="7075CE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32F04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9B7F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站南路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FEC5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6936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38</w:t>
            </w:r>
          </w:p>
        </w:tc>
      </w:tr>
      <w:tr w14:paraId="5DE546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8522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6756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鲲鹏路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A1442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FBB2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212</w:t>
            </w:r>
          </w:p>
        </w:tc>
      </w:tr>
      <w:tr w14:paraId="6BE02D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AAE2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AE2D2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鸿畅路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0B63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AD2CA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54</w:t>
            </w:r>
          </w:p>
        </w:tc>
      </w:tr>
      <w:tr w14:paraId="61D6C5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B2833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12580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鸿达路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7A05B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CE6B3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46</w:t>
            </w:r>
          </w:p>
        </w:tc>
      </w:tr>
      <w:tr w14:paraId="677D1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FC43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059D5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玉湖路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25321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BED06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78</w:t>
            </w:r>
          </w:p>
        </w:tc>
      </w:tr>
      <w:tr w14:paraId="3474C3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7B43C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AA63D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云湖路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7386C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1709F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42</w:t>
            </w:r>
          </w:p>
        </w:tc>
      </w:tr>
      <w:tr w14:paraId="536C5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F81C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ABAD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鸿运路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EAEB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100E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68</w:t>
            </w:r>
          </w:p>
        </w:tc>
      </w:tr>
      <w:tr w14:paraId="4C2A0D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F4FEE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F5F16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振兴路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BB2D9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19D8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216</w:t>
            </w:r>
          </w:p>
        </w:tc>
      </w:tr>
      <w:tr w14:paraId="4DD47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CB16A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91CA0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龙湖区域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9EC3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3243D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176</w:t>
            </w:r>
          </w:p>
        </w:tc>
      </w:tr>
      <w:tr w14:paraId="391ED6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FF89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CE25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广德路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42210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D932FC">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219</w:t>
            </w:r>
          </w:p>
        </w:tc>
      </w:tr>
      <w:tr w14:paraId="4B093D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D7451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233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5355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A5950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364</w:t>
            </w:r>
          </w:p>
        </w:tc>
      </w:tr>
      <w:tr w14:paraId="0D008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09979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B771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12F2F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1C619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66</w:t>
            </w:r>
          </w:p>
        </w:tc>
      </w:tr>
      <w:tr w14:paraId="32478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21B48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1F038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徐海路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7DC509">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ED6C33">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146</w:t>
            </w:r>
          </w:p>
        </w:tc>
      </w:tr>
      <w:tr w14:paraId="28821E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2D5CD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70A5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蟠桃山路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79F74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D5304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70</w:t>
            </w:r>
          </w:p>
        </w:tc>
      </w:tr>
      <w:tr w14:paraId="22284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gridSpan w:val="4"/>
            <w:tcBorders>
              <w:top w:val="single" w:color="000000" w:sz="4" w:space="0"/>
              <w:left w:val="single" w:color="000000" w:sz="4" w:space="0"/>
              <w:bottom w:val="single" w:color="000000" w:sz="4" w:space="0"/>
              <w:right w:val="single" w:color="000000" w:sz="4" w:space="0"/>
            </w:tcBorders>
            <w:shd w:val="clear" w:color="auto" w:fill="FFFF00"/>
            <w:noWrap/>
            <w:vAlign w:val="center"/>
          </w:tcPr>
          <w:p w14:paraId="3DFA984D">
            <w:pPr>
              <w:keepNext w:val="0"/>
              <w:keepLines w:val="0"/>
              <w:widowControl/>
              <w:suppressLineNumbers w:val="0"/>
              <w:jc w:val="center"/>
              <w:textAlignment w:val="center"/>
              <w:rPr>
                <w:rFonts w:hint="eastAsia" w:ascii="等线" w:hAnsi="等线" w:eastAsia="等线" w:cs="等线"/>
                <w:b/>
                <w:bCs/>
                <w:i w:val="0"/>
                <w:iCs w:val="0"/>
                <w:color w:val="000000"/>
                <w:kern w:val="0"/>
                <w:sz w:val="22"/>
                <w:szCs w:val="22"/>
                <w:u w:val="none"/>
                <w:lang/>
              </w:rPr>
            </w:pPr>
            <w:r>
              <w:rPr>
                <w:rFonts w:hint="eastAsia" w:ascii="等线" w:hAnsi="等线" w:eastAsia="等线" w:cs="等线"/>
                <w:b/>
                <w:bCs/>
                <w:i w:val="0"/>
                <w:iCs w:val="0"/>
                <w:color w:val="000000"/>
                <w:kern w:val="0"/>
                <w:sz w:val="22"/>
                <w:szCs w:val="22"/>
                <w:u w:val="none"/>
                <w:lang w:val="en-US" w:eastAsia="zh-CN" w:bidi="ar"/>
              </w:rPr>
              <w:t>警示柱</w:t>
            </w:r>
          </w:p>
        </w:tc>
      </w:tr>
      <w:tr w14:paraId="6DF04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D28C5">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7BB76">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驮蓝山路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2BE05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7E9A5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12</w:t>
            </w:r>
          </w:p>
        </w:tc>
      </w:tr>
      <w:tr w14:paraId="3D897E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CFB02B">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F0EF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宝莲寺路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2F67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F060F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140</w:t>
            </w:r>
          </w:p>
        </w:tc>
      </w:tr>
      <w:tr w14:paraId="742219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C5ED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90CB8">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尚礼路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B9BBC0">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C60032">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6</w:t>
            </w:r>
          </w:p>
        </w:tc>
      </w:tr>
      <w:tr w14:paraId="7D68DD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7D7627">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DAF071">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金凤路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36FEA">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4BE01E">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8</w:t>
            </w:r>
          </w:p>
        </w:tc>
      </w:tr>
      <w:tr w14:paraId="06FCF3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6" w:hRule="atLeas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ADA4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B1C25D">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杨山路</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090BF">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根</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341C84">
            <w:pPr>
              <w:keepNext w:val="0"/>
              <w:keepLines w:val="0"/>
              <w:widowControl/>
              <w:suppressLineNumbers w:val="0"/>
              <w:jc w:val="center"/>
              <w:textAlignment w:val="center"/>
              <w:rPr>
                <w:rFonts w:hint="eastAsia" w:ascii="等线" w:hAnsi="等线" w:eastAsia="等线" w:cs="等线"/>
                <w:i w:val="0"/>
                <w:iCs w:val="0"/>
                <w:color w:val="000000"/>
                <w:kern w:val="0"/>
                <w:sz w:val="22"/>
                <w:szCs w:val="22"/>
                <w:u w:val="none"/>
                <w:lang/>
              </w:rPr>
            </w:pPr>
            <w:r>
              <w:rPr>
                <w:rFonts w:hint="eastAsia" w:ascii="等线" w:hAnsi="等线" w:eastAsia="等线" w:cs="等线"/>
                <w:i w:val="0"/>
                <w:iCs w:val="0"/>
                <w:color w:val="000000"/>
                <w:kern w:val="0"/>
                <w:sz w:val="22"/>
                <w:szCs w:val="22"/>
                <w:u w:val="none"/>
                <w:lang w:val="en-US" w:eastAsia="zh-CN" w:bidi="ar"/>
              </w:rPr>
              <w:t>18</w:t>
            </w:r>
          </w:p>
        </w:tc>
      </w:tr>
    </w:tbl>
    <w:p w14:paraId="445D20B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p>
    <w:p w14:paraId="52F4B8D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四、服务项目规划与定位</w:t>
      </w:r>
    </w:p>
    <w:p w14:paraId="3D58658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需求分析</w:t>
      </w:r>
    </w:p>
    <w:p w14:paraId="033B922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投标人应对现有信号机路口作好摸底调查工作，投标报价时应充分考虑现有设备的运行使用状况，对中标时路口已存在的故障进行维修、更换所需费用均包含在维护服务费用之中。信号机应符合《道路交通信号控制机》（GB25280-2016）关于多时段定时式信号机的标准，通讯协议应满足《道路交通信号倒计时显示器》GA/T508-2014）要求，能够实现有线、无线通讯方式。更换联网信号机必须无缝接入支队现有信号控制系统，确保信号数据无缝对接，信号控制系统可修改信号机所有参数。</w:t>
      </w:r>
    </w:p>
    <w:p w14:paraId="1F63DA0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2.道路交通信号灯维护工作均需采购人进行监督，中标人应根据具体工作要求及时通知采购人单位到场。</w:t>
      </w:r>
    </w:p>
    <w:p w14:paraId="54AF5CC3">
      <w:pPr>
        <w:widowControl w:val="0"/>
        <w:spacing w:before="62" w:after="93" w:line="300" w:lineRule="auto"/>
        <w:ind w:firstLine="482" w:firstLineChars="200"/>
        <w:jc w:val="both"/>
        <w:rPr>
          <w:rFonts w:ascii="Times New Roman" w:hAnsi="Times New Roman" w:eastAsia="宋体" w:cs="Times New Roman"/>
          <w:b/>
          <w:bCs/>
          <w:kern w:val="2"/>
          <w:sz w:val="24"/>
          <w:szCs w:val="24"/>
          <w:lang w:val="zh-CN" w:eastAsia="zh-CN" w:bidi="ar-SA"/>
        </w:rPr>
      </w:pPr>
      <w:r>
        <w:rPr>
          <w:rFonts w:ascii="Times New Roman" w:hAnsi="Times New Roman" w:eastAsia="宋体" w:cs="Times New Roman"/>
          <w:b/>
          <w:bCs/>
          <w:kern w:val="2"/>
          <w:sz w:val="24"/>
          <w:szCs w:val="24"/>
          <w:lang w:val="zh-CN" w:eastAsia="zh-CN" w:bidi="ar-SA"/>
        </w:rPr>
        <w:t>3.随新建道路路口信号灯的竣工移交，信号灯路口维管数量每月都在动态变化中，具体数量每季度统计、核查、更新一次。移交路口设备纳入维管范围。采购单位因交通需求突发指定维管路口，不受招标范围限制，中标人无条件执行维管指令。</w:t>
      </w:r>
    </w:p>
    <w:p w14:paraId="6686941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五、项目维护目标和维护内容</w:t>
      </w:r>
    </w:p>
    <w:p w14:paraId="53ECC5E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路口设备有信号机、信号灯具、灯杆、线缆、管道、窨井、标志牌、护栏、警示柱等信号灯附属设施维护等服务工作。</w:t>
      </w:r>
    </w:p>
    <w:p w14:paraId="3D70C63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1.信号灯及其附属设施调查及数据更新：</w:t>
      </w:r>
    </w:p>
    <w:p w14:paraId="2A713EF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信号灯及其附属设施（路口、杆件、窨井、信号机）基础数据调查、采集和录入，具体内容包括：维护服务区域所有交通信号灯控路口的所处地理位置、名称及编号、路口类型、信号机的类型及组件序列号、杆件类型及编号、灯具类型、管道位置及数量、窨井的位置、数量及铭牌编号等；数据更新对信号灯及附属设施所有的动态变化（位置变化、编号变化、管线变化、性能变化以及设备变换等）数据进行采集、录入、统计和系统更新。</w:t>
      </w:r>
    </w:p>
    <w:p w14:paraId="558A584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2.新改建道路信号灯及其附属设施的接收维管工作。</w:t>
      </w:r>
    </w:p>
    <w:p w14:paraId="3769C35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3.信号灯及其附属设施的安全性检查。</w:t>
      </w:r>
    </w:p>
    <w:p w14:paraId="6F77736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中标人应按要求对信号灯及其附属设施进行安全性检查，包括灯具连接件、杆件连接件、基础连接件、防雷接地、漏电等</w:t>
      </w:r>
    </w:p>
    <w:p w14:paraId="549373B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4.信号灯及其附属设施内部保洁：灯具及信号机内部灰尘、垃圾的清理清扫。</w:t>
      </w:r>
    </w:p>
    <w:p w14:paraId="37C9FA2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5.资料收集与交通调查。开展资料收集、交通调查工作。识别现状存在的道路交通拥堵点段、交通拥堵片区以及交通安全隐患点，掌握经开区现状交通拥堵、交通安全存在的问题与面临的挑战。</w:t>
      </w:r>
    </w:p>
    <w:p w14:paraId="5A8FAF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6.交通专业人员对新闻媒体、市长、书记信箱等关于信号灯安装及放行方案问题进行答疑回复。</w:t>
      </w:r>
    </w:p>
    <w:p w14:paraId="5546ADB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7.按照综合行政执法局、交警大队安排做好交通特勤任务保障工作。</w:t>
      </w:r>
    </w:p>
    <w:p w14:paraId="138425A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六、信号灯维护工程</w:t>
      </w:r>
    </w:p>
    <w:p w14:paraId="4FA4F9B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信号灯维护工程包括路口信号灯设施维护所涉及的设施拆除及回收保护、所需要的材料设备提供、运输、安装调试、管道开挖、灯具位置调整等工程内容。</w:t>
      </w:r>
    </w:p>
    <w:p w14:paraId="070BD17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1.不涉及材料的维护工程</w:t>
      </w:r>
    </w:p>
    <w:p w14:paraId="6B6FBE1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（1）设施故障误报导致的无效往返。</w:t>
      </w:r>
    </w:p>
    <w:p w14:paraId="38DC357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（2）信号机保护熄灯,清错后恢复。</w:t>
      </w:r>
    </w:p>
    <w:p w14:paraId="72FD2B5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（3）非自身原因的停电，上报取电处权属单位、位置、原因。</w:t>
      </w:r>
    </w:p>
    <w:p w14:paraId="7575940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（4）信号机、灯具更换保险后恢复。</w:t>
      </w:r>
    </w:p>
    <w:p w14:paraId="3ABBE91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（5）对歪、倒、斜的灯杆、灯具进行校正。</w:t>
      </w:r>
    </w:p>
    <w:p w14:paraId="55E9110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（6）线缆故障，更换芯线恢复。</w:t>
      </w:r>
    </w:p>
    <w:p w14:paraId="693E5FC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（7）灯具位置调整。</w:t>
      </w:r>
    </w:p>
    <w:p w14:paraId="18ED3E4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（8）其他简单的处置工作。</w:t>
      </w:r>
    </w:p>
    <w:p w14:paraId="607AA2E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2.涉及材料的维护工程</w:t>
      </w:r>
    </w:p>
    <w:p w14:paraId="5BC8367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（1）信号机及其组件</w:t>
      </w:r>
    </w:p>
    <w:p w14:paraId="2ADF003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原信号机、信号机通信模块、信号机柜、流量检测器的拆除及回收，新信号机、信号机通信模块、信号机柜、流量检测器的提供、运输、安装、调试、布线，配时方案配置，信号机表面氟碳漆喷涂，废弃信号机基础处理等工作。</w:t>
      </w:r>
    </w:p>
    <w:p w14:paraId="481867F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（2）线缆</w:t>
      </w:r>
    </w:p>
    <w:p w14:paraId="6B5A5A9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包括材料提供、线缆运输、敷设、线路涉及的窨井清掏、井内管道封堵、机箱内布线、机箱底部封堵、架空电缆拆除入地等工作。</w:t>
      </w:r>
    </w:p>
    <w:p w14:paraId="0451E1C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线缆采用地下敷设方式，地下敷设的电缆线严禁有接头。</w:t>
      </w:r>
    </w:p>
    <w:p w14:paraId="544EFBB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（3）管道</w:t>
      </w:r>
    </w:p>
    <w:p w14:paraId="751C4BD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管道包括路面开挖、穿线管的提供及埋设、管道保护、回填、渣土清运等工作。按照徐州市城市管理单位标准及制度执行。</w:t>
      </w:r>
    </w:p>
    <w:p w14:paraId="59964A3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（4）窨井</w:t>
      </w:r>
    </w:p>
    <w:p w14:paraId="75A9714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包括丢失、损坏井框井盖的增补、修复、开挖，新窨井的井框井盖提供及窨井施工、废弃窨井回填等。</w:t>
      </w:r>
    </w:p>
    <w:p w14:paraId="006C6A9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（5）灯杆</w:t>
      </w:r>
    </w:p>
    <w:p w14:paraId="5A4217F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包括原灯杆的拆除及回收、信号灯拆除运输恢复、废弃基础处理、裸露电缆处理，新灯杆的制作、运输、吊运、安装等工作。</w:t>
      </w:r>
    </w:p>
    <w:p w14:paraId="349E5B4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（6）灯具</w:t>
      </w:r>
    </w:p>
    <w:p w14:paraId="3A1FFA4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包括信号灯安装附件的提供、信号灯的运输、灯具组装、吊运、安装、拆卸以及相应接拆线、旧灯具拆除回收等工作。</w:t>
      </w:r>
    </w:p>
    <w:p w14:paraId="77D2111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（7）灯杆、信号机基础</w:t>
      </w:r>
    </w:p>
    <w:p w14:paraId="50E6BD9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灯杆基础包括基础开挖、覆盖保护、不锈钢地脚螺栓预埋件的制作与安装及防腐处理（黄油）、穿线管（PE 管）埋设、C25商品混凝土的浇筑养护、基础回填、螺栓混凝土包封、渣土清运等工作。</w:t>
      </w:r>
    </w:p>
    <w:p w14:paraId="3F04AEC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信号机基础含开挖、基础支架制作及预埋、穿线管预埋、商品混凝土浇筑、渣土清运、基础外贴花岗石、防雷接地等。</w:t>
      </w:r>
    </w:p>
    <w:p w14:paraId="31B1454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（8）铝制铭牌</w:t>
      </w:r>
    </w:p>
    <w:p w14:paraId="78BCB2B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铝制铭牌制作及安装。</w:t>
      </w:r>
    </w:p>
    <w:p w14:paraId="7A20766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涉及材料的维护工程，必须按照标准、规范和甲方要求进行施工，严禁在未取得采购人同意的情况下不按照规范要求进行施工恢复（如私设架空电缆等），如发现中标人有上述情况发生，采购人有权终止合同并将其工作交由另一中标人承担。</w:t>
      </w:r>
    </w:p>
    <w:p w14:paraId="4A6B7DE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3.采购人交办的其他维护任务。</w:t>
      </w:r>
    </w:p>
    <w:p w14:paraId="18C8CB3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（1）路口改造或新增信号灯及其附属设施、未纳入维护范围的路口信号灯及其附属设施故障维护、未发现肇事者的事故路口信号灯及其附属设施损坏维护等工程服务工作。</w:t>
      </w:r>
    </w:p>
    <w:p w14:paraId="6A29232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（2）未纳入维护范围的路口（未移交交警大队的路口，具体由采购人认定）因应急或重要勤务保障，需紧急对信号灯及其附属设施故障维护。</w:t>
      </w:r>
    </w:p>
    <w:p w14:paraId="4737242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（3）已发现肇事者的事故、市政施工、地铁施工造成信号灯及其附属设施损坏维护及更换。工程费用可以自行向肇事人或施工单位索赔。</w:t>
      </w:r>
    </w:p>
    <w:p w14:paraId="2973C0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上述服务内容所需的人工费、材料费、机械使用费、措施项目费、管理费、规费、利润、税金均包含在招标费用中。</w:t>
      </w:r>
    </w:p>
    <w:p w14:paraId="58A6BC5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七、总体设计与技术要求</w:t>
      </w:r>
    </w:p>
    <w:p w14:paraId="0F93732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维护项目严格按照国家规定的标准、规范实施信号灯维护工作，适用的标准、规范包括（不仅包括）：</w:t>
      </w:r>
    </w:p>
    <w:p w14:paraId="26B55F1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（1）《中华人民共和国道路交通安全法》</w:t>
      </w:r>
    </w:p>
    <w:p w14:paraId="170D802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（2）《电气装置安装工程施工验收规范》GB50254、50255、50256、50257-96</w:t>
      </w:r>
    </w:p>
    <w:p w14:paraId="7BF9EB4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（3）《道路交通信号灯》 (GB14887－2011)</w:t>
      </w:r>
    </w:p>
    <w:p w14:paraId="3DC3C27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(4)《道路交通信号控制机》（GB25280-2016）</w:t>
      </w:r>
    </w:p>
    <w:p w14:paraId="1A08D1D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(5)《太阳能黄闪信号灯》GA/T743-2007</w:t>
      </w:r>
    </w:p>
    <w:p w14:paraId="5F65C5F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(6)《道路交通信号控制机安装规范》(GA/T 489-2016)</w:t>
      </w:r>
    </w:p>
    <w:p w14:paraId="5E6897C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(7)《人行过街信号控制设置规范》(GA/T 851-2009)</w:t>
      </w:r>
    </w:p>
    <w:p w14:paraId="6D93A19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(8)《城市道路交通信号控制方式适用规范》GA/T 527-2016</w:t>
      </w:r>
    </w:p>
    <w:p w14:paraId="53AAA75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(9)《道路交通信号倒计时显示器》（GA/T 508-2014）</w:t>
      </w:r>
    </w:p>
    <w:p w14:paraId="54E3C40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(10)《道路交通信号灯设置与安装规范 》（GB 14886-2016）</w:t>
      </w:r>
    </w:p>
    <w:p w14:paraId="40E4E6B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(11)《结构用无缝钢管》（GB/T8162-2008）</w:t>
      </w:r>
    </w:p>
    <w:p w14:paraId="2873B29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(12)《额定电压450/750V及以下聚氯乙烯绝缘电GB/T5023-2008</w:t>
      </w:r>
    </w:p>
    <w:p w14:paraId="799799A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(13)《城镇道路养护技术规范》（CJJ36-2006）</w:t>
      </w:r>
    </w:p>
    <w:p w14:paraId="47EEA87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(14)《建筑物防雷设计规范》（GB50057-2010）</w:t>
      </w:r>
    </w:p>
    <w:p w14:paraId="29C1760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 (15)《检查井盖》(GB23858-2009)</w:t>
      </w:r>
    </w:p>
    <w:p w14:paraId="7DD9EF7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以上“国家、行业、地方标准与规范”以及其他的相关行业规范中涉及的技术要求、相关标准发生变化的以最新标准为准。</w:t>
      </w:r>
    </w:p>
    <w:p w14:paraId="2CC48AE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八、项目实施及技术服务</w:t>
      </w:r>
    </w:p>
    <w:p w14:paraId="0B11EF0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1.维护工作要求</w:t>
      </w:r>
    </w:p>
    <w:p w14:paraId="4A0BA5F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（1）信号灯及其附属设施调查及数据更新</w:t>
      </w:r>
    </w:p>
    <w:p w14:paraId="3BEB37C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按照甲方的要求和规定，签订合同后三个月内逐一对信号灯控路口、主体设备和附属设施基础数据开展采集、编号、标注、登记和录入交安设施管理系统工作，制定月工作计划和报表，逐一填写《基础数据登记表》《地下管线路由图》、《信号设施平面分布示意图》。</w:t>
      </w:r>
    </w:p>
    <w:p w14:paraId="49C7532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2）每月开展数据动态调查更新工作，填写《基础数据调查、变更记录表》，并于变更发生24小时内更新交安设施管理系统信号灯基础数据，按要求在电子地图上进行标注。</w:t>
      </w:r>
    </w:p>
    <w:p w14:paraId="7ECD45F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3）每月将基础数据调查更新工作计划、工作日志、调查更新资料等以纸质、电子文档形式存档备查，并上报采购人。</w:t>
      </w:r>
    </w:p>
    <w:p w14:paraId="2403312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（2）新改建道路信号灯及其附属设施的接收及施工路口的移交。</w:t>
      </w:r>
    </w:p>
    <w:p w14:paraId="2980DBF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中标人应安排人员参加业主组织的新改建道路信号灯及其附属设施的竣工验收，按《信号灯及附属设备现场勘查验收记录表》进行检查，并提出验收意见；施工单位整改完成进行竣工验收移交工作时，中标人应按要求时限做好基础资料采集、核定，办理移交，录入系统，纳入维护范围。</w:t>
      </w:r>
    </w:p>
    <w:p w14:paraId="4F835AD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对道路改造涉及的维护范围内的灯控路口，按要求做好路口信号机、灯杆、灯具、窨井等交安设施的清点、登记工作，填写《工程施工范围交通设施确认表》，经相关单位确认后，移交至道路施工临时交通设施维护单位进行维护。</w:t>
      </w:r>
    </w:p>
    <w:p w14:paraId="7D3FAD5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（3）管道调查，并提出管道埋设需求。</w:t>
      </w:r>
    </w:p>
    <w:p w14:paraId="0EEA8D6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根据投标人要求，对路口管线情况进行调查，根据需要提出管线需求，并出具相关图纸。</w:t>
      </w:r>
    </w:p>
    <w:p w14:paraId="57402A6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（4）信号灯及其附属设施的安全性检查要求</w:t>
      </w:r>
    </w:p>
    <w:p w14:paraId="53A74D7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1）每月定期开展信号灯灯控路口、信号灯主体设备和附属设施的巡查和安全检查工作，制定月巡查检查计划和工作日志，报采购人。</w:t>
      </w:r>
    </w:p>
    <w:p w14:paraId="5452BF5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2）建立巡查检查及维护日报告制度，每日巡查检查情况以及处置建议尤其是本维护责任以外的问题发现应于当日报采购人，便于采购人及时下达处置指令。</w:t>
      </w:r>
    </w:p>
    <w:p w14:paraId="05835DE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3）填写《信号灯及其附属设施安全检查记录表），对信号灯相关设施安全性检查不到位导致的安全事故，由中标人承担全部法律、经济责任，采购人将不承担任何责任。</w:t>
      </w:r>
    </w:p>
    <w:p w14:paraId="1BB60C9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4）对不属于责任范围内的处理工作如：配套标志标线冲突缺失等问题提出解决建议并及时报告采购人，同时做好登记备查。</w:t>
      </w:r>
    </w:p>
    <w:p w14:paraId="320E7E2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（5）交通信号控制后台系统运用、维护</w:t>
      </w:r>
    </w:p>
    <w:p w14:paraId="710ABB4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1）负责交警大队信号灯后台控制系统的使用，监测和巡检系统运行状况，及时处置系统硬件、软件故障，保障系统正常运行；</w:t>
      </w:r>
    </w:p>
    <w:p w14:paraId="43C0024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2）重大特勤任务或节日需专人值守后台系统，按照综合行政执法局、交警大队要求提取、收集、汇总相关数据；</w:t>
      </w:r>
    </w:p>
    <w:p w14:paraId="3823B24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3）配合外场信号灯建设单位，完成信号灯外场设备与后台系统的接驳。</w:t>
      </w:r>
    </w:p>
    <w:p w14:paraId="4C7A79B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4）信号灯及其附属设施内部保洁</w:t>
      </w:r>
    </w:p>
    <w:p w14:paraId="119C8FB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中标人在日常巡查和安全检查的同时须对灯具及信号机内部灰尘、垃圾进行清理清扫。</w:t>
      </w:r>
    </w:p>
    <w:p w14:paraId="3E4138D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（6）维护制度</w:t>
      </w:r>
    </w:p>
    <w:p w14:paraId="672E6B2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1）按时前往灯控路口进行故障排查和处置，及时消除故障路口安全隐患。</w:t>
      </w:r>
    </w:p>
    <w:p w14:paraId="7AD1388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2）实施信号灯及其附属设施日常维护工作时，及时填写《日常维护记录表》，做好维护日志。</w:t>
      </w:r>
    </w:p>
    <w:p w14:paraId="4772042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3）涉及路口熄灯故障，接警到达现场后必须2小时内确定故障类型，12小时内必须通知采购人，现场核定与恢复。</w:t>
      </w:r>
    </w:p>
    <w:p w14:paraId="7C1560A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（7）采购人交办的其它维护任务</w:t>
      </w:r>
    </w:p>
    <w:p w14:paraId="5B29810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按照采购人要求和规定时间完成交办的其它维护任务，并及时上报完成情况，做好相应记录。</w:t>
      </w:r>
    </w:p>
    <w:p w14:paraId="62485A7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2.工程施工要求</w:t>
      </w:r>
    </w:p>
    <w:p w14:paraId="0CC2538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（1）施工步骤要求</w:t>
      </w:r>
    </w:p>
    <w:p w14:paraId="160C326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涉及材料的维护工程、以及路口新增信号灯、更换非国标灯、增设辅灯、增设倒计时器等工程施工时，中标人须提供更换方案、更换原因、更换数量报甲方审批后，并在采购人监督下施工，根据甲方要求制作支付资料。属于信号灯应急抢修工程，可以先施工后作材料。</w:t>
      </w:r>
    </w:p>
    <w:p w14:paraId="6CF6354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（2）涉及材料的维护工程及工程服务工作要求</w:t>
      </w:r>
    </w:p>
    <w:p w14:paraId="3C67479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1）信号机及其组件</w:t>
      </w:r>
    </w:p>
    <w:p w14:paraId="6132B23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机符合《道路交通信号控制机》（GB25280-2010）关于多时段定时式信号机的标准，带有支持与倒计时器等设施通讯的RS485接口，通讯协议满足《道路交通信号倒计时显示器》（GA/T508-2014）要求，能够实现有线、无线及电力载波通讯方式。更换信号机应配套原系统。</w:t>
      </w:r>
    </w:p>
    <w:p w14:paraId="70EAD41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制作基础数据登记表、基础数据调查变更记录表、安全检查记录表、日常维护记录表、信号配时记录表、配时方案图及接线图等。</w:t>
      </w:r>
    </w:p>
    <w:p w14:paraId="7BD6A14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明确产品品牌，中标后提供三证及权威部门出具的检测报告。</w:t>
      </w:r>
    </w:p>
    <w:p w14:paraId="73F74DC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路口原有信号机表面氟碳漆喷涂包括材料及施工，颜色按徐州市规定执行，喷涂应均匀，不得有流淌、褶皱、针孔、起皮等现象。</w:t>
      </w:r>
    </w:p>
    <w:p w14:paraId="716EE14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高于路面的信号机废旧基础应清除至与原路面齐平。</w:t>
      </w:r>
    </w:p>
    <w:p w14:paraId="45C4ED2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2）线缆</w:t>
      </w:r>
    </w:p>
    <w:p w14:paraId="2ECAF05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 xml:space="preserve">线缆包括KVV22-3×6mm2电源电缆、KVV22-3×1.5mm2敷设通信式倒计时器电源电缆、KVV22-16×1.5mm2控制线缆、KVV22-10×1.5mm2控制线缆、KVV22-4×1.5mm2控制线缆、KVV4×1.5mm2控制线缆、1mm2屏蔽双绞线等类型。 </w:t>
      </w:r>
    </w:p>
    <w:p w14:paraId="3A725CF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KVV22-3×6mm2电源电缆适用于信号机从路灯配电箱取电；KVV22-3×1.5mm2敷设通信式倒计时器电源电缆用于通信式倒计时器的独立取电；KVV22-16×1.5mm2控制线缆适用于一根灯杆上安装有机动车圆灯、左转灯、掉头灯或机动车圆灯、左转灯、非机动车灯（行人灯）等3组灯具的情况；KVV22-10×1.5mm2控制线缆适用于一根灯杆上安装有机动车圆灯、左转灯或机动车圆灯、非机动车（行人灯）灯或非机动车灯、行人灯等2组灯具的情况；KVV22-4×1.5mm2控制线缆适用于一根灯杆上只有一组机动车灯、或一组非机动车灯或一组行人灯的情况，也可用于通信式倒计时器（一根灯杆上有2组）的取电；KVV4×1.5mm2控制线缆适用于机动车灯杆接线孔至信号灯之间的线缆接续；1mm2屏蔽双绞线用于倒计时器通信。</w:t>
      </w:r>
    </w:p>
    <w:p w14:paraId="506668F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电源线及控制线缆采用铜芯、聚氯乙烯绝缘、聚氯乙烯护套、钢带铠装，符合《额定电压450/750V及以下聚氯乙烯绝缘电缆》 GB/T5023-2008标准。</w:t>
      </w:r>
    </w:p>
    <w:p w14:paraId="03D6C79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明确产品品牌，中标后提供三证（生产许可证、产品合格证、质量保证书）及权威部门出具的检测报告</w:t>
      </w:r>
      <w:r>
        <w:rPr>
          <w:rFonts w:hint="eastAsia" w:ascii="Times New Roman" w:hAnsi="Times New Roman" w:eastAsia="宋体" w:cs="Times New Roman"/>
          <w:kern w:val="2"/>
          <w:sz w:val="24"/>
          <w:szCs w:val="24"/>
          <w:lang w:val="zh-CN" w:eastAsia="zh-CN" w:bidi="ar-SA"/>
        </w:rPr>
        <w:t>。</w:t>
      </w:r>
    </w:p>
    <w:p w14:paraId="61B4CF1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3）管道</w:t>
      </w:r>
    </w:p>
    <w:p w14:paraId="7079854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穿线管在机动车道采用热镀锌钢管，钢管壁厚2.5mm；灯杆、信号机基础与就近窨井采用PE管。钢管接头处应使用相同材质套管固定、满焊并做防锈处理，并应包有足够强度的混凝土防护层。穿线管埋设包括材料、材料运输、埋设、涉及的窨井清掏等工作。</w:t>
      </w:r>
    </w:p>
    <w:p w14:paraId="00FA485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沟槽开挖深度要求穿线管顶部距路面的距离不小于40cm,宽度根据穿线管数量、管径及布放方式由设计单位确定。遇地下障碍，无法按要求开挖，以设计单位确定的方案为准。</w:t>
      </w:r>
    </w:p>
    <w:p w14:paraId="1CB6D65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车行道沟槽埋管后回填至距路面40cm深， 距路面深40cm以上部分路面由市政管养单位恢复；人行道沟槽埋管后回填至距路面25cm深，距路面深25cm以上部分路面由市政管养单位恢复；绿化带内开挖的沟槽由中标人自行恢复。</w:t>
      </w:r>
    </w:p>
    <w:p w14:paraId="2D4A07E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中标人应办理相关挖占手续，及时通知市政管养单位进行路面恢复。在市政部门恢复路面前以及路面施工过程中，中标人应在沟槽上吊放钢板（3cm 厚）（车行道内）或摆放水马（人行道、绿化带内），并派人值守，直至路面恢复完毕后撤场，确保交通安全。</w:t>
      </w:r>
    </w:p>
    <w:p w14:paraId="0C1CDEC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4）窨井</w:t>
      </w:r>
    </w:p>
    <w:p w14:paraId="4A9C261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对遗失和损坏的井框井盖进行增补, 包括井框井盖的提供以及井框井盖的运输安装。</w:t>
      </w:r>
    </w:p>
    <w:p w14:paraId="636D363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有沉陷（包括井的沉陷与井周路面的沉陷）、井周碎烂、开裂、井框座高差等病害窨井进行修复及新作窨井，施工包括周边路面的开挖(切割、凿除）砌壁、抹面、井框井盖安装等工作，窨井应满足嵌入深度不小于30mm，井座高度不小于80mm，支承面宽度≥20mm，总间隙≤8mm，井框高差不大于5mm的要求，且不得有震响现象。</w:t>
      </w:r>
    </w:p>
    <w:p w14:paraId="6FC61B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井盖应按徐州市井盖办公室相关规范进行恢复，并提供一井一表等工程资料。</w:t>
      </w:r>
    </w:p>
    <w:p w14:paraId="1E13FBB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车行道、人行道上窨井周边的路面恢复，中标人在做好保护措施（车行道用钢板（3cm厚）覆盖，人行道用水马打围）的同时，通知市政管养单位进行恢复，并交纳相关费用。用于车行道覆盖的钢板（3cm厚）以及用于人行道打围的水马，在市政管养单位恢复完毕后撤场。绿化带内窨井周边的地面恢复（含绿化）由中标人实施。</w:t>
      </w:r>
    </w:p>
    <w:p w14:paraId="7FACD2A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中标后提供的产品应具有三证，满足国家、行业标准规定的承载能力及耐久性要求，并符合市城管委关于井盖的相关标准。</w:t>
      </w:r>
    </w:p>
    <w:p w14:paraId="241B3B5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5）灯杆</w:t>
      </w:r>
    </w:p>
    <w:p w14:paraId="43BF980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杆类型分立柱式、悬臂式（包括旋转式）。灯杆材料采用圆形无缝钢管，并根据设计要求生产制作。灯杆符合GB8162—2008等相关标准规定。悬臂与立柱以及立柱与基础地脚螺栓的连接均应采用高强不锈钢螺栓、螺母，立柱与基础地脚螺栓的连接宜采用双螺母拧紧。</w:t>
      </w:r>
    </w:p>
    <w:p w14:paraId="2837F2D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对使用年限较久、锈蚀严重、悬臂负载较大、有安全隐患的灯杆立柱与悬臂之间的连接螺栓，采用高空车、吊车等机械更换为新的不锈钢高强螺栓。</w:t>
      </w:r>
    </w:p>
    <w:p w14:paraId="056C526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废弃基础处理：灯杆拆卸后，需将突出路面的底法兰、地脚螺栓等清除，路面恢复后应与原路面齐平。</w:t>
      </w:r>
    </w:p>
    <w:p w14:paraId="27A26F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路口原有灯杆表面氟碳漆喷涂包括材料及施工，颜色按徐州市规定执行，喷涂应均匀，不得有流淌、褶皱、针孔、起皮等现象。</w:t>
      </w:r>
    </w:p>
    <w:p w14:paraId="1D965DB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灯杆尺寸由设计单位确定。</w:t>
      </w:r>
    </w:p>
    <w:p w14:paraId="2C95C15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灯杆安装符合《道路交通信号灯设置与安装规范》GB14886-2016要求。</w:t>
      </w:r>
    </w:p>
    <w:p w14:paraId="0826351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6）灯具</w:t>
      </w:r>
    </w:p>
    <w:p w14:paraId="3CCF861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信号灯包括灯具、太阳能黄闪信号灯、倒计时器等。</w:t>
      </w:r>
    </w:p>
    <w:p w14:paraId="0057752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对使用年限较久、锈蚀严重、有安全隐患的灯具与灯杆之间的连接件，应更换为新的连接件。</w:t>
      </w:r>
    </w:p>
    <w:p w14:paraId="3635078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信号灯安装应满足《道路交通信号灯设置与安装规范》GB14886-2016要求。</w:t>
      </w:r>
    </w:p>
    <w:p w14:paraId="2B6E4A5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路口原有灯具背面氟碳漆喷涂包括材料及施工，颜色按徐州市规定执行，喷涂应均匀，不得有流淌、褶皱、针孔、起皮等现象。</w:t>
      </w:r>
    </w:p>
    <w:p w14:paraId="4125D4D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7）灯杆、信号机基础</w:t>
      </w:r>
    </w:p>
    <w:p w14:paraId="6363775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灯杆基础位置应远离电力浅沟、窨井等，并与路灯杆、行道树等相协调；信号灯灯杆基础开挖尺寸由设计确定。中标人应办理相关挖占手续。</w:t>
      </w:r>
    </w:p>
    <w:p w14:paraId="79E68E7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8）铝制铭牌</w:t>
      </w:r>
    </w:p>
    <w:p w14:paraId="1CF42BB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铝制铭牌用于信号机、灯杆、窨井、线缆标识编号。安装方式：信号机、灯杆上铭牌采用粘贴方式，窨井内的铭牌用水泥钉固定，线缆上的铭牌采用悬挂方式。铭牌的字体大小、设置位置以及编号规则由采购人确定。</w:t>
      </w:r>
    </w:p>
    <w:p w14:paraId="5E3F00F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铭牌内容包括名称、编号、维护电话等由采购人确定。</w:t>
      </w:r>
    </w:p>
    <w:p w14:paraId="321622D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（3）安全、文明施工要求</w:t>
      </w:r>
    </w:p>
    <w:p w14:paraId="16432A4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1）维护作业现场应落实文明生产措施。作业结束后，保持现场清爽、干净。不得遗留垃圾、作业工具等物品。</w:t>
      </w:r>
    </w:p>
    <w:p w14:paraId="29BAE5E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2）施工时间：维护作业不得妨碍和阻断交通，应尽量避开交通高峰时段，使用噪音较大的施工机械应尽量避开居民夜间休息时间。</w:t>
      </w:r>
    </w:p>
    <w:p w14:paraId="02119FA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3）涉及道路开挖时，应办理相关手续，合理设置水马打围及诱导标志、警示标志，及时用钢板覆盖以减少对交通影响。</w:t>
      </w:r>
    </w:p>
    <w:p w14:paraId="7926F5B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4）在道路上施工时，应在作业点前合适的距离摆放警示标志，高峰时段应安排专人配合交警疏导交通。</w:t>
      </w:r>
    </w:p>
    <w:p w14:paraId="66ACD60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5）维护作业人员维护人员应严格按操作规程、规范进行维护作业，严禁违规、冒险作业。</w:t>
      </w:r>
    </w:p>
    <w:p w14:paraId="0F9BC10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中标人在组织实施安装施工、维修等施工过程中的施工人员须按采购人规定的标准统一工作服装，并穿戴反光背心，施工车辆按采购人规定的标准统一颜色，在两侧车门上喷涂“交通设施维护”字样。同时，必须严格按照安全施工的相关要求穿戴工作帽等安全防护配备，严格按要求做好安全防护技术措施。</w:t>
      </w:r>
    </w:p>
    <w:p w14:paraId="654823D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7）中标人应按国家要求定时对公司维护人员进行交通安全、用电安全、高空作业安全等方面教育。一旦发生人员、设备及第三方安全事故等, 所有责任及经济赔偿均应由中标人承担，采购人将不承担任何责任。</w:t>
      </w:r>
    </w:p>
    <w:p w14:paraId="1B94FA0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（4）隐蔽工程施工要求</w:t>
      </w:r>
    </w:p>
    <w:p w14:paraId="3D49AEF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1）接报故障后涉及隐蔽工程的，维护单位应立即通知采购人，并在6小时内约请采购人现场确认维护方案。</w:t>
      </w:r>
    </w:p>
    <w:p w14:paraId="4ECA4FA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2）隐蔽工程施工前，维护单位应提前通知采购人，并提交施工图纸等相关资料，接受采购人的现场监督、审计。</w:t>
      </w:r>
    </w:p>
    <w:p w14:paraId="425EF1F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3）做好隐蔽工程施工前后的现场照片工作，存档备查。</w:t>
      </w:r>
    </w:p>
    <w:p w14:paraId="4F7670D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3、配置要求</w:t>
      </w:r>
    </w:p>
    <w:p w14:paraId="0DD2F01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1）人员配置要求</w:t>
      </w:r>
    </w:p>
    <w:p w14:paraId="5C2C2BA3">
      <w:pPr>
        <w:widowControl w:val="0"/>
        <w:spacing w:before="62" w:after="93" w:line="300" w:lineRule="auto"/>
        <w:ind w:firstLine="482" w:firstLineChars="200"/>
        <w:jc w:val="both"/>
        <w:rPr>
          <w:rFonts w:hint="default" w:ascii="宋体" w:hAnsi="宋体" w:eastAsia="宋体" w:cs="宋体"/>
          <w:kern w:val="2"/>
          <w:sz w:val="24"/>
          <w:szCs w:val="24"/>
          <w:lang w:val="en-US" w:eastAsia="zh-CN" w:bidi="ar-SA"/>
        </w:rPr>
      </w:pPr>
      <w:r>
        <w:rPr>
          <w:rFonts w:hint="eastAsia" w:ascii="Times New Roman" w:hAnsi="Times New Roman" w:eastAsia="宋体" w:cs="Times New Roman"/>
          <w:b/>
          <w:bCs/>
          <w:kern w:val="2"/>
          <w:sz w:val="24"/>
          <w:szCs w:val="24"/>
          <w:lang w:val="zh-CN" w:eastAsia="zh-CN" w:bidi="ar-SA"/>
        </w:rPr>
        <w:t>本项目拟派人员配置须</w:t>
      </w:r>
      <w:r>
        <w:rPr>
          <w:rFonts w:hint="eastAsia" w:ascii="Times New Roman" w:hAnsi="Times New Roman" w:eastAsia="宋体" w:cs="Times New Roman"/>
          <w:b/>
          <w:bCs/>
          <w:kern w:val="2"/>
          <w:sz w:val="24"/>
          <w:szCs w:val="24"/>
          <w:lang w:val="en-US" w:eastAsia="zh-CN" w:bidi="ar-SA"/>
        </w:rPr>
        <w:t>至少</w:t>
      </w:r>
      <w:r>
        <w:rPr>
          <w:rFonts w:hint="eastAsia" w:ascii="Times New Roman" w:hAnsi="Times New Roman" w:eastAsia="宋体" w:cs="Times New Roman"/>
          <w:b/>
          <w:bCs/>
          <w:kern w:val="2"/>
          <w:sz w:val="24"/>
          <w:szCs w:val="24"/>
          <w:lang w:val="zh-CN" w:eastAsia="zh-CN" w:bidi="ar-SA"/>
        </w:rPr>
        <w:t>包含项目经理、技术负责人、专职技术员、施工员、焊工等岗位，具体要求详见评标标准。</w:t>
      </w:r>
    </w:p>
    <w:p w14:paraId="7EA992B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2）承诺投标时应答的人员应为本项目服务人员；若在服务期限内人员调整，调整后人员数量及职称要求不低于投标时应答要求。</w:t>
      </w:r>
    </w:p>
    <w:p w14:paraId="4A6E2D1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4、机械设备要求</w:t>
      </w:r>
    </w:p>
    <w:p w14:paraId="7FC5285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Cambria Math" w:hAnsi="Cambria Math" w:eastAsia="宋体" w:cs="Cambria Math"/>
          <w:kern w:val="2"/>
          <w:sz w:val="24"/>
          <w:szCs w:val="24"/>
          <w:lang w:val="zh-CN" w:eastAsia="zh-CN" w:bidi="ar-SA"/>
        </w:rPr>
        <w:t>①</w:t>
      </w:r>
      <w:r>
        <w:rPr>
          <w:rFonts w:ascii="Times New Roman" w:hAnsi="Times New Roman" w:eastAsia="宋体" w:cs="Times New Roman"/>
          <w:kern w:val="2"/>
          <w:sz w:val="24"/>
          <w:szCs w:val="24"/>
          <w:lang w:val="zh-CN" w:eastAsia="zh-CN" w:bidi="ar-SA"/>
        </w:rPr>
        <w:t>投标人配备悬臂6米以上高空车1辆，巡视小型车2辆，工程车1辆。</w:t>
      </w:r>
    </w:p>
    <w:p w14:paraId="6C92349F">
      <w:pPr>
        <w:widowControl w:val="0"/>
        <w:spacing w:before="62" w:after="93" w:line="300" w:lineRule="auto"/>
        <w:ind w:firstLine="480" w:firstLineChars="200"/>
        <w:jc w:val="both"/>
        <w:rPr>
          <w:rFonts w:hint="eastAsia" w:ascii="Times New Roman" w:hAnsi="Times New Roman" w:eastAsia="宋体" w:cs="Times New Roman"/>
          <w:kern w:val="2"/>
          <w:sz w:val="24"/>
          <w:szCs w:val="24"/>
          <w:lang w:val="zh-CN" w:eastAsia="zh-CN" w:bidi="ar-SA"/>
        </w:rPr>
      </w:pPr>
      <w:r>
        <w:rPr>
          <w:rFonts w:hint="eastAsia" w:ascii="Times New Roman" w:hAnsi="Times New Roman" w:eastAsia="宋体" w:cs="Times New Roman"/>
          <w:kern w:val="2"/>
          <w:sz w:val="24"/>
          <w:szCs w:val="24"/>
          <w:lang w:val="zh-CN" w:eastAsia="zh-CN" w:bidi="ar-SA"/>
        </w:rPr>
        <w:t>注：（1）若为自有的车辆：</w:t>
      </w:r>
      <w:r>
        <w:rPr>
          <w:rFonts w:hint="eastAsia" w:ascii="Times New Roman" w:hAnsi="Times New Roman" w:eastAsia="宋体" w:cs="Times New Roman"/>
          <w:kern w:val="2"/>
          <w:sz w:val="24"/>
          <w:szCs w:val="24"/>
          <w:lang w:val="en-US" w:eastAsia="zh-CN" w:bidi="ar-SA"/>
        </w:rPr>
        <w:t>投标</w:t>
      </w:r>
      <w:r>
        <w:rPr>
          <w:rFonts w:hint="eastAsia" w:ascii="Times New Roman" w:hAnsi="Times New Roman" w:eastAsia="宋体" w:cs="Times New Roman"/>
          <w:kern w:val="2"/>
          <w:sz w:val="24"/>
          <w:szCs w:val="24"/>
          <w:lang w:val="zh-CN" w:eastAsia="zh-CN" w:bidi="ar-SA"/>
        </w:rPr>
        <w:t>文件中须提供年审有效期内的货车车辆行驶证或车辆登记证复印件，车辆注册用户须和供应商名称一致，否则不得分。（2）若为租赁车辆：</w:t>
      </w:r>
      <w:r>
        <w:rPr>
          <w:rFonts w:hint="eastAsia" w:ascii="Times New Roman" w:hAnsi="Times New Roman" w:eastAsia="宋体" w:cs="Times New Roman"/>
          <w:kern w:val="2"/>
          <w:sz w:val="24"/>
          <w:szCs w:val="24"/>
          <w:lang w:val="en-US" w:eastAsia="zh-CN" w:bidi="ar-SA"/>
        </w:rPr>
        <w:t>投标</w:t>
      </w:r>
      <w:r>
        <w:rPr>
          <w:rFonts w:hint="eastAsia" w:ascii="Times New Roman" w:hAnsi="Times New Roman" w:eastAsia="宋体" w:cs="Times New Roman"/>
          <w:kern w:val="2"/>
          <w:sz w:val="24"/>
          <w:szCs w:val="24"/>
          <w:lang w:val="zh-CN" w:eastAsia="zh-CN" w:bidi="ar-SA"/>
        </w:rPr>
        <w:t>文件中须同时提供车辆行驶证或车辆登记证及车辆租赁协议复印件，车辆注册用户名称应与车辆租赁合同的出租方名称一致，承租方与供应商名称一致，否则不得分。</w:t>
      </w:r>
    </w:p>
    <w:p w14:paraId="64D607CA">
      <w:pPr>
        <w:widowControl w:val="0"/>
        <w:spacing w:before="62" w:after="93" w:line="300" w:lineRule="auto"/>
        <w:ind w:firstLine="480" w:firstLineChars="200"/>
        <w:jc w:val="both"/>
        <w:rPr>
          <w:rFonts w:hint="eastAsia" w:ascii="Times New Roman" w:hAnsi="Times New Roman" w:eastAsia="宋体" w:cs="Times New Roman"/>
          <w:kern w:val="2"/>
          <w:sz w:val="24"/>
          <w:szCs w:val="24"/>
          <w:highlight w:val="none"/>
          <w:lang w:val="zh-CN" w:eastAsia="zh-CN" w:bidi="ar-SA"/>
        </w:rPr>
      </w:pPr>
      <w:r>
        <w:rPr>
          <w:rFonts w:hint="eastAsia" w:ascii="Times New Roman" w:hAnsi="Times New Roman" w:eastAsia="宋体" w:cs="Times New Roman"/>
          <w:kern w:val="2"/>
          <w:sz w:val="24"/>
          <w:szCs w:val="24"/>
          <w:lang w:val="zh-CN" w:eastAsia="zh-CN" w:bidi="ar-SA"/>
        </w:rPr>
        <w:t>②应急太阳能信号灯6部，</w:t>
      </w:r>
      <w:r>
        <w:rPr>
          <w:rFonts w:hint="eastAsia" w:ascii="Times New Roman" w:hAnsi="Times New Roman" w:eastAsia="宋体" w:cs="Times New Roman"/>
          <w:kern w:val="2"/>
          <w:sz w:val="24"/>
          <w:szCs w:val="24"/>
          <w:highlight w:val="none"/>
          <w:lang w:val="zh-CN" w:eastAsia="zh-CN" w:bidi="ar-SA"/>
        </w:rPr>
        <w:t>汽油发电机2台。</w:t>
      </w:r>
    </w:p>
    <w:p w14:paraId="06A3C675">
      <w:pPr>
        <w:widowControl w:val="0"/>
        <w:spacing w:before="62" w:after="93" w:line="300" w:lineRule="auto"/>
        <w:ind w:firstLine="480" w:firstLineChars="200"/>
        <w:jc w:val="both"/>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注：投标</w:t>
      </w:r>
      <w:r>
        <w:rPr>
          <w:rFonts w:hint="eastAsia" w:ascii="Times New Roman" w:hAnsi="Times New Roman" w:eastAsia="宋体" w:cs="Times New Roman"/>
          <w:kern w:val="2"/>
          <w:sz w:val="24"/>
          <w:szCs w:val="24"/>
          <w:highlight w:val="none"/>
          <w:lang w:val="zh-CN" w:eastAsia="zh-CN" w:bidi="ar-SA"/>
        </w:rPr>
        <w:t>文件</w:t>
      </w:r>
      <w:r>
        <w:rPr>
          <w:rFonts w:hint="eastAsia" w:ascii="Times New Roman" w:hAnsi="Times New Roman" w:eastAsia="宋体" w:cs="Times New Roman"/>
          <w:kern w:val="2"/>
          <w:sz w:val="24"/>
          <w:szCs w:val="24"/>
          <w:highlight w:val="none"/>
          <w:lang w:val="en-US" w:eastAsia="zh-CN" w:bidi="ar-SA"/>
        </w:rPr>
        <w:t>中提供设备图片</w:t>
      </w:r>
    </w:p>
    <w:p w14:paraId="01F5C86C">
      <w:pPr>
        <w:widowControl w:val="0"/>
        <w:spacing w:before="62" w:after="93" w:line="300" w:lineRule="auto"/>
        <w:ind w:firstLine="480" w:firstLineChars="200"/>
        <w:jc w:val="both"/>
        <w:rPr>
          <w:rFonts w:hint="eastAsia" w:ascii="Times New Roman" w:hAnsi="Times New Roman" w:eastAsia="宋体" w:cs="Times New Roman"/>
          <w:kern w:val="2"/>
          <w:sz w:val="24"/>
          <w:szCs w:val="24"/>
          <w:highlight w:val="none"/>
          <w:lang w:val="en-US" w:eastAsia="zh-CN" w:bidi="ar-SA"/>
        </w:rPr>
      </w:pPr>
      <w:r>
        <w:rPr>
          <w:rFonts w:ascii="Cambria Math" w:hAnsi="Cambria Math" w:eastAsia="宋体" w:cs="Cambria Math"/>
          <w:kern w:val="2"/>
          <w:sz w:val="24"/>
          <w:szCs w:val="24"/>
          <w:highlight w:val="none"/>
          <w:lang w:val="zh-CN" w:eastAsia="zh-CN" w:bidi="ar-SA"/>
        </w:rPr>
        <w:t>③</w:t>
      </w:r>
      <w:r>
        <w:rPr>
          <w:rFonts w:hint="eastAsia" w:ascii="宋体" w:hAnsi="宋体" w:eastAsia="宋体" w:cs="宋体"/>
          <w:kern w:val="0"/>
          <w:sz w:val="24"/>
          <w:szCs w:val="24"/>
          <w:highlight w:val="none"/>
          <w:lang w:val="en-US" w:eastAsia="zh-CN" w:bidi="ar-SA"/>
        </w:rPr>
        <w:t>投</w:t>
      </w:r>
      <w:r>
        <w:rPr>
          <w:rFonts w:hint="eastAsia" w:ascii="Times New Roman" w:hAnsi="Times New Roman" w:eastAsia="宋体" w:cs="Times New Roman"/>
          <w:kern w:val="2"/>
          <w:sz w:val="24"/>
          <w:szCs w:val="24"/>
          <w:highlight w:val="none"/>
          <w:lang w:val="en-US" w:eastAsia="zh-CN" w:bidi="ar-SA"/>
        </w:rPr>
        <w:t>标人承诺中标后</w:t>
      </w:r>
      <w:r>
        <w:rPr>
          <w:rFonts w:hint="eastAsia" w:ascii="Times New Roman" w:hAnsi="Times New Roman" w:eastAsia="宋体" w:cs="Times New Roman"/>
          <w:kern w:val="2"/>
          <w:sz w:val="24"/>
          <w:szCs w:val="24"/>
          <w:highlight w:val="none"/>
          <w:lang w:val="zh-CN" w:eastAsia="zh-CN" w:bidi="ar-SA"/>
        </w:rPr>
        <w:t>在经开区</w:t>
      </w:r>
      <w:r>
        <w:rPr>
          <w:rFonts w:hint="eastAsia" w:ascii="Times New Roman" w:hAnsi="Times New Roman" w:eastAsia="宋体" w:cs="Times New Roman"/>
          <w:kern w:val="2"/>
          <w:sz w:val="24"/>
          <w:szCs w:val="24"/>
          <w:highlight w:val="none"/>
          <w:lang w:val="en-US" w:eastAsia="zh-CN" w:bidi="ar-SA"/>
        </w:rPr>
        <w:t>自行设立工程管理项目部用于办公及设备存放。</w:t>
      </w:r>
    </w:p>
    <w:p w14:paraId="41D74961">
      <w:pPr>
        <w:widowControl w:val="0"/>
        <w:spacing w:before="62" w:after="93" w:line="300" w:lineRule="auto"/>
        <w:ind w:firstLine="480" w:firstLineChars="200"/>
        <w:jc w:val="both"/>
        <w:rPr>
          <w:rFonts w:hint="eastAsia" w:ascii="Times New Roman" w:hAnsi="Times New Roman" w:eastAsia="宋体" w:cs="Times New Roman"/>
          <w:kern w:val="2"/>
          <w:sz w:val="24"/>
          <w:szCs w:val="24"/>
          <w:highlight w:val="none"/>
          <w:lang w:val="en-US" w:eastAsia="zh-CN" w:bidi="ar-SA"/>
        </w:rPr>
      </w:pPr>
      <w:r>
        <w:rPr>
          <w:rFonts w:hint="eastAsia" w:ascii="Times New Roman" w:hAnsi="Times New Roman" w:eastAsia="宋体" w:cs="Times New Roman"/>
          <w:kern w:val="2"/>
          <w:sz w:val="24"/>
          <w:szCs w:val="24"/>
          <w:highlight w:val="none"/>
          <w:lang w:val="en-US" w:eastAsia="zh-CN" w:bidi="ar-SA"/>
        </w:rPr>
        <w:t>注：投标</w:t>
      </w:r>
      <w:r>
        <w:rPr>
          <w:rFonts w:hint="eastAsia" w:ascii="Times New Roman" w:hAnsi="Times New Roman" w:eastAsia="宋体" w:cs="Times New Roman"/>
          <w:kern w:val="2"/>
          <w:sz w:val="24"/>
          <w:szCs w:val="24"/>
          <w:highlight w:val="none"/>
          <w:lang w:val="zh-CN" w:eastAsia="zh-CN" w:bidi="ar-SA"/>
        </w:rPr>
        <w:t>文件</w:t>
      </w:r>
      <w:r>
        <w:rPr>
          <w:rFonts w:hint="eastAsia" w:ascii="Times New Roman" w:hAnsi="Times New Roman" w:eastAsia="宋体" w:cs="Times New Roman"/>
          <w:kern w:val="2"/>
          <w:sz w:val="24"/>
          <w:szCs w:val="24"/>
          <w:highlight w:val="none"/>
          <w:lang w:val="en-US" w:eastAsia="zh-CN" w:bidi="ar-SA"/>
        </w:rPr>
        <w:t>中提供承诺书，格式自拟。</w:t>
      </w:r>
    </w:p>
    <w:p w14:paraId="4D168A43">
      <w:pPr>
        <w:widowControl w:val="0"/>
        <w:spacing w:before="62" w:after="93" w:line="300" w:lineRule="auto"/>
        <w:ind w:firstLine="480" w:firstLineChars="200"/>
        <w:jc w:val="both"/>
        <w:rPr>
          <w:rFonts w:ascii="Times New Roman" w:hAnsi="Times New Roman" w:eastAsia="宋体" w:cs="Times New Roman"/>
          <w:kern w:val="2"/>
          <w:sz w:val="24"/>
          <w:szCs w:val="24"/>
          <w:highlight w:val="none"/>
          <w:lang w:val="zh-CN" w:eastAsia="zh-CN" w:bidi="ar-SA"/>
        </w:rPr>
      </w:pPr>
      <w:r>
        <w:rPr>
          <w:rFonts w:ascii="Cambria Math" w:hAnsi="Cambria Math" w:eastAsia="宋体" w:cs="Cambria Math"/>
          <w:kern w:val="2"/>
          <w:sz w:val="24"/>
          <w:szCs w:val="24"/>
          <w:highlight w:val="none"/>
          <w:lang w:val="zh-CN" w:eastAsia="zh-CN" w:bidi="ar-SA"/>
        </w:rPr>
        <w:t>④</w:t>
      </w:r>
      <w:r>
        <w:rPr>
          <w:rFonts w:ascii="Times New Roman" w:hAnsi="Times New Roman" w:eastAsia="宋体" w:cs="Times New Roman"/>
          <w:kern w:val="2"/>
          <w:sz w:val="24"/>
          <w:szCs w:val="24"/>
          <w:highlight w:val="none"/>
          <w:lang w:val="zh-CN" w:eastAsia="zh-CN" w:bidi="ar-SA"/>
        </w:rPr>
        <w:t>备品备件要求：电缆、井盖、连接件、杆件等若干。</w:t>
      </w:r>
    </w:p>
    <w:p w14:paraId="57DEB45B">
      <w:pPr>
        <w:widowControl w:val="0"/>
        <w:spacing w:before="62" w:after="93" w:line="300" w:lineRule="auto"/>
        <w:ind w:firstLine="480" w:firstLineChars="200"/>
        <w:jc w:val="both"/>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highlight w:val="none"/>
          <w:lang w:val="en-US" w:eastAsia="zh-CN" w:bidi="ar-SA"/>
        </w:rPr>
        <w:t>注：投标文件中提供，根据当</w:t>
      </w:r>
      <w:r>
        <w:rPr>
          <w:rFonts w:hint="eastAsia" w:ascii="Times New Roman" w:hAnsi="Times New Roman" w:eastAsia="宋体" w:cs="Times New Roman"/>
          <w:kern w:val="2"/>
          <w:sz w:val="24"/>
          <w:szCs w:val="24"/>
          <w:lang w:val="en-US" w:eastAsia="zh-CN" w:bidi="ar-SA"/>
        </w:rPr>
        <w:t>前辖区道路交通安全设施拟匹配的备品备件品种及数量的相关表格）。</w:t>
      </w:r>
    </w:p>
    <w:p w14:paraId="3E7B1322">
      <w:pPr>
        <w:widowControl w:val="0"/>
        <w:spacing w:before="62" w:after="93" w:line="300" w:lineRule="auto"/>
        <w:ind w:firstLine="482" w:firstLineChars="200"/>
        <w:jc w:val="both"/>
        <w:rPr>
          <w:rFonts w:hint="eastAsia" w:ascii="宋体" w:hAnsi="宋体" w:eastAsia="宋体" w:cs="宋体"/>
          <w:b/>
          <w:color w:val="000000"/>
          <w:kern w:val="0"/>
          <w:sz w:val="24"/>
          <w:szCs w:val="22"/>
          <w:highlight w:val="yellow"/>
          <w:lang w:val="en-US" w:eastAsia="zh-CN"/>
        </w:rPr>
      </w:pPr>
      <w:r>
        <w:rPr>
          <w:rFonts w:hint="eastAsia" w:ascii="宋体" w:hAnsi="宋体" w:eastAsia="宋体" w:cs="宋体"/>
          <w:b/>
          <w:color w:val="000000"/>
          <w:kern w:val="0"/>
          <w:sz w:val="24"/>
          <w:szCs w:val="22"/>
          <w:highlight w:val="yellow"/>
          <w:lang w:val="en-US" w:eastAsia="zh-CN"/>
        </w:rPr>
        <w:t>★以上为本项目最低机械设备配备要求，投标人须针对以上要求提供相关资料，否则视为未通过符合性审查。</w:t>
      </w:r>
    </w:p>
    <w:p w14:paraId="74C2FA9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联网信号机技术要求</w:t>
      </w:r>
    </w:p>
    <w:p w14:paraId="77136F6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交通信号机应符合《道路交通信号控制机》（GB 25280-2016）的要求，交通信号机的安装应符合《道路交通信号控制机安装规范》（GA/T 489-2016）的要求。</w:t>
      </w:r>
    </w:p>
    <w:p w14:paraId="2A9C17B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信号机组成要求</w:t>
      </w:r>
    </w:p>
    <w:p w14:paraId="4146381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信号机需主要由外箱机柜、4U控制插箱（含工业级触摸屏操作面板）、接线端子、手动面板、配电开关、黄闪控制器等组成。整机全模块化（插件单元）设计，使系统的硬件配置可大可小，而且机器的维修被简化为功能模块的现场快速代换。</w:t>
      </w:r>
    </w:p>
    <w:p w14:paraId="3DE3CE0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机柜箱体材质为钢板。内机箱需采用铝合金材料，表面防锈蚀氧化拉丝处理，外机柜采用高强度钢板，表面喷塑处理，完全适合全天候的户外运行。全封闭增强型机箱设计，有防雨、防潮、防尘、防震能力。机柜内部采用机架式安装方式，机柜箱门具有存放A4版面资料的存储盒，机柜与箱门接合处具有导水槽。机柜采用前后双开门，柜门采用内嵌式结构，具有防撬功能。</w:t>
      </w:r>
    </w:p>
    <w:p w14:paraId="676401C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主要功能</w:t>
      </w:r>
    </w:p>
    <w:p w14:paraId="02A4958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（1）多种控制功能</w:t>
      </w:r>
    </w:p>
    <w:p w14:paraId="7F08D69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要求信号机具备多种控制功能，包括：多时段控制功能、单点自适应功能、全感应和半感应控制功能、手动控制、行人过街触发功能、公交车辆优先控制功能、车载特勤控制功能、绿波协调控制功能、线协调控制功能、区域协调控制功能等。</w:t>
      </w:r>
    </w:p>
    <w:p w14:paraId="111C954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要求信号控制实行平滑过渡策略，可半程显示倒计时器、可设置无跳变，可以保证系统通讯通、断、工作方式切换时，交叉口信号平滑过渡，保证倒计时显示器准确显示（每秒一次）而不跳相位。</w:t>
      </w:r>
    </w:p>
    <w:p w14:paraId="1097A77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（2）交通流信息采集功能</w:t>
      </w:r>
    </w:p>
    <w:p w14:paraId="2500AF4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可以与开关量、RS232串行通讯方式作为输出的车辆检测器接口，完成交通流信息采集功能；</w:t>
      </w:r>
    </w:p>
    <w:p w14:paraId="2650832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可自定义采集间隔，数据可以在本地保存，及向上传入中心数据库。</w:t>
      </w:r>
    </w:p>
    <w:p w14:paraId="79C4DCB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系统控制参数的设定、修改和查询</w:t>
      </w:r>
    </w:p>
    <w:p w14:paraId="1053448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系统数据包括：时基调度表、时段表、方案表、阶段表、相位表、通道表、公共参数等等。可对各种系统参数进行设定、修改和查询。并同时完成操作正确性检查和数据正确性检查。</w:t>
      </w:r>
    </w:p>
    <w:p w14:paraId="6577A00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（3）人机对话功能</w:t>
      </w:r>
    </w:p>
    <w:p w14:paraId="3942982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可通过前面板的工业级触摸屏或笔记本电脑（或手机、平板电脑等）设置和查询方案，提供全中文操作人机界面，实现信号机的参数设定与查询，提供全中文操作人机界面，实现信号机的参数设定与查询。</w:t>
      </w:r>
    </w:p>
    <w:p w14:paraId="4AD44D8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（4）完善的故障检测功能</w:t>
      </w:r>
    </w:p>
    <w:p w14:paraId="4DAE74A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具有绿冲突故障检测，信号灯组所有红灯熄灭故障检测，信号灯工作电压、工信电流检测，通讯故障检测等功能。</w:t>
      </w:r>
    </w:p>
    <w:p w14:paraId="38BE113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（5）系统故障保护功能</w:t>
      </w:r>
    </w:p>
    <w:p w14:paraId="6EA86AE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在设定的故障条件下，或系统严重故障（如电源故障，控制主机故障，绿冲突等）时，或信号机维护保养时，信号机自动启动配套的硬件黄闪控制器以实现黄闪功能，确保路口通行安全。</w:t>
      </w:r>
    </w:p>
    <w:p w14:paraId="4E1A625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对因网络设备、网卡故障、网络环路的原因容易造成网络瘫痪，从而导致信号机运行不能正常运行，影响路口交通安全时。要求信号机具备在网络瘫痪的情况下正常运行，不黄闪的功能。</w:t>
      </w:r>
    </w:p>
    <w:p w14:paraId="653C24A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（6）过电压保护</w:t>
      </w:r>
    </w:p>
    <w:p w14:paraId="4F582F6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灯具驱动输出具备过载、短路、电压电流快速上升保护功能。在供电电压超过AC280V时，系统自动断电保护。</w:t>
      </w:r>
    </w:p>
    <w:p w14:paraId="052071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（7）数据本地存储</w:t>
      </w:r>
    </w:p>
    <w:p w14:paraId="48A9036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信号机本地储存1个月以上的交通数据，具备断电情况下的数据保存功能，实现无电池供电情况下永久保存。</w:t>
      </w:r>
    </w:p>
    <w:p w14:paraId="14B1B61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主要技术指标</w:t>
      </w:r>
    </w:p>
    <w:p w14:paraId="00A2744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(1)产品设计</w:t>
      </w:r>
    </w:p>
    <w:p w14:paraId="7353BA4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硬件采用嵌入式架构设计，模块化程度高，可积木式扩展；</w:t>
      </w:r>
    </w:p>
    <w:p w14:paraId="6E1E4AF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操作系统采用嵌入式Linu×系统，稳定可靠；</w:t>
      </w:r>
    </w:p>
    <w:p w14:paraId="1B2F30B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采用工业级触摸屏，全图形化操作；</w:t>
      </w:r>
    </w:p>
    <w:p w14:paraId="7C6C928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(2)机械性能</w:t>
      </w:r>
    </w:p>
    <w:p w14:paraId="6C3D374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外壳防护等级：IP65</w:t>
      </w:r>
    </w:p>
    <w:p w14:paraId="037E858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(3)使用电源</w:t>
      </w:r>
    </w:p>
    <w:p w14:paraId="27D51A5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电压：单相AC220V±20% 50Hz±2Hz</w:t>
      </w:r>
    </w:p>
    <w:p w14:paraId="3560E32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无负载功耗：20W</w:t>
      </w:r>
    </w:p>
    <w:p w14:paraId="60F6738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(4)输入输出接口</w:t>
      </w:r>
    </w:p>
    <w:p w14:paraId="69BAFCA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信号灯输出：48路，可扩展至96路，可控硅输出,单路驱动能力AC220V/5A；</w:t>
      </w:r>
    </w:p>
    <w:p w14:paraId="457A664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车辆检测输入：标准配置可连接24个车辆检测器，可扩展至48个，支持线圈、视频、微波、地磁等车辆检测器，干触点或OC晶体管输出；</w:t>
      </w:r>
    </w:p>
    <w:p w14:paraId="03B1CD8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通讯接口：标准EIA电平RS232接口：3个，波特率：1200bps—115200 bps；RS485电平信号接口：1个，用于倒计时器通讯，通讯协议满足GA/T508-2004；可支持8路输出，自定义通讯协议时，最大可支持32路输出；固定周期时支持通讯时和学习式全程/半程显示倒计时显示器，实时自适应模式下支持半程倒计时。</w:t>
      </w:r>
    </w:p>
    <w:p w14:paraId="5726FF9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网络接口：1个，10M/100M自适应；</w:t>
      </w:r>
    </w:p>
    <w:p w14:paraId="0E29647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GPS接口：1个，可接收GPS授时（选配件）；</w:t>
      </w:r>
    </w:p>
    <w:p w14:paraId="64FFB3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行人请求接口：4个，最大可扩展至6个，干触点信号（选配件）；</w:t>
      </w:r>
    </w:p>
    <w:p w14:paraId="409024D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(5)故障检测功能</w:t>
      </w:r>
    </w:p>
    <w:p w14:paraId="74E1245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绿冲突故障检测；</w:t>
      </w:r>
    </w:p>
    <w:p w14:paraId="7C3C033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信号灯组所有红灯熄灭故障；</w:t>
      </w:r>
    </w:p>
    <w:p w14:paraId="2553EDC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信号灯工作电压，工作电流检测；</w:t>
      </w:r>
    </w:p>
    <w:p w14:paraId="1FD5F04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通讯故障检测；</w:t>
      </w:r>
    </w:p>
    <w:p w14:paraId="6D70308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（6）参数设置</w:t>
      </w:r>
    </w:p>
    <w:p w14:paraId="0402AF9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可预置的时基调度表数：40</w:t>
      </w:r>
    </w:p>
    <w:p w14:paraId="76171A2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可预置的时段表数：16；每个时段表可预置的时段数：48</w:t>
      </w:r>
    </w:p>
    <w:p w14:paraId="6F5261D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可预置方案数：32，可扩展至255</w:t>
      </w:r>
    </w:p>
    <w:p w14:paraId="4681617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可预置的阶段表数：16；每个阶段表可预置的阶段数：16</w:t>
      </w:r>
    </w:p>
    <w:p w14:paraId="6C8591C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可预置的相位数：24，可扩展至32；</w:t>
      </w:r>
    </w:p>
    <w:p w14:paraId="5B37A22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最小红、黄、绿灯时间：0秒</w:t>
      </w:r>
    </w:p>
    <w:p w14:paraId="0054274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最大红、黄、绿灯时间：255秒</w:t>
      </w:r>
    </w:p>
    <w:p w14:paraId="3774A83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可靠性和可维性</w:t>
      </w:r>
    </w:p>
    <w:p w14:paraId="1166076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可靠性MTBF＞10000小时</w:t>
      </w:r>
    </w:p>
    <w:p w14:paraId="1236858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可维护性MTTR≤0.5小时</w:t>
      </w:r>
    </w:p>
    <w:p w14:paraId="50ACA19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(7)绝缘强度</w:t>
      </w:r>
    </w:p>
    <w:p w14:paraId="09BF339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AC输入端与箱体之间绝缘电阻大于10MΩ</w:t>
      </w:r>
    </w:p>
    <w:p w14:paraId="072BABC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(8)环境指标</w:t>
      </w:r>
    </w:p>
    <w:p w14:paraId="3169F5C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工作温度：-40℃--+70℃</w:t>
      </w:r>
    </w:p>
    <w:p w14:paraId="49063F7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储存温度：-40℃--+80℃</w:t>
      </w:r>
    </w:p>
    <w:p w14:paraId="0FBC805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相对湿度：5%--95%，40℃时无冷凝</w:t>
      </w:r>
    </w:p>
    <w:p w14:paraId="4D9506A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冲击：10g/16ms，半正弦波 ,100次</w:t>
      </w:r>
    </w:p>
    <w:p w14:paraId="692C846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振动：5-33Hz,1g/1h,振幅双向2.5mm</w:t>
      </w:r>
    </w:p>
    <w:p w14:paraId="6BE0B13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信号机必须与经开区大队指挥中心联网匹配。</w:t>
      </w:r>
    </w:p>
    <w:p w14:paraId="25FC967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信号灯技术要求</w:t>
      </w:r>
    </w:p>
    <w:p w14:paraId="6624AE9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(1)制造厂家具有ISO9001质量保证体系；符合《道路交通信号灯》（GB14887-2011）国家标准的所有要求；</w:t>
      </w:r>
    </w:p>
    <w:p w14:paraId="284AB78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(2)信号灯直径400mm；</w:t>
      </w:r>
    </w:p>
    <w:p w14:paraId="556F029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(3)采用高亮度发光二极管基准轴上的亮度红色：≥8000cd/m2；黄色：≥10000cd/m2；绿色：≥11000cd/ m2；</w:t>
      </w:r>
    </w:p>
    <w:p w14:paraId="1EC256A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(4)工作电压：AC220V±20%、50Hz±2Hz；</w:t>
      </w:r>
    </w:p>
    <w:p w14:paraId="2084418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(5)LED波长要求：红色625nm±2nm，黄色590nm±2nm，绿色505nm±2nm，色度指标符合交通信号灯灯色坐标的规定范围；</w:t>
      </w:r>
    </w:p>
    <w:p w14:paraId="0CD2BC9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(6)LED灯数量：机动车信号灯的红、黄色机动车灯≥216颗，绿色机动车灯≥168颗；方向指示灯、掉头信号灯的红/绿色箭头灯数量≥120颗；黄色≥216；倒计时为两位、红绿各≥140颗；</w:t>
      </w:r>
    </w:p>
    <w:p w14:paraId="0B9A0A4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(7)倒计时灯盘为方形，单周期实时误差&lt;0.1 秒，无累积误差，以秒为计时单位，最大数字显示99秒；可与信号机对接进行通讯式、触发式、学习式倒计时器显示，可实现半程显示，无跳变，倒数触发时间可灵活设置；</w:t>
      </w:r>
    </w:p>
    <w:p w14:paraId="2F8937A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(8)单灯功率：小于15W，方向指示灯、掉头信号灯的功率：小于10W，功率因素：大于0.85，功率因素：大于0.85；</w:t>
      </w:r>
    </w:p>
    <w:p w14:paraId="3E2A120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(9)LED可靠性：≥50000小时；平均无故障时间MTBF&gt;20000小时；</w:t>
      </w:r>
    </w:p>
    <w:p w14:paraId="6F01C3F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(10)工作湿度：5%~95%，工作温度：-40~+80℃；</w:t>
      </w:r>
    </w:p>
    <w:p w14:paraId="31C7FAD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(11)外壳防护等级：≥IP53；</w:t>
      </w:r>
    </w:p>
    <w:p w14:paraId="5FEF5D7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(12)独立发光单元设计，LED灯板和电源板分开搁置，拆卸维修方便；</w:t>
      </w:r>
    </w:p>
    <w:p w14:paraId="7CE1FAD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(13)灯具外壳采用铝压铸成型，喷塑处理，机械强度高，外型美观，密封性能好，灯具表面应作亚光或无光喷涂处理, 不生锈，防尘，防水；</w:t>
      </w:r>
    </w:p>
    <w:p w14:paraId="04601A8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Ø300MM人行横道信号灯技术要求</w:t>
      </w:r>
    </w:p>
    <w:p w14:paraId="75E6E84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（1）灯体整体为板式，不锈钢材质，带红绿双色LED发光交通文明提示文字及提示语音，且随着灯色的变化相应变化；</w:t>
      </w:r>
    </w:p>
    <w:p w14:paraId="366A35A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（2）采用高亮度发光二极管，使用寿命不少于50000小时；</w:t>
      </w:r>
    </w:p>
    <w:p w14:paraId="2399085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（3）额定电压：AC220V±20%、50Hz±2Hz；</w:t>
      </w:r>
    </w:p>
    <w:p w14:paraId="40E1755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LED波长要求：红色625nm±2nm，绿色505nm±2nm，色度性能符合交通信号灯颜色坐标的规定范围，透光罩为方型，显示图案为：依次为静态红人，内含通讯式、学习式、绿色半程触发等多用倒计时器；动态绿人，内含通讯式、学习式、红色半程触发多用倒计时器；</w:t>
      </w:r>
    </w:p>
    <w:p w14:paraId="245FDAA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（5）单灯功率：小于20W，功率因素：≥0.95；</w:t>
      </w:r>
    </w:p>
    <w:p w14:paraId="0C552F0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（6）LED灯数量：红≥80颗、绿≥120颗，倒计时红绿各为140粒；</w:t>
      </w:r>
    </w:p>
    <w:p w14:paraId="3AF94BD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（7）工作湿度：5%~95%，工作温度：-40~+80℃；</w:t>
      </w:r>
    </w:p>
    <w:p w14:paraId="08DFA1C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（8）独立发光单元设计，LED灯板和电源板分开搁置，拆卸维修方便；</w:t>
      </w:r>
    </w:p>
    <w:p w14:paraId="064EBA0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（9）灯具发光条框架为聚碳酸脂材料，外壳、支臂应采用金属型材，机械强度高，外型美观，密封性能好，灯具表面应作无光喷涂处理,不生锈，防尘，防水；</w:t>
      </w:r>
    </w:p>
    <w:p w14:paraId="154414E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（10）灯具外壳防护等级≥IP53；</w:t>
      </w:r>
    </w:p>
    <w:p w14:paraId="6FE2EB1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（11）信号灯图案须符合国标附图的相关要求；</w:t>
      </w:r>
    </w:p>
    <w:p w14:paraId="6F62816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（12）规格、外观与经开区在用的人行信号灯一致。</w:t>
      </w:r>
    </w:p>
    <w:p w14:paraId="310B9D3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标志牌技术要求：</w:t>
      </w:r>
    </w:p>
    <w:p w14:paraId="259C365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1、标志牌材料要求：</w:t>
      </w:r>
    </w:p>
    <w:p w14:paraId="74DE0AE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标志牌版面要求：牌面底膜均贴蓝色高品质的超强级反光膜图案、文字白色均采用高品质的超强级反光膜，指路标志、导流标志等大型标志牌，铝板厚为3mm，分道、禁令、让行、人行横道、路名标志、提醒标志等小型标志牌，铝板厚2mm，施工图另有注明的除外。</w:t>
      </w:r>
    </w:p>
    <w:p w14:paraId="055676C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（2）标志板、滑动横梁，采用符合GB768—1999标准的铝合金板材，并符合GB3194—82“铝及铝合金热轧板材的尺寸及允许偏差”，GB3193—82“铝及铝合金热轧板”的规定。</w:t>
      </w:r>
    </w:p>
    <w:p w14:paraId="61175ED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（3）高强螺栓，高强连接螺栓（包括相应螺母、垫圈）应采用40B式45号钢，并符合GB1231—76的规定。</w:t>
      </w:r>
    </w:p>
    <w:p w14:paraId="589D96C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（4）钢材（立杆、横杆等）均采用国标产品，钢管杆内外表面均采用热浸镀锌防腐，镀锌层厚度大于等于86um。</w:t>
      </w:r>
    </w:p>
    <w:p w14:paraId="30AE06C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（5）交通标志的颜色、形状、字符、图形、尺寸及构造、逆反射、制作等，满足国家标准《道路交通标志和标线》、《城市道路交通标志和标线设置规范》等各项技术要求。</w:t>
      </w:r>
    </w:p>
    <w:p w14:paraId="1F46691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（6）交通标志杆件、信号灯杆件为无缝钢管制作，内外热镀锌处理；。</w:t>
      </w:r>
    </w:p>
    <w:p w14:paraId="6B397F2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（7）交通标志选用的反光膜应符合《道路交通反光膜》中反光膜要求；保证铝板清洁、平整、光滑，无明显凹痕、折皱、变形痕迹。</w:t>
      </w:r>
    </w:p>
    <w:p w14:paraId="17D0BE9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2、标志牌安装及质量要求：</w:t>
      </w:r>
      <w:r>
        <w:rPr>
          <w:rFonts w:ascii="Times New Roman" w:hAnsi="Times New Roman" w:eastAsia="宋体" w:cs="Times New Roman"/>
          <w:kern w:val="2"/>
          <w:sz w:val="24"/>
          <w:szCs w:val="24"/>
          <w:lang w:val="zh-CN" w:eastAsia="zh-CN" w:bidi="ar-SA"/>
        </w:rPr>
        <w:tab/>
      </w:r>
    </w:p>
    <w:p w14:paraId="3E2B4C4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（1）标志板与滑动槽钢，卷边加固件连接，在保证连接强度标志板面平整，不影响贴反光膜的前提下，可采用铆接式点焊；</w:t>
      </w:r>
    </w:p>
    <w:p w14:paraId="1E1A92A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（2）指示标牌表面无明显皱纹、凹槽或弯形，每平方米的平整度公差小于1.0mm；</w:t>
      </w:r>
    </w:p>
    <w:p w14:paraId="7C787CA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标志立杆采用无缝钢管，整根杆件无横向焊接，杆件焊接采用氩气保护自动焊或埋弧自动焊；立柱与底法兰及横臂蓝接法兰间焊缝需满足100%焊透率，其余需满足60%以上焊透率，立柱、法兰盘均采用喷塑保护；螺栓、螺母、垫圈进行热浸镀锌。</w:t>
      </w:r>
    </w:p>
    <w:p w14:paraId="35534C7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（4）交通标志的颜色应严格执行《城市道路交通标志和标线设置规范》(GB 51038-2015)中有关规定，本项目标志反光膜采用Ⅳ类反光膜，铝合金背板采用原色。</w:t>
      </w:r>
    </w:p>
    <w:p w14:paraId="57AA433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（5）标志板与立杆采用铝槽接驳；</w:t>
      </w:r>
    </w:p>
    <w:p w14:paraId="39E216E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（6）标志杆件底座c25混凝土浇筑；</w:t>
      </w:r>
    </w:p>
    <w:p w14:paraId="3194BDE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（7）标志设计荷载考虑风荷载，风速50年一遇考虑，整体抗风速十级。</w:t>
      </w:r>
    </w:p>
    <w:p w14:paraId="3245628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（8）标志杆热镀锌喷涂表面光滑、无皱皮，8年内无锈腐，正常使用年限在15年以上。</w:t>
      </w:r>
    </w:p>
    <w:p w14:paraId="2AE12C8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（9）中标人先定样板，由招标人确定后方能安装；</w:t>
      </w:r>
    </w:p>
    <w:p w14:paraId="1B7546C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护栏要求</w:t>
      </w:r>
    </w:p>
    <w:p w14:paraId="7D29FC9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人非护栏（白色、京式）</w:t>
      </w:r>
    </w:p>
    <w:p w14:paraId="4ECB153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材料要求：</w:t>
      </w:r>
    </w:p>
    <w:p w14:paraId="5FF92D2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人行护栏技术要求</w:t>
      </w:r>
    </w:p>
    <w:p w14:paraId="7546130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（1）栏栅圆形实心钢φ16mm，单根不能为焊接件；</w:t>
      </w:r>
    </w:p>
    <w:p w14:paraId="1C54AF9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（2）横梁槽钢63×40×4.8mm上表面冲孔，栏栅圆形实心钢插入横梁孔后再进行焊接；</w:t>
      </w:r>
    </w:p>
    <w:p w14:paraId="77DFEDD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（3）立柱为热镀锌单立柱，采用80×80×2.0mm矩形钢管立柱；立柱与护栏片整体焊接完后热镀锌静电喷涂，在立柱的顶端安装一体冲压成型钢质柱帽；</w:t>
      </w:r>
    </w:p>
    <w:p w14:paraId="64B3683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（4）每格护栏长度为3080mm。焊接成形。不得出现型材弯曲、扭曲、宽窄不一致等现象，保持护栏整体一致性，均匀性；</w:t>
      </w:r>
    </w:p>
    <w:p w14:paraId="51B187B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（5）护栏立柱底部垂直于护栏方向焊接1根φ16mm钢筋，钢筋长24cm；</w:t>
      </w:r>
    </w:p>
    <w:p w14:paraId="22AFE50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（6）钢材部件用二氧化碳保护法焊接，表面波纹均匀，焊接处无夹渣、气孔、脱焊、虚焊、焊穿等现象，钢管表面进行除油、除锈、酸化、清水冲洗、烘干、磷化、喷涂等处理工序；</w:t>
      </w:r>
    </w:p>
    <w:p w14:paraId="50F2E35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（7）每格护栏焊接后经酸洗、防锈处理，再进行整体热镀锌、打磨及静电喷涂处理。热镀锌厚度不低于 85μm，钢管热镀锌后做静电喷涂处理，喷涂厚度不低于 100μm。静电喷涂颜色为户外高光白。护栏构件喷塑层均匀，无疤斑、滴流等表面缺陷；没有剥落、气泡、裂纹、擦伤等缺陷；喷塑层均匀无明显连接痕迹，无熔渣、色泽不一等缺陷；表面光滑、平整，无凹陷、杂质和其他表面缺陷。型材端部清洁、无毛刺。护栏端头、焊接点平滑；</w:t>
      </w:r>
    </w:p>
    <w:p w14:paraId="11083C4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（8）精度要求：护栏构件高度的允许偏差为±10mm；护栏竖杆间距的允许偏差为±5mm；</w:t>
      </w:r>
    </w:p>
    <w:p w14:paraId="03FC2D3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（9）人行护栏标准长度为3m，可根据实际情况对护栏长度进行调节；</w:t>
      </w:r>
    </w:p>
    <w:p w14:paraId="7C5F087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中间隔离护栏（白色，京式）</w:t>
      </w:r>
    </w:p>
    <w:p w14:paraId="64D3CE1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（1）形状为京式护栏，规格尺寸及部分要求详见附图；</w:t>
      </w:r>
    </w:p>
    <w:p w14:paraId="2C96FA2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（2）栏栅圆形实心钢，Ø16mm，单根不能为焊接件；</w:t>
      </w:r>
    </w:p>
    <w:p w14:paraId="3706F51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（3）横梁槽钢63×40×4.8mm上表面冲孔，栏栅圆形实心钢插入横梁孔后再进行焊接；</w:t>
      </w:r>
    </w:p>
    <w:p w14:paraId="20F6690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（4）每组立柱由1根80×80×2.0mm热镀锌方管组成；侧面轮廓标为钢质骨架热镀锌处理，反光面为45×190mm，贴有黄色3M棱镜型工程级反光膜；立柱顶部加盖钢制二次冲压盖帽，钢制盖帽应套嵌于立柱，并用螺钉固定；</w:t>
      </w:r>
    </w:p>
    <w:p w14:paraId="2827DEF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（5）每格护栏长度为3080mm。焊接成形。不得出现型材弯曲、扭曲、宽窄不一致等现象，保持护栏整体一致性，均匀性；</w:t>
      </w:r>
    </w:p>
    <w:p w14:paraId="1CA0ECF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（6）钢材部件用二氧化碳保护法焊接，表面波纹均匀，焊接处无夹渣、气孔、脱焊、虚焊、焊穿等现象，钢管表面进行除油、除锈、酸化、清水冲洗、烘干、磷化、喷涂等处理工序;</w:t>
      </w:r>
    </w:p>
    <w:p w14:paraId="64AF8DA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（7）每格护栏焊接后经酸洗、防锈处理，再进行整体热镀锌、打磨及静电喷涂处理。静电喷涂颜色为户外高光白9020A，喷塑要均匀、无色差、桔皮、龟裂现象；</w:t>
      </w:r>
    </w:p>
    <w:p w14:paraId="3DDA3C4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（8）护栏底座，尺寸为400×300×170mm，热镀锌钢板冲压成型，两边有凸起“公安”字样，内填混凝土，每只底座≥25公斤，钢质固定道钉：12×200mm。</w:t>
      </w:r>
    </w:p>
    <w:p w14:paraId="784725E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防腐蚀性能：</w:t>
      </w:r>
    </w:p>
    <w:p w14:paraId="5C857B3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护栏应具有良好的防腐蚀性能，能够在各种恶劣的自然环境下保持其性能和外观。</w:t>
      </w:r>
    </w:p>
    <w:p w14:paraId="07D4A94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常用的防腐处理方法包括热镀锌、喷塑和电镀等，这些方法能够有效防止护栏受到腐蚀和锈蚀，从而提高护栏的耐久性。</w:t>
      </w:r>
    </w:p>
    <w:p w14:paraId="046FAAE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防护性能：</w:t>
      </w:r>
    </w:p>
    <w:p w14:paraId="4AFCB8D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防护性能主要包括冲击性能和抗压性能。冲击性能是指护栏在受到冲击后能够有效吸收能量，减少对车辆和人员的伤害。抗压性能是指护栏在受到外力压力时能够保持稳定，不发生倒塌。</w:t>
      </w:r>
    </w:p>
    <w:p w14:paraId="5C4BBDC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护栏的冲击能量应符合GB/T 31439.1-2015的要求，抗压性能应符合GB/T 31439.2-2015的要求。</w:t>
      </w:r>
    </w:p>
    <w:p w14:paraId="60BDA6C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颜色标识：</w:t>
      </w:r>
    </w:p>
    <w:p w14:paraId="66B3444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护栏的颜色通常为白色，这是因为白色能够给人一种安全、稳定的感觉，同时也能够与其他交通设施进行区分，提高交通的可视性。</w:t>
      </w:r>
    </w:p>
    <w:p w14:paraId="064F55E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护栏上通常会安装反光标识，用于提醒司机注意护栏的存在。反光标识应符合道路交通安全标志和标线的相关要求，并且应能够在夜间或恶劣天气条件下有效反光。</w:t>
      </w:r>
    </w:p>
    <w:p w14:paraId="2C9F26E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安装要求：</w:t>
      </w:r>
    </w:p>
    <w:p w14:paraId="70A5522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护栏的安装应符合相关的国家标准和规范。首先，应选择合适的位置进行安装，避免对行车和行人造成不必要的影响。其次，安装时应保证护栏的稳固性和牢固性，确保其能够承受一定的冲击力。</w:t>
      </w:r>
    </w:p>
    <w:p w14:paraId="114D65E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警示柱</w:t>
      </w:r>
    </w:p>
    <w:p w14:paraId="614B308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外观要求：</w:t>
      </w:r>
    </w:p>
    <w:p w14:paraId="1C925EB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1.颜色:警示柱主体颜色应为醒目的红、白相间或黄、黑相间。其中，红色与白色或黄色与黑色条纹的宽度应基本一致，通常每条条纹宽度在100-150m之间。</w:t>
      </w:r>
    </w:p>
    <w:p w14:paraId="3647CBD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2.形状:一般为圆柱形，柱体应表面光滑，无明显裂缝、气泡、变形等缺陷。柱体直径通常在100-150mm 范围内。</w:t>
      </w:r>
    </w:p>
    <w:p w14:paraId="7B632C7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尺寸规格。</w:t>
      </w:r>
    </w:p>
    <w:p w14:paraId="26AE217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1.高度:常见的道路警示柱高度为800-1200mm，特殊场景下可根据实际需求调整，但误差应控制在±20mm以内。</w:t>
      </w:r>
    </w:p>
    <w:p w14:paraId="014656F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2.壁厚:柱体壁厚根据材质不同有所差异，塑料示柱壁厚一般在3-5mm，金属警示柱壁厚通常在2-4mm。</w:t>
      </w:r>
    </w:p>
    <w:p w14:paraId="0282932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材质要求：</w:t>
      </w:r>
    </w:p>
    <w:p w14:paraId="66530D3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1.塑料材质:应采用高强度、耐候性好的塑料，如聚乙烯(PE)或聚乙烯(PVC)。其密度应在0.921.4g/cm³之间，邵氏硬度达到60-90D，具有良好的抗冲击性能，在 40℃ -70℃环境温度下能正常使用，不发生脆化、变形等情况。</w:t>
      </w:r>
    </w:p>
    <w:p w14:paraId="1B2ECD1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2.金属材质:多选用不锈钢或铝合金。不锈钢材质的含铬量应不低于16%，抗拉强度不小于520MPa;铝合金材质的铝含量不低于 90%，抗拉强度达到180-300MPa，具备较好的防锈、耐腐蚀能力。</w:t>
      </w:r>
    </w:p>
    <w:p w14:paraId="6D7F796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反光性能：</w:t>
      </w:r>
    </w:p>
    <w:p w14:paraId="4E6109C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警示柱表面应粘贴反光膜，反光膜的逆反射系数需满足相关标准。</w:t>
      </w:r>
    </w:p>
    <w:p w14:paraId="7BC2164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安装要求：</w:t>
      </w:r>
    </w:p>
    <w:p w14:paraId="5FDC7D1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1.基础:警示柱安装基础应坚实、平整，对于在硬质路面安装，可采用膨胀螺栓固定，螺栓直径不小于 10mm;在软质地面安装，需浇筑混凝土基础，基础尺寸一般为长x宽x高=300mm*300mm*300mm。</w:t>
      </w:r>
    </w:p>
    <w:p w14:paraId="28B81EF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2.间距:在普通道路上，警示柱安装间距一般为10-20m;在弯道、路口等特殊地段，间距应适当缩短至510m。安装后警示柱应垂直于地面，倾斜度不超过±5。</w:t>
      </w:r>
    </w:p>
    <w:p w14:paraId="3A89DA3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5、服务要求：</w:t>
      </w:r>
    </w:p>
    <w:p w14:paraId="5585C8B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1）24小时维护制度要求</w:t>
      </w:r>
    </w:p>
    <w:p w14:paraId="087333E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Cambria Math" w:hAnsi="Cambria Math" w:eastAsia="宋体" w:cs="Cambria Math"/>
          <w:kern w:val="2"/>
          <w:sz w:val="24"/>
          <w:szCs w:val="24"/>
          <w:lang w:val="zh-CN" w:eastAsia="zh-CN" w:bidi="ar-SA"/>
        </w:rPr>
        <w:t>①</w:t>
      </w:r>
      <w:r>
        <w:rPr>
          <w:rFonts w:ascii="Times New Roman" w:hAnsi="Times New Roman" w:eastAsia="宋体" w:cs="Times New Roman"/>
          <w:kern w:val="2"/>
          <w:sz w:val="24"/>
          <w:szCs w:val="24"/>
          <w:lang w:val="zh-CN" w:eastAsia="zh-CN" w:bidi="ar-SA"/>
        </w:rPr>
        <w:t>中标投标人安排人员实施24小时值班制度（含法定节假日)，一个固定手机号码接报故障。</w:t>
      </w:r>
    </w:p>
    <w:p w14:paraId="469A3F8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Cambria Math" w:hAnsi="Cambria Math" w:eastAsia="宋体" w:cs="Cambria Math"/>
          <w:kern w:val="2"/>
          <w:sz w:val="24"/>
          <w:szCs w:val="24"/>
          <w:lang w:val="zh-CN" w:eastAsia="zh-CN" w:bidi="ar-SA"/>
        </w:rPr>
        <w:t>②</w:t>
      </w:r>
      <w:r>
        <w:rPr>
          <w:rFonts w:ascii="Times New Roman" w:hAnsi="Times New Roman" w:eastAsia="宋体" w:cs="Times New Roman"/>
          <w:kern w:val="2"/>
          <w:sz w:val="24"/>
          <w:szCs w:val="24"/>
          <w:lang w:val="zh-CN" w:eastAsia="zh-CN" w:bidi="ar-SA"/>
        </w:rPr>
        <w:t>中标投标人安排人员实施24小时维护工作机制（含法定节假日)，维护人员接故障报警后按规定时间到达现场，及时排除故障。</w:t>
      </w:r>
    </w:p>
    <w:p w14:paraId="2684743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Cambria Math" w:hAnsi="Cambria Math" w:eastAsia="宋体" w:cs="Cambria Math"/>
          <w:kern w:val="2"/>
          <w:sz w:val="24"/>
          <w:szCs w:val="24"/>
          <w:lang w:val="zh-CN" w:eastAsia="zh-CN" w:bidi="ar-SA"/>
        </w:rPr>
        <w:t>③</w:t>
      </w:r>
      <w:r>
        <w:rPr>
          <w:rFonts w:ascii="Times New Roman" w:hAnsi="Times New Roman" w:eastAsia="宋体" w:cs="Times New Roman"/>
          <w:kern w:val="2"/>
          <w:sz w:val="24"/>
          <w:szCs w:val="24"/>
          <w:lang w:val="zh-CN" w:eastAsia="zh-CN" w:bidi="ar-SA"/>
        </w:rPr>
        <w:t>中标投标人针对大型活动、法定假日、突发事件等情况，在中标后1个月内制定维护工程应急处突预案上报采购人。预案中需明确处突人员、车辆、机具配置等保障措施，并按采购人要求按时到达处置现场。</w:t>
      </w:r>
    </w:p>
    <w:p w14:paraId="426A343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2）、响应时间要求</w:t>
      </w:r>
    </w:p>
    <w:p w14:paraId="7F623FE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从接收维护通知时间起，到达现场不超过1个小时。</w:t>
      </w:r>
    </w:p>
    <w:p w14:paraId="773B636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3）、资料提交要求</w:t>
      </w:r>
    </w:p>
    <w:p w14:paraId="3C614D7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（1）使用材料、设备，需提供以下资料：</w:t>
      </w:r>
    </w:p>
    <w:p w14:paraId="7BE4DEF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主要材料、设备进场前，提供主要产品合格证书、检测报告、产品质量证明书、信号机说明书等相关资料，由采购人审核合格填报《材料进场报审表》（采购人、中标人签字、盖章）后方可投入使用。</w:t>
      </w:r>
    </w:p>
    <w:p w14:paraId="164A675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（2）维护工作开展前，需提供维护工程资料：</w:t>
      </w:r>
    </w:p>
    <w:p w14:paraId="3F6A9A9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中标投标人在进场开展维护工作前，应向采购人提供请示审批资料。</w:t>
      </w:r>
    </w:p>
    <w:p w14:paraId="77BA7377">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（3）每月2号经抽查考核验收的项目纳入支付资料、装订成册提交采购人.</w:t>
      </w:r>
    </w:p>
    <w:p w14:paraId="46EC94C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（4）采购人要求的其他资料。</w:t>
      </w:r>
    </w:p>
    <w:p w14:paraId="7D14ED4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4）、废旧物资回收要求</w:t>
      </w:r>
    </w:p>
    <w:p w14:paraId="26DF020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对维护工程中拆除的灯杆、灯具、线缆、信号机及配件等废旧物资应一周内送达由采购人在经开区范围内设置的存放地点分类存放，在拆除的废旧物资上标明所在路口、位置、时间等内容。</w:t>
      </w:r>
    </w:p>
    <w:p w14:paraId="545E76F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九、工期要求</w:t>
      </w:r>
    </w:p>
    <w:p w14:paraId="47072EE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中标人应严格按照规定的时限完成维护工作。</w:t>
      </w:r>
    </w:p>
    <w:p w14:paraId="799E7AA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（1）更换井盖，8小时内完成。</w:t>
      </w:r>
    </w:p>
    <w:p w14:paraId="4FD5323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（2）更换灯具、信号机配件等简单处置工作，应在12小时内完成。</w:t>
      </w:r>
    </w:p>
    <w:p w14:paraId="40F51D8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（3）维护工程量较大、施工难度较大的任务由采购人确定工期，中标人按期完成。</w:t>
      </w:r>
    </w:p>
    <w:p w14:paraId="1679EBC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（4）采购人安排的专项任务，中标人须在采购人规定的时限内完成。</w:t>
      </w:r>
    </w:p>
    <w:p w14:paraId="5E570C2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十、质量保证要求</w:t>
      </w:r>
    </w:p>
    <w:p w14:paraId="4C7B273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（1）维护工程质保期为一年，以采购人验收合格时间起开始计算质保期。更换的设备质保三年（已更换日期为准）。</w:t>
      </w:r>
    </w:p>
    <w:p w14:paraId="2B9C2F0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（2）中标人应对隐蔽工程及产品在正常使用期限内的质量和安全负责。</w:t>
      </w:r>
    </w:p>
    <w:p w14:paraId="21C5661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（3）若由于产品或施工质量引起灯杆、灯具发生倾倒等情况造成人员伤亡、财产损失均由中标人承担一切法律、经济责任。</w:t>
      </w:r>
    </w:p>
    <w:p w14:paraId="2CEADAA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（4）质保期内安装发生质量问题，由采购人通知中标人负责维修与整改,中标人应在24小时内进行处置,由此产生的各项费用由中标人承担,且质保期应延长6个月。</w:t>
      </w:r>
    </w:p>
    <w:p w14:paraId="48D1E42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（5）中标人应按国家标准或行业标准规定以及本合同的要求，</w:t>
      </w:r>
    </w:p>
    <w:p w14:paraId="372B40B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主要材料、设备进场前，应提供主要产品合格证书、检测报告、产品质量证明书、信号机说明书等相关资料，由采购人审核合格后填报《材料进场申报表》方可投入使用。</w:t>
      </w:r>
    </w:p>
    <w:p w14:paraId="115F0A1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6）中标人应保证所提供的产品、材料是全新的，并完全符合技术参数中规定的质量、规格和性能要求。中标人应保证其产品、材料在正确安装、正常使用期限内均具有合格的性能。在合同规定的质量保证期内，中标人应对由于工艺、材料或安装缺陷而引发的故障，无条件进行免费维修。</w:t>
      </w:r>
    </w:p>
    <w:p w14:paraId="061405F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十一、抽查考核验收工作要求</w:t>
      </w:r>
    </w:p>
    <w:p w14:paraId="493622E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（1）中标人须在每月23日将上月23日至本月22日期间已完工并经采购人验收合格的维护工程纳入抽查、考核、验收范围。</w:t>
      </w:r>
    </w:p>
    <w:p w14:paraId="3CE6FFD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（2）中标人每月按采购人要求派人参加工程服务类项目的抽查、考核、验收工作。</w:t>
      </w:r>
    </w:p>
    <w:p w14:paraId="04F2C7B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（3）抽查、考核、验收标准为设计文件、国家标准、招投标文件的相关规定和要求。</w:t>
      </w:r>
    </w:p>
    <w:p w14:paraId="70E43F5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十二、备品备件要求</w:t>
      </w:r>
    </w:p>
    <w:p w14:paraId="7F5F15F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为保证维护工作的顺利进行，要求中标人自备日常维护所需备品备件，不得因备品备件不足影响维护工作。</w:t>
      </w:r>
    </w:p>
    <w:p w14:paraId="7DD9ABD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十三、产品送检要求</w:t>
      </w:r>
    </w:p>
    <w:p w14:paraId="22A3647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对维护工程中使用的产品、材料，采购人将根据需要不定期随机取样，并送具备资质的检测部门进行检测，检测费用由采购人承担。</w:t>
      </w:r>
    </w:p>
    <w:p w14:paraId="715172E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十四、信号灯杆件（含结构套件）检测要求</w:t>
      </w:r>
    </w:p>
    <w:p w14:paraId="5CB2140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中标后如需实施，中标人需委托国家法定检测机构，对采购人回收再利用的灯杆进行检测。中标人委托的检测机构应具有:交通运输部颁发的公路水运工程试验检测交通工程专项等级资质（2）采购人根据维护工作安排适时向中标人提供库存或回收的信号灯杆进行检测，中标人的信号灯杆检测需按国家规范标准进行钢结构无损检测，并向采购人提供检测报告。</w:t>
      </w:r>
    </w:p>
    <w:p w14:paraId="36B76A8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十五、回收物资再利用要求。</w:t>
      </w:r>
    </w:p>
    <w:p w14:paraId="357E5492">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对工程服务：</w:t>
      </w:r>
    </w:p>
    <w:p w14:paraId="4A7F403A">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1.应首先利用库存物资（包括灯杆、灯具、信号机等）。</w:t>
      </w:r>
    </w:p>
    <w:p w14:paraId="0ECFCD1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2.若无适用的相同类型、规格的库存物资，或经上级领导批准的应急工程，方可采用新的材料或产品。</w:t>
      </w:r>
    </w:p>
    <w:p w14:paraId="54FB7A9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十六、交通事故、市政施工损坏信号灯及其附属设施的办理要求</w:t>
      </w:r>
    </w:p>
    <w:p w14:paraId="4E99E1A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交通事故、市政施工导致信号灯及其附属设施损坏，由中标人实施恢复。已发现肇事者的，在肇事者按流程向市财政进行赔付的同时，对中标人的修复工作按维护工程项目支付；对未发现肇事者的，维护费用由中标人承担（纳入维护服务项目），不另行支付。</w:t>
      </w:r>
    </w:p>
    <w:p w14:paraId="00725009">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十七、实施方案及计划进度</w:t>
      </w:r>
    </w:p>
    <w:p w14:paraId="3C751B9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维管工作通过考核，按六个月审核结算一次。</w:t>
      </w:r>
    </w:p>
    <w:p w14:paraId="73B17EF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十八、工作范围</w:t>
      </w:r>
    </w:p>
    <w:p w14:paraId="7B61F8F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目前经开区信号灯每个路口新旧不同，且路口数据在不断变化中，投标人需根据路口情况及服务要求做好相应服务方案。</w:t>
      </w:r>
    </w:p>
    <w:p w14:paraId="78981C93">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十九、人员及违约的管理</w:t>
      </w:r>
    </w:p>
    <w:p w14:paraId="7E8D2A4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项目经理、技术负责人由采购方相关负责单位负责安排工作及考核，电工的管理工作由中标单位考核。对违约的行为进行记录、考核、处罚，具体如下：</w:t>
      </w:r>
    </w:p>
    <w:p w14:paraId="089D2318">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项目经理负责整个项目的管理，安排好值班表，上报综合行政执法局、交警大队。</w:t>
      </w:r>
    </w:p>
    <w:p w14:paraId="0F58161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项目经理或技术负责人至少一人按照大队的作息时间在大队上下班。全年作息时间为7:30—19:30，每天都要有人员值班。</w:t>
      </w:r>
    </w:p>
    <w:p w14:paraId="4153C63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项目经理或技术负责人和专业技术人员做好以下工作：（1）项目经理负责安排标的工作;（2）检测路口交通信号的通讯及运行状况，填写设备运行日志，负责资料、档案的收集（3）对不能按时完成的，根据拖延的时间考核维修状况,按照合同扣除维修经费，督促公司履约。</w:t>
      </w:r>
    </w:p>
    <w:p w14:paraId="45E9359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综合行政执法局、交警大队定期或不定期地对所有人员考勤，无故旷工的每天扣400元；迟到、早退的每次扣100元；超时完成标书约定的，每次扣除1000元，超过24小时的，每天扣除2000元。由综合行政执法局、交警大队和中标单位项目经理或技术负责人共同签字，结算时统一扣除，中标单位项目经理或技术负责人拒签的由采购人代签生效，并再扣2000元违约金。</w:t>
      </w:r>
    </w:p>
    <w:p w14:paraId="1EB94EA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5、按照社会化合作项目保密安全规范签署保密协议。</w:t>
      </w:r>
    </w:p>
    <w:p w14:paraId="460C0981">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二十、道路交通信号灯维护服务项目清单及维护服务费用限价（现经开区信号灯路口</w:t>
      </w:r>
      <w:r>
        <w:rPr>
          <w:rFonts w:hint="eastAsia" w:ascii="Times New Roman" w:hAnsi="Times New Roman" w:eastAsia="宋体" w:cs="Times New Roman"/>
          <w:kern w:val="2"/>
          <w:sz w:val="24"/>
          <w:szCs w:val="24"/>
          <w:lang w:val="en-US" w:eastAsia="zh-CN" w:bidi="ar-SA"/>
        </w:rPr>
        <w:t>数据为大概数</w:t>
      </w:r>
      <w:r>
        <w:rPr>
          <w:rFonts w:ascii="Times New Roman" w:hAnsi="Times New Roman" w:eastAsia="宋体" w:cs="Times New Roman"/>
          <w:kern w:val="2"/>
          <w:sz w:val="24"/>
          <w:szCs w:val="24"/>
          <w:lang w:val="zh-CN" w:eastAsia="zh-CN" w:bidi="ar-SA"/>
        </w:rPr>
        <w:t>，数据后期会有增减，维管需根据实际情况进行）</w:t>
      </w:r>
    </w:p>
    <w:tbl>
      <w:tblPr>
        <w:tblStyle w:val="2"/>
        <w:tblW w:w="5097" w:type="pct"/>
        <w:tblInd w:w="0" w:type="dxa"/>
        <w:tblLayout w:type="autofit"/>
        <w:tblCellMar>
          <w:top w:w="0" w:type="dxa"/>
          <w:left w:w="108" w:type="dxa"/>
          <w:bottom w:w="0" w:type="dxa"/>
          <w:right w:w="108" w:type="dxa"/>
        </w:tblCellMar>
      </w:tblPr>
      <w:tblGrid>
        <w:gridCol w:w="579"/>
        <w:gridCol w:w="4715"/>
        <w:gridCol w:w="579"/>
        <w:gridCol w:w="1133"/>
        <w:gridCol w:w="745"/>
        <w:gridCol w:w="936"/>
      </w:tblGrid>
      <w:tr w14:paraId="79CB51AB">
        <w:trPr>
          <w:trHeight w:val="353" w:hRule="atLeast"/>
        </w:trPr>
        <w:tc>
          <w:tcPr>
            <w:tcW w:w="5000" w:type="pct"/>
            <w:gridSpan w:val="6"/>
            <w:tcBorders>
              <w:top w:val="single" w:color="auto" w:sz="4" w:space="0"/>
              <w:left w:val="single" w:color="auto" w:sz="4" w:space="0"/>
              <w:bottom w:val="single" w:color="auto" w:sz="4" w:space="0"/>
              <w:right w:val="single" w:color="000000" w:sz="4" w:space="0"/>
            </w:tcBorders>
            <w:shd w:val="clear" w:color="000000" w:fill="FFFF00"/>
            <w:noWrap/>
            <w:vAlign w:val="bottom"/>
          </w:tcPr>
          <w:p w14:paraId="7C62EA81">
            <w:pPr>
              <w:widowControl/>
              <w:spacing w:before="0" w:after="0" w:line="240" w:lineRule="auto"/>
              <w:ind w:firstLine="0" w:firstLineChars="0"/>
              <w:jc w:val="center"/>
              <w:rPr>
                <w:rFonts w:hint="eastAsia" w:ascii="等线" w:hAnsi="等线" w:eastAsia="等线" w:cs="宋体"/>
                <w:color w:val="000000"/>
                <w:kern w:val="0"/>
                <w:sz w:val="28"/>
                <w:szCs w:val="28"/>
                <w:lang w:val="en-US" w:eastAsia="zh-CN" w:bidi="ar-SA"/>
              </w:rPr>
            </w:pPr>
            <w:r>
              <w:rPr>
                <w:rFonts w:ascii="等线" w:hAnsi="等线" w:eastAsia="等线" w:cs="宋体"/>
                <w:color w:val="000000"/>
                <w:kern w:val="0"/>
                <w:sz w:val="28"/>
                <w:szCs w:val="28"/>
                <w:lang w:val="en-US" w:eastAsia="zh-CN" w:bidi="ar-SA"/>
              </w:rPr>
              <w:t>分项价格表</w:t>
            </w:r>
          </w:p>
        </w:tc>
      </w:tr>
      <w:tr w14:paraId="5CA78E0A">
        <w:tblPrEx>
          <w:tblCellMar>
            <w:top w:w="0" w:type="dxa"/>
            <w:left w:w="108" w:type="dxa"/>
            <w:bottom w:w="0" w:type="dxa"/>
            <w:right w:w="108" w:type="dxa"/>
          </w:tblCellMar>
        </w:tblPrEx>
        <w:trPr>
          <w:trHeight w:val="315" w:hRule="atLeast"/>
        </w:trPr>
        <w:tc>
          <w:tcPr>
            <w:tcW w:w="5000" w:type="pct"/>
            <w:gridSpan w:val="6"/>
            <w:tcBorders>
              <w:top w:val="single" w:color="auto" w:sz="4" w:space="0"/>
              <w:left w:val="single" w:color="auto" w:sz="4" w:space="0"/>
              <w:bottom w:val="single" w:color="auto" w:sz="4" w:space="0"/>
              <w:right w:val="single" w:color="000000" w:sz="4" w:space="0"/>
            </w:tcBorders>
            <w:vAlign w:val="center"/>
          </w:tcPr>
          <w:p w14:paraId="0809023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人工及机械费</w:t>
            </w:r>
          </w:p>
        </w:tc>
      </w:tr>
      <w:tr w14:paraId="03300079">
        <w:tblPrEx>
          <w:tblCellMar>
            <w:top w:w="0" w:type="dxa"/>
            <w:left w:w="108" w:type="dxa"/>
            <w:bottom w:w="0" w:type="dxa"/>
            <w:right w:w="108" w:type="dxa"/>
          </w:tblCellMar>
        </w:tblPrEx>
        <w:trPr>
          <w:trHeight w:val="945" w:hRule="atLeast"/>
        </w:trPr>
        <w:tc>
          <w:tcPr>
            <w:tcW w:w="344" w:type="pct"/>
            <w:tcBorders>
              <w:top w:val="nil"/>
              <w:left w:val="single" w:color="auto" w:sz="4" w:space="0"/>
              <w:bottom w:val="single" w:color="auto" w:sz="4" w:space="0"/>
              <w:right w:val="single" w:color="auto" w:sz="4" w:space="0"/>
            </w:tcBorders>
            <w:vAlign w:val="center"/>
          </w:tcPr>
          <w:p w14:paraId="2300F21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序号</w:t>
            </w:r>
          </w:p>
        </w:tc>
        <w:tc>
          <w:tcPr>
            <w:tcW w:w="2725" w:type="pct"/>
            <w:tcBorders>
              <w:top w:val="nil"/>
              <w:left w:val="nil"/>
              <w:bottom w:val="single" w:color="auto" w:sz="4" w:space="0"/>
              <w:right w:val="single" w:color="auto" w:sz="4" w:space="0"/>
            </w:tcBorders>
            <w:vAlign w:val="center"/>
          </w:tcPr>
          <w:p w14:paraId="7654621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明细</w:t>
            </w:r>
          </w:p>
        </w:tc>
        <w:tc>
          <w:tcPr>
            <w:tcW w:w="344" w:type="pct"/>
            <w:tcBorders>
              <w:top w:val="nil"/>
              <w:left w:val="nil"/>
              <w:bottom w:val="single" w:color="auto" w:sz="4" w:space="0"/>
              <w:right w:val="single" w:color="auto" w:sz="4" w:space="0"/>
            </w:tcBorders>
            <w:vAlign w:val="center"/>
          </w:tcPr>
          <w:p w14:paraId="1E44620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单位</w:t>
            </w:r>
          </w:p>
        </w:tc>
        <w:tc>
          <w:tcPr>
            <w:tcW w:w="663" w:type="pct"/>
            <w:tcBorders>
              <w:top w:val="nil"/>
              <w:left w:val="nil"/>
              <w:bottom w:val="single" w:color="auto" w:sz="4" w:space="0"/>
              <w:right w:val="single" w:color="auto" w:sz="4" w:space="0"/>
            </w:tcBorders>
            <w:vAlign w:val="center"/>
          </w:tcPr>
          <w:p w14:paraId="4072680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最高限价单价（元）</w:t>
            </w:r>
          </w:p>
        </w:tc>
        <w:tc>
          <w:tcPr>
            <w:tcW w:w="440" w:type="pct"/>
            <w:tcBorders>
              <w:top w:val="nil"/>
              <w:left w:val="nil"/>
              <w:bottom w:val="single" w:color="auto" w:sz="4" w:space="0"/>
              <w:right w:val="single" w:color="auto" w:sz="4" w:space="0"/>
            </w:tcBorders>
            <w:vAlign w:val="center"/>
          </w:tcPr>
          <w:p w14:paraId="000EF16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品牌及型号</w:t>
            </w:r>
          </w:p>
        </w:tc>
        <w:tc>
          <w:tcPr>
            <w:tcW w:w="481" w:type="pct"/>
            <w:tcBorders>
              <w:top w:val="nil"/>
              <w:left w:val="nil"/>
              <w:bottom w:val="single" w:color="auto" w:sz="4" w:space="0"/>
              <w:right w:val="single" w:color="auto" w:sz="4" w:space="0"/>
            </w:tcBorders>
            <w:vAlign w:val="center"/>
          </w:tcPr>
          <w:p w14:paraId="584FA9C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单价报价（元）</w:t>
            </w:r>
          </w:p>
        </w:tc>
      </w:tr>
      <w:tr w14:paraId="30EF03CA">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638EDB4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w:t>
            </w:r>
          </w:p>
        </w:tc>
        <w:tc>
          <w:tcPr>
            <w:tcW w:w="2725" w:type="pct"/>
            <w:tcBorders>
              <w:top w:val="nil"/>
              <w:left w:val="nil"/>
              <w:bottom w:val="single" w:color="auto" w:sz="4" w:space="0"/>
              <w:right w:val="single" w:color="auto" w:sz="4" w:space="0"/>
            </w:tcBorders>
            <w:vAlign w:val="center"/>
          </w:tcPr>
          <w:p w14:paraId="7A7F0AE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项目负责人：按采购需求核算平均每人每月服务费用。</w:t>
            </w:r>
          </w:p>
        </w:tc>
        <w:tc>
          <w:tcPr>
            <w:tcW w:w="344" w:type="pct"/>
            <w:tcBorders>
              <w:top w:val="nil"/>
              <w:left w:val="nil"/>
              <w:bottom w:val="single" w:color="auto" w:sz="4" w:space="0"/>
              <w:right w:val="single" w:color="auto" w:sz="4" w:space="0"/>
            </w:tcBorders>
            <w:vAlign w:val="center"/>
          </w:tcPr>
          <w:p w14:paraId="76D26E7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01E6070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8000</w:t>
            </w:r>
          </w:p>
        </w:tc>
        <w:tc>
          <w:tcPr>
            <w:tcW w:w="440" w:type="pct"/>
            <w:tcBorders>
              <w:top w:val="nil"/>
              <w:left w:val="nil"/>
              <w:bottom w:val="single" w:color="auto" w:sz="4" w:space="0"/>
              <w:right w:val="single" w:color="auto" w:sz="4" w:space="0"/>
            </w:tcBorders>
            <w:noWrap/>
            <w:vAlign w:val="bottom"/>
          </w:tcPr>
          <w:p w14:paraId="70A8925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E03556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5A1FF6D">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5C7133E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w:t>
            </w:r>
          </w:p>
        </w:tc>
        <w:tc>
          <w:tcPr>
            <w:tcW w:w="2725" w:type="pct"/>
            <w:tcBorders>
              <w:top w:val="nil"/>
              <w:left w:val="nil"/>
              <w:bottom w:val="single" w:color="auto" w:sz="4" w:space="0"/>
              <w:right w:val="single" w:color="auto" w:sz="4" w:space="0"/>
            </w:tcBorders>
            <w:vAlign w:val="center"/>
          </w:tcPr>
          <w:p w14:paraId="7DE0DE6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技术负责人：按采购需求核算平均每人每月服务费用。</w:t>
            </w:r>
          </w:p>
        </w:tc>
        <w:tc>
          <w:tcPr>
            <w:tcW w:w="344" w:type="pct"/>
            <w:tcBorders>
              <w:top w:val="nil"/>
              <w:left w:val="nil"/>
              <w:bottom w:val="single" w:color="auto" w:sz="4" w:space="0"/>
              <w:right w:val="single" w:color="auto" w:sz="4" w:space="0"/>
            </w:tcBorders>
            <w:vAlign w:val="center"/>
          </w:tcPr>
          <w:p w14:paraId="36C0620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0D7D1C9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6500</w:t>
            </w:r>
          </w:p>
        </w:tc>
        <w:tc>
          <w:tcPr>
            <w:tcW w:w="440" w:type="pct"/>
            <w:tcBorders>
              <w:top w:val="nil"/>
              <w:left w:val="nil"/>
              <w:bottom w:val="single" w:color="auto" w:sz="4" w:space="0"/>
              <w:right w:val="single" w:color="auto" w:sz="4" w:space="0"/>
            </w:tcBorders>
            <w:noWrap/>
            <w:vAlign w:val="bottom"/>
          </w:tcPr>
          <w:p w14:paraId="13BE2D8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1E5BD7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9A11934">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12D0F53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w:t>
            </w:r>
          </w:p>
        </w:tc>
        <w:tc>
          <w:tcPr>
            <w:tcW w:w="2725" w:type="pct"/>
            <w:tcBorders>
              <w:top w:val="nil"/>
              <w:left w:val="nil"/>
              <w:bottom w:val="single" w:color="auto" w:sz="4" w:space="0"/>
              <w:right w:val="single" w:color="auto" w:sz="4" w:space="0"/>
            </w:tcBorders>
            <w:vAlign w:val="center"/>
          </w:tcPr>
          <w:p w14:paraId="755BBF5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专职技术员：按采购需求核算平均每人每月服务费用。</w:t>
            </w:r>
          </w:p>
        </w:tc>
        <w:tc>
          <w:tcPr>
            <w:tcW w:w="344" w:type="pct"/>
            <w:tcBorders>
              <w:top w:val="nil"/>
              <w:left w:val="nil"/>
              <w:bottom w:val="single" w:color="auto" w:sz="4" w:space="0"/>
              <w:right w:val="single" w:color="auto" w:sz="4" w:space="0"/>
            </w:tcBorders>
            <w:vAlign w:val="center"/>
          </w:tcPr>
          <w:p w14:paraId="5BC8DC6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43BB324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5500</w:t>
            </w:r>
          </w:p>
        </w:tc>
        <w:tc>
          <w:tcPr>
            <w:tcW w:w="440" w:type="pct"/>
            <w:tcBorders>
              <w:top w:val="nil"/>
              <w:left w:val="nil"/>
              <w:bottom w:val="single" w:color="auto" w:sz="4" w:space="0"/>
              <w:right w:val="single" w:color="auto" w:sz="4" w:space="0"/>
            </w:tcBorders>
            <w:noWrap/>
            <w:vAlign w:val="bottom"/>
          </w:tcPr>
          <w:p w14:paraId="7F85B59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794919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E70E09B">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2450BC3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w:t>
            </w:r>
          </w:p>
        </w:tc>
        <w:tc>
          <w:tcPr>
            <w:tcW w:w="2725" w:type="pct"/>
            <w:tcBorders>
              <w:top w:val="nil"/>
              <w:left w:val="nil"/>
              <w:bottom w:val="single" w:color="auto" w:sz="4" w:space="0"/>
              <w:right w:val="single" w:color="auto" w:sz="4" w:space="0"/>
            </w:tcBorders>
            <w:vAlign w:val="center"/>
          </w:tcPr>
          <w:p w14:paraId="4850E85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施工员及专职焊工：按采购需求核算平均每人每月服务费用。</w:t>
            </w:r>
          </w:p>
        </w:tc>
        <w:tc>
          <w:tcPr>
            <w:tcW w:w="344" w:type="pct"/>
            <w:tcBorders>
              <w:top w:val="nil"/>
              <w:left w:val="nil"/>
              <w:bottom w:val="single" w:color="auto" w:sz="4" w:space="0"/>
              <w:right w:val="single" w:color="auto" w:sz="4" w:space="0"/>
            </w:tcBorders>
            <w:vAlign w:val="center"/>
          </w:tcPr>
          <w:p w14:paraId="62EE161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62D24AF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5000</w:t>
            </w:r>
          </w:p>
        </w:tc>
        <w:tc>
          <w:tcPr>
            <w:tcW w:w="440" w:type="pct"/>
            <w:tcBorders>
              <w:top w:val="nil"/>
              <w:left w:val="nil"/>
              <w:bottom w:val="single" w:color="auto" w:sz="4" w:space="0"/>
              <w:right w:val="single" w:color="auto" w:sz="4" w:space="0"/>
            </w:tcBorders>
            <w:noWrap/>
            <w:vAlign w:val="bottom"/>
          </w:tcPr>
          <w:p w14:paraId="3891F08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1C5DB0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502A968">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B65693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w:t>
            </w:r>
          </w:p>
        </w:tc>
        <w:tc>
          <w:tcPr>
            <w:tcW w:w="2725" w:type="pct"/>
            <w:tcBorders>
              <w:top w:val="nil"/>
              <w:left w:val="nil"/>
              <w:bottom w:val="single" w:color="auto" w:sz="4" w:space="0"/>
              <w:right w:val="single" w:color="auto" w:sz="4" w:space="0"/>
            </w:tcBorders>
            <w:vAlign w:val="center"/>
          </w:tcPr>
          <w:p w14:paraId="3C81FA5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设备仓库租赁费</w:t>
            </w:r>
          </w:p>
        </w:tc>
        <w:tc>
          <w:tcPr>
            <w:tcW w:w="344" w:type="pct"/>
            <w:tcBorders>
              <w:top w:val="nil"/>
              <w:left w:val="nil"/>
              <w:bottom w:val="single" w:color="auto" w:sz="4" w:space="0"/>
              <w:right w:val="single" w:color="auto" w:sz="4" w:space="0"/>
            </w:tcBorders>
            <w:vAlign w:val="center"/>
          </w:tcPr>
          <w:p w14:paraId="616E68A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套/月</w:t>
            </w:r>
          </w:p>
        </w:tc>
        <w:tc>
          <w:tcPr>
            <w:tcW w:w="663" w:type="pct"/>
            <w:tcBorders>
              <w:top w:val="nil"/>
              <w:left w:val="nil"/>
              <w:bottom w:val="single" w:color="auto" w:sz="4" w:space="0"/>
              <w:right w:val="single" w:color="auto" w:sz="4" w:space="0"/>
            </w:tcBorders>
            <w:vAlign w:val="center"/>
          </w:tcPr>
          <w:p w14:paraId="63B272B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4000</w:t>
            </w:r>
          </w:p>
        </w:tc>
        <w:tc>
          <w:tcPr>
            <w:tcW w:w="440" w:type="pct"/>
            <w:tcBorders>
              <w:top w:val="nil"/>
              <w:left w:val="nil"/>
              <w:bottom w:val="single" w:color="auto" w:sz="4" w:space="0"/>
              <w:right w:val="single" w:color="auto" w:sz="4" w:space="0"/>
            </w:tcBorders>
            <w:noWrap/>
            <w:vAlign w:val="bottom"/>
          </w:tcPr>
          <w:p w14:paraId="4FE897D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9163BD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90031B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229CFC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w:t>
            </w:r>
          </w:p>
        </w:tc>
        <w:tc>
          <w:tcPr>
            <w:tcW w:w="2725" w:type="pct"/>
            <w:tcBorders>
              <w:top w:val="nil"/>
              <w:left w:val="nil"/>
              <w:bottom w:val="single" w:color="auto" w:sz="4" w:space="0"/>
              <w:right w:val="single" w:color="auto" w:sz="4" w:space="0"/>
            </w:tcBorders>
            <w:vAlign w:val="center"/>
          </w:tcPr>
          <w:p w14:paraId="7913D1D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临时信号灯</w:t>
            </w:r>
          </w:p>
        </w:tc>
        <w:tc>
          <w:tcPr>
            <w:tcW w:w="344" w:type="pct"/>
            <w:tcBorders>
              <w:top w:val="nil"/>
              <w:left w:val="nil"/>
              <w:bottom w:val="single" w:color="auto" w:sz="4" w:space="0"/>
              <w:right w:val="single" w:color="auto" w:sz="4" w:space="0"/>
            </w:tcBorders>
            <w:vAlign w:val="center"/>
          </w:tcPr>
          <w:p w14:paraId="0865FDD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p>
        </w:tc>
        <w:tc>
          <w:tcPr>
            <w:tcW w:w="663" w:type="pct"/>
            <w:tcBorders>
              <w:top w:val="nil"/>
              <w:left w:val="nil"/>
              <w:bottom w:val="single" w:color="auto" w:sz="4" w:space="0"/>
              <w:right w:val="single" w:color="auto" w:sz="4" w:space="0"/>
            </w:tcBorders>
            <w:vAlign w:val="center"/>
          </w:tcPr>
          <w:p w14:paraId="4BC73D8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5000</w:t>
            </w:r>
          </w:p>
        </w:tc>
        <w:tc>
          <w:tcPr>
            <w:tcW w:w="440" w:type="pct"/>
            <w:tcBorders>
              <w:top w:val="nil"/>
              <w:left w:val="nil"/>
              <w:bottom w:val="single" w:color="auto" w:sz="4" w:space="0"/>
              <w:right w:val="single" w:color="auto" w:sz="4" w:space="0"/>
            </w:tcBorders>
            <w:noWrap/>
            <w:vAlign w:val="bottom"/>
          </w:tcPr>
          <w:p w14:paraId="35902E8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755934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ACA4EC6">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780C77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w:t>
            </w:r>
          </w:p>
        </w:tc>
        <w:tc>
          <w:tcPr>
            <w:tcW w:w="2725" w:type="pct"/>
            <w:tcBorders>
              <w:top w:val="nil"/>
              <w:left w:val="nil"/>
              <w:bottom w:val="single" w:color="auto" w:sz="4" w:space="0"/>
              <w:right w:val="single" w:color="auto" w:sz="4" w:space="0"/>
            </w:tcBorders>
            <w:vAlign w:val="center"/>
          </w:tcPr>
          <w:p w14:paraId="72704B8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汽油发电机</w:t>
            </w:r>
          </w:p>
        </w:tc>
        <w:tc>
          <w:tcPr>
            <w:tcW w:w="344" w:type="pct"/>
            <w:tcBorders>
              <w:top w:val="nil"/>
              <w:left w:val="nil"/>
              <w:bottom w:val="single" w:color="auto" w:sz="4" w:space="0"/>
              <w:right w:val="single" w:color="auto" w:sz="4" w:space="0"/>
            </w:tcBorders>
            <w:vAlign w:val="center"/>
          </w:tcPr>
          <w:p w14:paraId="590FA36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p>
        </w:tc>
        <w:tc>
          <w:tcPr>
            <w:tcW w:w="663" w:type="pct"/>
            <w:tcBorders>
              <w:top w:val="nil"/>
              <w:left w:val="nil"/>
              <w:bottom w:val="single" w:color="auto" w:sz="4" w:space="0"/>
              <w:right w:val="single" w:color="auto" w:sz="4" w:space="0"/>
            </w:tcBorders>
            <w:vAlign w:val="center"/>
          </w:tcPr>
          <w:p w14:paraId="47FCD3B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3500</w:t>
            </w:r>
          </w:p>
        </w:tc>
        <w:tc>
          <w:tcPr>
            <w:tcW w:w="440" w:type="pct"/>
            <w:tcBorders>
              <w:top w:val="nil"/>
              <w:left w:val="nil"/>
              <w:bottom w:val="single" w:color="auto" w:sz="4" w:space="0"/>
              <w:right w:val="single" w:color="auto" w:sz="4" w:space="0"/>
            </w:tcBorders>
            <w:noWrap/>
            <w:vAlign w:val="bottom"/>
          </w:tcPr>
          <w:p w14:paraId="4953659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F6CC4E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EE043F3">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2E3CC3A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w:t>
            </w:r>
          </w:p>
        </w:tc>
        <w:tc>
          <w:tcPr>
            <w:tcW w:w="2725" w:type="pct"/>
            <w:tcBorders>
              <w:top w:val="nil"/>
              <w:left w:val="nil"/>
              <w:bottom w:val="single" w:color="auto" w:sz="4" w:space="0"/>
              <w:right w:val="single" w:color="auto" w:sz="4" w:space="0"/>
            </w:tcBorders>
            <w:vAlign w:val="center"/>
          </w:tcPr>
          <w:p w14:paraId="6C2A4FE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巡视车辆</w:t>
            </w:r>
          </w:p>
        </w:tc>
        <w:tc>
          <w:tcPr>
            <w:tcW w:w="344" w:type="pct"/>
            <w:tcBorders>
              <w:top w:val="nil"/>
              <w:left w:val="nil"/>
              <w:bottom w:val="single" w:color="auto" w:sz="4" w:space="0"/>
              <w:right w:val="single" w:color="auto" w:sz="4" w:space="0"/>
            </w:tcBorders>
            <w:vAlign w:val="center"/>
          </w:tcPr>
          <w:p w14:paraId="2E475AC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02718D3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2050</w:t>
            </w:r>
          </w:p>
        </w:tc>
        <w:tc>
          <w:tcPr>
            <w:tcW w:w="440" w:type="pct"/>
            <w:tcBorders>
              <w:top w:val="nil"/>
              <w:left w:val="nil"/>
              <w:bottom w:val="single" w:color="auto" w:sz="4" w:space="0"/>
              <w:right w:val="single" w:color="auto" w:sz="4" w:space="0"/>
            </w:tcBorders>
            <w:noWrap/>
            <w:vAlign w:val="bottom"/>
          </w:tcPr>
          <w:p w14:paraId="5943F89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FA4586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3E9FF3F">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7C9BCDF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9</w:t>
            </w:r>
          </w:p>
        </w:tc>
        <w:tc>
          <w:tcPr>
            <w:tcW w:w="2725" w:type="pct"/>
            <w:tcBorders>
              <w:top w:val="nil"/>
              <w:left w:val="nil"/>
              <w:bottom w:val="single" w:color="auto" w:sz="4" w:space="0"/>
              <w:right w:val="single" w:color="auto" w:sz="4" w:space="0"/>
            </w:tcBorders>
            <w:vAlign w:val="center"/>
          </w:tcPr>
          <w:p w14:paraId="003A67E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工程车</w:t>
            </w:r>
          </w:p>
        </w:tc>
        <w:tc>
          <w:tcPr>
            <w:tcW w:w="344" w:type="pct"/>
            <w:tcBorders>
              <w:top w:val="nil"/>
              <w:left w:val="nil"/>
              <w:bottom w:val="single" w:color="auto" w:sz="4" w:space="0"/>
              <w:right w:val="single" w:color="auto" w:sz="4" w:space="0"/>
            </w:tcBorders>
            <w:vAlign w:val="center"/>
          </w:tcPr>
          <w:p w14:paraId="5BB1190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3419208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3400</w:t>
            </w:r>
          </w:p>
        </w:tc>
        <w:tc>
          <w:tcPr>
            <w:tcW w:w="440" w:type="pct"/>
            <w:tcBorders>
              <w:top w:val="nil"/>
              <w:left w:val="nil"/>
              <w:bottom w:val="single" w:color="auto" w:sz="4" w:space="0"/>
              <w:right w:val="single" w:color="auto" w:sz="4" w:space="0"/>
            </w:tcBorders>
            <w:noWrap/>
            <w:vAlign w:val="bottom"/>
          </w:tcPr>
          <w:p w14:paraId="4301586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5A9F35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F569E43">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42F1B9C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w:t>
            </w:r>
          </w:p>
        </w:tc>
        <w:tc>
          <w:tcPr>
            <w:tcW w:w="2725" w:type="pct"/>
            <w:tcBorders>
              <w:top w:val="nil"/>
              <w:left w:val="nil"/>
              <w:bottom w:val="single" w:color="auto" w:sz="4" w:space="0"/>
              <w:right w:val="single" w:color="auto" w:sz="4" w:space="0"/>
            </w:tcBorders>
            <w:vAlign w:val="center"/>
          </w:tcPr>
          <w:p w14:paraId="4E71C3D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升降车：用于信号灯设备的运维</w:t>
            </w:r>
          </w:p>
        </w:tc>
        <w:tc>
          <w:tcPr>
            <w:tcW w:w="344" w:type="pct"/>
            <w:tcBorders>
              <w:top w:val="nil"/>
              <w:left w:val="nil"/>
              <w:bottom w:val="single" w:color="auto" w:sz="4" w:space="0"/>
              <w:right w:val="single" w:color="auto" w:sz="4" w:space="0"/>
            </w:tcBorders>
            <w:vAlign w:val="center"/>
          </w:tcPr>
          <w:p w14:paraId="7D73DFA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月</w:t>
            </w:r>
          </w:p>
        </w:tc>
        <w:tc>
          <w:tcPr>
            <w:tcW w:w="663" w:type="pct"/>
            <w:tcBorders>
              <w:top w:val="nil"/>
              <w:left w:val="nil"/>
              <w:bottom w:val="single" w:color="auto" w:sz="4" w:space="0"/>
              <w:right w:val="single" w:color="auto" w:sz="4" w:space="0"/>
            </w:tcBorders>
            <w:vAlign w:val="center"/>
          </w:tcPr>
          <w:p w14:paraId="615913B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5000</w:t>
            </w:r>
          </w:p>
        </w:tc>
        <w:tc>
          <w:tcPr>
            <w:tcW w:w="440" w:type="pct"/>
            <w:tcBorders>
              <w:top w:val="nil"/>
              <w:left w:val="nil"/>
              <w:bottom w:val="single" w:color="auto" w:sz="4" w:space="0"/>
              <w:right w:val="single" w:color="auto" w:sz="4" w:space="0"/>
            </w:tcBorders>
            <w:noWrap/>
            <w:vAlign w:val="bottom"/>
          </w:tcPr>
          <w:p w14:paraId="315636E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38563E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796FBDF">
        <w:tblPrEx>
          <w:tblCellMar>
            <w:top w:w="0" w:type="dxa"/>
            <w:left w:w="108" w:type="dxa"/>
            <w:bottom w:w="0" w:type="dxa"/>
            <w:right w:w="108" w:type="dxa"/>
          </w:tblCellMar>
        </w:tblPrEx>
        <w:trPr>
          <w:trHeight w:val="315" w:hRule="atLeast"/>
        </w:trPr>
        <w:tc>
          <w:tcPr>
            <w:tcW w:w="5000" w:type="pct"/>
            <w:gridSpan w:val="6"/>
            <w:tcBorders>
              <w:top w:val="single" w:color="auto" w:sz="4" w:space="0"/>
              <w:left w:val="single" w:color="auto" w:sz="4" w:space="0"/>
              <w:bottom w:val="single" w:color="auto" w:sz="4" w:space="0"/>
              <w:right w:val="single" w:color="000000" w:sz="4" w:space="0"/>
            </w:tcBorders>
            <w:vAlign w:val="center"/>
          </w:tcPr>
          <w:p w14:paraId="7902482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设备费用</w:t>
            </w:r>
          </w:p>
        </w:tc>
      </w:tr>
      <w:tr w14:paraId="3FA50F2C">
        <w:tblPrEx>
          <w:tblCellMar>
            <w:top w:w="0" w:type="dxa"/>
            <w:left w:w="108" w:type="dxa"/>
            <w:bottom w:w="0" w:type="dxa"/>
            <w:right w:w="108" w:type="dxa"/>
          </w:tblCellMar>
        </w:tblPrEx>
        <w:trPr>
          <w:trHeight w:val="945" w:hRule="atLeast"/>
        </w:trPr>
        <w:tc>
          <w:tcPr>
            <w:tcW w:w="344" w:type="pct"/>
            <w:tcBorders>
              <w:top w:val="nil"/>
              <w:left w:val="single" w:color="auto" w:sz="4" w:space="0"/>
              <w:bottom w:val="single" w:color="auto" w:sz="4" w:space="0"/>
              <w:right w:val="single" w:color="auto" w:sz="4" w:space="0"/>
            </w:tcBorders>
            <w:vAlign w:val="center"/>
          </w:tcPr>
          <w:p w14:paraId="2649960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序号</w:t>
            </w:r>
          </w:p>
        </w:tc>
        <w:tc>
          <w:tcPr>
            <w:tcW w:w="2725" w:type="pct"/>
            <w:tcBorders>
              <w:top w:val="nil"/>
              <w:left w:val="nil"/>
              <w:bottom w:val="single" w:color="auto" w:sz="4" w:space="0"/>
              <w:right w:val="single" w:color="auto" w:sz="4" w:space="0"/>
            </w:tcBorders>
            <w:vAlign w:val="center"/>
          </w:tcPr>
          <w:p w14:paraId="700D08E4">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明细</w:t>
            </w:r>
          </w:p>
        </w:tc>
        <w:tc>
          <w:tcPr>
            <w:tcW w:w="344" w:type="pct"/>
            <w:tcBorders>
              <w:top w:val="nil"/>
              <w:left w:val="nil"/>
              <w:bottom w:val="single" w:color="auto" w:sz="4" w:space="0"/>
              <w:right w:val="single" w:color="auto" w:sz="4" w:space="0"/>
            </w:tcBorders>
            <w:vAlign w:val="center"/>
          </w:tcPr>
          <w:p w14:paraId="3F1B132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单位</w:t>
            </w:r>
          </w:p>
        </w:tc>
        <w:tc>
          <w:tcPr>
            <w:tcW w:w="663" w:type="pct"/>
            <w:tcBorders>
              <w:top w:val="nil"/>
              <w:left w:val="nil"/>
              <w:bottom w:val="single" w:color="auto" w:sz="4" w:space="0"/>
              <w:right w:val="single" w:color="auto" w:sz="4" w:space="0"/>
            </w:tcBorders>
            <w:vAlign w:val="center"/>
          </w:tcPr>
          <w:p w14:paraId="0CBBAB6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最高限价单价（元）</w:t>
            </w:r>
          </w:p>
        </w:tc>
        <w:tc>
          <w:tcPr>
            <w:tcW w:w="440" w:type="pct"/>
            <w:tcBorders>
              <w:top w:val="nil"/>
              <w:left w:val="nil"/>
              <w:bottom w:val="single" w:color="auto" w:sz="4" w:space="0"/>
              <w:right w:val="single" w:color="auto" w:sz="4" w:space="0"/>
            </w:tcBorders>
            <w:vAlign w:val="center"/>
          </w:tcPr>
          <w:p w14:paraId="16AB19C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品牌及型号</w:t>
            </w:r>
          </w:p>
        </w:tc>
        <w:tc>
          <w:tcPr>
            <w:tcW w:w="481" w:type="pct"/>
            <w:tcBorders>
              <w:top w:val="nil"/>
              <w:left w:val="nil"/>
              <w:bottom w:val="single" w:color="auto" w:sz="4" w:space="0"/>
              <w:right w:val="single" w:color="auto" w:sz="4" w:space="0"/>
            </w:tcBorders>
            <w:vAlign w:val="center"/>
          </w:tcPr>
          <w:p w14:paraId="3D09E50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单价报价（元）</w:t>
            </w:r>
          </w:p>
        </w:tc>
      </w:tr>
      <w:tr w14:paraId="3C1C2726">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3A43D09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w:t>
            </w:r>
          </w:p>
        </w:tc>
        <w:tc>
          <w:tcPr>
            <w:tcW w:w="2725" w:type="pct"/>
            <w:tcBorders>
              <w:top w:val="nil"/>
              <w:left w:val="nil"/>
              <w:bottom w:val="single" w:color="auto" w:sz="4" w:space="0"/>
              <w:right w:val="single" w:color="auto" w:sz="4" w:space="0"/>
            </w:tcBorders>
            <w:shd w:val="clear" w:color="000000" w:fill="FFFFFF"/>
            <w:vAlign w:val="center"/>
          </w:tcPr>
          <w:p w14:paraId="56A6273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GB</w:t>
            </w:r>
            <w:r>
              <w:rPr>
                <w:rFonts w:ascii="宋体" w:hAnsi="宋体" w:eastAsia="宋体" w:cs="Times New Roman"/>
                <w:color w:val="000000"/>
                <w:kern w:val="0"/>
                <w:sz w:val="24"/>
                <w:szCs w:val="24"/>
                <w:lang w:val="en-US" w:eastAsia="zh-CN" w:bidi="ar-SA"/>
              </w:rPr>
              <w:t>联网信号机</w:t>
            </w:r>
          </w:p>
        </w:tc>
        <w:tc>
          <w:tcPr>
            <w:tcW w:w="344" w:type="pct"/>
            <w:tcBorders>
              <w:top w:val="nil"/>
              <w:left w:val="nil"/>
              <w:bottom w:val="single" w:color="auto" w:sz="4" w:space="0"/>
              <w:right w:val="single" w:color="auto" w:sz="4" w:space="0"/>
            </w:tcBorders>
            <w:vAlign w:val="center"/>
          </w:tcPr>
          <w:p w14:paraId="3F3C4F1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p>
        </w:tc>
        <w:tc>
          <w:tcPr>
            <w:tcW w:w="663" w:type="pct"/>
            <w:tcBorders>
              <w:top w:val="nil"/>
              <w:left w:val="nil"/>
              <w:bottom w:val="single" w:color="auto" w:sz="4" w:space="0"/>
              <w:right w:val="single" w:color="auto" w:sz="4" w:space="0"/>
            </w:tcBorders>
            <w:vAlign w:val="center"/>
          </w:tcPr>
          <w:p w14:paraId="07B1F4F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33000</w:t>
            </w:r>
          </w:p>
        </w:tc>
        <w:tc>
          <w:tcPr>
            <w:tcW w:w="440" w:type="pct"/>
            <w:tcBorders>
              <w:top w:val="nil"/>
              <w:left w:val="nil"/>
              <w:bottom w:val="single" w:color="auto" w:sz="4" w:space="0"/>
              <w:right w:val="single" w:color="auto" w:sz="4" w:space="0"/>
            </w:tcBorders>
            <w:noWrap/>
            <w:vAlign w:val="bottom"/>
          </w:tcPr>
          <w:p w14:paraId="510FDE5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8D12F9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1541D9A">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1F16AE7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11</w:t>
            </w:r>
          </w:p>
        </w:tc>
        <w:tc>
          <w:tcPr>
            <w:tcW w:w="2725" w:type="pct"/>
            <w:tcBorders>
              <w:top w:val="nil"/>
              <w:left w:val="nil"/>
              <w:bottom w:val="single" w:color="auto" w:sz="4" w:space="0"/>
              <w:right w:val="single" w:color="auto" w:sz="4" w:space="0"/>
            </w:tcBorders>
            <w:shd w:val="clear" w:color="000000" w:fill="FFFFFF"/>
            <w:vAlign w:val="center"/>
          </w:tcPr>
          <w:p w14:paraId="443057B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输出模块</w:t>
            </w:r>
          </w:p>
        </w:tc>
        <w:tc>
          <w:tcPr>
            <w:tcW w:w="344" w:type="pct"/>
            <w:tcBorders>
              <w:top w:val="nil"/>
              <w:left w:val="nil"/>
              <w:bottom w:val="single" w:color="auto" w:sz="4" w:space="0"/>
              <w:right w:val="single" w:color="auto" w:sz="4" w:space="0"/>
            </w:tcBorders>
            <w:vAlign w:val="center"/>
          </w:tcPr>
          <w:p w14:paraId="0DA1AF5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0ED08EB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5000</w:t>
            </w:r>
          </w:p>
        </w:tc>
        <w:tc>
          <w:tcPr>
            <w:tcW w:w="440" w:type="pct"/>
            <w:tcBorders>
              <w:top w:val="nil"/>
              <w:left w:val="nil"/>
              <w:bottom w:val="single" w:color="auto" w:sz="4" w:space="0"/>
              <w:right w:val="single" w:color="auto" w:sz="4" w:space="0"/>
            </w:tcBorders>
            <w:noWrap/>
            <w:vAlign w:val="bottom"/>
          </w:tcPr>
          <w:p w14:paraId="72001B2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91FBAF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A4E6883">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300533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12</w:t>
            </w:r>
          </w:p>
        </w:tc>
        <w:tc>
          <w:tcPr>
            <w:tcW w:w="2725" w:type="pct"/>
            <w:tcBorders>
              <w:top w:val="nil"/>
              <w:left w:val="nil"/>
              <w:bottom w:val="single" w:color="auto" w:sz="4" w:space="0"/>
              <w:right w:val="single" w:color="auto" w:sz="4" w:space="0"/>
            </w:tcBorders>
            <w:shd w:val="clear" w:color="000000" w:fill="FFFFFF"/>
            <w:vAlign w:val="center"/>
          </w:tcPr>
          <w:p w14:paraId="2E846C1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电源模块</w:t>
            </w:r>
          </w:p>
        </w:tc>
        <w:tc>
          <w:tcPr>
            <w:tcW w:w="344" w:type="pct"/>
            <w:tcBorders>
              <w:top w:val="nil"/>
              <w:left w:val="nil"/>
              <w:bottom w:val="single" w:color="auto" w:sz="4" w:space="0"/>
              <w:right w:val="single" w:color="auto" w:sz="4" w:space="0"/>
            </w:tcBorders>
            <w:vAlign w:val="center"/>
          </w:tcPr>
          <w:p w14:paraId="2934BBA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670EC53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4000</w:t>
            </w:r>
          </w:p>
        </w:tc>
        <w:tc>
          <w:tcPr>
            <w:tcW w:w="440" w:type="pct"/>
            <w:tcBorders>
              <w:top w:val="nil"/>
              <w:left w:val="nil"/>
              <w:bottom w:val="single" w:color="auto" w:sz="4" w:space="0"/>
              <w:right w:val="single" w:color="auto" w:sz="4" w:space="0"/>
            </w:tcBorders>
            <w:noWrap/>
            <w:vAlign w:val="bottom"/>
          </w:tcPr>
          <w:p w14:paraId="3CB08B8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BE5648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06E2555">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D0C186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13</w:t>
            </w:r>
          </w:p>
        </w:tc>
        <w:tc>
          <w:tcPr>
            <w:tcW w:w="2725" w:type="pct"/>
            <w:tcBorders>
              <w:top w:val="nil"/>
              <w:left w:val="nil"/>
              <w:bottom w:val="single" w:color="auto" w:sz="4" w:space="0"/>
              <w:right w:val="single" w:color="auto" w:sz="4" w:space="0"/>
            </w:tcBorders>
            <w:shd w:val="clear" w:color="000000" w:fill="FFFFFF"/>
            <w:vAlign w:val="center"/>
          </w:tcPr>
          <w:p w14:paraId="5411AED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检测模块</w:t>
            </w:r>
          </w:p>
        </w:tc>
        <w:tc>
          <w:tcPr>
            <w:tcW w:w="344" w:type="pct"/>
            <w:tcBorders>
              <w:top w:val="nil"/>
              <w:left w:val="nil"/>
              <w:bottom w:val="single" w:color="auto" w:sz="4" w:space="0"/>
              <w:right w:val="single" w:color="auto" w:sz="4" w:space="0"/>
            </w:tcBorders>
            <w:vAlign w:val="center"/>
          </w:tcPr>
          <w:p w14:paraId="456E470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32A6A85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3E95B7B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0B5258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B2B2AAE">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C9AED9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14</w:t>
            </w:r>
          </w:p>
        </w:tc>
        <w:tc>
          <w:tcPr>
            <w:tcW w:w="2725" w:type="pct"/>
            <w:tcBorders>
              <w:top w:val="nil"/>
              <w:left w:val="nil"/>
              <w:bottom w:val="single" w:color="auto" w:sz="4" w:space="0"/>
              <w:right w:val="single" w:color="auto" w:sz="4" w:space="0"/>
            </w:tcBorders>
            <w:shd w:val="clear" w:color="000000" w:fill="FFFFFF"/>
            <w:vAlign w:val="center"/>
          </w:tcPr>
          <w:p w14:paraId="0E98BCA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主控模块</w:t>
            </w:r>
          </w:p>
        </w:tc>
        <w:tc>
          <w:tcPr>
            <w:tcW w:w="344" w:type="pct"/>
            <w:tcBorders>
              <w:top w:val="nil"/>
              <w:left w:val="nil"/>
              <w:bottom w:val="single" w:color="auto" w:sz="4" w:space="0"/>
              <w:right w:val="single" w:color="auto" w:sz="4" w:space="0"/>
            </w:tcBorders>
            <w:vAlign w:val="center"/>
          </w:tcPr>
          <w:p w14:paraId="148A1894">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10DDAB4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11000</w:t>
            </w:r>
          </w:p>
        </w:tc>
        <w:tc>
          <w:tcPr>
            <w:tcW w:w="440" w:type="pct"/>
            <w:tcBorders>
              <w:top w:val="nil"/>
              <w:left w:val="nil"/>
              <w:bottom w:val="single" w:color="auto" w:sz="4" w:space="0"/>
              <w:right w:val="single" w:color="auto" w:sz="4" w:space="0"/>
            </w:tcBorders>
            <w:noWrap/>
            <w:vAlign w:val="bottom"/>
          </w:tcPr>
          <w:p w14:paraId="2301720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980543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623C9BF">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2111C3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15</w:t>
            </w:r>
          </w:p>
        </w:tc>
        <w:tc>
          <w:tcPr>
            <w:tcW w:w="2725" w:type="pct"/>
            <w:tcBorders>
              <w:top w:val="nil"/>
              <w:left w:val="nil"/>
              <w:bottom w:val="single" w:color="auto" w:sz="4" w:space="0"/>
              <w:right w:val="single" w:color="auto" w:sz="4" w:space="0"/>
            </w:tcBorders>
            <w:shd w:val="clear" w:color="000000" w:fill="FFFFFF"/>
            <w:vAlign w:val="center"/>
          </w:tcPr>
          <w:p w14:paraId="457557D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通讯模块</w:t>
            </w:r>
          </w:p>
        </w:tc>
        <w:tc>
          <w:tcPr>
            <w:tcW w:w="344" w:type="pct"/>
            <w:tcBorders>
              <w:top w:val="nil"/>
              <w:left w:val="nil"/>
              <w:bottom w:val="single" w:color="auto" w:sz="4" w:space="0"/>
              <w:right w:val="single" w:color="auto" w:sz="4" w:space="0"/>
            </w:tcBorders>
            <w:vAlign w:val="center"/>
          </w:tcPr>
          <w:p w14:paraId="41B8448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5529ABF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3AB6C9B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164768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D39012A">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5FF80C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16</w:t>
            </w:r>
          </w:p>
        </w:tc>
        <w:tc>
          <w:tcPr>
            <w:tcW w:w="2725" w:type="pct"/>
            <w:tcBorders>
              <w:top w:val="nil"/>
              <w:left w:val="nil"/>
              <w:bottom w:val="single" w:color="auto" w:sz="4" w:space="0"/>
              <w:right w:val="single" w:color="auto" w:sz="4" w:space="0"/>
            </w:tcBorders>
            <w:shd w:val="clear" w:color="000000" w:fill="FFFFFF"/>
            <w:vAlign w:val="center"/>
          </w:tcPr>
          <w:p w14:paraId="25FC045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手触面板</w:t>
            </w:r>
          </w:p>
        </w:tc>
        <w:tc>
          <w:tcPr>
            <w:tcW w:w="344" w:type="pct"/>
            <w:tcBorders>
              <w:top w:val="nil"/>
              <w:left w:val="nil"/>
              <w:bottom w:val="single" w:color="auto" w:sz="4" w:space="0"/>
              <w:right w:val="single" w:color="auto" w:sz="4" w:space="0"/>
            </w:tcBorders>
            <w:vAlign w:val="center"/>
          </w:tcPr>
          <w:p w14:paraId="503F8AB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块</w:t>
            </w:r>
          </w:p>
        </w:tc>
        <w:tc>
          <w:tcPr>
            <w:tcW w:w="663" w:type="pct"/>
            <w:tcBorders>
              <w:top w:val="nil"/>
              <w:left w:val="nil"/>
              <w:bottom w:val="single" w:color="auto" w:sz="4" w:space="0"/>
              <w:right w:val="single" w:color="auto" w:sz="4" w:space="0"/>
            </w:tcBorders>
            <w:vAlign w:val="center"/>
          </w:tcPr>
          <w:p w14:paraId="30B8A9A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37504C9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E974B8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68DE95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EEE658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17</w:t>
            </w:r>
          </w:p>
        </w:tc>
        <w:tc>
          <w:tcPr>
            <w:tcW w:w="2725" w:type="pct"/>
            <w:tcBorders>
              <w:top w:val="nil"/>
              <w:left w:val="nil"/>
              <w:bottom w:val="single" w:color="auto" w:sz="4" w:space="0"/>
              <w:right w:val="single" w:color="auto" w:sz="4" w:space="0"/>
            </w:tcBorders>
            <w:shd w:val="clear" w:color="000000" w:fill="FFFFFF"/>
            <w:vAlign w:val="center"/>
          </w:tcPr>
          <w:p w14:paraId="1ABA9C0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信号机侧门按钮</w:t>
            </w:r>
          </w:p>
        </w:tc>
        <w:tc>
          <w:tcPr>
            <w:tcW w:w="344" w:type="pct"/>
            <w:tcBorders>
              <w:top w:val="nil"/>
              <w:left w:val="nil"/>
              <w:bottom w:val="single" w:color="auto" w:sz="4" w:space="0"/>
              <w:right w:val="single" w:color="auto" w:sz="4" w:space="0"/>
            </w:tcBorders>
            <w:vAlign w:val="center"/>
          </w:tcPr>
          <w:p w14:paraId="04008F3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2483D0B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150</w:t>
            </w:r>
          </w:p>
        </w:tc>
        <w:tc>
          <w:tcPr>
            <w:tcW w:w="440" w:type="pct"/>
            <w:tcBorders>
              <w:top w:val="nil"/>
              <w:left w:val="nil"/>
              <w:bottom w:val="single" w:color="auto" w:sz="4" w:space="0"/>
              <w:right w:val="single" w:color="auto" w:sz="4" w:space="0"/>
            </w:tcBorders>
            <w:noWrap/>
            <w:vAlign w:val="bottom"/>
          </w:tcPr>
          <w:p w14:paraId="6FEA766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0CD7F0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9D17B8E">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D3E376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18</w:t>
            </w:r>
          </w:p>
        </w:tc>
        <w:tc>
          <w:tcPr>
            <w:tcW w:w="2725" w:type="pct"/>
            <w:tcBorders>
              <w:top w:val="nil"/>
              <w:left w:val="nil"/>
              <w:bottom w:val="single" w:color="auto" w:sz="4" w:space="0"/>
              <w:right w:val="single" w:color="auto" w:sz="4" w:space="0"/>
            </w:tcBorders>
            <w:shd w:val="clear" w:color="000000" w:fill="FFFFFF"/>
            <w:vAlign w:val="center"/>
          </w:tcPr>
          <w:p w14:paraId="56E0411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信号机特勤接收终端</w:t>
            </w:r>
          </w:p>
        </w:tc>
        <w:tc>
          <w:tcPr>
            <w:tcW w:w="344" w:type="pct"/>
            <w:tcBorders>
              <w:top w:val="nil"/>
              <w:left w:val="nil"/>
              <w:bottom w:val="single" w:color="auto" w:sz="4" w:space="0"/>
              <w:right w:val="single" w:color="auto" w:sz="4" w:space="0"/>
            </w:tcBorders>
            <w:vAlign w:val="center"/>
          </w:tcPr>
          <w:p w14:paraId="742EAF2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3E025F2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7C09624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F0B914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1622FA5">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47DCED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19</w:t>
            </w:r>
          </w:p>
        </w:tc>
        <w:tc>
          <w:tcPr>
            <w:tcW w:w="2725" w:type="pct"/>
            <w:tcBorders>
              <w:top w:val="nil"/>
              <w:left w:val="nil"/>
              <w:bottom w:val="single" w:color="auto" w:sz="4" w:space="0"/>
              <w:right w:val="single" w:color="auto" w:sz="4" w:space="0"/>
            </w:tcBorders>
            <w:shd w:val="clear" w:color="000000" w:fill="FFFFFF"/>
            <w:vAlign w:val="center"/>
          </w:tcPr>
          <w:p w14:paraId="697559F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信号机特勤遥控终端</w:t>
            </w:r>
          </w:p>
        </w:tc>
        <w:tc>
          <w:tcPr>
            <w:tcW w:w="344" w:type="pct"/>
            <w:tcBorders>
              <w:top w:val="nil"/>
              <w:left w:val="nil"/>
              <w:bottom w:val="single" w:color="auto" w:sz="4" w:space="0"/>
              <w:right w:val="single" w:color="auto" w:sz="4" w:space="0"/>
            </w:tcBorders>
            <w:vAlign w:val="center"/>
          </w:tcPr>
          <w:p w14:paraId="5609FBC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580BE17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5AD5A7F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19878E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FC7F951">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ECAB9F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w:t>
            </w:r>
          </w:p>
        </w:tc>
        <w:tc>
          <w:tcPr>
            <w:tcW w:w="2725" w:type="pct"/>
            <w:tcBorders>
              <w:top w:val="nil"/>
              <w:left w:val="nil"/>
              <w:bottom w:val="single" w:color="auto" w:sz="4" w:space="0"/>
              <w:right w:val="single" w:color="auto" w:sz="4" w:space="0"/>
            </w:tcBorders>
            <w:shd w:val="clear" w:color="000000" w:fill="FFFFFF"/>
            <w:vAlign w:val="center"/>
          </w:tcPr>
          <w:p w14:paraId="124CF73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信号机校时定位模块</w:t>
            </w:r>
          </w:p>
        </w:tc>
        <w:tc>
          <w:tcPr>
            <w:tcW w:w="344" w:type="pct"/>
            <w:tcBorders>
              <w:top w:val="nil"/>
              <w:left w:val="nil"/>
              <w:bottom w:val="single" w:color="auto" w:sz="4" w:space="0"/>
              <w:right w:val="single" w:color="auto" w:sz="4" w:space="0"/>
            </w:tcBorders>
            <w:vAlign w:val="center"/>
          </w:tcPr>
          <w:p w14:paraId="2DB50BE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1596F16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w:t>
            </w:r>
          </w:p>
        </w:tc>
        <w:tc>
          <w:tcPr>
            <w:tcW w:w="440" w:type="pct"/>
            <w:tcBorders>
              <w:top w:val="nil"/>
              <w:left w:val="nil"/>
              <w:bottom w:val="single" w:color="auto" w:sz="4" w:space="0"/>
              <w:right w:val="single" w:color="auto" w:sz="4" w:space="0"/>
            </w:tcBorders>
            <w:noWrap/>
            <w:vAlign w:val="bottom"/>
          </w:tcPr>
          <w:p w14:paraId="5AB84E7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BA6243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1B3ED7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15B4803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21</w:t>
            </w:r>
          </w:p>
        </w:tc>
        <w:tc>
          <w:tcPr>
            <w:tcW w:w="2725" w:type="pct"/>
            <w:tcBorders>
              <w:top w:val="nil"/>
              <w:left w:val="nil"/>
              <w:bottom w:val="single" w:color="auto" w:sz="4" w:space="0"/>
              <w:right w:val="single" w:color="auto" w:sz="4" w:space="0"/>
            </w:tcBorders>
            <w:shd w:val="clear" w:color="000000" w:fill="FFFFFF"/>
            <w:vAlign w:val="center"/>
          </w:tcPr>
          <w:p w14:paraId="48A7145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接线端子</w:t>
            </w:r>
          </w:p>
        </w:tc>
        <w:tc>
          <w:tcPr>
            <w:tcW w:w="344" w:type="pct"/>
            <w:tcBorders>
              <w:top w:val="nil"/>
              <w:left w:val="nil"/>
              <w:bottom w:val="single" w:color="auto" w:sz="4" w:space="0"/>
              <w:right w:val="single" w:color="auto" w:sz="4" w:space="0"/>
            </w:tcBorders>
            <w:vAlign w:val="center"/>
          </w:tcPr>
          <w:p w14:paraId="4CC367E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7F76DCA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400</w:t>
            </w:r>
          </w:p>
        </w:tc>
        <w:tc>
          <w:tcPr>
            <w:tcW w:w="440" w:type="pct"/>
            <w:tcBorders>
              <w:top w:val="nil"/>
              <w:left w:val="nil"/>
              <w:bottom w:val="single" w:color="auto" w:sz="4" w:space="0"/>
              <w:right w:val="single" w:color="auto" w:sz="4" w:space="0"/>
            </w:tcBorders>
            <w:noWrap/>
            <w:vAlign w:val="bottom"/>
          </w:tcPr>
          <w:p w14:paraId="0DFB6ED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1D84AA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C6C783D">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4EAA969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22</w:t>
            </w:r>
          </w:p>
        </w:tc>
        <w:tc>
          <w:tcPr>
            <w:tcW w:w="2725" w:type="pct"/>
            <w:tcBorders>
              <w:top w:val="nil"/>
              <w:left w:val="nil"/>
              <w:bottom w:val="single" w:color="auto" w:sz="4" w:space="0"/>
              <w:right w:val="single" w:color="auto" w:sz="4" w:space="0"/>
            </w:tcBorders>
            <w:shd w:val="clear" w:color="000000" w:fill="FFFFFF"/>
            <w:vAlign w:val="center"/>
          </w:tcPr>
          <w:p w14:paraId="015F5EC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电源插线板</w:t>
            </w:r>
          </w:p>
        </w:tc>
        <w:tc>
          <w:tcPr>
            <w:tcW w:w="344" w:type="pct"/>
            <w:tcBorders>
              <w:top w:val="nil"/>
              <w:left w:val="nil"/>
              <w:bottom w:val="single" w:color="auto" w:sz="4" w:space="0"/>
              <w:right w:val="single" w:color="auto" w:sz="4" w:space="0"/>
            </w:tcBorders>
            <w:vAlign w:val="center"/>
          </w:tcPr>
          <w:p w14:paraId="42C45FF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只</w:t>
            </w:r>
          </w:p>
        </w:tc>
        <w:tc>
          <w:tcPr>
            <w:tcW w:w="663" w:type="pct"/>
            <w:tcBorders>
              <w:top w:val="nil"/>
              <w:left w:val="nil"/>
              <w:bottom w:val="single" w:color="auto" w:sz="4" w:space="0"/>
              <w:right w:val="single" w:color="auto" w:sz="4" w:space="0"/>
            </w:tcBorders>
            <w:vAlign w:val="center"/>
          </w:tcPr>
          <w:p w14:paraId="02A29F3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100</w:t>
            </w:r>
          </w:p>
        </w:tc>
        <w:tc>
          <w:tcPr>
            <w:tcW w:w="440" w:type="pct"/>
            <w:tcBorders>
              <w:top w:val="nil"/>
              <w:left w:val="nil"/>
              <w:bottom w:val="single" w:color="auto" w:sz="4" w:space="0"/>
              <w:right w:val="single" w:color="auto" w:sz="4" w:space="0"/>
            </w:tcBorders>
            <w:noWrap/>
            <w:vAlign w:val="bottom"/>
          </w:tcPr>
          <w:p w14:paraId="33C2B20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F35C25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D7299DB">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484D9BB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23</w:t>
            </w:r>
          </w:p>
        </w:tc>
        <w:tc>
          <w:tcPr>
            <w:tcW w:w="2725" w:type="pct"/>
            <w:tcBorders>
              <w:top w:val="nil"/>
              <w:left w:val="nil"/>
              <w:bottom w:val="single" w:color="auto" w:sz="4" w:space="0"/>
              <w:right w:val="single" w:color="auto" w:sz="4" w:space="0"/>
            </w:tcBorders>
            <w:shd w:val="clear" w:color="000000" w:fill="FFFFFF"/>
            <w:vAlign w:val="center"/>
          </w:tcPr>
          <w:p w14:paraId="645AC5D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电源浪涌保护器</w:t>
            </w:r>
          </w:p>
        </w:tc>
        <w:tc>
          <w:tcPr>
            <w:tcW w:w="344" w:type="pct"/>
            <w:tcBorders>
              <w:top w:val="nil"/>
              <w:left w:val="nil"/>
              <w:bottom w:val="single" w:color="auto" w:sz="4" w:space="0"/>
              <w:right w:val="single" w:color="auto" w:sz="4" w:space="0"/>
            </w:tcBorders>
            <w:vAlign w:val="center"/>
          </w:tcPr>
          <w:p w14:paraId="0964C29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7988F90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100</w:t>
            </w:r>
          </w:p>
        </w:tc>
        <w:tc>
          <w:tcPr>
            <w:tcW w:w="440" w:type="pct"/>
            <w:tcBorders>
              <w:top w:val="nil"/>
              <w:left w:val="nil"/>
              <w:bottom w:val="single" w:color="auto" w:sz="4" w:space="0"/>
              <w:right w:val="single" w:color="auto" w:sz="4" w:space="0"/>
            </w:tcBorders>
            <w:noWrap/>
            <w:vAlign w:val="bottom"/>
          </w:tcPr>
          <w:p w14:paraId="16C5B4B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9B3AFF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ECDA803">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0853B7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24</w:t>
            </w:r>
          </w:p>
        </w:tc>
        <w:tc>
          <w:tcPr>
            <w:tcW w:w="2725" w:type="pct"/>
            <w:tcBorders>
              <w:top w:val="nil"/>
              <w:left w:val="nil"/>
              <w:bottom w:val="single" w:color="auto" w:sz="4" w:space="0"/>
              <w:right w:val="single" w:color="auto" w:sz="4" w:space="0"/>
            </w:tcBorders>
            <w:shd w:val="clear" w:color="000000" w:fill="FFFFFF"/>
            <w:vAlign w:val="center"/>
          </w:tcPr>
          <w:p w14:paraId="4246A34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网线防雷器</w:t>
            </w:r>
          </w:p>
        </w:tc>
        <w:tc>
          <w:tcPr>
            <w:tcW w:w="344" w:type="pct"/>
            <w:tcBorders>
              <w:top w:val="nil"/>
              <w:left w:val="nil"/>
              <w:bottom w:val="single" w:color="auto" w:sz="4" w:space="0"/>
              <w:right w:val="single" w:color="auto" w:sz="4" w:space="0"/>
            </w:tcBorders>
            <w:vAlign w:val="center"/>
          </w:tcPr>
          <w:p w14:paraId="2AF21E2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257C803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w:t>
            </w:r>
          </w:p>
        </w:tc>
        <w:tc>
          <w:tcPr>
            <w:tcW w:w="440" w:type="pct"/>
            <w:tcBorders>
              <w:top w:val="nil"/>
              <w:left w:val="nil"/>
              <w:bottom w:val="single" w:color="auto" w:sz="4" w:space="0"/>
              <w:right w:val="single" w:color="auto" w:sz="4" w:space="0"/>
            </w:tcBorders>
            <w:noWrap/>
            <w:vAlign w:val="bottom"/>
          </w:tcPr>
          <w:p w14:paraId="344F659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4FA3B9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8318580">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2B35AD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w:t>
            </w:r>
          </w:p>
        </w:tc>
        <w:tc>
          <w:tcPr>
            <w:tcW w:w="2725" w:type="pct"/>
            <w:tcBorders>
              <w:top w:val="nil"/>
              <w:left w:val="nil"/>
              <w:bottom w:val="single" w:color="auto" w:sz="4" w:space="0"/>
              <w:right w:val="single" w:color="auto" w:sz="4" w:space="0"/>
            </w:tcBorders>
            <w:shd w:val="clear" w:color="000000" w:fill="FFFFFF"/>
            <w:vAlign w:val="center"/>
          </w:tcPr>
          <w:p w14:paraId="15B1161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黄闪控制器</w:t>
            </w:r>
          </w:p>
        </w:tc>
        <w:tc>
          <w:tcPr>
            <w:tcW w:w="344" w:type="pct"/>
            <w:tcBorders>
              <w:top w:val="nil"/>
              <w:left w:val="nil"/>
              <w:bottom w:val="single" w:color="auto" w:sz="4" w:space="0"/>
              <w:right w:val="single" w:color="auto" w:sz="4" w:space="0"/>
            </w:tcBorders>
            <w:vAlign w:val="center"/>
          </w:tcPr>
          <w:p w14:paraId="45A85ED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674B680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800</w:t>
            </w:r>
          </w:p>
        </w:tc>
        <w:tc>
          <w:tcPr>
            <w:tcW w:w="440" w:type="pct"/>
            <w:tcBorders>
              <w:top w:val="nil"/>
              <w:left w:val="nil"/>
              <w:bottom w:val="single" w:color="auto" w:sz="4" w:space="0"/>
              <w:right w:val="single" w:color="auto" w:sz="4" w:space="0"/>
            </w:tcBorders>
            <w:noWrap/>
            <w:vAlign w:val="bottom"/>
          </w:tcPr>
          <w:p w14:paraId="52E37D8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C54B1A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8785816">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EDB744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26</w:t>
            </w:r>
          </w:p>
        </w:tc>
        <w:tc>
          <w:tcPr>
            <w:tcW w:w="2725" w:type="pct"/>
            <w:tcBorders>
              <w:top w:val="nil"/>
              <w:left w:val="nil"/>
              <w:bottom w:val="single" w:color="auto" w:sz="4" w:space="0"/>
              <w:right w:val="single" w:color="auto" w:sz="4" w:space="0"/>
            </w:tcBorders>
            <w:shd w:val="clear" w:color="000000" w:fill="FFFFFF"/>
            <w:vAlign w:val="center"/>
          </w:tcPr>
          <w:p w14:paraId="440A01B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空开</w:t>
            </w:r>
          </w:p>
        </w:tc>
        <w:tc>
          <w:tcPr>
            <w:tcW w:w="344" w:type="pct"/>
            <w:tcBorders>
              <w:top w:val="nil"/>
              <w:left w:val="nil"/>
              <w:bottom w:val="single" w:color="auto" w:sz="4" w:space="0"/>
              <w:right w:val="single" w:color="auto" w:sz="4" w:space="0"/>
            </w:tcBorders>
            <w:vAlign w:val="center"/>
          </w:tcPr>
          <w:p w14:paraId="4EF0D5F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084D7B0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w:t>
            </w:r>
          </w:p>
        </w:tc>
        <w:tc>
          <w:tcPr>
            <w:tcW w:w="440" w:type="pct"/>
            <w:tcBorders>
              <w:top w:val="nil"/>
              <w:left w:val="nil"/>
              <w:bottom w:val="single" w:color="auto" w:sz="4" w:space="0"/>
              <w:right w:val="single" w:color="auto" w:sz="4" w:space="0"/>
            </w:tcBorders>
            <w:noWrap/>
            <w:vAlign w:val="bottom"/>
          </w:tcPr>
          <w:p w14:paraId="1F75F05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A92454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E441EAD">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2BD80CA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27</w:t>
            </w:r>
          </w:p>
        </w:tc>
        <w:tc>
          <w:tcPr>
            <w:tcW w:w="2725" w:type="pct"/>
            <w:tcBorders>
              <w:top w:val="nil"/>
              <w:left w:val="nil"/>
              <w:bottom w:val="single" w:color="auto" w:sz="4" w:space="0"/>
              <w:right w:val="single" w:color="auto" w:sz="4" w:space="0"/>
            </w:tcBorders>
            <w:shd w:val="clear" w:color="000000" w:fill="FFFFFF"/>
            <w:vAlign w:val="center"/>
          </w:tcPr>
          <w:p w14:paraId="1A6B03A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信号机机柜</w:t>
            </w:r>
          </w:p>
        </w:tc>
        <w:tc>
          <w:tcPr>
            <w:tcW w:w="344" w:type="pct"/>
            <w:tcBorders>
              <w:top w:val="nil"/>
              <w:left w:val="nil"/>
              <w:bottom w:val="single" w:color="auto" w:sz="4" w:space="0"/>
              <w:right w:val="single" w:color="auto" w:sz="4" w:space="0"/>
            </w:tcBorders>
            <w:vAlign w:val="center"/>
          </w:tcPr>
          <w:p w14:paraId="1678812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27FF7A5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5000</w:t>
            </w:r>
          </w:p>
        </w:tc>
        <w:tc>
          <w:tcPr>
            <w:tcW w:w="440" w:type="pct"/>
            <w:tcBorders>
              <w:top w:val="nil"/>
              <w:left w:val="nil"/>
              <w:bottom w:val="single" w:color="auto" w:sz="4" w:space="0"/>
              <w:right w:val="single" w:color="auto" w:sz="4" w:space="0"/>
            </w:tcBorders>
            <w:noWrap/>
            <w:vAlign w:val="bottom"/>
          </w:tcPr>
          <w:p w14:paraId="0F04B51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2A4259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D07E2F6">
        <w:tblPrEx>
          <w:tblCellMar>
            <w:top w:w="0" w:type="dxa"/>
            <w:left w:w="108" w:type="dxa"/>
            <w:bottom w:w="0" w:type="dxa"/>
            <w:right w:w="108" w:type="dxa"/>
          </w:tblCellMar>
        </w:tblPrEx>
        <w:trPr>
          <w:trHeight w:val="960" w:hRule="atLeast"/>
        </w:trPr>
        <w:tc>
          <w:tcPr>
            <w:tcW w:w="344" w:type="pct"/>
            <w:tcBorders>
              <w:top w:val="nil"/>
              <w:left w:val="single" w:color="auto" w:sz="4" w:space="0"/>
              <w:bottom w:val="single" w:color="auto" w:sz="4" w:space="0"/>
              <w:right w:val="single" w:color="auto" w:sz="4" w:space="0"/>
            </w:tcBorders>
            <w:vAlign w:val="center"/>
          </w:tcPr>
          <w:p w14:paraId="0659AB7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28</w:t>
            </w:r>
          </w:p>
        </w:tc>
        <w:tc>
          <w:tcPr>
            <w:tcW w:w="2725" w:type="pct"/>
            <w:tcBorders>
              <w:top w:val="nil"/>
              <w:left w:val="nil"/>
              <w:bottom w:val="single" w:color="auto" w:sz="4" w:space="0"/>
              <w:right w:val="single" w:color="auto" w:sz="4" w:space="0"/>
            </w:tcBorders>
            <w:shd w:val="clear" w:color="000000" w:fill="FFFFFF"/>
            <w:vAlign w:val="center"/>
          </w:tcPr>
          <w:p w14:paraId="3914AFA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机动车信号灯（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：四灯组，</w:t>
            </w:r>
            <w:r>
              <w:rPr>
                <w:rFonts w:ascii="Times New Roman" w:hAnsi="Times New Roman" w:eastAsia="宋体" w:cs="Times New Roman"/>
                <w:color w:val="000000"/>
                <w:kern w:val="0"/>
                <w:sz w:val="24"/>
                <w:szCs w:val="24"/>
                <w:lang w:val="en-US" w:eastAsia="zh-CN" w:bidi="ar-SA"/>
              </w:rPr>
              <w:t>φ400</w:t>
            </w:r>
            <w:r>
              <w:rPr>
                <w:rFonts w:ascii="宋体" w:hAnsi="宋体" w:eastAsia="宋体" w:cs="宋体"/>
                <w:color w:val="000000"/>
                <w:kern w:val="0"/>
                <w:sz w:val="24"/>
                <w:szCs w:val="24"/>
                <w:lang w:val="en-US" w:eastAsia="zh-CN" w:bidi="ar-SA"/>
              </w:rPr>
              <w:t>，优质压铸铝喷塑壳体，超亮度进口</w:t>
            </w:r>
            <w:r>
              <w:rPr>
                <w:rFonts w:ascii="Times New Roman" w:hAnsi="Times New Roman" w:eastAsia="宋体" w:cs="Times New Roman"/>
                <w:color w:val="000000"/>
                <w:kern w:val="0"/>
                <w:sz w:val="24"/>
                <w:szCs w:val="24"/>
                <w:lang w:val="en-US" w:eastAsia="zh-CN" w:bidi="ar-SA"/>
              </w:rPr>
              <w:t>LED</w:t>
            </w:r>
            <w:r>
              <w:rPr>
                <w:rFonts w:ascii="宋体" w:hAnsi="宋体" w:eastAsia="宋体" w:cs="宋体"/>
                <w:color w:val="000000"/>
                <w:kern w:val="0"/>
                <w:sz w:val="24"/>
                <w:szCs w:val="24"/>
                <w:lang w:val="en-US" w:eastAsia="zh-CN" w:bidi="ar-SA"/>
              </w:rPr>
              <w:t>管芯，符合</w:t>
            </w:r>
            <w:r>
              <w:rPr>
                <w:rFonts w:ascii="Times New Roman" w:hAnsi="Times New Roman" w:eastAsia="宋体" w:cs="Times New Roman"/>
                <w:color w:val="000000"/>
                <w:kern w:val="0"/>
                <w:sz w:val="24"/>
                <w:szCs w:val="24"/>
                <w:lang w:val="en-US" w:eastAsia="zh-CN" w:bidi="ar-SA"/>
              </w:rPr>
              <w:t>GB14887-2016</w:t>
            </w:r>
            <w:r>
              <w:rPr>
                <w:rFonts w:ascii="宋体" w:hAnsi="宋体" w:eastAsia="宋体" w:cs="宋体"/>
                <w:color w:val="000000"/>
                <w:kern w:val="0"/>
                <w:sz w:val="24"/>
                <w:szCs w:val="24"/>
                <w:lang w:val="en-US" w:eastAsia="zh-CN" w:bidi="ar-SA"/>
              </w:rPr>
              <w:t>，</w:t>
            </w:r>
            <w:r>
              <w:rPr>
                <w:rFonts w:ascii="Times New Roman" w:hAnsi="Times New Roman" w:eastAsia="宋体" w:cs="Times New Roman"/>
                <w:color w:val="000000"/>
                <w:kern w:val="0"/>
                <w:sz w:val="24"/>
                <w:szCs w:val="24"/>
                <w:lang w:val="en-US" w:eastAsia="zh-CN" w:bidi="ar-SA"/>
              </w:rPr>
              <w:t>IP53</w:t>
            </w:r>
            <w:r>
              <w:rPr>
                <w:rFonts w:ascii="宋体" w:hAnsi="宋体" w:eastAsia="宋体" w:cs="宋体"/>
                <w:color w:val="000000"/>
                <w:kern w:val="0"/>
                <w:sz w:val="24"/>
                <w:szCs w:val="24"/>
                <w:lang w:val="en-US" w:eastAsia="zh-CN" w:bidi="ar-SA"/>
              </w:rPr>
              <w:t>、可视距离大于</w:t>
            </w:r>
            <w:r>
              <w:rPr>
                <w:rFonts w:ascii="Times New Roman" w:hAnsi="Times New Roman" w:eastAsia="宋体" w:cs="Times New Roman"/>
                <w:color w:val="000000"/>
                <w:kern w:val="0"/>
                <w:sz w:val="24"/>
                <w:szCs w:val="24"/>
                <w:lang w:val="en-US" w:eastAsia="zh-CN" w:bidi="ar-SA"/>
              </w:rPr>
              <w:t>400m</w:t>
            </w:r>
            <w:r>
              <w:rPr>
                <w:rFonts w:ascii="宋体" w:hAnsi="宋体" w:eastAsia="宋体" w:cs="宋体"/>
                <w:color w:val="000000"/>
                <w:kern w:val="0"/>
                <w:sz w:val="24"/>
                <w:szCs w:val="24"/>
                <w:lang w:val="en-US" w:eastAsia="zh-CN" w:bidi="ar-SA"/>
              </w:rPr>
              <w:t>、采用模块化设计</w:t>
            </w:r>
          </w:p>
        </w:tc>
        <w:tc>
          <w:tcPr>
            <w:tcW w:w="344" w:type="pct"/>
            <w:tcBorders>
              <w:top w:val="nil"/>
              <w:left w:val="nil"/>
              <w:bottom w:val="single" w:color="auto" w:sz="4" w:space="0"/>
              <w:right w:val="single" w:color="auto" w:sz="4" w:space="0"/>
            </w:tcBorders>
            <w:vAlign w:val="center"/>
          </w:tcPr>
          <w:p w14:paraId="69A474C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652217C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3950</w:t>
            </w:r>
          </w:p>
        </w:tc>
        <w:tc>
          <w:tcPr>
            <w:tcW w:w="440" w:type="pct"/>
            <w:tcBorders>
              <w:top w:val="nil"/>
              <w:left w:val="nil"/>
              <w:bottom w:val="single" w:color="auto" w:sz="4" w:space="0"/>
              <w:right w:val="single" w:color="auto" w:sz="4" w:space="0"/>
            </w:tcBorders>
            <w:noWrap/>
            <w:vAlign w:val="bottom"/>
          </w:tcPr>
          <w:p w14:paraId="67F7A47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26DE57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EF856A3">
        <w:tblPrEx>
          <w:tblCellMar>
            <w:top w:w="0" w:type="dxa"/>
            <w:left w:w="108" w:type="dxa"/>
            <w:bottom w:w="0" w:type="dxa"/>
            <w:right w:w="108" w:type="dxa"/>
          </w:tblCellMar>
        </w:tblPrEx>
        <w:trPr>
          <w:trHeight w:val="960" w:hRule="atLeast"/>
        </w:trPr>
        <w:tc>
          <w:tcPr>
            <w:tcW w:w="344" w:type="pct"/>
            <w:tcBorders>
              <w:top w:val="nil"/>
              <w:left w:val="single" w:color="auto" w:sz="4" w:space="0"/>
              <w:bottom w:val="single" w:color="auto" w:sz="4" w:space="0"/>
              <w:right w:val="single" w:color="auto" w:sz="4" w:space="0"/>
            </w:tcBorders>
            <w:vAlign w:val="center"/>
          </w:tcPr>
          <w:p w14:paraId="629AD91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29</w:t>
            </w:r>
          </w:p>
        </w:tc>
        <w:tc>
          <w:tcPr>
            <w:tcW w:w="2725" w:type="pct"/>
            <w:tcBorders>
              <w:top w:val="nil"/>
              <w:left w:val="nil"/>
              <w:bottom w:val="single" w:color="auto" w:sz="4" w:space="0"/>
              <w:right w:val="single" w:color="auto" w:sz="4" w:space="0"/>
            </w:tcBorders>
            <w:shd w:val="clear" w:color="000000" w:fill="FFFFFF"/>
            <w:vAlign w:val="center"/>
          </w:tcPr>
          <w:p w14:paraId="6986825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方向指示信号灯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：四灯组，</w:t>
            </w:r>
            <w:r>
              <w:rPr>
                <w:rFonts w:ascii="Times New Roman" w:hAnsi="Times New Roman" w:eastAsia="宋体" w:cs="Times New Roman"/>
                <w:color w:val="000000"/>
                <w:kern w:val="0"/>
                <w:sz w:val="24"/>
                <w:szCs w:val="24"/>
                <w:lang w:val="en-US" w:eastAsia="zh-CN" w:bidi="ar-SA"/>
              </w:rPr>
              <w:t>φ400</w:t>
            </w:r>
            <w:r>
              <w:rPr>
                <w:rFonts w:ascii="宋体" w:hAnsi="宋体" w:eastAsia="宋体" w:cs="宋体"/>
                <w:color w:val="000000"/>
                <w:kern w:val="0"/>
                <w:sz w:val="24"/>
                <w:szCs w:val="24"/>
                <w:lang w:val="en-US" w:eastAsia="zh-CN" w:bidi="ar-SA"/>
              </w:rPr>
              <w:t>，优质压铸铝喷塑壳体，超亮度进口</w:t>
            </w:r>
            <w:r>
              <w:rPr>
                <w:rFonts w:ascii="Times New Roman" w:hAnsi="Times New Roman" w:eastAsia="宋体" w:cs="Times New Roman"/>
                <w:color w:val="000000"/>
                <w:kern w:val="0"/>
                <w:sz w:val="24"/>
                <w:szCs w:val="24"/>
                <w:lang w:val="en-US" w:eastAsia="zh-CN" w:bidi="ar-SA"/>
              </w:rPr>
              <w:t>LED</w:t>
            </w:r>
            <w:r>
              <w:rPr>
                <w:rFonts w:ascii="宋体" w:hAnsi="宋体" w:eastAsia="宋体" w:cs="宋体"/>
                <w:color w:val="000000"/>
                <w:kern w:val="0"/>
                <w:sz w:val="24"/>
                <w:szCs w:val="24"/>
                <w:lang w:val="en-US" w:eastAsia="zh-CN" w:bidi="ar-SA"/>
              </w:rPr>
              <w:t>管芯，符合</w:t>
            </w:r>
            <w:r>
              <w:rPr>
                <w:rFonts w:ascii="Times New Roman" w:hAnsi="Times New Roman" w:eastAsia="宋体" w:cs="Times New Roman"/>
                <w:color w:val="000000"/>
                <w:kern w:val="0"/>
                <w:sz w:val="24"/>
                <w:szCs w:val="24"/>
                <w:lang w:val="en-US" w:eastAsia="zh-CN" w:bidi="ar-SA"/>
              </w:rPr>
              <w:t>GB14887-2016</w:t>
            </w:r>
            <w:r>
              <w:rPr>
                <w:rFonts w:ascii="宋体" w:hAnsi="宋体" w:eastAsia="宋体" w:cs="宋体"/>
                <w:color w:val="000000"/>
                <w:kern w:val="0"/>
                <w:sz w:val="24"/>
                <w:szCs w:val="24"/>
                <w:lang w:val="en-US" w:eastAsia="zh-CN" w:bidi="ar-SA"/>
              </w:rPr>
              <w:t>，</w:t>
            </w:r>
            <w:r>
              <w:rPr>
                <w:rFonts w:ascii="Times New Roman" w:hAnsi="Times New Roman" w:eastAsia="宋体" w:cs="Times New Roman"/>
                <w:color w:val="000000"/>
                <w:kern w:val="0"/>
                <w:sz w:val="24"/>
                <w:szCs w:val="24"/>
                <w:lang w:val="en-US" w:eastAsia="zh-CN" w:bidi="ar-SA"/>
              </w:rPr>
              <w:t>IP53</w:t>
            </w:r>
            <w:r>
              <w:rPr>
                <w:rFonts w:ascii="宋体" w:hAnsi="宋体" w:eastAsia="宋体" w:cs="宋体"/>
                <w:color w:val="000000"/>
                <w:kern w:val="0"/>
                <w:sz w:val="24"/>
                <w:szCs w:val="24"/>
                <w:lang w:val="en-US" w:eastAsia="zh-CN" w:bidi="ar-SA"/>
              </w:rPr>
              <w:t>、可视距离大于</w:t>
            </w:r>
            <w:r>
              <w:rPr>
                <w:rFonts w:ascii="Times New Roman" w:hAnsi="Times New Roman" w:eastAsia="宋体" w:cs="Times New Roman"/>
                <w:color w:val="000000"/>
                <w:kern w:val="0"/>
                <w:sz w:val="24"/>
                <w:szCs w:val="24"/>
                <w:lang w:val="en-US" w:eastAsia="zh-CN" w:bidi="ar-SA"/>
              </w:rPr>
              <w:t>400m</w:t>
            </w:r>
            <w:r>
              <w:rPr>
                <w:rFonts w:ascii="宋体" w:hAnsi="宋体" w:eastAsia="宋体" w:cs="宋体"/>
                <w:color w:val="000000"/>
                <w:kern w:val="0"/>
                <w:sz w:val="24"/>
                <w:szCs w:val="24"/>
                <w:lang w:val="en-US" w:eastAsia="zh-CN" w:bidi="ar-SA"/>
              </w:rPr>
              <w:t>、采用模块化设计</w:t>
            </w:r>
          </w:p>
        </w:tc>
        <w:tc>
          <w:tcPr>
            <w:tcW w:w="344" w:type="pct"/>
            <w:tcBorders>
              <w:top w:val="nil"/>
              <w:left w:val="nil"/>
              <w:bottom w:val="single" w:color="auto" w:sz="4" w:space="0"/>
              <w:right w:val="single" w:color="auto" w:sz="4" w:space="0"/>
            </w:tcBorders>
            <w:vAlign w:val="center"/>
          </w:tcPr>
          <w:p w14:paraId="68435F0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7BA09EE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3950</w:t>
            </w:r>
          </w:p>
        </w:tc>
        <w:tc>
          <w:tcPr>
            <w:tcW w:w="440" w:type="pct"/>
            <w:tcBorders>
              <w:top w:val="nil"/>
              <w:left w:val="nil"/>
              <w:bottom w:val="single" w:color="auto" w:sz="4" w:space="0"/>
              <w:right w:val="single" w:color="auto" w:sz="4" w:space="0"/>
            </w:tcBorders>
            <w:noWrap/>
            <w:vAlign w:val="bottom"/>
          </w:tcPr>
          <w:p w14:paraId="5BFDC3B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14A004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1805E57">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18209EA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30</w:t>
            </w:r>
          </w:p>
        </w:tc>
        <w:tc>
          <w:tcPr>
            <w:tcW w:w="2725" w:type="pct"/>
            <w:tcBorders>
              <w:top w:val="nil"/>
              <w:left w:val="nil"/>
              <w:bottom w:val="single" w:color="auto" w:sz="4" w:space="0"/>
              <w:right w:val="single" w:color="auto" w:sz="4" w:space="0"/>
            </w:tcBorders>
            <w:shd w:val="clear" w:color="000000" w:fill="FFFFFF"/>
            <w:vAlign w:val="center"/>
          </w:tcPr>
          <w:p w14:paraId="36744F9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四灯盘非机动车灯具（含辅材）</w:t>
            </w:r>
          </w:p>
        </w:tc>
        <w:tc>
          <w:tcPr>
            <w:tcW w:w="344" w:type="pct"/>
            <w:tcBorders>
              <w:top w:val="nil"/>
              <w:left w:val="nil"/>
              <w:bottom w:val="single" w:color="auto" w:sz="4" w:space="0"/>
              <w:right w:val="single" w:color="auto" w:sz="4" w:space="0"/>
            </w:tcBorders>
            <w:vAlign w:val="center"/>
          </w:tcPr>
          <w:p w14:paraId="271EB15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5F86541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3950</w:t>
            </w:r>
          </w:p>
        </w:tc>
        <w:tc>
          <w:tcPr>
            <w:tcW w:w="440" w:type="pct"/>
            <w:tcBorders>
              <w:top w:val="nil"/>
              <w:left w:val="nil"/>
              <w:bottom w:val="single" w:color="auto" w:sz="4" w:space="0"/>
              <w:right w:val="single" w:color="auto" w:sz="4" w:space="0"/>
            </w:tcBorders>
            <w:noWrap/>
            <w:vAlign w:val="bottom"/>
          </w:tcPr>
          <w:p w14:paraId="3F55998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1EFA45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839216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4B02D6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31</w:t>
            </w:r>
          </w:p>
        </w:tc>
        <w:tc>
          <w:tcPr>
            <w:tcW w:w="2725" w:type="pct"/>
            <w:tcBorders>
              <w:top w:val="nil"/>
              <w:left w:val="nil"/>
              <w:bottom w:val="single" w:color="auto" w:sz="4" w:space="0"/>
              <w:right w:val="single" w:color="auto" w:sz="4" w:space="0"/>
            </w:tcBorders>
            <w:shd w:val="clear" w:color="000000" w:fill="FFFFFF"/>
            <w:vAlign w:val="center"/>
          </w:tcPr>
          <w:p w14:paraId="55CAEE1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四灯盘左转非机动车灯具（含辅材）</w:t>
            </w:r>
          </w:p>
        </w:tc>
        <w:tc>
          <w:tcPr>
            <w:tcW w:w="344" w:type="pct"/>
            <w:tcBorders>
              <w:top w:val="nil"/>
              <w:left w:val="nil"/>
              <w:bottom w:val="single" w:color="auto" w:sz="4" w:space="0"/>
              <w:right w:val="single" w:color="auto" w:sz="4" w:space="0"/>
            </w:tcBorders>
            <w:vAlign w:val="center"/>
          </w:tcPr>
          <w:p w14:paraId="651C8CC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1351460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3950</w:t>
            </w:r>
          </w:p>
        </w:tc>
        <w:tc>
          <w:tcPr>
            <w:tcW w:w="440" w:type="pct"/>
            <w:tcBorders>
              <w:top w:val="nil"/>
              <w:left w:val="nil"/>
              <w:bottom w:val="single" w:color="auto" w:sz="4" w:space="0"/>
              <w:right w:val="single" w:color="auto" w:sz="4" w:space="0"/>
            </w:tcBorders>
            <w:noWrap/>
            <w:vAlign w:val="bottom"/>
          </w:tcPr>
          <w:p w14:paraId="2FF9041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F1EB60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6BD3FD3">
        <w:tblPrEx>
          <w:tblCellMar>
            <w:top w:w="0" w:type="dxa"/>
            <w:left w:w="108" w:type="dxa"/>
            <w:bottom w:w="0" w:type="dxa"/>
            <w:right w:w="108" w:type="dxa"/>
          </w:tblCellMar>
        </w:tblPrEx>
        <w:trPr>
          <w:trHeight w:val="645" w:hRule="atLeast"/>
        </w:trPr>
        <w:tc>
          <w:tcPr>
            <w:tcW w:w="344" w:type="pct"/>
            <w:tcBorders>
              <w:top w:val="nil"/>
              <w:left w:val="single" w:color="auto" w:sz="4" w:space="0"/>
              <w:bottom w:val="single" w:color="auto" w:sz="4" w:space="0"/>
              <w:right w:val="single" w:color="auto" w:sz="4" w:space="0"/>
            </w:tcBorders>
            <w:vAlign w:val="center"/>
          </w:tcPr>
          <w:p w14:paraId="22C41D2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32</w:t>
            </w:r>
          </w:p>
        </w:tc>
        <w:tc>
          <w:tcPr>
            <w:tcW w:w="2725" w:type="pct"/>
            <w:tcBorders>
              <w:top w:val="nil"/>
              <w:left w:val="nil"/>
              <w:bottom w:val="single" w:color="auto" w:sz="4" w:space="0"/>
              <w:right w:val="single" w:color="auto" w:sz="4" w:space="0"/>
            </w:tcBorders>
            <w:shd w:val="clear" w:color="000000" w:fill="FFFFFF"/>
            <w:vAlign w:val="center"/>
          </w:tcPr>
          <w:p w14:paraId="589F30B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三灯组满灯，</w:t>
            </w:r>
            <w:r>
              <w:rPr>
                <w:rFonts w:ascii="Times New Roman" w:hAnsi="Times New Roman" w:eastAsia="宋体" w:cs="Times New Roman"/>
                <w:color w:val="000000"/>
                <w:kern w:val="0"/>
                <w:sz w:val="24"/>
                <w:szCs w:val="24"/>
                <w:lang w:val="en-US" w:eastAsia="zh-CN" w:bidi="ar-SA"/>
              </w:rPr>
              <w:t>φ400</w:t>
            </w:r>
            <w:r>
              <w:rPr>
                <w:rFonts w:ascii="宋体" w:hAnsi="宋体" w:eastAsia="宋体" w:cs="宋体"/>
                <w:color w:val="000000"/>
                <w:kern w:val="0"/>
                <w:sz w:val="24"/>
                <w:szCs w:val="24"/>
                <w:lang w:val="en-US" w:eastAsia="zh-CN" w:bidi="ar-SA"/>
              </w:rPr>
              <w:t>，优质压铸铝喷塑壳体，超亮度进口</w:t>
            </w:r>
            <w:r>
              <w:rPr>
                <w:rFonts w:ascii="Times New Roman" w:hAnsi="Times New Roman" w:eastAsia="宋体" w:cs="Times New Roman"/>
                <w:color w:val="000000"/>
                <w:kern w:val="0"/>
                <w:sz w:val="24"/>
                <w:szCs w:val="24"/>
                <w:lang w:val="en-US" w:eastAsia="zh-CN" w:bidi="ar-SA"/>
              </w:rPr>
              <w:t>LED</w:t>
            </w:r>
            <w:r>
              <w:rPr>
                <w:rFonts w:ascii="宋体" w:hAnsi="宋体" w:eastAsia="宋体" w:cs="宋体"/>
                <w:color w:val="000000"/>
                <w:kern w:val="0"/>
                <w:sz w:val="24"/>
                <w:szCs w:val="24"/>
                <w:lang w:val="en-US" w:eastAsia="zh-CN" w:bidi="ar-SA"/>
              </w:rPr>
              <w:t>管芯，符合</w:t>
            </w:r>
            <w:r>
              <w:rPr>
                <w:rFonts w:ascii="Times New Roman" w:hAnsi="Times New Roman" w:eastAsia="宋体" w:cs="Times New Roman"/>
                <w:color w:val="000000"/>
                <w:kern w:val="0"/>
                <w:sz w:val="24"/>
                <w:szCs w:val="24"/>
                <w:lang w:val="en-US" w:eastAsia="zh-CN" w:bidi="ar-SA"/>
              </w:rPr>
              <w:t>GB14887-2016</w:t>
            </w:r>
            <w:r>
              <w:rPr>
                <w:rFonts w:ascii="宋体" w:hAnsi="宋体" w:eastAsia="宋体" w:cs="宋体"/>
                <w:color w:val="000000"/>
                <w:kern w:val="0"/>
                <w:sz w:val="24"/>
                <w:szCs w:val="24"/>
                <w:lang w:val="en-US" w:eastAsia="zh-CN" w:bidi="ar-SA"/>
              </w:rPr>
              <w:t>，</w:t>
            </w:r>
            <w:r>
              <w:rPr>
                <w:rFonts w:ascii="Times New Roman" w:hAnsi="Times New Roman" w:eastAsia="宋体" w:cs="Times New Roman"/>
                <w:color w:val="000000"/>
                <w:kern w:val="0"/>
                <w:sz w:val="24"/>
                <w:szCs w:val="24"/>
                <w:lang w:val="en-US" w:eastAsia="zh-CN" w:bidi="ar-SA"/>
              </w:rPr>
              <w:t>IP53</w:t>
            </w:r>
            <w:r>
              <w:rPr>
                <w:rFonts w:ascii="宋体" w:hAnsi="宋体" w:eastAsia="宋体" w:cs="宋体"/>
                <w:color w:val="000000"/>
                <w:kern w:val="0"/>
                <w:sz w:val="24"/>
                <w:szCs w:val="24"/>
                <w:lang w:val="en-US" w:eastAsia="zh-CN" w:bidi="ar-SA"/>
              </w:rPr>
              <w:t>、可视距离大于</w:t>
            </w:r>
            <w:r>
              <w:rPr>
                <w:rFonts w:ascii="Times New Roman" w:hAnsi="Times New Roman" w:eastAsia="宋体" w:cs="Times New Roman"/>
                <w:color w:val="000000"/>
                <w:kern w:val="0"/>
                <w:sz w:val="24"/>
                <w:szCs w:val="24"/>
                <w:lang w:val="en-US" w:eastAsia="zh-CN" w:bidi="ar-SA"/>
              </w:rPr>
              <w:t>400m</w:t>
            </w:r>
            <w:r>
              <w:rPr>
                <w:rFonts w:ascii="宋体" w:hAnsi="宋体" w:eastAsia="宋体" w:cs="宋体"/>
                <w:color w:val="000000"/>
                <w:kern w:val="0"/>
                <w:sz w:val="24"/>
                <w:szCs w:val="24"/>
                <w:lang w:val="en-US" w:eastAsia="zh-CN" w:bidi="ar-SA"/>
              </w:rPr>
              <w:t>、采用模块化设计</w:t>
            </w:r>
          </w:p>
        </w:tc>
        <w:tc>
          <w:tcPr>
            <w:tcW w:w="344" w:type="pct"/>
            <w:tcBorders>
              <w:top w:val="nil"/>
              <w:left w:val="nil"/>
              <w:bottom w:val="single" w:color="auto" w:sz="4" w:space="0"/>
              <w:right w:val="single" w:color="auto" w:sz="4" w:space="0"/>
            </w:tcBorders>
            <w:vAlign w:val="center"/>
          </w:tcPr>
          <w:p w14:paraId="6E1DBF1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0639B06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2500</w:t>
            </w:r>
          </w:p>
        </w:tc>
        <w:tc>
          <w:tcPr>
            <w:tcW w:w="440" w:type="pct"/>
            <w:tcBorders>
              <w:top w:val="nil"/>
              <w:left w:val="nil"/>
              <w:bottom w:val="single" w:color="auto" w:sz="4" w:space="0"/>
              <w:right w:val="single" w:color="auto" w:sz="4" w:space="0"/>
            </w:tcBorders>
            <w:noWrap/>
            <w:vAlign w:val="bottom"/>
          </w:tcPr>
          <w:p w14:paraId="6E3206D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03E07C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1938C46">
        <w:tblPrEx>
          <w:tblCellMar>
            <w:top w:w="0" w:type="dxa"/>
            <w:left w:w="108" w:type="dxa"/>
            <w:bottom w:w="0" w:type="dxa"/>
            <w:right w:w="108" w:type="dxa"/>
          </w:tblCellMar>
        </w:tblPrEx>
        <w:trPr>
          <w:trHeight w:val="645" w:hRule="atLeast"/>
        </w:trPr>
        <w:tc>
          <w:tcPr>
            <w:tcW w:w="344" w:type="pct"/>
            <w:tcBorders>
              <w:top w:val="nil"/>
              <w:left w:val="single" w:color="auto" w:sz="4" w:space="0"/>
              <w:bottom w:val="single" w:color="auto" w:sz="4" w:space="0"/>
              <w:right w:val="single" w:color="auto" w:sz="4" w:space="0"/>
            </w:tcBorders>
            <w:vAlign w:val="center"/>
          </w:tcPr>
          <w:p w14:paraId="1546560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33</w:t>
            </w:r>
          </w:p>
        </w:tc>
        <w:tc>
          <w:tcPr>
            <w:tcW w:w="2725" w:type="pct"/>
            <w:tcBorders>
              <w:top w:val="nil"/>
              <w:left w:val="nil"/>
              <w:bottom w:val="single" w:color="auto" w:sz="4" w:space="0"/>
              <w:right w:val="single" w:color="auto" w:sz="4" w:space="0"/>
            </w:tcBorders>
            <w:shd w:val="clear" w:color="000000" w:fill="FFFFFF"/>
            <w:vAlign w:val="center"/>
          </w:tcPr>
          <w:p w14:paraId="465EEBE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三灯组箭头灯，</w:t>
            </w:r>
            <w:r>
              <w:rPr>
                <w:rFonts w:ascii="Times New Roman" w:hAnsi="Times New Roman" w:eastAsia="宋体" w:cs="Times New Roman"/>
                <w:color w:val="000000"/>
                <w:kern w:val="0"/>
                <w:sz w:val="24"/>
                <w:szCs w:val="24"/>
                <w:lang w:val="en-US" w:eastAsia="zh-CN" w:bidi="ar-SA"/>
              </w:rPr>
              <w:t>φ400</w:t>
            </w:r>
            <w:r>
              <w:rPr>
                <w:rFonts w:ascii="宋体" w:hAnsi="宋体" w:eastAsia="宋体" w:cs="宋体"/>
                <w:color w:val="000000"/>
                <w:kern w:val="0"/>
                <w:sz w:val="24"/>
                <w:szCs w:val="24"/>
                <w:lang w:val="en-US" w:eastAsia="zh-CN" w:bidi="ar-SA"/>
              </w:rPr>
              <w:t>，优质压铸铝喷塑壳体，超亮度进口</w:t>
            </w:r>
            <w:r>
              <w:rPr>
                <w:rFonts w:ascii="Times New Roman" w:hAnsi="Times New Roman" w:eastAsia="宋体" w:cs="Times New Roman"/>
                <w:color w:val="000000"/>
                <w:kern w:val="0"/>
                <w:sz w:val="24"/>
                <w:szCs w:val="24"/>
                <w:lang w:val="en-US" w:eastAsia="zh-CN" w:bidi="ar-SA"/>
              </w:rPr>
              <w:t>LED</w:t>
            </w:r>
            <w:r>
              <w:rPr>
                <w:rFonts w:ascii="宋体" w:hAnsi="宋体" w:eastAsia="宋体" w:cs="宋体"/>
                <w:color w:val="000000"/>
                <w:kern w:val="0"/>
                <w:sz w:val="24"/>
                <w:szCs w:val="24"/>
                <w:lang w:val="en-US" w:eastAsia="zh-CN" w:bidi="ar-SA"/>
              </w:rPr>
              <w:t>管芯，符合</w:t>
            </w:r>
            <w:r>
              <w:rPr>
                <w:rFonts w:ascii="Times New Roman" w:hAnsi="Times New Roman" w:eastAsia="宋体" w:cs="Times New Roman"/>
                <w:color w:val="000000"/>
                <w:kern w:val="0"/>
                <w:sz w:val="24"/>
                <w:szCs w:val="24"/>
                <w:lang w:val="en-US" w:eastAsia="zh-CN" w:bidi="ar-SA"/>
              </w:rPr>
              <w:t>GB14887-2016</w:t>
            </w:r>
            <w:r>
              <w:rPr>
                <w:rFonts w:ascii="宋体" w:hAnsi="宋体" w:eastAsia="宋体" w:cs="宋体"/>
                <w:color w:val="000000"/>
                <w:kern w:val="0"/>
                <w:sz w:val="24"/>
                <w:szCs w:val="24"/>
                <w:lang w:val="en-US" w:eastAsia="zh-CN" w:bidi="ar-SA"/>
              </w:rPr>
              <w:t>，</w:t>
            </w:r>
            <w:r>
              <w:rPr>
                <w:rFonts w:ascii="Times New Roman" w:hAnsi="Times New Roman" w:eastAsia="宋体" w:cs="Times New Roman"/>
                <w:color w:val="000000"/>
                <w:kern w:val="0"/>
                <w:sz w:val="24"/>
                <w:szCs w:val="24"/>
                <w:lang w:val="en-US" w:eastAsia="zh-CN" w:bidi="ar-SA"/>
              </w:rPr>
              <w:t>IP53</w:t>
            </w:r>
            <w:r>
              <w:rPr>
                <w:rFonts w:ascii="宋体" w:hAnsi="宋体" w:eastAsia="宋体" w:cs="宋体"/>
                <w:color w:val="000000"/>
                <w:kern w:val="0"/>
                <w:sz w:val="24"/>
                <w:szCs w:val="24"/>
                <w:lang w:val="en-US" w:eastAsia="zh-CN" w:bidi="ar-SA"/>
              </w:rPr>
              <w:t>、可视距离大于</w:t>
            </w:r>
            <w:r>
              <w:rPr>
                <w:rFonts w:ascii="Times New Roman" w:hAnsi="Times New Roman" w:eastAsia="宋体" w:cs="Times New Roman"/>
                <w:color w:val="000000"/>
                <w:kern w:val="0"/>
                <w:sz w:val="24"/>
                <w:szCs w:val="24"/>
                <w:lang w:val="en-US" w:eastAsia="zh-CN" w:bidi="ar-SA"/>
              </w:rPr>
              <w:t>400m</w:t>
            </w:r>
            <w:r>
              <w:rPr>
                <w:rFonts w:ascii="宋体" w:hAnsi="宋体" w:eastAsia="宋体" w:cs="宋体"/>
                <w:color w:val="000000"/>
                <w:kern w:val="0"/>
                <w:sz w:val="24"/>
                <w:szCs w:val="24"/>
                <w:lang w:val="en-US" w:eastAsia="zh-CN" w:bidi="ar-SA"/>
              </w:rPr>
              <w:t>、采用模块化设计</w:t>
            </w:r>
          </w:p>
        </w:tc>
        <w:tc>
          <w:tcPr>
            <w:tcW w:w="344" w:type="pct"/>
            <w:tcBorders>
              <w:top w:val="nil"/>
              <w:left w:val="nil"/>
              <w:bottom w:val="single" w:color="auto" w:sz="4" w:space="0"/>
              <w:right w:val="single" w:color="auto" w:sz="4" w:space="0"/>
            </w:tcBorders>
            <w:vAlign w:val="center"/>
          </w:tcPr>
          <w:p w14:paraId="428C36C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181E964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2500</w:t>
            </w:r>
          </w:p>
        </w:tc>
        <w:tc>
          <w:tcPr>
            <w:tcW w:w="440" w:type="pct"/>
            <w:tcBorders>
              <w:top w:val="nil"/>
              <w:left w:val="nil"/>
              <w:bottom w:val="single" w:color="auto" w:sz="4" w:space="0"/>
              <w:right w:val="single" w:color="auto" w:sz="4" w:space="0"/>
            </w:tcBorders>
            <w:noWrap/>
            <w:vAlign w:val="bottom"/>
          </w:tcPr>
          <w:p w14:paraId="687748A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32A1C7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7673705">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479415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34</w:t>
            </w:r>
          </w:p>
        </w:tc>
        <w:tc>
          <w:tcPr>
            <w:tcW w:w="2725" w:type="pct"/>
            <w:tcBorders>
              <w:top w:val="nil"/>
              <w:left w:val="nil"/>
              <w:bottom w:val="single" w:color="auto" w:sz="4" w:space="0"/>
              <w:right w:val="single" w:color="auto" w:sz="4" w:space="0"/>
            </w:tcBorders>
            <w:shd w:val="clear" w:color="000000" w:fill="FFFFFF"/>
            <w:vAlign w:val="center"/>
          </w:tcPr>
          <w:p w14:paraId="4ACD176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三灯盘非机动车灯具（含辅材）</w:t>
            </w:r>
          </w:p>
        </w:tc>
        <w:tc>
          <w:tcPr>
            <w:tcW w:w="344" w:type="pct"/>
            <w:tcBorders>
              <w:top w:val="nil"/>
              <w:left w:val="nil"/>
              <w:bottom w:val="single" w:color="auto" w:sz="4" w:space="0"/>
              <w:right w:val="single" w:color="auto" w:sz="4" w:space="0"/>
            </w:tcBorders>
            <w:vAlign w:val="center"/>
          </w:tcPr>
          <w:p w14:paraId="3908827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16830A1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2500</w:t>
            </w:r>
          </w:p>
        </w:tc>
        <w:tc>
          <w:tcPr>
            <w:tcW w:w="440" w:type="pct"/>
            <w:tcBorders>
              <w:top w:val="nil"/>
              <w:left w:val="nil"/>
              <w:bottom w:val="single" w:color="auto" w:sz="4" w:space="0"/>
              <w:right w:val="single" w:color="auto" w:sz="4" w:space="0"/>
            </w:tcBorders>
            <w:noWrap/>
            <w:vAlign w:val="bottom"/>
          </w:tcPr>
          <w:p w14:paraId="3C26166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C363A4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C18D147">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DB6AA9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35</w:t>
            </w:r>
          </w:p>
        </w:tc>
        <w:tc>
          <w:tcPr>
            <w:tcW w:w="2725" w:type="pct"/>
            <w:tcBorders>
              <w:top w:val="nil"/>
              <w:left w:val="nil"/>
              <w:bottom w:val="single" w:color="auto" w:sz="4" w:space="0"/>
              <w:right w:val="single" w:color="auto" w:sz="4" w:space="0"/>
            </w:tcBorders>
            <w:shd w:val="clear" w:color="000000" w:fill="FFFFFF"/>
            <w:vAlign w:val="center"/>
          </w:tcPr>
          <w:p w14:paraId="63BBFCC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三灯盘左转非机动车灯具（含辅材）</w:t>
            </w:r>
          </w:p>
        </w:tc>
        <w:tc>
          <w:tcPr>
            <w:tcW w:w="344" w:type="pct"/>
            <w:tcBorders>
              <w:top w:val="nil"/>
              <w:left w:val="nil"/>
              <w:bottom w:val="single" w:color="auto" w:sz="4" w:space="0"/>
              <w:right w:val="single" w:color="auto" w:sz="4" w:space="0"/>
            </w:tcBorders>
            <w:vAlign w:val="center"/>
          </w:tcPr>
          <w:p w14:paraId="3DDE7ED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1BB40E2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2500</w:t>
            </w:r>
          </w:p>
        </w:tc>
        <w:tc>
          <w:tcPr>
            <w:tcW w:w="440" w:type="pct"/>
            <w:tcBorders>
              <w:top w:val="nil"/>
              <w:left w:val="nil"/>
              <w:bottom w:val="single" w:color="auto" w:sz="4" w:space="0"/>
              <w:right w:val="single" w:color="auto" w:sz="4" w:space="0"/>
            </w:tcBorders>
            <w:noWrap/>
            <w:vAlign w:val="bottom"/>
          </w:tcPr>
          <w:p w14:paraId="65902CD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715D85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3406D34">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6F21648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36</w:t>
            </w:r>
          </w:p>
        </w:tc>
        <w:tc>
          <w:tcPr>
            <w:tcW w:w="2725" w:type="pct"/>
            <w:tcBorders>
              <w:top w:val="nil"/>
              <w:left w:val="nil"/>
              <w:bottom w:val="single" w:color="auto" w:sz="4" w:space="0"/>
              <w:right w:val="single" w:color="auto" w:sz="4" w:space="0"/>
            </w:tcBorders>
            <w:shd w:val="clear" w:color="000000" w:fill="FFFFFF"/>
            <w:vAlign w:val="center"/>
          </w:tcPr>
          <w:p w14:paraId="6F1BC4F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触发学习组合式倒计时器（</w:t>
            </w:r>
            <w:r>
              <w:rPr>
                <w:rFonts w:ascii="Times New Roman" w:hAnsi="Times New Roman" w:eastAsia="宋体" w:cs="Times New Roman"/>
                <w:color w:val="000000"/>
                <w:kern w:val="0"/>
                <w:sz w:val="24"/>
                <w:szCs w:val="24"/>
                <w:lang w:val="en-US" w:eastAsia="zh-CN" w:bidi="ar-SA"/>
              </w:rPr>
              <w:t>800mm*600mm</w:t>
            </w:r>
            <w:r>
              <w:rPr>
                <w:rFonts w:ascii="宋体" w:hAnsi="宋体" w:eastAsia="宋体" w:cs="宋体"/>
                <w:color w:val="000000"/>
                <w:kern w:val="0"/>
                <w:sz w:val="24"/>
                <w:szCs w:val="24"/>
                <w:lang w:val="en-US" w:eastAsia="zh-CN" w:bidi="ar-SA"/>
              </w:rPr>
              <w:t>）</w:t>
            </w:r>
          </w:p>
        </w:tc>
        <w:tc>
          <w:tcPr>
            <w:tcW w:w="344" w:type="pct"/>
            <w:tcBorders>
              <w:top w:val="nil"/>
              <w:left w:val="nil"/>
              <w:bottom w:val="single" w:color="auto" w:sz="4" w:space="0"/>
              <w:right w:val="single" w:color="auto" w:sz="4" w:space="0"/>
            </w:tcBorders>
            <w:vAlign w:val="center"/>
          </w:tcPr>
          <w:p w14:paraId="17615F0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台</w:t>
            </w:r>
          </w:p>
        </w:tc>
        <w:tc>
          <w:tcPr>
            <w:tcW w:w="663" w:type="pct"/>
            <w:tcBorders>
              <w:top w:val="nil"/>
              <w:left w:val="nil"/>
              <w:bottom w:val="single" w:color="auto" w:sz="4" w:space="0"/>
              <w:right w:val="single" w:color="auto" w:sz="4" w:space="0"/>
            </w:tcBorders>
            <w:vAlign w:val="center"/>
          </w:tcPr>
          <w:p w14:paraId="0D86604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3000</w:t>
            </w:r>
          </w:p>
        </w:tc>
        <w:tc>
          <w:tcPr>
            <w:tcW w:w="440" w:type="pct"/>
            <w:tcBorders>
              <w:top w:val="nil"/>
              <w:left w:val="nil"/>
              <w:bottom w:val="single" w:color="auto" w:sz="4" w:space="0"/>
              <w:right w:val="single" w:color="auto" w:sz="4" w:space="0"/>
            </w:tcBorders>
            <w:noWrap/>
            <w:vAlign w:val="bottom"/>
          </w:tcPr>
          <w:p w14:paraId="7728AFD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EEE33A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4E5DF62">
        <w:tblPrEx>
          <w:tblCellMar>
            <w:top w:w="0" w:type="dxa"/>
            <w:left w:w="108" w:type="dxa"/>
            <w:bottom w:w="0" w:type="dxa"/>
            <w:right w:w="108" w:type="dxa"/>
          </w:tblCellMar>
        </w:tblPrEx>
        <w:trPr>
          <w:trHeight w:val="645" w:hRule="atLeast"/>
        </w:trPr>
        <w:tc>
          <w:tcPr>
            <w:tcW w:w="344" w:type="pct"/>
            <w:tcBorders>
              <w:top w:val="nil"/>
              <w:left w:val="single" w:color="auto" w:sz="4" w:space="0"/>
              <w:bottom w:val="single" w:color="auto" w:sz="4" w:space="0"/>
              <w:right w:val="single" w:color="auto" w:sz="4" w:space="0"/>
            </w:tcBorders>
            <w:vAlign w:val="center"/>
          </w:tcPr>
          <w:p w14:paraId="19AA2E2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37</w:t>
            </w:r>
          </w:p>
        </w:tc>
        <w:tc>
          <w:tcPr>
            <w:tcW w:w="2725" w:type="pct"/>
            <w:tcBorders>
              <w:top w:val="nil"/>
              <w:left w:val="nil"/>
              <w:bottom w:val="single" w:color="auto" w:sz="4" w:space="0"/>
              <w:right w:val="single" w:color="auto" w:sz="4" w:space="0"/>
            </w:tcBorders>
            <w:shd w:val="clear" w:color="000000" w:fill="FFFFFF"/>
            <w:vAlign w:val="center"/>
          </w:tcPr>
          <w:p w14:paraId="30B91B8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人行信号灯</w:t>
            </w:r>
            <w:r>
              <w:rPr>
                <w:rFonts w:ascii="Times New Roman" w:hAnsi="Times New Roman" w:eastAsia="宋体" w:cs="Times New Roman"/>
                <w:color w:val="000000"/>
                <w:kern w:val="0"/>
                <w:sz w:val="24"/>
                <w:szCs w:val="24"/>
                <w:lang w:val="en-US" w:eastAsia="zh-CN" w:bidi="ar-SA"/>
              </w:rPr>
              <w:t>(300mm)</w:t>
            </w:r>
            <w:r>
              <w:rPr>
                <w:rFonts w:ascii="宋体" w:hAnsi="宋体" w:eastAsia="宋体" w:cs="宋体"/>
                <w:color w:val="000000"/>
                <w:kern w:val="0"/>
                <w:sz w:val="24"/>
                <w:szCs w:val="24"/>
                <w:lang w:val="en-US" w:eastAsia="zh-CN" w:bidi="ar-SA"/>
              </w:rPr>
              <w:t>：灯面直径为</w:t>
            </w:r>
            <w:r>
              <w:rPr>
                <w:rFonts w:ascii="Times New Roman" w:hAnsi="Times New Roman" w:eastAsia="宋体" w:cs="Times New Roman"/>
                <w:color w:val="000000"/>
                <w:kern w:val="0"/>
                <w:sz w:val="24"/>
                <w:szCs w:val="24"/>
                <w:lang w:val="en-US" w:eastAsia="zh-CN" w:bidi="ar-SA"/>
              </w:rPr>
              <w:t>Φ300mm</w:t>
            </w:r>
            <w:r>
              <w:rPr>
                <w:rFonts w:ascii="宋体" w:hAnsi="宋体" w:eastAsia="宋体" w:cs="宋体"/>
                <w:color w:val="000000"/>
                <w:kern w:val="0"/>
                <w:sz w:val="24"/>
                <w:szCs w:val="24"/>
                <w:lang w:val="en-US" w:eastAsia="zh-CN" w:bidi="ar-SA"/>
              </w:rPr>
              <w:t>，从上到下是红人、静态绿人，含</w:t>
            </w:r>
            <w:r>
              <w:rPr>
                <w:rFonts w:ascii="Times New Roman" w:hAnsi="Times New Roman" w:eastAsia="宋体" w:cs="Times New Roman"/>
                <w:color w:val="000000"/>
                <w:kern w:val="0"/>
                <w:sz w:val="24"/>
                <w:szCs w:val="24"/>
                <w:lang w:val="en-US" w:eastAsia="zh-CN" w:bidi="ar-SA"/>
              </w:rPr>
              <w:t>300</w:t>
            </w:r>
            <w:r>
              <w:rPr>
                <w:rFonts w:ascii="宋体" w:hAnsi="宋体" w:eastAsia="宋体" w:cs="宋体"/>
                <w:color w:val="000000"/>
                <w:kern w:val="0"/>
                <w:sz w:val="24"/>
                <w:szCs w:val="24"/>
                <w:lang w:val="en-US" w:eastAsia="zh-CN" w:bidi="ar-SA"/>
              </w:rPr>
              <w:t>倒计时；铝合金外壳</w:t>
            </w:r>
          </w:p>
        </w:tc>
        <w:tc>
          <w:tcPr>
            <w:tcW w:w="344" w:type="pct"/>
            <w:tcBorders>
              <w:top w:val="nil"/>
              <w:left w:val="nil"/>
              <w:bottom w:val="single" w:color="auto" w:sz="4" w:space="0"/>
              <w:right w:val="single" w:color="auto" w:sz="4" w:space="0"/>
            </w:tcBorders>
            <w:vAlign w:val="center"/>
          </w:tcPr>
          <w:p w14:paraId="48610A7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4DDA5E1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1500</w:t>
            </w:r>
          </w:p>
        </w:tc>
        <w:tc>
          <w:tcPr>
            <w:tcW w:w="440" w:type="pct"/>
            <w:tcBorders>
              <w:top w:val="nil"/>
              <w:left w:val="nil"/>
              <w:bottom w:val="single" w:color="auto" w:sz="4" w:space="0"/>
              <w:right w:val="single" w:color="auto" w:sz="4" w:space="0"/>
            </w:tcBorders>
            <w:noWrap/>
            <w:vAlign w:val="bottom"/>
          </w:tcPr>
          <w:p w14:paraId="4D57F49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250129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2C31A4D">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1B772B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38</w:t>
            </w:r>
          </w:p>
        </w:tc>
        <w:tc>
          <w:tcPr>
            <w:tcW w:w="2725" w:type="pct"/>
            <w:tcBorders>
              <w:top w:val="nil"/>
              <w:left w:val="nil"/>
              <w:bottom w:val="single" w:color="auto" w:sz="4" w:space="0"/>
              <w:right w:val="single" w:color="auto" w:sz="4" w:space="0"/>
            </w:tcBorders>
            <w:shd w:val="clear" w:color="000000" w:fill="FFFFFF"/>
            <w:vAlign w:val="center"/>
          </w:tcPr>
          <w:p w14:paraId="05B9A91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板式人行灯</w:t>
            </w:r>
          </w:p>
        </w:tc>
        <w:tc>
          <w:tcPr>
            <w:tcW w:w="344" w:type="pct"/>
            <w:tcBorders>
              <w:top w:val="nil"/>
              <w:left w:val="nil"/>
              <w:bottom w:val="single" w:color="auto" w:sz="4" w:space="0"/>
              <w:right w:val="single" w:color="auto" w:sz="4" w:space="0"/>
            </w:tcBorders>
            <w:vAlign w:val="center"/>
          </w:tcPr>
          <w:p w14:paraId="3E985E1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765ECC4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6700</w:t>
            </w:r>
          </w:p>
        </w:tc>
        <w:tc>
          <w:tcPr>
            <w:tcW w:w="440" w:type="pct"/>
            <w:tcBorders>
              <w:top w:val="nil"/>
              <w:left w:val="nil"/>
              <w:bottom w:val="single" w:color="auto" w:sz="4" w:space="0"/>
              <w:right w:val="single" w:color="auto" w:sz="4" w:space="0"/>
            </w:tcBorders>
            <w:noWrap/>
            <w:vAlign w:val="bottom"/>
          </w:tcPr>
          <w:p w14:paraId="2DCEDE6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43650B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DF8AFC6">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71D4E13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39</w:t>
            </w:r>
          </w:p>
        </w:tc>
        <w:tc>
          <w:tcPr>
            <w:tcW w:w="2725" w:type="pct"/>
            <w:tcBorders>
              <w:top w:val="nil"/>
              <w:left w:val="nil"/>
              <w:bottom w:val="single" w:color="auto" w:sz="4" w:space="0"/>
              <w:right w:val="single" w:color="auto" w:sz="4" w:space="0"/>
            </w:tcBorders>
            <w:shd w:val="clear" w:color="000000" w:fill="FFFFFF"/>
            <w:vAlign w:val="center"/>
          </w:tcPr>
          <w:p w14:paraId="0ED04A9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机动车信号灯（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盘</w:t>
            </w:r>
          </w:p>
        </w:tc>
        <w:tc>
          <w:tcPr>
            <w:tcW w:w="344" w:type="pct"/>
            <w:tcBorders>
              <w:top w:val="nil"/>
              <w:left w:val="nil"/>
              <w:bottom w:val="single" w:color="auto" w:sz="4" w:space="0"/>
              <w:right w:val="single" w:color="auto" w:sz="4" w:space="0"/>
            </w:tcBorders>
            <w:vAlign w:val="center"/>
          </w:tcPr>
          <w:p w14:paraId="67C9DCB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4625473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w:t>
            </w:r>
          </w:p>
        </w:tc>
        <w:tc>
          <w:tcPr>
            <w:tcW w:w="440" w:type="pct"/>
            <w:tcBorders>
              <w:top w:val="nil"/>
              <w:left w:val="nil"/>
              <w:bottom w:val="single" w:color="auto" w:sz="4" w:space="0"/>
              <w:right w:val="single" w:color="auto" w:sz="4" w:space="0"/>
            </w:tcBorders>
            <w:noWrap/>
            <w:vAlign w:val="bottom"/>
          </w:tcPr>
          <w:p w14:paraId="1F2A416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31B00C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84EC52F">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387C199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w:t>
            </w:r>
          </w:p>
        </w:tc>
        <w:tc>
          <w:tcPr>
            <w:tcW w:w="2725" w:type="pct"/>
            <w:tcBorders>
              <w:top w:val="nil"/>
              <w:left w:val="nil"/>
              <w:bottom w:val="single" w:color="auto" w:sz="4" w:space="0"/>
              <w:right w:val="single" w:color="auto" w:sz="4" w:space="0"/>
            </w:tcBorders>
            <w:shd w:val="clear" w:color="000000" w:fill="FFFFFF"/>
            <w:vAlign w:val="center"/>
          </w:tcPr>
          <w:p w14:paraId="0BEEADD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方向指示信号灯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盘</w:t>
            </w:r>
          </w:p>
        </w:tc>
        <w:tc>
          <w:tcPr>
            <w:tcW w:w="344" w:type="pct"/>
            <w:tcBorders>
              <w:top w:val="nil"/>
              <w:left w:val="nil"/>
              <w:bottom w:val="single" w:color="auto" w:sz="4" w:space="0"/>
              <w:right w:val="single" w:color="auto" w:sz="4" w:space="0"/>
            </w:tcBorders>
            <w:vAlign w:val="center"/>
          </w:tcPr>
          <w:p w14:paraId="5E8EFD5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2E9A11A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w:t>
            </w:r>
          </w:p>
        </w:tc>
        <w:tc>
          <w:tcPr>
            <w:tcW w:w="440" w:type="pct"/>
            <w:tcBorders>
              <w:top w:val="nil"/>
              <w:left w:val="nil"/>
              <w:bottom w:val="single" w:color="auto" w:sz="4" w:space="0"/>
              <w:right w:val="single" w:color="auto" w:sz="4" w:space="0"/>
            </w:tcBorders>
            <w:noWrap/>
            <w:vAlign w:val="bottom"/>
          </w:tcPr>
          <w:p w14:paraId="67A50B9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1BA6F5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F9C1FCA">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70EF6EB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41</w:t>
            </w:r>
          </w:p>
        </w:tc>
        <w:tc>
          <w:tcPr>
            <w:tcW w:w="2725" w:type="pct"/>
            <w:tcBorders>
              <w:top w:val="nil"/>
              <w:left w:val="nil"/>
              <w:bottom w:val="single" w:color="auto" w:sz="4" w:space="0"/>
              <w:right w:val="single" w:color="auto" w:sz="4" w:space="0"/>
            </w:tcBorders>
            <w:shd w:val="clear" w:color="000000" w:fill="FFFFFF"/>
            <w:vAlign w:val="center"/>
          </w:tcPr>
          <w:p w14:paraId="2C77701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掉头灯（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）盘</w:t>
            </w:r>
          </w:p>
        </w:tc>
        <w:tc>
          <w:tcPr>
            <w:tcW w:w="344" w:type="pct"/>
            <w:tcBorders>
              <w:top w:val="nil"/>
              <w:left w:val="nil"/>
              <w:bottom w:val="single" w:color="auto" w:sz="4" w:space="0"/>
              <w:right w:val="single" w:color="auto" w:sz="4" w:space="0"/>
            </w:tcBorders>
            <w:vAlign w:val="center"/>
          </w:tcPr>
          <w:p w14:paraId="7D142E3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0A3F057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w:t>
            </w:r>
          </w:p>
        </w:tc>
        <w:tc>
          <w:tcPr>
            <w:tcW w:w="440" w:type="pct"/>
            <w:tcBorders>
              <w:top w:val="nil"/>
              <w:left w:val="nil"/>
              <w:bottom w:val="single" w:color="auto" w:sz="4" w:space="0"/>
              <w:right w:val="single" w:color="auto" w:sz="4" w:space="0"/>
            </w:tcBorders>
            <w:noWrap/>
            <w:vAlign w:val="bottom"/>
          </w:tcPr>
          <w:p w14:paraId="2EC0C93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4F53FC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FF5A577">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637C5D3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42</w:t>
            </w:r>
          </w:p>
        </w:tc>
        <w:tc>
          <w:tcPr>
            <w:tcW w:w="2725" w:type="pct"/>
            <w:tcBorders>
              <w:top w:val="nil"/>
              <w:left w:val="nil"/>
              <w:bottom w:val="single" w:color="auto" w:sz="4" w:space="0"/>
              <w:right w:val="single" w:color="auto" w:sz="4" w:space="0"/>
            </w:tcBorders>
            <w:shd w:val="clear" w:color="000000" w:fill="FFFFFF"/>
            <w:vAlign w:val="center"/>
          </w:tcPr>
          <w:p w14:paraId="35105F0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非机动车信号灯（</w:t>
            </w:r>
            <w:r>
              <w:rPr>
                <w:rFonts w:ascii="Times New Roman" w:hAnsi="Times New Roman" w:eastAsia="宋体" w:cs="Times New Roman"/>
                <w:color w:val="000000"/>
                <w:kern w:val="0"/>
                <w:sz w:val="24"/>
                <w:szCs w:val="24"/>
                <w:lang w:val="en-US" w:eastAsia="zh-CN" w:bidi="ar-SA"/>
              </w:rPr>
              <w:t>400mm)</w:t>
            </w:r>
            <w:r>
              <w:rPr>
                <w:rFonts w:ascii="宋体" w:hAnsi="宋体" w:eastAsia="宋体" w:cs="宋体"/>
                <w:color w:val="000000"/>
                <w:kern w:val="0"/>
                <w:sz w:val="24"/>
                <w:szCs w:val="24"/>
                <w:lang w:val="en-US" w:eastAsia="zh-CN" w:bidi="ar-SA"/>
              </w:rPr>
              <w:t>盘</w:t>
            </w:r>
          </w:p>
        </w:tc>
        <w:tc>
          <w:tcPr>
            <w:tcW w:w="344" w:type="pct"/>
            <w:tcBorders>
              <w:top w:val="nil"/>
              <w:left w:val="nil"/>
              <w:bottom w:val="single" w:color="auto" w:sz="4" w:space="0"/>
              <w:right w:val="single" w:color="auto" w:sz="4" w:space="0"/>
            </w:tcBorders>
            <w:vAlign w:val="center"/>
          </w:tcPr>
          <w:p w14:paraId="501B09F4">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3859B12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w:t>
            </w:r>
          </w:p>
        </w:tc>
        <w:tc>
          <w:tcPr>
            <w:tcW w:w="440" w:type="pct"/>
            <w:tcBorders>
              <w:top w:val="nil"/>
              <w:left w:val="nil"/>
              <w:bottom w:val="single" w:color="auto" w:sz="4" w:space="0"/>
              <w:right w:val="single" w:color="auto" w:sz="4" w:space="0"/>
            </w:tcBorders>
            <w:noWrap/>
            <w:vAlign w:val="bottom"/>
          </w:tcPr>
          <w:p w14:paraId="63ED108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89F3D0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76FAB6C">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7DD9913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43</w:t>
            </w:r>
          </w:p>
        </w:tc>
        <w:tc>
          <w:tcPr>
            <w:tcW w:w="2725" w:type="pct"/>
            <w:tcBorders>
              <w:top w:val="nil"/>
              <w:left w:val="nil"/>
              <w:bottom w:val="single" w:color="auto" w:sz="4" w:space="0"/>
              <w:right w:val="single" w:color="auto" w:sz="4" w:space="0"/>
            </w:tcBorders>
            <w:shd w:val="clear" w:color="000000" w:fill="FFFFFF"/>
            <w:vAlign w:val="center"/>
          </w:tcPr>
          <w:p w14:paraId="1EA57DD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人行信号灯</w:t>
            </w:r>
            <w:r>
              <w:rPr>
                <w:rFonts w:ascii="Times New Roman" w:hAnsi="Times New Roman" w:eastAsia="宋体" w:cs="Times New Roman"/>
                <w:color w:val="000000"/>
                <w:kern w:val="0"/>
                <w:sz w:val="24"/>
                <w:szCs w:val="24"/>
                <w:lang w:val="en-US" w:eastAsia="zh-CN" w:bidi="ar-SA"/>
              </w:rPr>
              <w:t>(300mm)</w:t>
            </w:r>
            <w:r>
              <w:rPr>
                <w:rFonts w:ascii="宋体" w:hAnsi="宋体" w:eastAsia="宋体" w:cs="宋体"/>
                <w:color w:val="000000"/>
                <w:kern w:val="0"/>
                <w:sz w:val="24"/>
                <w:szCs w:val="24"/>
                <w:lang w:val="en-US" w:eastAsia="zh-CN" w:bidi="ar-SA"/>
              </w:rPr>
              <w:t>盘</w:t>
            </w:r>
          </w:p>
        </w:tc>
        <w:tc>
          <w:tcPr>
            <w:tcW w:w="344" w:type="pct"/>
            <w:tcBorders>
              <w:top w:val="nil"/>
              <w:left w:val="nil"/>
              <w:bottom w:val="single" w:color="auto" w:sz="4" w:space="0"/>
              <w:right w:val="single" w:color="auto" w:sz="4" w:space="0"/>
            </w:tcBorders>
            <w:vAlign w:val="center"/>
          </w:tcPr>
          <w:p w14:paraId="4DD89EA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组</w:t>
            </w:r>
          </w:p>
        </w:tc>
        <w:tc>
          <w:tcPr>
            <w:tcW w:w="663" w:type="pct"/>
            <w:tcBorders>
              <w:top w:val="nil"/>
              <w:left w:val="nil"/>
              <w:bottom w:val="single" w:color="auto" w:sz="4" w:space="0"/>
              <w:right w:val="single" w:color="auto" w:sz="4" w:space="0"/>
            </w:tcBorders>
            <w:vAlign w:val="center"/>
          </w:tcPr>
          <w:p w14:paraId="0A4B63C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w:t>
            </w:r>
          </w:p>
        </w:tc>
        <w:tc>
          <w:tcPr>
            <w:tcW w:w="440" w:type="pct"/>
            <w:tcBorders>
              <w:top w:val="nil"/>
              <w:left w:val="nil"/>
              <w:bottom w:val="single" w:color="auto" w:sz="4" w:space="0"/>
              <w:right w:val="single" w:color="auto" w:sz="4" w:space="0"/>
            </w:tcBorders>
            <w:noWrap/>
            <w:vAlign w:val="bottom"/>
          </w:tcPr>
          <w:p w14:paraId="0940A85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0869E3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40D8D8F">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2101E1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44</w:t>
            </w:r>
          </w:p>
        </w:tc>
        <w:tc>
          <w:tcPr>
            <w:tcW w:w="2725" w:type="pct"/>
            <w:tcBorders>
              <w:top w:val="nil"/>
              <w:left w:val="nil"/>
              <w:bottom w:val="single" w:color="auto" w:sz="4" w:space="0"/>
              <w:right w:val="single" w:color="auto" w:sz="4" w:space="0"/>
            </w:tcBorders>
            <w:shd w:val="clear" w:color="000000" w:fill="FFFFFF"/>
            <w:vAlign w:val="center"/>
          </w:tcPr>
          <w:p w14:paraId="2F5FE3C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信号灯发光单元罩</w:t>
            </w:r>
          </w:p>
        </w:tc>
        <w:tc>
          <w:tcPr>
            <w:tcW w:w="344" w:type="pct"/>
            <w:tcBorders>
              <w:top w:val="nil"/>
              <w:left w:val="nil"/>
              <w:bottom w:val="single" w:color="auto" w:sz="4" w:space="0"/>
              <w:right w:val="single" w:color="auto" w:sz="4" w:space="0"/>
            </w:tcBorders>
            <w:vAlign w:val="center"/>
          </w:tcPr>
          <w:p w14:paraId="0CB2075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24D0310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w:t>
            </w:r>
          </w:p>
        </w:tc>
        <w:tc>
          <w:tcPr>
            <w:tcW w:w="440" w:type="pct"/>
            <w:tcBorders>
              <w:top w:val="nil"/>
              <w:left w:val="nil"/>
              <w:bottom w:val="single" w:color="auto" w:sz="4" w:space="0"/>
              <w:right w:val="single" w:color="auto" w:sz="4" w:space="0"/>
            </w:tcBorders>
            <w:noWrap/>
            <w:vAlign w:val="bottom"/>
          </w:tcPr>
          <w:p w14:paraId="61F4C72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688400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02DB48F">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6FC7D3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45</w:t>
            </w:r>
          </w:p>
        </w:tc>
        <w:tc>
          <w:tcPr>
            <w:tcW w:w="2725" w:type="pct"/>
            <w:tcBorders>
              <w:top w:val="nil"/>
              <w:left w:val="nil"/>
              <w:bottom w:val="single" w:color="auto" w:sz="4" w:space="0"/>
              <w:right w:val="single" w:color="auto" w:sz="4" w:space="0"/>
            </w:tcBorders>
            <w:shd w:val="clear" w:color="000000" w:fill="FFFFFF"/>
            <w:vAlign w:val="center"/>
          </w:tcPr>
          <w:p w14:paraId="1F5B9D44">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信号灯裙边</w:t>
            </w:r>
          </w:p>
        </w:tc>
        <w:tc>
          <w:tcPr>
            <w:tcW w:w="344" w:type="pct"/>
            <w:tcBorders>
              <w:top w:val="nil"/>
              <w:left w:val="nil"/>
              <w:bottom w:val="single" w:color="auto" w:sz="4" w:space="0"/>
              <w:right w:val="single" w:color="auto" w:sz="4" w:space="0"/>
            </w:tcBorders>
            <w:vAlign w:val="center"/>
          </w:tcPr>
          <w:p w14:paraId="18ACF2B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个</w:t>
            </w:r>
          </w:p>
        </w:tc>
        <w:tc>
          <w:tcPr>
            <w:tcW w:w="663" w:type="pct"/>
            <w:tcBorders>
              <w:top w:val="nil"/>
              <w:left w:val="nil"/>
              <w:bottom w:val="single" w:color="auto" w:sz="4" w:space="0"/>
              <w:right w:val="single" w:color="auto" w:sz="4" w:space="0"/>
            </w:tcBorders>
            <w:vAlign w:val="center"/>
          </w:tcPr>
          <w:p w14:paraId="3DE885D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w:t>
            </w:r>
          </w:p>
        </w:tc>
        <w:tc>
          <w:tcPr>
            <w:tcW w:w="440" w:type="pct"/>
            <w:tcBorders>
              <w:top w:val="nil"/>
              <w:left w:val="nil"/>
              <w:bottom w:val="single" w:color="auto" w:sz="4" w:space="0"/>
              <w:right w:val="single" w:color="auto" w:sz="4" w:space="0"/>
            </w:tcBorders>
            <w:noWrap/>
            <w:vAlign w:val="bottom"/>
          </w:tcPr>
          <w:p w14:paraId="1C6257E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3D2FC8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D48A67A">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474A7A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46</w:t>
            </w:r>
          </w:p>
        </w:tc>
        <w:tc>
          <w:tcPr>
            <w:tcW w:w="2725" w:type="pct"/>
            <w:tcBorders>
              <w:top w:val="nil"/>
              <w:left w:val="nil"/>
              <w:bottom w:val="single" w:color="auto" w:sz="4" w:space="0"/>
              <w:right w:val="single" w:color="auto" w:sz="4" w:space="0"/>
            </w:tcBorders>
            <w:shd w:val="clear" w:color="000000" w:fill="FFFFFF"/>
            <w:vAlign w:val="center"/>
          </w:tcPr>
          <w:p w14:paraId="0A511D2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信号灯遮沿</w:t>
            </w:r>
          </w:p>
        </w:tc>
        <w:tc>
          <w:tcPr>
            <w:tcW w:w="344" w:type="pct"/>
            <w:tcBorders>
              <w:top w:val="nil"/>
              <w:left w:val="nil"/>
              <w:bottom w:val="single" w:color="auto" w:sz="4" w:space="0"/>
              <w:right w:val="single" w:color="auto" w:sz="4" w:space="0"/>
            </w:tcBorders>
            <w:vAlign w:val="center"/>
          </w:tcPr>
          <w:p w14:paraId="64D8D07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片</w:t>
            </w:r>
          </w:p>
        </w:tc>
        <w:tc>
          <w:tcPr>
            <w:tcW w:w="663" w:type="pct"/>
            <w:tcBorders>
              <w:top w:val="nil"/>
              <w:left w:val="nil"/>
              <w:bottom w:val="single" w:color="auto" w:sz="4" w:space="0"/>
              <w:right w:val="single" w:color="auto" w:sz="4" w:space="0"/>
            </w:tcBorders>
            <w:vAlign w:val="center"/>
          </w:tcPr>
          <w:p w14:paraId="6CC32B6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w:t>
            </w:r>
          </w:p>
        </w:tc>
        <w:tc>
          <w:tcPr>
            <w:tcW w:w="440" w:type="pct"/>
            <w:tcBorders>
              <w:top w:val="nil"/>
              <w:left w:val="nil"/>
              <w:bottom w:val="single" w:color="auto" w:sz="4" w:space="0"/>
              <w:right w:val="single" w:color="auto" w:sz="4" w:space="0"/>
            </w:tcBorders>
            <w:noWrap/>
            <w:vAlign w:val="bottom"/>
          </w:tcPr>
          <w:p w14:paraId="16648F5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ADAF72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17BD498">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727743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47</w:t>
            </w:r>
          </w:p>
        </w:tc>
        <w:tc>
          <w:tcPr>
            <w:tcW w:w="2725" w:type="pct"/>
            <w:tcBorders>
              <w:top w:val="nil"/>
              <w:left w:val="nil"/>
              <w:bottom w:val="single" w:color="auto" w:sz="4" w:space="0"/>
              <w:right w:val="single" w:color="auto" w:sz="4" w:space="0"/>
            </w:tcBorders>
            <w:shd w:val="clear" w:color="000000" w:fill="FFFFFF"/>
            <w:vAlign w:val="center"/>
          </w:tcPr>
          <w:p w14:paraId="1FA1DF9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空气开关</w:t>
            </w:r>
          </w:p>
        </w:tc>
        <w:tc>
          <w:tcPr>
            <w:tcW w:w="344" w:type="pct"/>
            <w:tcBorders>
              <w:top w:val="nil"/>
              <w:left w:val="nil"/>
              <w:bottom w:val="single" w:color="auto" w:sz="4" w:space="0"/>
              <w:right w:val="single" w:color="auto" w:sz="4" w:space="0"/>
            </w:tcBorders>
            <w:vAlign w:val="center"/>
          </w:tcPr>
          <w:p w14:paraId="200B382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69765F5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w:t>
            </w:r>
          </w:p>
        </w:tc>
        <w:tc>
          <w:tcPr>
            <w:tcW w:w="440" w:type="pct"/>
            <w:tcBorders>
              <w:top w:val="nil"/>
              <w:left w:val="nil"/>
              <w:bottom w:val="single" w:color="auto" w:sz="4" w:space="0"/>
              <w:right w:val="single" w:color="auto" w:sz="4" w:space="0"/>
            </w:tcBorders>
            <w:noWrap/>
            <w:vAlign w:val="bottom"/>
          </w:tcPr>
          <w:p w14:paraId="7D34CD1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DAD03E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D470DF4">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269781B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48</w:t>
            </w:r>
          </w:p>
        </w:tc>
        <w:tc>
          <w:tcPr>
            <w:tcW w:w="2725" w:type="pct"/>
            <w:tcBorders>
              <w:top w:val="nil"/>
              <w:left w:val="nil"/>
              <w:bottom w:val="single" w:color="auto" w:sz="4" w:space="0"/>
              <w:right w:val="single" w:color="auto" w:sz="4" w:space="0"/>
            </w:tcBorders>
            <w:shd w:val="clear" w:color="000000" w:fill="FFFFFF"/>
            <w:vAlign w:val="center"/>
          </w:tcPr>
          <w:p w14:paraId="1D573F2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信号机箱锁</w:t>
            </w:r>
          </w:p>
        </w:tc>
        <w:tc>
          <w:tcPr>
            <w:tcW w:w="344" w:type="pct"/>
            <w:tcBorders>
              <w:top w:val="nil"/>
              <w:left w:val="nil"/>
              <w:bottom w:val="single" w:color="auto" w:sz="4" w:space="0"/>
              <w:right w:val="single" w:color="auto" w:sz="4" w:space="0"/>
            </w:tcBorders>
            <w:vAlign w:val="center"/>
          </w:tcPr>
          <w:p w14:paraId="371EFC4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3AC04D3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w:t>
            </w:r>
          </w:p>
        </w:tc>
        <w:tc>
          <w:tcPr>
            <w:tcW w:w="440" w:type="pct"/>
            <w:tcBorders>
              <w:top w:val="nil"/>
              <w:left w:val="nil"/>
              <w:bottom w:val="single" w:color="auto" w:sz="4" w:space="0"/>
              <w:right w:val="single" w:color="auto" w:sz="4" w:space="0"/>
            </w:tcBorders>
            <w:noWrap/>
            <w:vAlign w:val="bottom"/>
          </w:tcPr>
          <w:p w14:paraId="7E5E02C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79D6C0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44BF6D1">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9EF44B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49</w:t>
            </w:r>
          </w:p>
        </w:tc>
        <w:tc>
          <w:tcPr>
            <w:tcW w:w="2725" w:type="pct"/>
            <w:tcBorders>
              <w:top w:val="nil"/>
              <w:left w:val="nil"/>
              <w:bottom w:val="single" w:color="auto" w:sz="4" w:space="0"/>
              <w:right w:val="single" w:color="auto" w:sz="4" w:space="0"/>
            </w:tcBorders>
            <w:shd w:val="clear" w:color="000000" w:fill="FFFFFF"/>
            <w:vAlign w:val="center"/>
          </w:tcPr>
          <w:p w14:paraId="4B2D3E0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杆件小开门</w:t>
            </w:r>
          </w:p>
        </w:tc>
        <w:tc>
          <w:tcPr>
            <w:tcW w:w="344" w:type="pct"/>
            <w:tcBorders>
              <w:top w:val="nil"/>
              <w:left w:val="nil"/>
              <w:bottom w:val="single" w:color="auto" w:sz="4" w:space="0"/>
              <w:right w:val="single" w:color="auto" w:sz="4" w:space="0"/>
            </w:tcBorders>
            <w:vAlign w:val="center"/>
          </w:tcPr>
          <w:p w14:paraId="21B0BEC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149388E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35</w:t>
            </w:r>
          </w:p>
        </w:tc>
        <w:tc>
          <w:tcPr>
            <w:tcW w:w="440" w:type="pct"/>
            <w:tcBorders>
              <w:top w:val="nil"/>
              <w:left w:val="nil"/>
              <w:bottom w:val="single" w:color="auto" w:sz="4" w:space="0"/>
              <w:right w:val="single" w:color="auto" w:sz="4" w:space="0"/>
            </w:tcBorders>
            <w:noWrap/>
            <w:vAlign w:val="bottom"/>
          </w:tcPr>
          <w:p w14:paraId="7AF89B2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E6503B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BA13A8C">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2148956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w:t>
            </w:r>
          </w:p>
        </w:tc>
        <w:tc>
          <w:tcPr>
            <w:tcW w:w="2725" w:type="pct"/>
            <w:tcBorders>
              <w:top w:val="nil"/>
              <w:left w:val="nil"/>
              <w:bottom w:val="single" w:color="auto" w:sz="4" w:space="0"/>
              <w:right w:val="single" w:color="auto" w:sz="4" w:space="0"/>
            </w:tcBorders>
            <w:shd w:val="clear" w:color="000000" w:fill="FFFFFF"/>
            <w:vAlign w:val="center"/>
          </w:tcPr>
          <w:p w14:paraId="789781F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电源电缆</w:t>
            </w:r>
            <w:r>
              <w:rPr>
                <w:rFonts w:ascii="Times New Roman" w:hAnsi="Times New Roman" w:eastAsia="宋体" w:cs="Times New Roman"/>
                <w:color w:val="000000"/>
                <w:kern w:val="0"/>
                <w:sz w:val="24"/>
                <w:szCs w:val="24"/>
                <w:lang w:val="en-US" w:eastAsia="zh-CN" w:bidi="ar-SA"/>
              </w:rPr>
              <w:t>KVV22-3×6mm2</w:t>
            </w:r>
            <w:r>
              <w:rPr>
                <w:rFonts w:ascii="宋体" w:hAnsi="宋体" w:eastAsia="宋体" w:cs="宋体"/>
                <w:color w:val="000000"/>
                <w:kern w:val="0"/>
                <w:sz w:val="24"/>
                <w:szCs w:val="24"/>
                <w:lang w:val="en-US" w:eastAsia="zh-CN" w:bidi="ar-SA"/>
              </w:rPr>
              <w:t>敷设</w:t>
            </w:r>
          </w:p>
        </w:tc>
        <w:tc>
          <w:tcPr>
            <w:tcW w:w="344" w:type="pct"/>
            <w:tcBorders>
              <w:top w:val="nil"/>
              <w:left w:val="nil"/>
              <w:bottom w:val="single" w:color="auto" w:sz="4" w:space="0"/>
              <w:right w:val="single" w:color="auto" w:sz="4" w:space="0"/>
            </w:tcBorders>
            <w:vAlign w:val="center"/>
          </w:tcPr>
          <w:p w14:paraId="6762488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40866FC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19</w:t>
            </w:r>
          </w:p>
        </w:tc>
        <w:tc>
          <w:tcPr>
            <w:tcW w:w="440" w:type="pct"/>
            <w:tcBorders>
              <w:top w:val="nil"/>
              <w:left w:val="nil"/>
              <w:bottom w:val="single" w:color="auto" w:sz="4" w:space="0"/>
              <w:right w:val="single" w:color="auto" w:sz="4" w:space="0"/>
            </w:tcBorders>
            <w:noWrap/>
            <w:vAlign w:val="bottom"/>
          </w:tcPr>
          <w:p w14:paraId="007B6A0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9A0747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6F83C01">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34FE41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51</w:t>
            </w:r>
          </w:p>
        </w:tc>
        <w:tc>
          <w:tcPr>
            <w:tcW w:w="2725" w:type="pct"/>
            <w:tcBorders>
              <w:top w:val="nil"/>
              <w:left w:val="nil"/>
              <w:bottom w:val="single" w:color="auto" w:sz="4" w:space="0"/>
              <w:right w:val="single" w:color="auto" w:sz="4" w:space="0"/>
            </w:tcBorders>
            <w:shd w:val="clear" w:color="000000" w:fill="FFFFFF"/>
            <w:vAlign w:val="center"/>
          </w:tcPr>
          <w:p w14:paraId="1AEF073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KVV22-3×2.5mm2</w:t>
            </w:r>
          </w:p>
        </w:tc>
        <w:tc>
          <w:tcPr>
            <w:tcW w:w="344" w:type="pct"/>
            <w:tcBorders>
              <w:top w:val="nil"/>
              <w:left w:val="nil"/>
              <w:bottom w:val="single" w:color="auto" w:sz="4" w:space="0"/>
              <w:right w:val="single" w:color="auto" w:sz="4" w:space="0"/>
            </w:tcBorders>
            <w:vAlign w:val="center"/>
          </w:tcPr>
          <w:p w14:paraId="5EF4011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51DBFB0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9.5</w:t>
            </w:r>
          </w:p>
        </w:tc>
        <w:tc>
          <w:tcPr>
            <w:tcW w:w="440" w:type="pct"/>
            <w:tcBorders>
              <w:top w:val="nil"/>
              <w:left w:val="nil"/>
              <w:bottom w:val="single" w:color="auto" w:sz="4" w:space="0"/>
              <w:right w:val="single" w:color="auto" w:sz="4" w:space="0"/>
            </w:tcBorders>
            <w:noWrap/>
            <w:vAlign w:val="bottom"/>
          </w:tcPr>
          <w:p w14:paraId="7F3ACDB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DF2642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9699AED">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1C22A91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52</w:t>
            </w:r>
          </w:p>
        </w:tc>
        <w:tc>
          <w:tcPr>
            <w:tcW w:w="2725" w:type="pct"/>
            <w:tcBorders>
              <w:top w:val="nil"/>
              <w:left w:val="nil"/>
              <w:bottom w:val="single" w:color="auto" w:sz="4" w:space="0"/>
              <w:right w:val="single" w:color="auto" w:sz="4" w:space="0"/>
            </w:tcBorders>
            <w:shd w:val="clear" w:color="000000" w:fill="FFFFFF"/>
            <w:vAlign w:val="center"/>
          </w:tcPr>
          <w:p w14:paraId="78BC953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KVV22-4×2mm2</w:t>
            </w:r>
          </w:p>
        </w:tc>
        <w:tc>
          <w:tcPr>
            <w:tcW w:w="344" w:type="pct"/>
            <w:tcBorders>
              <w:top w:val="nil"/>
              <w:left w:val="nil"/>
              <w:bottom w:val="single" w:color="auto" w:sz="4" w:space="0"/>
              <w:right w:val="single" w:color="auto" w:sz="4" w:space="0"/>
            </w:tcBorders>
            <w:vAlign w:val="center"/>
          </w:tcPr>
          <w:p w14:paraId="75B546F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4670E98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18.5</w:t>
            </w:r>
          </w:p>
        </w:tc>
        <w:tc>
          <w:tcPr>
            <w:tcW w:w="440" w:type="pct"/>
            <w:tcBorders>
              <w:top w:val="nil"/>
              <w:left w:val="nil"/>
              <w:bottom w:val="single" w:color="auto" w:sz="4" w:space="0"/>
              <w:right w:val="single" w:color="auto" w:sz="4" w:space="0"/>
            </w:tcBorders>
            <w:noWrap/>
            <w:vAlign w:val="bottom"/>
          </w:tcPr>
          <w:p w14:paraId="74BB612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38B7DE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9E9EEFE">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53693CA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53</w:t>
            </w:r>
          </w:p>
        </w:tc>
        <w:tc>
          <w:tcPr>
            <w:tcW w:w="2725" w:type="pct"/>
            <w:tcBorders>
              <w:top w:val="nil"/>
              <w:left w:val="nil"/>
              <w:bottom w:val="single" w:color="auto" w:sz="4" w:space="0"/>
              <w:right w:val="single" w:color="auto" w:sz="4" w:space="0"/>
            </w:tcBorders>
            <w:shd w:val="clear" w:color="000000" w:fill="FFFFFF"/>
            <w:vAlign w:val="center"/>
          </w:tcPr>
          <w:p w14:paraId="0749BD1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控制线缆</w:t>
            </w:r>
            <w:r>
              <w:rPr>
                <w:rFonts w:ascii="Times New Roman" w:hAnsi="Times New Roman" w:eastAsia="宋体" w:cs="Times New Roman"/>
                <w:color w:val="000000"/>
                <w:kern w:val="0"/>
                <w:sz w:val="24"/>
                <w:szCs w:val="24"/>
                <w:lang w:val="en-US" w:eastAsia="zh-CN" w:bidi="ar-SA"/>
              </w:rPr>
              <w:t>KVV22-16×1.5mm2</w:t>
            </w:r>
            <w:r>
              <w:rPr>
                <w:rFonts w:ascii="宋体" w:hAnsi="宋体" w:eastAsia="宋体" w:cs="宋体"/>
                <w:color w:val="000000"/>
                <w:kern w:val="0"/>
                <w:sz w:val="24"/>
                <w:szCs w:val="24"/>
                <w:lang w:val="en-US" w:eastAsia="zh-CN" w:bidi="ar-SA"/>
              </w:rPr>
              <w:t>敷设</w:t>
            </w:r>
          </w:p>
        </w:tc>
        <w:tc>
          <w:tcPr>
            <w:tcW w:w="344" w:type="pct"/>
            <w:tcBorders>
              <w:top w:val="nil"/>
              <w:left w:val="nil"/>
              <w:bottom w:val="single" w:color="auto" w:sz="4" w:space="0"/>
              <w:right w:val="single" w:color="auto" w:sz="4" w:space="0"/>
            </w:tcBorders>
            <w:vAlign w:val="center"/>
          </w:tcPr>
          <w:p w14:paraId="32E8326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10E2C72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22.5</w:t>
            </w:r>
          </w:p>
        </w:tc>
        <w:tc>
          <w:tcPr>
            <w:tcW w:w="440" w:type="pct"/>
            <w:tcBorders>
              <w:top w:val="nil"/>
              <w:left w:val="nil"/>
              <w:bottom w:val="single" w:color="auto" w:sz="4" w:space="0"/>
              <w:right w:val="single" w:color="auto" w:sz="4" w:space="0"/>
            </w:tcBorders>
            <w:noWrap/>
            <w:vAlign w:val="bottom"/>
          </w:tcPr>
          <w:p w14:paraId="66FFEBC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3060B3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D6999CE">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3E8232D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54</w:t>
            </w:r>
          </w:p>
        </w:tc>
        <w:tc>
          <w:tcPr>
            <w:tcW w:w="2725" w:type="pct"/>
            <w:tcBorders>
              <w:top w:val="nil"/>
              <w:left w:val="nil"/>
              <w:bottom w:val="single" w:color="auto" w:sz="4" w:space="0"/>
              <w:right w:val="single" w:color="auto" w:sz="4" w:space="0"/>
            </w:tcBorders>
            <w:shd w:val="clear" w:color="000000" w:fill="FFFFFF"/>
            <w:vAlign w:val="center"/>
          </w:tcPr>
          <w:p w14:paraId="23E5EF5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KVV22-10×1.5mm2</w:t>
            </w:r>
          </w:p>
        </w:tc>
        <w:tc>
          <w:tcPr>
            <w:tcW w:w="344" w:type="pct"/>
            <w:tcBorders>
              <w:top w:val="nil"/>
              <w:left w:val="nil"/>
              <w:bottom w:val="single" w:color="auto" w:sz="4" w:space="0"/>
              <w:right w:val="single" w:color="auto" w:sz="4" w:space="0"/>
            </w:tcBorders>
            <w:vAlign w:val="center"/>
          </w:tcPr>
          <w:p w14:paraId="471B0EF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741A862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21.5</w:t>
            </w:r>
          </w:p>
        </w:tc>
        <w:tc>
          <w:tcPr>
            <w:tcW w:w="440" w:type="pct"/>
            <w:tcBorders>
              <w:top w:val="nil"/>
              <w:left w:val="nil"/>
              <w:bottom w:val="single" w:color="auto" w:sz="4" w:space="0"/>
              <w:right w:val="single" w:color="auto" w:sz="4" w:space="0"/>
            </w:tcBorders>
            <w:noWrap/>
            <w:vAlign w:val="bottom"/>
          </w:tcPr>
          <w:p w14:paraId="38987CC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CF6A6C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BC6771C">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473E486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55</w:t>
            </w:r>
          </w:p>
        </w:tc>
        <w:tc>
          <w:tcPr>
            <w:tcW w:w="2725" w:type="pct"/>
            <w:tcBorders>
              <w:top w:val="nil"/>
              <w:left w:val="nil"/>
              <w:bottom w:val="single" w:color="auto" w:sz="4" w:space="0"/>
              <w:right w:val="single" w:color="auto" w:sz="4" w:space="0"/>
            </w:tcBorders>
            <w:shd w:val="clear" w:color="000000" w:fill="FFFFFF"/>
            <w:vAlign w:val="center"/>
          </w:tcPr>
          <w:p w14:paraId="3B6D809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控制线缆</w:t>
            </w:r>
            <w:r>
              <w:rPr>
                <w:rFonts w:ascii="Times New Roman" w:hAnsi="Times New Roman" w:eastAsia="宋体" w:cs="Times New Roman"/>
                <w:color w:val="000000"/>
                <w:kern w:val="0"/>
                <w:sz w:val="24"/>
                <w:szCs w:val="24"/>
                <w:lang w:val="en-US" w:eastAsia="zh-CN" w:bidi="ar-SA"/>
              </w:rPr>
              <w:t>KVV-4×1.5mm2</w:t>
            </w:r>
            <w:r>
              <w:rPr>
                <w:rFonts w:ascii="宋体" w:hAnsi="宋体" w:eastAsia="宋体" w:cs="宋体"/>
                <w:color w:val="000000"/>
                <w:kern w:val="0"/>
                <w:sz w:val="24"/>
                <w:szCs w:val="24"/>
                <w:lang w:val="en-US" w:eastAsia="zh-CN" w:bidi="ar-SA"/>
              </w:rPr>
              <w:t>敷设</w:t>
            </w:r>
          </w:p>
        </w:tc>
        <w:tc>
          <w:tcPr>
            <w:tcW w:w="344" w:type="pct"/>
            <w:tcBorders>
              <w:top w:val="nil"/>
              <w:left w:val="nil"/>
              <w:bottom w:val="single" w:color="auto" w:sz="4" w:space="0"/>
              <w:right w:val="single" w:color="auto" w:sz="4" w:space="0"/>
            </w:tcBorders>
            <w:vAlign w:val="center"/>
          </w:tcPr>
          <w:p w14:paraId="72EA4E5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21CCF9C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8.5</w:t>
            </w:r>
          </w:p>
        </w:tc>
        <w:tc>
          <w:tcPr>
            <w:tcW w:w="440" w:type="pct"/>
            <w:tcBorders>
              <w:top w:val="nil"/>
              <w:left w:val="nil"/>
              <w:bottom w:val="single" w:color="auto" w:sz="4" w:space="0"/>
              <w:right w:val="single" w:color="auto" w:sz="4" w:space="0"/>
            </w:tcBorders>
            <w:noWrap/>
            <w:vAlign w:val="bottom"/>
          </w:tcPr>
          <w:p w14:paraId="4F97704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FBA5E7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44BE878">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77D4477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56</w:t>
            </w:r>
          </w:p>
        </w:tc>
        <w:tc>
          <w:tcPr>
            <w:tcW w:w="2725" w:type="pct"/>
            <w:tcBorders>
              <w:top w:val="nil"/>
              <w:left w:val="nil"/>
              <w:bottom w:val="single" w:color="auto" w:sz="4" w:space="0"/>
              <w:right w:val="single" w:color="auto" w:sz="4" w:space="0"/>
            </w:tcBorders>
            <w:shd w:val="clear" w:color="000000" w:fill="FFFFFF"/>
            <w:vAlign w:val="center"/>
          </w:tcPr>
          <w:p w14:paraId="25C64EFD">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穿线钢管</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壁厚</w:t>
            </w:r>
            <w:r>
              <w:rPr>
                <w:rFonts w:ascii="Times New Roman" w:hAnsi="Times New Roman" w:eastAsia="宋体" w:cs="Times New Roman"/>
                <w:color w:val="000000"/>
                <w:kern w:val="0"/>
                <w:sz w:val="24"/>
                <w:szCs w:val="24"/>
                <w:lang w:val="en-US" w:eastAsia="zh-CN" w:bidi="ar-SA"/>
              </w:rPr>
              <w:t>2.5mm)</w:t>
            </w:r>
            <w:r>
              <w:rPr>
                <w:rFonts w:ascii="宋体" w:hAnsi="宋体" w:eastAsia="宋体" w:cs="宋体"/>
                <w:color w:val="000000"/>
                <w:kern w:val="0"/>
                <w:sz w:val="24"/>
                <w:szCs w:val="24"/>
                <w:lang w:val="en-US" w:eastAsia="zh-CN" w:bidi="ar-SA"/>
              </w:rPr>
              <w:t>内套</w:t>
            </w:r>
            <w:r>
              <w:rPr>
                <w:rFonts w:ascii="Times New Roman" w:hAnsi="Times New Roman" w:eastAsia="宋体" w:cs="Times New Roman"/>
                <w:color w:val="000000"/>
                <w:kern w:val="0"/>
                <w:sz w:val="24"/>
                <w:szCs w:val="24"/>
                <w:lang w:val="en-US" w:eastAsia="zh-CN" w:bidi="ar-SA"/>
              </w:rPr>
              <w:t>PVC</w:t>
            </w:r>
            <w:r>
              <w:rPr>
                <w:rFonts w:ascii="宋体" w:hAnsi="宋体" w:eastAsia="宋体" w:cs="宋体"/>
                <w:color w:val="000000"/>
                <w:kern w:val="0"/>
                <w:sz w:val="24"/>
                <w:szCs w:val="24"/>
                <w:lang w:val="en-US" w:eastAsia="zh-CN" w:bidi="ar-SA"/>
              </w:rPr>
              <w:t>管</w:t>
            </w:r>
          </w:p>
        </w:tc>
        <w:tc>
          <w:tcPr>
            <w:tcW w:w="344" w:type="pct"/>
            <w:tcBorders>
              <w:top w:val="nil"/>
              <w:left w:val="nil"/>
              <w:bottom w:val="single" w:color="auto" w:sz="4" w:space="0"/>
              <w:right w:val="single" w:color="auto" w:sz="4" w:space="0"/>
            </w:tcBorders>
            <w:vAlign w:val="center"/>
          </w:tcPr>
          <w:p w14:paraId="43D1009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440FD7E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110</w:t>
            </w:r>
          </w:p>
        </w:tc>
        <w:tc>
          <w:tcPr>
            <w:tcW w:w="440" w:type="pct"/>
            <w:tcBorders>
              <w:top w:val="nil"/>
              <w:left w:val="nil"/>
              <w:bottom w:val="single" w:color="auto" w:sz="4" w:space="0"/>
              <w:right w:val="single" w:color="auto" w:sz="4" w:space="0"/>
            </w:tcBorders>
            <w:noWrap/>
            <w:vAlign w:val="bottom"/>
          </w:tcPr>
          <w:p w14:paraId="2ED9895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A77783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B52E904">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6F21FB3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57</w:t>
            </w:r>
          </w:p>
        </w:tc>
        <w:tc>
          <w:tcPr>
            <w:tcW w:w="2725" w:type="pct"/>
            <w:tcBorders>
              <w:top w:val="nil"/>
              <w:left w:val="nil"/>
              <w:bottom w:val="single" w:color="auto" w:sz="4" w:space="0"/>
              <w:right w:val="single" w:color="auto" w:sz="4" w:space="0"/>
            </w:tcBorders>
            <w:shd w:val="clear" w:color="000000" w:fill="FFFFFF"/>
            <w:vAlign w:val="center"/>
          </w:tcPr>
          <w:p w14:paraId="05AE581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砼路面开挖、埋管及管道保护</w:t>
            </w:r>
          </w:p>
        </w:tc>
        <w:tc>
          <w:tcPr>
            <w:tcW w:w="344" w:type="pct"/>
            <w:tcBorders>
              <w:top w:val="nil"/>
              <w:left w:val="nil"/>
              <w:bottom w:val="single" w:color="auto" w:sz="4" w:space="0"/>
              <w:right w:val="single" w:color="auto" w:sz="4" w:space="0"/>
            </w:tcBorders>
            <w:vAlign w:val="center"/>
          </w:tcPr>
          <w:p w14:paraId="0C76941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3C1B39F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120</w:t>
            </w:r>
          </w:p>
        </w:tc>
        <w:tc>
          <w:tcPr>
            <w:tcW w:w="440" w:type="pct"/>
            <w:tcBorders>
              <w:top w:val="nil"/>
              <w:left w:val="nil"/>
              <w:bottom w:val="single" w:color="auto" w:sz="4" w:space="0"/>
              <w:right w:val="single" w:color="auto" w:sz="4" w:space="0"/>
            </w:tcBorders>
            <w:noWrap/>
            <w:vAlign w:val="bottom"/>
          </w:tcPr>
          <w:p w14:paraId="7B8BF19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2BF98B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EE1BAA2">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46C2294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58</w:t>
            </w:r>
          </w:p>
        </w:tc>
        <w:tc>
          <w:tcPr>
            <w:tcW w:w="2725" w:type="pct"/>
            <w:tcBorders>
              <w:top w:val="nil"/>
              <w:left w:val="nil"/>
              <w:bottom w:val="single" w:color="auto" w:sz="4" w:space="0"/>
              <w:right w:val="single" w:color="auto" w:sz="4" w:space="0"/>
            </w:tcBorders>
            <w:shd w:val="clear" w:color="000000" w:fill="FFFFFF"/>
            <w:vAlign w:val="center"/>
          </w:tcPr>
          <w:p w14:paraId="21B7499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沥青路面开挖、埋管及管道保护</w:t>
            </w:r>
          </w:p>
        </w:tc>
        <w:tc>
          <w:tcPr>
            <w:tcW w:w="344" w:type="pct"/>
            <w:tcBorders>
              <w:top w:val="nil"/>
              <w:left w:val="nil"/>
              <w:bottom w:val="single" w:color="auto" w:sz="4" w:space="0"/>
              <w:right w:val="single" w:color="auto" w:sz="4" w:space="0"/>
            </w:tcBorders>
            <w:vAlign w:val="center"/>
          </w:tcPr>
          <w:p w14:paraId="0F8DE3F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516E6B1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100</w:t>
            </w:r>
          </w:p>
        </w:tc>
        <w:tc>
          <w:tcPr>
            <w:tcW w:w="440" w:type="pct"/>
            <w:tcBorders>
              <w:top w:val="nil"/>
              <w:left w:val="nil"/>
              <w:bottom w:val="single" w:color="auto" w:sz="4" w:space="0"/>
              <w:right w:val="single" w:color="auto" w:sz="4" w:space="0"/>
            </w:tcBorders>
            <w:noWrap/>
            <w:vAlign w:val="bottom"/>
          </w:tcPr>
          <w:p w14:paraId="140F49B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98ADA3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0471173">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44C1A61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59</w:t>
            </w:r>
          </w:p>
        </w:tc>
        <w:tc>
          <w:tcPr>
            <w:tcW w:w="2725" w:type="pct"/>
            <w:tcBorders>
              <w:top w:val="nil"/>
              <w:left w:val="nil"/>
              <w:bottom w:val="single" w:color="auto" w:sz="4" w:space="0"/>
              <w:right w:val="single" w:color="auto" w:sz="4" w:space="0"/>
            </w:tcBorders>
            <w:shd w:val="clear" w:color="000000" w:fill="FFFFFF"/>
            <w:vAlign w:val="center"/>
          </w:tcPr>
          <w:p w14:paraId="540E17B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人行道开挖、埋管及管道保护</w:t>
            </w:r>
          </w:p>
        </w:tc>
        <w:tc>
          <w:tcPr>
            <w:tcW w:w="344" w:type="pct"/>
            <w:tcBorders>
              <w:top w:val="nil"/>
              <w:left w:val="nil"/>
              <w:bottom w:val="single" w:color="auto" w:sz="4" w:space="0"/>
              <w:right w:val="single" w:color="auto" w:sz="4" w:space="0"/>
            </w:tcBorders>
            <w:vAlign w:val="center"/>
          </w:tcPr>
          <w:p w14:paraId="3BB0093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6B5E5EF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30</w:t>
            </w:r>
          </w:p>
        </w:tc>
        <w:tc>
          <w:tcPr>
            <w:tcW w:w="440" w:type="pct"/>
            <w:tcBorders>
              <w:top w:val="nil"/>
              <w:left w:val="nil"/>
              <w:bottom w:val="single" w:color="auto" w:sz="4" w:space="0"/>
              <w:right w:val="single" w:color="auto" w:sz="4" w:space="0"/>
            </w:tcBorders>
            <w:noWrap/>
            <w:vAlign w:val="bottom"/>
          </w:tcPr>
          <w:p w14:paraId="1E6F123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61A76A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C50ADF3">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217563B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w:t>
            </w:r>
          </w:p>
        </w:tc>
        <w:tc>
          <w:tcPr>
            <w:tcW w:w="2725" w:type="pct"/>
            <w:tcBorders>
              <w:top w:val="nil"/>
              <w:left w:val="nil"/>
              <w:bottom w:val="single" w:color="auto" w:sz="4" w:space="0"/>
              <w:right w:val="single" w:color="auto" w:sz="4" w:space="0"/>
            </w:tcBorders>
            <w:shd w:val="clear" w:color="000000" w:fill="FFFFFF"/>
            <w:vAlign w:val="center"/>
          </w:tcPr>
          <w:p w14:paraId="2F7FFFE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绿化带开挖、恢复及渣土处理</w:t>
            </w:r>
          </w:p>
        </w:tc>
        <w:tc>
          <w:tcPr>
            <w:tcW w:w="344" w:type="pct"/>
            <w:tcBorders>
              <w:top w:val="nil"/>
              <w:left w:val="nil"/>
              <w:bottom w:val="single" w:color="auto" w:sz="4" w:space="0"/>
              <w:right w:val="single" w:color="auto" w:sz="4" w:space="0"/>
            </w:tcBorders>
            <w:vAlign w:val="center"/>
          </w:tcPr>
          <w:p w14:paraId="5C89549A">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1B7F725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35</w:t>
            </w:r>
          </w:p>
        </w:tc>
        <w:tc>
          <w:tcPr>
            <w:tcW w:w="440" w:type="pct"/>
            <w:tcBorders>
              <w:top w:val="nil"/>
              <w:left w:val="nil"/>
              <w:bottom w:val="single" w:color="auto" w:sz="4" w:space="0"/>
              <w:right w:val="single" w:color="auto" w:sz="4" w:space="0"/>
            </w:tcBorders>
            <w:noWrap/>
            <w:vAlign w:val="bottom"/>
          </w:tcPr>
          <w:p w14:paraId="03511CC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9CA2DE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78C9FBE">
        <w:tblPrEx>
          <w:tblCellMar>
            <w:top w:w="0" w:type="dxa"/>
            <w:left w:w="108" w:type="dxa"/>
            <w:bottom w:w="0" w:type="dxa"/>
            <w:right w:w="108" w:type="dxa"/>
          </w:tblCellMar>
        </w:tblPrEx>
        <w:trPr>
          <w:trHeight w:val="968" w:hRule="atLeast"/>
        </w:trPr>
        <w:tc>
          <w:tcPr>
            <w:tcW w:w="344" w:type="pct"/>
            <w:tcBorders>
              <w:top w:val="nil"/>
              <w:left w:val="single" w:color="auto" w:sz="4" w:space="0"/>
              <w:bottom w:val="single" w:color="auto" w:sz="4" w:space="0"/>
              <w:right w:val="single" w:color="auto" w:sz="4" w:space="0"/>
            </w:tcBorders>
            <w:vAlign w:val="center"/>
          </w:tcPr>
          <w:p w14:paraId="7E2E0D6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61</w:t>
            </w:r>
          </w:p>
        </w:tc>
        <w:tc>
          <w:tcPr>
            <w:tcW w:w="2725" w:type="pct"/>
            <w:tcBorders>
              <w:top w:val="nil"/>
              <w:left w:val="nil"/>
              <w:bottom w:val="single" w:color="auto" w:sz="4" w:space="0"/>
              <w:right w:val="single" w:color="auto" w:sz="4" w:space="0"/>
            </w:tcBorders>
            <w:shd w:val="clear" w:color="000000" w:fill="FFFFFF"/>
            <w:vAlign w:val="center"/>
          </w:tcPr>
          <w:p w14:paraId="47C434B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各种类型、规格的灯杆（含热浸锌、喷塑）</w:t>
            </w:r>
            <w:r>
              <w:rPr>
                <w:rFonts w:ascii="Times New Roman" w:hAnsi="Times New Roman" w:eastAsia="宋体" w:cs="Times New Roman"/>
                <w:color w:val="000000"/>
                <w:kern w:val="0"/>
                <w:sz w:val="24"/>
                <w:szCs w:val="24"/>
                <w:lang w:val="en-US" w:eastAsia="zh-CN" w:bidi="ar-SA"/>
              </w:rPr>
              <w:t>(</w:t>
            </w:r>
            <w:r>
              <w:rPr>
                <w:rFonts w:ascii="宋体" w:hAnsi="宋体" w:eastAsia="宋体" w:cs="宋体"/>
                <w:color w:val="000000"/>
                <w:kern w:val="0"/>
                <w:sz w:val="24"/>
                <w:szCs w:val="24"/>
                <w:lang w:val="en-US" w:eastAsia="zh-CN" w:bidi="ar-SA"/>
              </w:rPr>
              <w:t>含安装）材质：普通碳素钢管（符合</w:t>
            </w:r>
            <w:r>
              <w:rPr>
                <w:rFonts w:ascii="Times New Roman" w:hAnsi="Times New Roman" w:eastAsia="宋体" w:cs="Times New Roman"/>
                <w:color w:val="000000"/>
                <w:kern w:val="0"/>
                <w:sz w:val="24"/>
                <w:szCs w:val="24"/>
                <w:lang w:val="en-US" w:eastAsia="zh-CN" w:bidi="ar-SA"/>
              </w:rPr>
              <w:t>GB8162—2008</w:t>
            </w:r>
            <w:r>
              <w:rPr>
                <w:rFonts w:ascii="宋体" w:hAnsi="宋体" w:eastAsia="宋体" w:cs="宋体"/>
                <w:color w:val="000000"/>
                <w:kern w:val="0"/>
                <w:sz w:val="24"/>
                <w:szCs w:val="24"/>
                <w:lang w:val="en-US" w:eastAsia="zh-CN" w:bidi="ar-SA"/>
              </w:rPr>
              <w:t>的规定标准）：</w:t>
            </w:r>
            <w:r>
              <w:rPr>
                <w:rFonts w:ascii="Times New Roman" w:hAnsi="Times New Roman" w:eastAsia="宋体" w:cs="Times New Roman"/>
                <w:color w:val="000000"/>
                <w:kern w:val="0"/>
                <w:sz w:val="24"/>
                <w:szCs w:val="24"/>
                <w:lang w:val="en-US" w:eastAsia="zh-CN" w:bidi="ar-SA"/>
              </w:rPr>
              <w:t>L</w:t>
            </w:r>
            <w:r>
              <w:rPr>
                <w:rFonts w:ascii="宋体" w:hAnsi="宋体" w:eastAsia="宋体" w:cs="宋体"/>
                <w:color w:val="000000"/>
                <w:kern w:val="0"/>
                <w:sz w:val="24"/>
                <w:szCs w:val="24"/>
                <w:lang w:val="en-US" w:eastAsia="zh-CN" w:bidi="ar-SA"/>
              </w:rPr>
              <w:t>型八棱锥杆件，热镀锌喷塑，高</w:t>
            </w:r>
            <w:r>
              <w:rPr>
                <w:rFonts w:ascii="Times New Roman" w:hAnsi="Times New Roman" w:eastAsia="宋体" w:cs="Times New Roman"/>
                <w:color w:val="000000"/>
                <w:kern w:val="0"/>
                <w:sz w:val="24"/>
                <w:szCs w:val="24"/>
                <w:lang w:val="en-US" w:eastAsia="zh-CN" w:bidi="ar-SA"/>
              </w:rPr>
              <w:t>6.8m</w:t>
            </w:r>
            <w:r>
              <w:rPr>
                <w:rFonts w:ascii="宋体" w:hAnsi="宋体" w:eastAsia="宋体" w:cs="宋体"/>
                <w:color w:val="000000"/>
                <w:kern w:val="0"/>
                <w:sz w:val="24"/>
                <w:szCs w:val="24"/>
                <w:lang w:val="en-US" w:eastAsia="zh-CN" w:bidi="ar-SA"/>
              </w:rPr>
              <w:t>，包含横臂</w:t>
            </w:r>
            <w:r>
              <w:rPr>
                <w:rFonts w:ascii="Times New Roman" w:hAnsi="Times New Roman" w:eastAsia="宋体" w:cs="Times New Roman"/>
                <w:color w:val="000000"/>
                <w:kern w:val="0"/>
                <w:sz w:val="24"/>
                <w:szCs w:val="24"/>
                <w:lang w:val="en-US" w:eastAsia="zh-CN" w:bidi="ar-SA"/>
              </w:rPr>
              <w:t>3m-11m</w:t>
            </w:r>
          </w:p>
        </w:tc>
        <w:tc>
          <w:tcPr>
            <w:tcW w:w="344" w:type="pct"/>
            <w:tcBorders>
              <w:top w:val="nil"/>
              <w:left w:val="nil"/>
              <w:bottom w:val="single" w:color="auto" w:sz="4" w:space="0"/>
              <w:right w:val="single" w:color="auto" w:sz="4" w:space="0"/>
            </w:tcBorders>
            <w:vAlign w:val="center"/>
          </w:tcPr>
          <w:p w14:paraId="4D27B264">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根</w:t>
            </w:r>
          </w:p>
        </w:tc>
        <w:tc>
          <w:tcPr>
            <w:tcW w:w="663" w:type="pct"/>
            <w:tcBorders>
              <w:top w:val="nil"/>
              <w:left w:val="nil"/>
              <w:bottom w:val="single" w:color="auto" w:sz="4" w:space="0"/>
              <w:right w:val="single" w:color="auto" w:sz="4" w:space="0"/>
            </w:tcBorders>
            <w:vAlign w:val="center"/>
          </w:tcPr>
          <w:p w14:paraId="06F3729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6000</w:t>
            </w:r>
          </w:p>
        </w:tc>
        <w:tc>
          <w:tcPr>
            <w:tcW w:w="440" w:type="pct"/>
            <w:tcBorders>
              <w:top w:val="nil"/>
              <w:left w:val="nil"/>
              <w:bottom w:val="single" w:color="auto" w:sz="4" w:space="0"/>
              <w:right w:val="single" w:color="auto" w:sz="4" w:space="0"/>
            </w:tcBorders>
            <w:noWrap/>
            <w:vAlign w:val="bottom"/>
          </w:tcPr>
          <w:p w14:paraId="44807AB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FF00F6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86B7F1A">
        <w:tblPrEx>
          <w:tblCellMar>
            <w:top w:w="0" w:type="dxa"/>
            <w:left w:w="108" w:type="dxa"/>
            <w:bottom w:w="0" w:type="dxa"/>
            <w:right w:w="108" w:type="dxa"/>
          </w:tblCellMar>
        </w:tblPrEx>
        <w:trPr>
          <w:trHeight w:val="630" w:hRule="atLeast"/>
        </w:trPr>
        <w:tc>
          <w:tcPr>
            <w:tcW w:w="344" w:type="pct"/>
            <w:tcBorders>
              <w:top w:val="nil"/>
              <w:left w:val="single" w:color="auto" w:sz="4" w:space="0"/>
              <w:bottom w:val="single" w:color="auto" w:sz="4" w:space="0"/>
              <w:right w:val="single" w:color="auto" w:sz="4" w:space="0"/>
            </w:tcBorders>
            <w:vAlign w:val="center"/>
          </w:tcPr>
          <w:p w14:paraId="38D8F90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62</w:t>
            </w:r>
          </w:p>
        </w:tc>
        <w:tc>
          <w:tcPr>
            <w:tcW w:w="2725" w:type="pct"/>
            <w:tcBorders>
              <w:top w:val="nil"/>
              <w:left w:val="nil"/>
              <w:bottom w:val="single" w:color="auto" w:sz="4" w:space="0"/>
              <w:right w:val="single" w:color="auto" w:sz="4" w:space="0"/>
            </w:tcBorders>
            <w:shd w:val="clear" w:color="000000" w:fill="FFFFFF"/>
            <w:vAlign w:val="center"/>
          </w:tcPr>
          <w:p w14:paraId="76D5E2B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信号灯结构件基础（含开挖、基础预埋、管道预埋、混凝土浇筑、防雷接地等）维护预计</w:t>
            </w:r>
          </w:p>
        </w:tc>
        <w:tc>
          <w:tcPr>
            <w:tcW w:w="344" w:type="pct"/>
            <w:tcBorders>
              <w:top w:val="nil"/>
              <w:left w:val="nil"/>
              <w:bottom w:val="single" w:color="auto" w:sz="4" w:space="0"/>
              <w:right w:val="single" w:color="auto" w:sz="4" w:space="0"/>
            </w:tcBorders>
            <w:vAlign w:val="center"/>
          </w:tcPr>
          <w:p w14:paraId="0668A07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76E1B2D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2000</w:t>
            </w:r>
          </w:p>
        </w:tc>
        <w:tc>
          <w:tcPr>
            <w:tcW w:w="440" w:type="pct"/>
            <w:tcBorders>
              <w:top w:val="nil"/>
              <w:left w:val="nil"/>
              <w:bottom w:val="single" w:color="auto" w:sz="4" w:space="0"/>
              <w:right w:val="single" w:color="auto" w:sz="4" w:space="0"/>
            </w:tcBorders>
            <w:noWrap/>
            <w:vAlign w:val="bottom"/>
          </w:tcPr>
          <w:p w14:paraId="4B972E0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1CEDFC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93349C3">
        <w:tblPrEx>
          <w:tblCellMar>
            <w:top w:w="0" w:type="dxa"/>
            <w:left w:w="108" w:type="dxa"/>
            <w:bottom w:w="0" w:type="dxa"/>
            <w:right w:w="108" w:type="dxa"/>
          </w:tblCellMar>
        </w:tblPrEx>
        <w:trPr>
          <w:trHeight w:val="630" w:hRule="atLeast"/>
        </w:trPr>
        <w:tc>
          <w:tcPr>
            <w:tcW w:w="344" w:type="pct"/>
            <w:tcBorders>
              <w:top w:val="nil"/>
              <w:left w:val="single" w:color="auto" w:sz="4" w:space="0"/>
              <w:bottom w:val="single" w:color="auto" w:sz="4" w:space="0"/>
              <w:right w:val="single" w:color="auto" w:sz="4" w:space="0"/>
            </w:tcBorders>
            <w:vAlign w:val="center"/>
          </w:tcPr>
          <w:p w14:paraId="4EF7EFE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63</w:t>
            </w:r>
          </w:p>
        </w:tc>
        <w:tc>
          <w:tcPr>
            <w:tcW w:w="2725" w:type="pct"/>
            <w:tcBorders>
              <w:top w:val="nil"/>
              <w:left w:val="nil"/>
              <w:bottom w:val="single" w:color="auto" w:sz="4" w:space="0"/>
              <w:right w:val="single" w:color="auto" w:sz="4" w:space="0"/>
            </w:tcBorders>
            <w:shd w:val="clear" w:color="000000" w:fill="FFFFFF"/>
            <w:vAlign w:val="center"/>
          </w:tcPr>
          <w:p w14:paraId="18BC1BA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信号机机柜基础浇筑（含开挖、基础预埋、管道预埋、混凝土浇筑、防雷接地等）</w:t>
            </w:r>
          </w:p>
        </w:tc>
        <w:tc>
          <w:tcPr>
            <w:tcW w:w="344" w:type="pct"/>
            <w:tcBorders>
              <w:top w:val="nil"/>
              <w:left w:val="nil"/>
              <w:bottom w:val="single" w:color="auto" w:sz="4" w:space="0"/>
              <w:right w:val="single" w:color="auto" w:sz="4" w:space="0"/>
            </w:tcBorders>
            <w:vAlign w:val="center"/>
          </w:tcPr>
          <w:p w14:paraId="037DDD9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0EAAB05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500</w:t>
            </w:r>
          </w:p>
        </w:tc>
        <w:tc>
          <w:tcPr>
            <w:tcW w:w="440" w:type="pct"/>
            <w:tcBorders>
              <w:top w:val="nil"/>
              <w:left w:val="nil"/>
              <w:bottom w:val="single" w:color="auto" w:sz="4" w:space="0"/>
              <w:right w:val="single" w:color="auto" w:sz="4" w:space="0"/>
            </w:tcBorders>
            <w:noWrap/>
            <w:vAlign w:val="bottom"/>
          </w:tcPr>
          <w:p w14:paraId="453CB6B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539E5D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662B121">
        <w:tblPrEx>
          <w:tblCellMar>
            <w:top w:w="0" w:type="dxa"/>
            <w:left w:w="108" w:type="dxa"/>
            <w:bottom w:w="0" w:type="dxa"/>
            <w:right w:w="108" w:type="dxa"/>
          </w:tblCellMar>
        </w:tblPrEx>
        <w:trPr>
          <w:trHeight w:val="960" w:hRule="atLeast"/>
        </w:trPr>
        <w:tc>
          <w:tcPr>
            <w:tcW w:w="344" w:type="pct"/>
            <w:tcBorders>
              <w:top w:val="nil"/>
              <w:left w:val="single" w:color="auto" w:sz="4" w:space="0"/>
              <w:bottom w:val="single" w:color="auto" w:sz="4" w:space="0"/>
              <w:right w:val="single" w:color="auto" w:sz="4" w:space="0"/>
            </w:tcBorders>
            <w:vAlign w:val="center"/>
          </w:tcPr>
          <w:p w14:paraId="1FA1A3D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64</w:t>
            </w:r>
          </w:p>
        </w:tc>
        <w:tc>
          <w:tcPr>
            <w:tcW w:w="2725" w:type="pct"/>
            <w:tcBorders>
              <w:top w:val="nil"/>
              <w:left w:val="nil"/>
              <w:bottom w:val="single" w:color="auto" w:sz="4" w:space="0"/>
              <w:right w:val="single" w:color="auto" w:sz="4" w:space="0"/>
            </w:tcBorders>
            <w:shd w:val="clear" w:color="000000" w:fill="FFFFFF"/>
            <w:vAlign w:val="center"/>
          </w:tcPr>
          <w:p w14:paraId="17166AE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C25</w:t>
            </w:r>
            <w:r>
              <w:rPr>
                <w:rFonts w:ascii="宋体" w:hAnsi="宋体" w:eastAsia="宋体" w:cs="Times New Roman"/>
                <w:color w:val="000000"/>
                <w:kern w:val="0"/>
                <w:sz w:val="24"/>
                <w:szCs w:val="24"/>
                <w:lang w:val="en-US" w:eastAsia="zh-CN" w:bidi="ar-SA"/>
              </w:rPr>
              <w:t>信号灯结构件混凝土基础浇筑（包括不锈钢地脚螺栓预埋件的制作及安装、穿线管埋设、</w:t>
            </w:r>
            <w:r>
              <w:rPr>
                <w:rFonts w:ascii="Times New Roman" w:hAnsi="Times New Roman" w:eastAsia="等线" w:cs="Times New Roman"/>
                <w:color w:val="000000"/>
                <w:kern w:val="0"/>
                <w:sz w:val="24"/>
                <w:szCs w:val="24"/>
                <w:lang w:val="en-US" w:eastAsia="zh-CN" w:bidi="ar-SA"/>
              </w:rPr>
              <w:t>C25</w:t>
            </w:r>
            <w:r>
              <w:rPr>
                <w:rFonts w:ascii="宋体" w:hAnsi="宋体" w:eastAsia="宋体" w:cs="Times New Roman"/>
                <w:color w:val="000000"/>
                <w:kern w:val="0"/>
                <w:sz w:val="24"/>
                <w:szCs w:val="24"/>
                <w:lang w:val="en-US" w:eastAsia="zh-CN" w:bidi="ar-SA"/>
              </w:rPr>
              <w:t>商品混凝土的浇筑养护、基础回填、渣土清运、螺栓混凝土包封）维护预计</w:t>
            </w:r>
          </w:p>
        </w:tc>
        <w:tc>
          <w:tcPr>
            <w:tcW w:w="344" w:type="pct"/>
            <w:tcBorders>
              <w:top w:val="nil"/>
              <w:left w:val="nil"/>
              <w:bottom w:val="single" w:color="auto" w:sz="4" w:space="0"/>
              <w:right w:val="single" w:color="auto" w:sz="4" w:space="0"/>
            </w:tcBorders>
            <w:vAlign w:val="center"/>
          </w:tcPr>
          <w:p w14:paraId="52111CC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M3</w:t>
            </w:r>
          </w:p>
        </w:tc>
        <w:tc>
          <w:tcPr>
            <w:tcW w:w="663" w:type="pct"/>
            <w:tcBorders>
              <w:top w:val="nil"/>
              <w:left w:val="nil"/>
              <w:bottom w:val="single" w:color="auto" w:sz="4" w:space="0"/>
              <w:right w:val="single" w:color="auto" w:sz="4" w:space="0"/>
            </w:tcBorders>
            <w:vAlign w:val="center"/>
          </w:tcPr>
          <w:p w14:paraId="7589E2D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450</w:t>
            </w:r>
          </w:p>
        </w:tc>
        <w:tc>
          <w:tcPr>
            <w:tcW w:w="440" w:type="pct"/>
            <w:tcBorders>
              <w:top w:val="nil"/>
              <w:left w:val="nil"/>
              <w:bottom w:val="single" w:color="auto" w:sz="4" w:space="0"/>
              <w:right w:val="single" w:color="auto" w:sz="4" w:space="0"/>
            </w:tcBorders>
            <w:noWrap/>
            <w:vAlign w:val="bottom"/>
          </w:tcPr>
          <w:p w14:paraId="45D06F8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853800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7D28333">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7332281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65</w:t>
            </w:r>
          </w:p>
        </w:tc>
        <w:tc>
          <w:tcPr>
            <w:tcW w:w="2725" w:type="pct"/>
            <w:tcBorders>
              <w:top w:val="nil"/>
              <w:left w:val="nil"/>
              <w:bottom w:val="single" w:color="auto" w:sz="4" w:space="0"/>
              <w:right w:val="single" w:color="auto" w:sz="4" w:space="0"/>
            </w:tcBorders>
            <w:shd w:val="clear" w:color="000000" w:fill="FFFFFF"/>
            <w:vAlign w:val="center"/>
          </w:tcPr>
          <w:p w14:paraId="6639B44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喷涂氟碳漆</w:t>
            </w:r>
          </w:p>
        </w:tc>
        <w:tc>
          <w:tcPr>
            <w:tcW w:w="344" w:type="pct"/>
            <w:tcBorders>
              <w:top w:val="nil"/>
              <w:left w:val="nil"/>
              <w:bottom w:val="single" w:color="auto" w:sz="4" w:space="0"/>
              <w:right w:val="single" w:color="auto" w:sz="4" w:space="0"/>
            </w:tcBorders>
            <w:vAlign w:val="center"/>
          </w:tcPr>
          <w:p w14:paraId="4EC6F12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m2</w:t>
            </w:r>
          </w:p>
        </w:tc>
        <w:tc>
          <w:tcPr>
            <w:tcW w:w="663" w:type="pct"/>
            <w:tcBorders>
              <w:top w:val="nil"/>
              <w:left w:val="nil"/>
              <w:bottom w:val="single" w:color="auto" w:sz="4" w:space="0"/>
              <w:right w:val="single" w:color="auto" w:sz="4" w:space="0"/>
            </w:tcBorders>
            <w:vAlign w:val="center"/>
          </w:tcPr>
          <w:p w14:paraId="411F00D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150</w:t>
            </w:r>
          </w:p>
        </w:tc>
        <w:tc>
          <w:tcPr>
            <w:tcW w:w="440" w:type="pct"/>
            <w:tcBorders>
              <w:top w:val="nil"/>
              <w:left w:val="nil"/>
              <w:bottom w:val="single" w:color="auto" w:sz="4" w:space="0"/>
              <w:right w:val="single" w:color="auto" w:sz="4" w:space="0"/>
            </w:tcBorders>
            <w:noWrap/>
            <w:vAlign w:val="bottom"/>
          </w:tcPr>
          <w:p w14:paraId="5D7052D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926929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772A9C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1FFF4ED">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66</w:t>
            </w:r>
          </w:p>
        </w:tc>
        <w:tc>
          <w:tcPr>
            <w:tcW w:w="2725" w:type="pct"/>
            <w:tcBorders>
              <w:top w:val="nil"/>
              <w:left w:val="nil"/>
              <w:bottom w:val="single" w:color="auto" w:sz="4" w:space="0"/>
              <w:right w:val="single" w:color="auto" w:sz="4" w:space="0"/>
            </w:tcBorders>
            <w:shd w:val="clear" w:color="000000" w:fill="FFFFFF"/>
            <w:vAlign w:val="center"/>
          </w:tcPr>
          <w:p w14:paraId="5363E0D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信号灯安装</w:t>
            </w:r>
          </w:p>
        </w:tc>
        <w:tc>
          <w:tcPr>
            <w:tcW w:w="344" w:type="pct"/>
            <w:tcBorders>
              <w:top w:val="nil"/>
              <w:left w:val="nil"/>
              <w:bottom w:val="single" w:color="auto" w:sz="4" w:space="0"/>
              <w:right w:val="single" w:color="auto" w:sz="4" w:space="0"/>
            </w:tcBorders>
            <w:vAlign w:val="center"/>
          </w:tcPr>
          <w:p w14:paraId="39B49F0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项</w:t>
            </w:r>
          </w:p>
        </w:tc>
        <w:tc>
          <w:tcPr>
            <w:tcW w:w="663" w:type="pct"/>
            <w:tcBorders>
              <w:top w:val="nil"/>
              <w:left w:val="nil"/>
              <w:bottom w:val="single" w:color="auto" w:sz="4" w:space="0"/>
              <w:right w:val="single" w:color="auto" w:sz="4" w:space="0"/>
            </w:tcBorders>
            <w:vAlign w:val="center"/>
          </w:tcPr>
          <w:p w14:paraId="614585A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300</w:t>
            </w:r>
          </w:p>
        </w:tc>
        <w:tc>
          <w:tcPr>
            <w:tcW w:w="440" w:type="pct"/>
            <w:tcBorders>
              <w:top w:val="nil"/>
              <w:left w:val="nil"/>
              <w:bottom w:val="single" w:color="auto" w:sz="4" w:space="0"/>
              <w:right w:val="single" w:color="auto" w:sz="4" w:space="0"/>
            </w:tcBorders>
            <w:noWrap/>
            <w:vAlign w:val="bottom"/>
          </w:tcPr>
          <w:p w14:paraId="4324C3F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47E96F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295B241">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44E8BAC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67</w:t>
            </w:r>
          </w:p>
        </w:tc>
        <w:tc>
          <w:tcPr>
            <w:tcW w:w="2725" w:type="pct"/>
            <w:tcBorders>
              <w:top w:val="nil"/>
              <w:left w:val="nil"/>
              <w:bottom w:val="single" w:color="auto" w:sz="4" w:space="0"/>
              <w:right w:val="single" w:color="auto" w:sz="4" w:space="0"/>
            </w:tcBorders>
            <w:shd w:val="clear" w:color="000000" w:fill="FFFFFF"/>
            <w:vAlign w:val="center"/>
          </w:tcPr>
          <w:p w14:paraId="2F51F23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信号灯拆除</w:t>
            </w:r>
          </w:p>
        </w:tc>
        <w:tc>
          <w:tcPr>
            <w:tcW w:w="344" w:type="pct"/>
            <w:tcBorders>
              <w:top w:val="nil"/>
              <w:left w:val="nil"/>
              <w:bottom w:val="single" w:color="auto" w:sz="4" w:space="0"/>
              <w:right w:val="single" w:color="auto" w:sz="4" w:space="0"/>
            </w:tcBorders>
            <w:vAlign w:val="center"/>
          </w:tcPr>
          <w:p w14:paraId="75C6930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项</w:t>
            </w:r>
          </w:p>
        </w:tc>
        <w:tc>
          <w:tcPr>
            <w:tcW w:w="663" w:type="pct"/>
            <w:tcBorders>
              <w:top w:val="nil"/>
              <w:left w:val="nil"/>
              <w:bottom w:val="single" w:color="auto" w:sz="4" w:space="0"/>
              <w:right w:val="single" w:color="auto" w:sz="4" w:space="0"/>
            </w:tcBorders>
            <w:vAlign w:val="center"/>
          </w:tcPr>
          <w:p w14:paraId="5E036C5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300</w:t>
            </w:r>
          </w:p>
        </w:tc>
        <w:tc>
          <w:tcPr>
            <w:tcW w:w="440" w:type="pct"/>
            <w:tcBorders>
              <w:top w:val="nil"/>
              <w:left w:val="nil"/>
              <w:bottom w:val="single" w:color="auto" w:sz="4" w:space="0"/>
              <w:right w:val="single" w:color="auto" w:sz="4" w:space="0"/>
            </w:tcBorders>
            <w:noWrap/>
            <w:vAlign w:val="bottom"/>
          </w:tcPr>
          <w:p w14:paraId="445FA4D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4447DAA">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3197CF0">
        <w:tblPrEx>
          <w:tblCellMar>
            <w:top w:w="0" w:type="dxa"/>
            <w:left w:w="108" w:type="dxa"/>
            <w:bottom w:w="0" w:type="dxa"/>
            <w:right w:w="108" w:type="dxa"/>
          </w:tblCellMar>
        </w:tblPrEx>
        <w:trPr>
          <w:trHeight w:val="630" w:hRule="atLeast"/>
        </w:trPr>
        <w:tc>
          <w:tcPr>
            <w:tcW w:w="344" w:type="pct"/>
            <w:tcBorders>
              <w:top w:val="nil"/>
              <w:left w:val="single" w:color="auto" w:sz="4" w:space="0"/>
              <w:bottom w:val="single" w:color="auto" w:sz="4" w:space="0"/>
              <w:right w:val="single" w:color="auto" w:sz="4" w:space="0"/>
            </w:tcBorders>
            <w:vAlign w:val="center"/>
          </w:tcPr>
          <w:p w14:paraId="73E45D1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68</w:t>
            </w:r>
          </w:p>
        </w:tc>
        <w:tc>
          <w:tcPr>
            <w:tcW w:w="2725" w:type="pct"/>
            <w:tcBorders>
              <w:top w:val="nil"/>
              <w:left w:val="nil"/>
              <w:bottom w:val="single" w:color="auto" w:sz="4" w:space="0"/>
              <w:right w:val="single" w:color="auto" w:sz="4" w:space="0"/>
            </w:tcBorders>
            <w:shd w:val="clear" w:color="000000" w:fill="FFFFFF"/>
            <w:vAlign w:val="center"/>
          </w:tcPr>
          <w:p w14:paraId="1AD4811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悬臂式和立柱式信号灯杆安装、拆卸（包括灯杆装卸、运输以及信号灯拆除、运输等）维护预计</w:t>
            </w:r>
          </w:p>
        </w:tc>
        <w:tc>
          <w:tcPr>
            <w:tcW w:w="344" w:type="pct"/>
            <w:tcBorders>
              <w:top w:val="nil"/>
              <w:left w:val="nil"/>
              <w:bottom w:val="single" w:color="auto" w:sz="4" w:space="0"/>
              <w:right w:val="single" w:color="auto" w:sz="4" w:space="0"/>
            </w:tcBorders>
            <w:vAlign w:val="center"/>
          </w:tcPr>
          <w:p w14:paraId="656936A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项</w:t>
            </w:r>
          </w:p>
        </w:tc>
        <w:tc>
          <w:tcPr>
            <w:tcW w:w="663" w:type="pct"/>
            <w:tcBorders>
              <w:top w:val="nil"/>
              <w:left w:val="nil"/>
              <w:bottom w:val="single" w:color="auto" w:sz="4" w:space="0"/>
              <w:right w:val="single" w:color="auto" w:sz="4" w:space="0"/>
            </w:tcBorders>
            <w:vAlign w:val="center"/>
          </w:tcPr>
          <w:p w14:paraId="10639D8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1600</w:t>
            </w:r>
          </w:p>
        </w:tc>
        <w:tc>
          <w:tcPr>
            <w:tcW w:w="440" w:type="pct"/>
            <w:tcBorders>
              <w:top w:val="nil"/>
              <w:left w:val="nil"/>
              <w:bottom w:val="single" w:color="auto" w:sz="4" w:space="0"/>
              <w:right w:val="single" w:color="auto" w:sz="4" w:space="0"/>
            </w:tcBorders>
            <w:noWrap/>
            <w:vAlign w:val="bottom"/>
          </w:tcPr>
          <w:p w14:paraId="58A0437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7487E1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17236C5">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13DADB7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69</w:t>
            </w:r>
          </w:p>
        </w:tc>
        <w:tc>
          <w:tcPr>
            <w:tcW w:w="2725" w:type="pct"/>
            <w:tcBorders>
              <w:top w:val="nil"/>
              <w:left w:val="nil"/>
              <w:bottom w:val="single" w:color="auto" w:sz="4" w:space="0"/>
              <w:right w:val="single" w:color="auto" w:sz="4" w:space="0"/>
            </w:tcBorders>
            <w:shd w:val="clear" w:color="000000" w:fill="FFFFFF"/>
            <w:vAlign w:val="center"/>
          </w:tcPr>
          <w:p w14:paraId="4E21C9E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窨井施工（不含井框井盖）（按市城管局标准）：内径</w:t>
            </w:r>
            <w:r>
              <w:rPr>
                <w:rFonts w:ascii="Times New Roman" w:hAnsi="Times New Roman" w:eastAsia="宋体" w:cs="Times New Roman"/>
                <w:color w:val="000000"/>
                <w:kern w:val="0"/>
                <w:sz w:val="24"/>
                <w:szCs w:val="24"/>
                <w:lang w:val="en-US" w:eastAsia="zh-CN" w:bidi="ar-SA"/>
              </w:rPr>
              <w:t>400*400*400</w:t>
            </w:r>
          </w:p>
        </w:tc>
        <w:tc>
          <w:tcPr>
            <w:tcW w:w="344" w:type="pct"/>
            <w:tcBorders>
              <w:top w:val="nil"/>
              <w:left w:val="nil"/>
              <w:bottom w:val="single" w:color="auto" w:sz="4" w:space="0"/>
              <w:right w:val="single" w:color="auto" w:sz="4" w:space="0"/>
            </w:tcBorders>
            <w:vAlign w:val="center"/>
          </w:tcPr>
          <w:p w14:paraId="014C92A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座</w:t>
            </w:r>
          </w:p>
        </w:tc>
        <w:tc>
          <w:tcPr>
            <w:tcW w:w="663" w:type="pct"/>
            <w:tcBorders>
              <w:top w:val="nil"/>
              <w:left w:val="nil"/>
              <w:bottom w:val="single" w:color="auto" w:sz="4" w:space="0"/>
              <w:right w:val="single" w:color="auto" w:sz="4" w:space="0"/>
            </w:tcBorders>
            <w:vAlign w:val="center"/>
          </w:tcPr>
          <w:p w14:paraId="71A3707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400</w:t>
            </w:r>
          </w:p>
        </w:tc>
        <w:tc>
          <w:tcPr>
            <w:tcW w:w="440" w:type="pct"/>
            <w:tcBorders>
              <w:top w:val="nil"/>
              <w:left w:val="nil"/>
              <w:bottom w:val="single" w:color="auto" w:sz="4" w:space="0"/>
              <w:right w:val="single" w:color="auto" w:sz="4" w:space="0"/>
            </w:tcBorders>
            <w:noWrap/>
            <w:vAlign w:val="bottom"/>
          </w:tcPr>
          <w:p w14:paraId="261EE7A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AAA46F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AC2C401">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5ABFBC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70</w:t>
            </w:r>
          </w:p>
        </w:tc>
        <w:tc>
          <w:tcPr>
            <w:tcW w:w="2725" w:type="pct"/>
            <w:tcBorders>
              <w:top w:val="nil"/>
              <w:left w:val="nil"/>
              <w:bottom w:val="single" w:color="auto" w:sz="4" w:space="0"/>
              <w:right w:val="single" w:color="auto" w:sz="4" w:space="0"/>
            </w:tcBorders>
            <w:shd w:val="clear" w:color="000000" w:fill="FFFFFF"/>
            <w:vAlign w:val="center"/>
          </w:tcPr>
          <w:p w14:paraId="41E6134C">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高分子材料井框井盖</w:t>
            </w:r>
          </w:p>
        </w:tc>
        <w:tc>
          <w:tcPr>
            <w:tcW w:w="344" w:type="pct"/>
            <w:tcBorders>
              <w:top w:val="nil"/>
              <w:left w:val="nil"/>
              <w:bottom w:val="single" w:color="auto" w:sz="4" w:space="0"/>
              <w:right w:val="single" w:color="auto" w:sz="4" w:space="0"/>
            </w:tcBorders>
            <w:vAlign w:val="center"/>
          </w:tcPr>
          <w:p w14:paraId="327F31F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54AB8A2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360</w:t>
            </w:r>
          </w:p>
        </w:tc>
        <w:tc>
          <w:tcPr>
            <w:tcW w:w="440" w:type="pct"/>
            <w:tcBorders>
              <w:top w:val="nil"/>
              <w:left w:val="nil"/>
              <w:bottom w:val="single" w:color="auto" w:sz="4" w:space="0"/>
              <w:right w:val="single" w:color="auto" w:sz="4" w:space="0"/>
            </w:tcBorders>
            <w:noWrap/>
            <w:vAlign w:val="bottom"/>
          </w:tcPr>
          <w:p w14:paraId="53E0867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7942E5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F089E15">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5CE632A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71</w:t>
            </w:r>
          </w:p>
        </w:tc>
        <w:tc>
          <w:tcPr>
            <w:tcW w:w="2725" w:type="pct"/>
            <w:tcBorders>
              <w:top w:val="nil"/>
              <w:left w:val="nil"/>
              <w:bottom w:val="single" w:color="auto" w:sz="4" w:space="0"/>
              <w:right w:val="single" w:color="auto" w:sz="4" w:space="0"/>
            </w:tcBorders>
            <w:shd w:val="clear" w:color="000000" w:fill="FFFFFF"/>
            <w:vAlign w:val="center"/>
          </w:tcPr>
          <w:p w14:paraId="0631234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三防球磨铸铁井框井盖</w:t>
            </w:r>
          </w:p>
        </w:tc>
        <w:tc>
          <w:tcPr>
            <w:tcW w:w="344" w:type="pct"/>
            <w:tcBorders>
              <w:top w:val="nil"/>
              <w:left w:val="nil"/>
              <w:bottom w:val="single" w:color="auto" w:sz="4" w:space="0"/>
              <w:right w:val="single" w:color="auto" w:sz="4" w:space="0"/>
            </w:tcBorders>
            <w:vAlign w:val="center"/>
          </w:tcPr>
          <w:p w14:paraId="26233E00">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310E4C5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450</w:t>
            </w:r>
          </w:p>
        </w:tc>
        <w:tc>
          <w:tcPr>
            <w:tcW w:w="440" w:type="pct"/>
            <w:tcBorders>
              <w:top w:val="nil"/>
              <w:left w:val="nil"/>
              <w:bottom w:val="single" w:color="auto" w:sz="4" w:space="0"/>
              <w:right w:val="single" w:color="auto" w:sz="4" w:space="0"/>
            </w:tcBorders>
            <w:noWrap/>
            <w:vAlign w:val="bottom"/>
          </w:tcPr>
          <w:p w14:paraId="0C942E6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BC4FC1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906294B">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48A5524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72</w:t>
            </w:r>
          </w:p>
        </w:tc>
        <w:tc>
          <w:tcPr>
            <w:tcW w:w="2725" w:type="pct"/>
            <w:tcBorders>
              <w:top w:val="nil"/>
              <w:left w:val="nil"/>
              <w:bottom w:val="single" w:color="auto" w:sz="4" w:space="0"/>
              <w:right w:val="single" w:color="auto" w:sz="4" w:space="0"/>
            </w:tcBorders>
            <w:shd w:val="clear" w:color="000000" w:fill="FFFFFF"/>
            <w:vAlign w:val="center"/>
          </w:tcPr>
          <w:p w14:paraId="09529F6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PE</w:t>
            </w:r>
            <w:r>
              <w:rPr>
                <w:rFonts w:ascii="宋体" w:hAnsi="宋体" w:eastAsia="宋体" w:cs="Times New Roman"/>
                <w:color w:val="000000"/>
                <w:kern w:val="0"/>
                <w:sz w:val="24"/>
                <w:szCs w:val="24"/>
                <w:lang w:val="en-US" w:eastAsia="zh-CN" w:bidi="ar-SA"/>
              </w:rPr>
              <w:t>管：</w:t>
            </w:r>
            <w:r>
              <w:rPr>
                <w:rFonts w:ascii="Times New Roman" w:hAnsi="Times New Roman" w:eastAsia="等线" w:cs="Times New Roman"/>
                <w:color w:val="000000"/>
                <w:kern w:val="0"/>
                <w:sz w:val="24"/>
                <w:szCs w:val="24"/>
                <w:lang w:val="en-US" w:eastAsia="zh-CN" w:bidi="ar-SA"/>
              </w:rPr>
              <w:t>Ф50</w:t>
            </w:r>
          </w:p>
        </w:tc>
        <w:tc>
          <w:tcPr>
            <w:tcW w:w="344" w:type="pct"/>
            <w:tcBorders>
              <w:top w:val="nil"/>
              <w:left w:val="nil"/>
              <w:bottom w:val="single" w:color="auto" w:sz="4" w:space="0"/>
              <w:right w:val="single" w:color="auto" w:sz="4" w:space="0"/>
            </w:tcBorders>
            <w:vAlign w:val="center"/>
          </w:tcPr>
          <w:p w14:paraId="41B8EC1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m</w:t>
            </w:r>
          </w:p>
        </w:tc>
        <w:tc>
          <w:tcPr>
            <w:tcW w:w="663" w:type="pct"/>
            <w:tcBorders>
              <w:top w:val="nil"/>
              <w:left w:val="nil"/>
              <w:bottom w:val="single" w:color="auto" w:sz="4" w:space="0"/>
              <w:right w:val="single" w:color="auto" w:sz="4" w:space="0"/>
            </w:tcBorders>
            <w:vAlign w:val="center"/>
          </w:tcPr>
          <w:p w14:paraId="6E45C308">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15</w:t>
            </w:r>
          </w:p>
        </w:tc>
        <w:tc>
          <w:tcPr>
            <w:tcW w:w="440" w:type="pct"/>
            <w:tcBorders>
              <w:top w:val="nil"/>
              <w:left w:val="nil"/>
              <w:bottom w:val="single" w:color="auto" w:sz="4" w:space="0"/>
              <w:right w:val="single" w:color="auto" w:sz="4" w:space="0"/>
            </w:tcBorders>
            <w:noWrap/>
            <w:vAlign w:val="bottom"/>
          </w:tcPr>
          <w:p w14:paraId="05580F3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E4C1D2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F0F1A79">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2C6B05D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73</w:t>
            </w:r>
          </w:p>
        </w:tc>
        <w:tc>
          <w:tcPr>
            <w:tcW w:w="2725" w:type="pct"/>
            <w:tcBorders>
              <w:top w:val="nil"/>
              <w:left w:val="nil"/>
              <w:bottom w:val="single" w:color="auto" w:sz="4" w:space="0"/>
              <w:right w:val="single" w:color="auto" w:sz="4" w:space="0"/>
            </w:tcBorders>
            <w:shd w:val="clear" w:color="000000" w:fill="FFFFFF"/>
            <w:vAlign w:val="center"/>
          </w:tcPr>
          <w:p w14:paraId="20CB58D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防雷接地系统</w:t>
            </w:r>
          </w:p>
        </w:tc>
        <w:tc>
          <w:tcPr>
            <w:tcW w:w="344" w:type="pct"/>
            <w:tcBorders>
              <w:top w:val="nil"/>
              <w:left w:val="nil"/>
              <w:bottom w:val="single" w:color="auto" w:sz="4" w:space="0"/>
              <w:right w:val="single" w:color="auto" w:sz="4" w:space="0"/>
            </w:tcBorders>
            <w:vAlign w:val="center"/>
          </w:tcPr>
          <w:p w14:paraId="341C7DE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44181264">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100</w:t>
            </w:r>
          </w:p>
        </w:tc>
        <w:tc>
          <w:tcPr>
            <w:tcW w:w="440" w:type="pct"/>
            <w:tcBorders>
              <w:top w:val="nil"/>
              <w:left w:val="nil"/>
              <w:bottom w:val="single" w:color="auto" w:sz="4" w:space="0"/>
              <w:right w:val="single" w:color="auto" w:sz="4" w:space="0"/>
            </w:tcBorders>
            <w:noWrap/>
            <w:vAlign w:val="bottom"/>
          </w:tcPr>
          <w:p w14:paraId="6A8654A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E69773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E815645">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31777537">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74</w:t>
            </w:r>
          </w:p>
        </w:tc>
        <w:tc>
          <w:tcPr>
            <w:tcW w:w="2725" w:type="pct"/>
            <w:tcBorders>
              <w:top w:val="nil"/>
              <w:left w:val="nil"/>
              <w:bottom w:val="single" w:color="auto" w:sz="4" w:space="0"/>
              <w:right w:val="single" w:color="auto" w:sz="4" w:space="0"/>
            </w:tcBorders>
            <w:shd w:val="clear" w:color="000000" w:fill="FFFFFF"/>
            <w:vAlign w:val="center"/>
          </w:tcPr>
          <w:p w14:paraId="4ED8902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屏蔽双绞线（</w:t>
            </w:r>
            <w:r>
              <w:rPr>
                <w:rFonts w:ascii="Times New Roman" w:hAnsi="Times New Roman" w:eastAsia="宋体" w:cs="Times New Roman"/>
                <w:color w:val="000000"/>
                <w:kern w:val="0"/>
                <w:sz w:val="24"/>
                <w:szCs w:val="24"/>
                <w:lang w:val="en-US" w:eastAsia="zh-CN" w:bidi="ar-SA"/>
              </w:rPr>
              <w:t>1mm2</w:t>
            </w:r>
            <w:r>
              <w:rPr>
                <w:rFonts w:ascii="宋体" w:hAnsi="宋体" w:eastAsia="宋体" w:cs="宋体"/>
                <w:color w:val="000000"/>
                <w:kern w:val="0"/>
                <w:sz w:val="24"/>
                <w:szCs w:val="24"/>
                <w:lang w:val="en-US" w:eastAsia="zh-CN" w:bidi="ar-SA"/>
              </w:rPr>
              <w:t>）</w:t>
            </w:r>
          </w:p>
        </w:tc>
        <w:tc>
          <w:tcPr>
            <w:tcW w:w="344" w:type="pct"/>
            <w:tcBorders>
              <w:top w:val="nil"/>
              <w:left w:val="nil"/>
              <w:bottom w:val="single" w:color="auto" w:sz="4" w:space="0"/>
              <w:right w:val="single" w:color="auto" w:sz="4" w:space="0"/>
            </w:tcBorders>
            <w:vAlign w:val="center"/>
          </w:tcPr>
          <w:p w14:paraId="651E10F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米</w:t>
            </w:r>
          </w:p>
        </w:tc>
        <w:tc>
          <w:tcPr>
            <w:tcW w:w="663" w:type="pct"/>
            <w:tcBorders>
              <w:top w:val="nil"/>
              <w:left w:val="nil"/>
              <w:bottom w:val="single" w:color="auto" w:sz="4" w:space="0"/>
              <w:right w:val="single" w:color="auto" w:sz="4" w:space="0"/>
            </w:tcBorders>
            <w:vAlign w:val="center"/>
          </w:tcPr>
          <w:p w14:paraId="4D7D987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3.5</w:t>
            </w:r>
          </w:p>
        </w:tc>
        <w:tc>
          <w:tcPr>
            <w:tcW w:w="440" w:type="pct"/>
            <w:tcBorders>
              <w:top w:val="nil"/>
              <w:left w:val="nil"/>
              <w:bottom w:val="single" w:color="auto" w:sz="4" w:space="0"/>
              <w:right w:val="single" w:color="auto" w:sz="4" w:space="0"/>
            </w:tcBorders>
            <w:noWrap/>
            <w:vAlign w:val="bottom"/>
          </w:tcPr>
          <w:p w14:paraId="664DF02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703F95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F13E5DC">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52D782D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75</w:t>
            </w:r>
          </w:p>
        </w:tc>
        <w:tc>
          <w:tcPr>
            <w:tcW w:w="2725" w:type="pct"/>
            <w:tcBorders>
              <w:top w:val="nil"/>
              <w:left w:val="nil"/>
              <w:bottom w:val="single" w:color="auto" w:sz="4" w:space="0"/>
              <w:right w:val="single" w:color="auto" w:sz="4" w:space="0"/>
            </w:tcBorders>
            <w:shd w:val="clear" w:color="000000" w:fill="FFFFFF"/>
            <w:vAlign w:val="center"/>
          </w:tcPr>
          <w:p w14:paraId="30C3298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标志牌：厚度</w:t>
            </w:r>
            <w:r>
              <w:rPr>
                <w:rFonts w:ascii="Times New Roman" w:hAnsi="Times New Roman" w:eastAsia="宋体" w:cs="Times New Roman"/>
                <w:color w:val="000000"/>
                <w:kern w:val="0"/>
                <w:sz w:val="24"/>
                <w:szCs w:val="24"/>
                <w:lang w:val="en-US" w:eastAsia="zh-CN" w:bidi="ar-SA"/>
              </w:rPr>
              <w:t>3mm</w:t>
            </w:r>
            <w:r>
              <w:rPr>
                <w:rFonts w:ascii="宋体" w:hAnsi="宋体" w:eastAsia="宋体" w:cs="宋体"/>
                <w:color w:val="000000"/>
                <w:kern w:val="0"/>
                <w:sz w:val="24"/>
                <w:szCs w:val="24"/>
                <w:lang w:val="en-US" w:eastAsia="zh-CN" w:bidi="ar-SA"/>
              </w:rPr>
              <w:t>铝板，超强级</w:t>
            </w:r>
            <w:r>
              <w:rPr>
                <w:rFonts w:ascii="Times New Roman" w:hAnsi="Times New Roman" w:eastAsia="宋体" w:cs="Times New Roman"/>
                <w:color w:val="000000"/>
                <w:kern w:val="0"/>
                <w:sz w:val="24"/>
                <w:szCs w:val="24"/>
                <w:lang w:val="en-US" w:eastAsia="zh-CN" w:bidi="ar-SA"/>
              </w:rPr>
              <w:t>3M</w:t>
            </w:r>
            <w:r>
              <w:rPr>
                <w:rFonts w:ascii="宋体" w:hAnsi="宋体" w:eastAsia="宋体" w:cs="宋体"/>
                <w:color w:val="000000"/>
                <w:kern w:val="0"/>
                <w:sz w:val="24"/>
                <w:szCs w:val="24"/>
                <w:lang w:val="en-US" w:eastAsia="zh-CN" w:bidi="ar-SA"/>
              </w:rPr>
              <w:t>反光膜</w:t>
            </w:r>
          </w:p>
        </w:tc>
        <w:tc>
          <w:tcPr>
            <w:tcW w:w="344" w:type="pct"/>
            <w:tcBorders>
              <w:top w:val="nil"/>
              <w:left w:val="nil"/>
              <w:bottom w:val="single" w:color="auto" w:sz="4" w:space="0"/>
              <w:right w:val="single" w:color="auto" w:sz="4" w:space="0"/>
            </w:tcBorders>
            <w:vAlign w:val="center"/>
          </w:tcPr>
          <w:p w14:paraId="4A1DEFF2">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w:t>
            </w:r>
          </w:p>
        </w:tc>
        <w:tc>
          <w:tcPr>
            <w:tcW w:w="663" w:type="pct"/>
            <w:tcBorders>
              <w:top w:val="nil"/>
              <w:left w:val="nil"/>
              <w:bottom w:val="single" w:color="auto" w:sz="4" w:space="0"/>
              <w:right w:val="single" w:color="auto" w:sz="4" w:space="0"/>
            </w:tcBorders>
            <w:vAlign w:val="center"/>
          </w:tcPr>
          <w:p w14:paraId="798AFC1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860</w:t>
            </w:r>
          </w:p>
        </w:tc>
        <w:tc>
          <w:tcPr>
            <w:tcW w:w="440" w:type="pct"/>
            <w:tcBorders>
              <w:top w:val="nil"/>
              <w:left w:val="nil"/>
              <w:bottom w:val="single" w:color="auto" w:sz="4" w:space="0"/>
              <w:right w:val="single" w:color="auto" w:sz="4" w:space="0"/>
            </w:tcBorders>
            <w:noWrap/>
            <w:vAlign w:val="bottom"/>
          </w:tcPr>
          <w:p w14:paraId="63F4FA4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83186F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A65A2B9">
        <w:tblPrEx>
          <w:tblCellMar>
            <w:top w:w="0" w:type="dxa"/>
            <w:left w:w="108" w:type="dxa"/>
            <w:bottom w:w="0" w:type="dxa"/>
            <w:right w:w="108" w:type="dxa"/>
          </w:tblCellMar>
        </w:tblPrEx>
        <w:trPr>
          <w:trHeight w:val="323" w:hRule="atLeast"/>
        </w:trPr>
        <w:tc>
          <w:tcPr>
            <w:tcW w:w="344" w:type="pct"/>
            <w:tcBorders>
              <w:top w:val="nil"/>
              <w:left w:val="single" w:color="auto" w:sz="4" w:space="0"/>
              <w:bottom w:val="single" w:color="auto" w:sz="4" w:space="0"/>
              <w:right w:val="single" w:color="auto" w:sz="4" w:space="0"/>
            </w:tcBorders>
            <w:vAlign w:val="center"/>
          </w:tcPr>
          <w:p w14:paraId="2965F5E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76</w:t>
            </w:r>
          </w:p>
        </w:tc>
        <w:tc>
          <w:tcPr>
            <w:tcW w:w="2725" w:type="pct"/>
            <w:tcBorders>
              <w:top w:val="nil"/>
              <w:left w:val="nil"/>
              <w:bottom w:val="single" w:color="auto" w:sz="4" w:space="0"/>
              <w:right w:val="single" w:color="auto" w:sz="4" w:space="0"/>
            </w:tcBorders>
            <w:shd w:val="clear" w:color="000000" w:fill="FFFFFF"/>
            <w:vAlign w:val="center"/>
          </w:tcPr>
          <w:p w14:paraId="47965AC1">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标志牌：厚度</w:t>
            </w:r>
            <w:r>
              <w:rPr>
                <w:rFonts w:ascii="Times New Roman" w:hAnsi="Times New Roman" w:eastAsia="宋体" w:cs="Times New Roman"/>
                <w:color w:val="000000"/>
                <w:kern w:val="0"/>
                <w:sz w:val="24"/>
                <w:szCs w:val="24"/>
                <w:lang w:val="en-US" w:eastAsia="zh-CN" w:bidi="ar-SA"/>
              </w:rPr>
              <w:t>2mm</w:t>
            </w:r>
            <w:r>
              <w:rPr>
                <w:rFonts w:ascii="宋体" w:hAnsi="宋体" w:eastAsia="宋体" w:cs="宋体"/>
                <w:color w:val="000000"/>
                <w:kern w:val="0"/>
                <w:sz w:val="24"/>
                <w:szCs w:val="24"/>
                <w:lang w:val="en-US" w:eastAsia="zh-CN" w:bidi="ar-SA"/>
              </w:rPr>
              <w:t>铝板，超强级</w:t>
            </w:r>
            <w:r>
              <w:rPr>
                <w:rFonts w:ascii="Times New Roman" w:hAnsi="Times New Roman" w:eastAsia="宋体" w:cs="Times New Roman"/>
                <w:color w:val="000000"/>
                <w:kern w:val="0"/>
                <w:sz w:val="24"/>
                <w:szCs w:val="24"/>
                <w:lang w:val="en-US" w:eastAsia="zh-CN" w:bidi="ar-SA"/>
              </w:rPr>
              <w:t>3M</w:t>
            </w:r>
            <w:r>
              <w:rPr>
                <w:rFonts w:ascii="宋体" w:hAnsi="宋体" w:eastAsia="宋体" w:cs="宋体"/>
                <w:color w:val="000000"/>
                <w:kern w:val="0"/>
                <w:sz w:val="24"/>
                <w:szCs w:val="24"/>
                <w:lang w:val="en-US" w:eastAsia="zh-CN" w:bidi="ar-SA"/>
              </w:rPr>
              <w:t>反光膜</w:t>
            </w:r>
          </w:p>
        </w:tc>
        <w:tc>
          <w:tcPr>
            <w:tcW w:w="344" w:type="pct"/>
            <w:tcBorders>
              <w:top w:val="nil"/>
              <w:left w:val="nil"/>
              <w:bottom w:val="single" w:color="auto" w:sz="4" w:space="0"/>
              <w:right w:val="single" w:color="auto" w:sz="4" w:space="0"/>
            </w:tcBorders>
            <w:vAlign w:val="center"/>
          </w:tcPr>
          <w:p w14:paraId="6E2489C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w:t>
            </w:r>
          </w:p>
        </w:tc>
        <w:tc>
          <w:tcPr>
            <w:tcW w:w="663" w:type="pct"/>
            <w:tcBorders>
              <w:top w:val="nil"/>
              <w:left w:val="nil"/>
              <w:bottom w:val="single" w:color="auto" w:sz="4" w:space="0"/>
              <w:right w:val="single" w:color="auto" w:sz="4" w:space="0"/>
            </w:tcBorders>
            <w:vAlign w:val="center"/>
          </w:tcPr>
          <w:p w14:paraId="0AC6BE8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760</w:t>
            </w:r>
          </w:p>
        </w:tc>
        <w:tc>
          <w:tcPr>
            <w:tcW w:w="440" w:type="pct"/>
            <w:tcBorders>
              <w:top w:val="nil"/>
              <w:left w:val="nil"/>
              <w:bottom w:val="single" w:color="auto" w:sz="4" w:space="0"/>
              <w:right w:val="single" w:color="auto" w:sz="4" w:space="0"/>
            </w:tcBorders>
            <w:noWrap/>
            <w:vAlign w:val="bottom"/>
          </w:tcPr>
          <w:p w14:paraId="0588516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9A8C39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3C138904">
        <w:tblPrEx>
          <w:tblCellMar>
            <w:top w:w="0" w:type="dxa"/>
            <w:left w:w="108" w:type="dxa"/>
            <w:bottom w:w="0" w:type="dxa"/>
            <w:right w:w="108" w:type="dxa"/>
          </w:tblCellMar>
        </w:tblPrEx>
        <w:trPr>
          <w:trHeight w:val="323" w:hRule="atLeast"/>
        </w:trPr>
        <w:tc>
          <w:tcPr>
            <w:tcW w:w="344" w:type="pct"/>
            <w:vMerge w:val="restart"/>
            <w:tcBorders>
              <w:top w:val="nil"/>
              <w:left w:val="single" w:color="auto" w:sz="4" w:space="0"/>
              <w:bottom w:val="single" w:color="auto" w:sz="4" w:space="0"/>
              <w:right w:val="single" w:color="auto" w:sz="4" w:space="0"/>
            </w:tcBorders>
            <w:vAlign w:val="center"/>
          </w:tcPr>
          <w:p w14:paraId="682065A0">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77</w:t>
            </w:r>
          </w:p>
        </w:tc>
        <w:tc>
          <w:tcPr>
            <w:tcW w:w="2725" w:type="pct"/>
            <w:tcBorders>
              <w:top w:val="nil"/>
              <w:left w:val="nil"/>
              <w:bottom w:val="single" w:color="auto" w:sz="4" w:space="0"/>
              <w:right w:val="single" w:color="auto" w:sz="4" w:space="0"/>
            </w:tcBorders>
            <w:shd w:val="clear" w:color="000000" w:fill="FFFFFF"/>
            <w:vAlign w:val="center"/>
          </w:tcPr>
          <w:p w14:paraId="3DE7A3D6">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指路标志杆件及基础：</w:t>
            </w:r>
            <w:r>
              <w:rPr>
                <w:rFonts w:ascii="Times New Roman" w:hAnsi="Times New Roman" w:eastAsia="宋体" w:cs="Times New Roman"/>
                <w:color w:val="000000"/>
                <w:kern w:val="0"/>
                <w:sz w:val="24"/>
                <w:szCs w:val="24"/>
                <w:lang w:val="en-US" w:eastAsia="zh-CN" w:bidi="ar-SA"/>
              </w:rPr>
              <w:t>1</w:t>
            </w:r>
            <w:r>
              <w:rPr>
                <w:rFonts w:ascii="宋体" w:hAnsi="宋体" w:eastAsia="宋体" w:cs="宋体"/>
                <w:color w:val="000000"/>
                <w:kern w:val="0"/>
                <w:sz w:val="24"/>
                <w:szCs w:val="24"/>
                <w:lang w:val="en-US" w:eastAsia="zh-CN" w:bidi="ar-SA"/>
              </w:rPr>
              <w:t>、类型：</w:t>
            </w:r>
            <w:r>
              <w:rPr>
                <w:rFonts w:ascii="Times New Roman" w:hAnsi="Times New Roman" w:eastAsia="宋体" w:cs="Times New Roman"/>
                <w:color w:val="000000"/>
                <w:kern w:val="0"/>
                <w:sz w:val="24"/>
                <w:szCs w:val="24"/>
                <w:lang w:val="en-US" w:eastAsia="zh-CN" w:bidi="ar-SA"/>
              </w:rPr>
              <w:t>3F</w:t>
            </w:r>
            <w:r>
              <w:rPr>
                <w:rFonts w:ascii="宋体" w:hAnsi="宋体" w:eastAsia="宋体" w:cs="宋体"/>
                <w:color w:val="000000"/>
                <w:kern w:val="0"/>
                <w:sz w:val="24"/>
                <w:szCs w:val="24"/>
                <w:lang w:val="en-US" w:eastAsia="zh-CN" w:bidi="ar-SA"/>
              </w:rPr>
              <w:t>标志杆件</w:t>
            </w:r>
          </w:p>
        </w:tc>
        <w:tc>
          <w:tcPr>
            <w:tcW w:w="344" w:type="pct"/>
            <w:vMerge w:val="restart"/>
            <w:tcBorders>
              <w:top w:val="nil"/>
              <w:left w:val="single" w:color="auto" w:sz="4" w:space="0"/>
              <w:bottom w:val="single" w:color="auto" w:sz="4" w:space="0"/>
              <w:right w:val="single" w:color="auto" w:sz="4" w:space="0"/>
            </w:tcBorders>
            <w:vAlign w:val="center"/>
          </w:tcPr>
          <w:p w14:paraId="7A85141E">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vMerge w:val="restart"/>
            <w:tcBorders>
              <w:top w:val="nil"/>
              <w:left w:val="single" w:color="auto" w:sz="4" w:space="0"/>
              <w:bottom w:val="single" w:color="auto" w:sz="4" w:space="0"/>
              <w:right w:val="single" w:color="auto" w:sz="4" w:space="0"/>
            </w:tcBorders>
            <w:vAlign w:val="center"/>
          </w:tcPr>
          <w:p w14:paraId="5E61B8C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26500</w:t>
            </w:r>
          </w:p>
        </w:tc>
        <w:tc>
          <w:tcPr>
            <w:tcW w:w="440" w:type="pct"/>
            <w:tcBorders>
              <w:top w:val="nil"/>
              <w:left w:val="nil"/>
              <w:bottom w:val="single" w:color="auto" w:sz="4" w:space="0"/>
              <w:right w:val="single" w:color="auto" w:sz="4" w:space="0"/>
            </w:tcBorders>
            <w:noWrap/>
            <w:vAlign w:val="bottom"/>
          </w:tcPr>
          <w:p w14:paraId="65F9E00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E14B93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E918FDF">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547C4434">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3E51725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w:t>
            </w:r>
            <w:r>
              <w:rPr>
                <w:rFonts w:ascii="宋体" w:hAnsi="宋体" w:eastAsia="宋体" w:cs="Times New Roman"/>
                <w:color w:val="000000"/>
                <w:kern w:val="0"/>
                <w:sz w:val="24"/>
                <w:szCs w:val="24"/>
                <w:lang w:val="en-US" w:eastAsia="zh-CN" w:bidi="ar-SA"/>
              </w:rPr>
              <w:t>、材质：热镀锌喷塑钢管</w:t>
            </w:r>
          </w:p>
        </w:tc>
        <w:tc>
          <w:tcPr>
            <w:tcW w:w="344" w:type="pct"/>
            <w:vMerge w:val="continue"/>
            <w:tcBorders>
              <w:top w:val="nil"/>
              <w:left w:val="single" w:color="auto" w:sz="4" w:space="0"/>
              <w:bottom w:val="single" w:color="auto" w:sz="4" w:space="0"/>
              <w:right w:val="single" w:color="auto" w:sz="4" w:space="0"/>
            </w:tcBorders>
            <w:vAlign w:val="center"/>
          </w:tcPr>
          <w:p w14:paraId="559CE360">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7ECBBD4D">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692A349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330B4B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9D50248">
        <w:tblPrEx>
          <w:tblCellMar>
            <w:top w:w="0" w:type="dxa"/>
            <w:left w:w="108" w:type="dxa"/>
            <w:bottom w:w="0" w:type="dxa"/>
            <w:right w:w="108" w:type="dxa"/>
          </w:tblCellMar>
        </w:tblPrEx>
        <w:trPr>
          <w:trHeight w:val="645" w:hRule="atLeast"/>
        </w:trPr>
        <w:tc>
          <w:tcPr>
            <w:tcW w:w="344" w:type="pct"/>
            <w:vMerge w:val="continue"/>
            <w:tcBorders>
              <w:top w:val="nil"/>
              <w:left w:val="single" w:color="auto" w:sz="4" w:space="0"/>
              <w:bottom w:val="single" w:color="auto" w:sz="4" w:space="0"/>
              <w:right w:val="single" w:color="auto" w:sz="4" w:space="0"/>
            </w:tcBorders>
            <w:vAlign w:val="center"/>
          </w:tcPr>
          <w:p w14:paraId="41492B1D">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2F07CDD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w:t>
            </w:r>
            <w:r>
              <w:rPr>
                <w:rFonts w:ascii="宋体" w:hAnsi="宋体" w:eastAsia="宋体" w:cs="Times New Roman"/>
                <w:color w:val="000000"/>
                <w:kern w:val="0"/>
                <w:sz w:val="24"/>
                <w:szCs w:val="24"/>
                <w:lang w:val="en-US" w:eastAsia="zh-CN" w:bidi="ar-SA"/>
              </w:rPr>
              <w:t>、规格尺寸：</w:t>
            </w:r>
            <w:r>
              <w:rPr>
                <w:rFonts w:ascii="Times New Roman" w:hAnsi="Times New Roman" w:eastAsia="等线" w:cs="Times New Roman"/>
                <w:color w:val="000000"/>
                <w:kern w:val="0"/>
                <w:sz w:val="24"/>
                <w:szCs w:val="24"/>
                <w:lang w:val="en-US" w:eastAsia="zh-CN" w:bidi="ar-SA"/>
              </w:rPr>
              <w:t>F2</w:t>
            </w:r>
            <w:r>
              <w:rPr>
                <w:rFonts w:ascii="宋体" w:hAnsi="宋体" w:eastAsia="宋体" w:cs="Times New Roman"/>
                <w:color w:val="000000"/>
                <w:kern w:val="0"/>
                <w:sz w:val="24"/>
                <w:szCs w:val="24"/>
                <w:lang w:val="en-US" w:eastAsia="zh-CN" w:bidi="ar-SA"/>
              </w:rPr>
              <w:t>立柱</w:t>
            </w:r>
            <w:r>
              <w:rPr>
                <w:rFonts w:ascii="Times New Roman" w:hAnsi="Times New Roman" w:eastAsia="等线" w:cs="Times New Roman"/>
                <w:color w:val="000000"/>
                <w:kern w:val="0"/>
                <w:sz w:val="24"/>
                <w:szCs w:val="24"/>
                <w:lang w:val="en-US" w:eastAsia="zh-CN" w:bidi="ar-SA"/>
              </w:rPr>
              <w:t>φ273*12*8500mm</w:t>
            </w:r>
            <w:r>
              <w:rPr>
                <w:rFonts w:ascii="宋体" w:hAnsi="宋体" w:eastAsia="宋体" w:cs="Times New Roman"/>
                <w:color w:val="000000"/>
                <w:kern w:val="0"/>
                <w:sz w:val="24"/>
                <w:szCs w:val="24"/>
                <w:lang w:val="en-US" w:eastAsia="zh-CN" w:bidi="ar-SA"/>
              </w:rPr>
              <w:t>；悬臂</w:t>
            </w:r>
            <w:r>
              <w:rPr>
                <w:rFonts w:ascii="Times New Roman" w:hAnsi="Times New Roman" w:eastAsia="等线" w:cs="Times New Roman"/>
                <w:color w:val="000000"/>
                <w:kern w:val="0"/>
                <w:sz w:val="24"/>
                <w:szCs w:val="24"/>
                <w:lang w:val="en-US" w:eastAsia="zh-CN" w:bidi="ar-SA"/>
              </w:rPr>
              <w:t>φ133*12*6000mm*3</w:t>
            </w:r>
            <w:r>
              <w:rPr>
                <w:rFonts w:ascii="宋体" w:hAnsi="宋体" w:eastAsia="宋体" w:cs="Times New Roman"/>
                <w:color w:val="000000"/>
                <w:kern w:val="0"/>
                <w:sz w:val="24"/>
                <w:szCs w:val="24"/>
                <w:lang w:val="en-US" w:eastAsia="zh-CN" w:bidi="ar-SA"/>
              </w:rPr>
              <w:t>根</w:t>
            </w:r>
            <w:r>
              <w:rPr>
                <w:rFonts w:ascii="Times New Roman" w:hAnsi="Times New Roman" w:eastAsia="等线" w:cs="Times New Roman"/>
                <w:color w:val="000000"/>
                <w:kern w:val="0"/>
                <w:sz w:val="24"/>
                <w:szCs w:val="24"/>
                <w:lang w:val="en-US" w:eastAsia="zh-CN" w:bidi="ar-SA"/>
              </w:rPr>
              <w:t>+φ133*12*700mm*3</w:t>
            </w:r>
            <w:r>
              <w:rPr>
                <w:rFonts w:ascii="宋体" w:hAnsi="宋体" w:eastAsia="宋体" w:cs="Times New Roman"/>
                <w:color w:val="000000"/>
                <w:kern w:val="0"/>
                <w:sz w:val="24"/>
                <w:szCs w:val="24"/>
                <w:lang w:val="en-US" w:eastAsia="zh-CN" w:bidi="ar-SA"/>
              </w:rPr>
              <w:t>根</w:t>
            </w:r>
          </w:p>
        </w:tc>
        <w:tc>
          <w:tcPr>
            <w:tcW w:w="344" w:type="pct"/>
            <w:vMerge w:val="continue"/>
            <w:tcBorders>
              <w:top w:val="nil"/>
              <w:left w:val="single" w:color="auto" w:sz="4" w:space="0"/>
              <w:bottom w:val="single" w:color="auto" w:sz="4" w:space="0"/>
              <w:right w:val="single" w:color="auto" w:sz="4" w:space="0"/>
            </w:tcBorders>
            <w:vAlign w:val="center"/>
          </w:tcPr>
          <w:p w14:paraId="597107A0">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603E6063">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540498F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F6C53B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6D44E43">
        <w:tblPrEx>
          <w:tblCellMar>
            <w:top w:w="0" w:type="dxa"/>
            <w:left w:w="108" w:type="dxa"/>
            <w:bottom w:w="0" w:type="dxa"/>
            <w:right w:w="108" w:type="dxa"/>
          </w:tblCellMar>
        </w:tblPrEx>
        <w:trPr>
          <w:trHeight w:val="638" w:hRule="atLeast"/>
        </w:trPr>
        <w:tc>
          <w:tcPr>
            <w:tcW w:w="344" w:type="pct"/>
            <w:vMerge w:val="continue"/>
            <w:tcBorders>
              <w:top w:val="nil"/>
              <w:left w:val="single" w:color="auto" w:sz="4" w:space="0"/>
              <w:bottom w:val="single" w:color="auto" w:sz="4" w:space="0"/>
              <w:right w:val="single" w:color="auto" w:sz="4" w:space="0"/>
            </w:tcBorders>
            <w:vAlign w:val="center"/>
          </w:tcPr>
          <w:p w14:paraId="4BC5335C">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67503AE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w:t>
            </w:r>
            <w:r>
              <w:rPr>
                <w:rFonts w:ascii="宋体" w:hAnsi="宋体" w:eastAsia="宋体" w:cs="Times New Roman"/>
                <w:color w:val="000000"/>
                <w:kern w:val="0"/>
                <w:sz w:val="24"/>
                <w:szCs w:val="24"/>
                <w:lang w:val="en-US" w:eastAsia="zh-CN" w:bidi="ar-SA"/>
              </w:rPr>
              <w:t>、基础、垫层：材料品种、厚度：</w:t>
            </w:r>
            <w:r>
              <w:rPr>
                <w:rFonts w:ascii="Times New Roman" w:hAnsi="Times New Roman" w:eastAsia="等线" w:cs="Times New Roman"/>
                <w:color w:val="000000"/>
                <w:kern w:val="0"/>
                <w:sz w:val="24"/>
                <w:szCs w:val="24"/>
                <w:lang w:val="en-US" w:eastAsia="zh-CN" w:bidi="ar-SA"/>
              </w:rPr>
              <w:t>C30</w:t>
            </w:r>
            <w:r>
              <w:rPr>
                <w:rFonts w:ascii="宋体" w:hAnsi="宋体" w:eastAsia="宋体" w:cs="Times New Roman"/>
                <w:color w:val="000000"/>
                <w:kern w:val="0"/>
                <w:sz w:val="24"/>
                <w:szCs w:val="24"/>
                <w:lang w:val="en-US" w:eastAsia="zh-CN" w:bidi="ar-SA"/>
              </w:rPr>
              <w:t>砼基础；</w:t>
            </w:r>
            <w:r>
              <w:rPr>
                <w:rFonts w:ascii="Times New Roman" w:hAnsi="Times New Roman" w:eastAsia="等线" w:cs="Times New Roman"/>
                <w:color w:val="000000"/>
                <w:kern w:val="0"/>
                <w:sz w:val="24"/>
                <w:szCs w:val="24"/>
                <w:lang w:val="en-US" w:eastAsia="zh-CN" w:bidi="ar-SA"/>
              </w:rPr>
              <w:t>1600*1600*2400mm</w:t>
            </w:r>
            <w:r>
              <w:rPr>
                <w:rFonts w:ascii="宋体" w:hAnsi="宋体" w:eastAsia="宋体" w:cs="Times New Roman"/>
                <w:color w:val="000000"/>
                <w:kern w:val="0"/>
                <w:sz w:val="24"/>
                <w:szCs w:val="24"/>
                <w:lang w:val="en-US" w:eastAsia="zh-CN" w:bidi="ar-SA"/>
              </w:rPr>
              <w:t>（含基础预埋件）</w:t>
            </w:r>
          </w:p>
        </w:tc>
        <w:tc>
          <w:tcPr>
            <w:tcW w:w="344" w:type="pct"/>
            <w:vMerge w:val="continue"/>
            <w:tcBorders>
              <w:top w:val="nil"/>
              <w:left w:val="single" w:color="auto" w:sz="4" w:space="0"/>
              <w:bottom w:val="single" w:color="auto" w:sz="4" w:space="0"/>
              <w:right w:val="single" w:color="auto" w:sz="4" w:space="0"/>
            </w:tcBorders>
            <w:vAlign w:val="center"/>
          </w:tcPr>
          <w:p w14:paraId="0BF0414E">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1B060636">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5128F3E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2B22885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09E9B1C">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79CB3B13">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04A646D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w:t>
            </w:r>
            <w:r>
              <w:rPr>
                <w:rFonts w:ascii="宋体" w:hAnsi="宋体" w:eastAsia="宋体" w:cs="Times New Roman"/>
                <w:color w:val="000000"/>
                <w:kern w:val="0"/>
                <w:sz w:val="24"/>
                <w:szCs w:val="24"/>
                <w:lang w:val="en-US" w:eastAsia="zh-CN" w:bidi="ar-SA"/>
              </w:rPr>
              <w:t>、油漆品种：防锈漆</w:t>
            </w:r>
          </w:p>
        </w:tc>
        <w:tc>
          <w:tcPr>
            <w:tcW w:w="344" w:type="pct"/>
            <w:vMerge w:val="continue"/>
            <w:tcBorders>
              <w:top w:val="nil"/>
              <w:left w:val="single" w:color="auto" w:sz="4" w:space="0"/>
              <w:bottom w:val="single" w:color="auto" w:sz="4" w:space="0"/>
              <w:right w:val="single" w:color="auto" w:sz="4" w:space="0"/>
            </w:tcBorders>
            <w:vAlign w:val="center"/>
          </w:tcPr>
          <w:p w14:paraId="79F827D3">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401CD0AC">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2C7E3C9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01E81C9E">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FFBBFB9">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1FB1667B">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73B536F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w:t>
            </w:r>
            <w:r>
              <w:rPr>
                <w:rFonts w:ascii="宋体" w:hAnsi="宋体" w:eastAsia="宋体" w:cs="Times New Roman"/>
                <w:color w:val="000000"/>
                <w:kern w:val="0"/>
                <w:sz w:val="24"/>
                <w:szCs w:val="24"/>
                <w:lang w:val="en-US" w:eastAsia="zh-CN" w:bidi="ar-SA"/>
              </w:rPr>
              <w:t>、运土：</w:t>
            </w:r>
            <w:r>
              <w:rPr>
                <w:rFonts w:ascii="Times New Roman" w:hAnsi="Times New Roman" w:eastAsia="等线" w:cs="Times New Roman"/>
                <w:color w:val="000000"/>
                <w:kern w:val="0"/>
                <w:sz w:val="24"/>
                <w:szCs w:val="24"/>
                <w:lang w:val="en-US" w:eastAsia="zh-CN" w:bidi="ar-SA"/>
              </w:rPr>
              <w:t>10km</w:t>
            </w:r>
            <w:r>
              <w:rPr>
                <w:rFonts w:ascii="宋体" w:hAnsi="宋体" w:eastAsia="宋体" w:cs="Times New Roman"/>
                <w:color w:val="000000"/>
                <w:kern w:val="0"/>
                <w:sz w:val="24"/>
                <w:szCs w:val="24"/>
                <w:lang w:val="en-US" w:eastAsia="zh-CN" w:bidi="ar-SA"/>
              </w:rPr>
              <w:t>以内</w:t>
            </w:r>
          </w:p>
        </w:tc>
        <w:tc>
          <w:tcPr>
            <w:tcW w:w="344" w:type="pct"/>
            <w:vMerge w:val="continue"/>
            <w:tcBorders>
              <w:top w:val="nil"/>
              <w:left w:val="single" w:color="auto" w:sz="4" w:space="0"/>
              <w:bottom w:val="single" w:color="auto" w:sz="4" w:space="0"/>
              <w:right w:val="single" w:color="auto" w:sz="4" w:space="0"/>
            </w:tcBorders>
            <w:vAlign w:val="center"/>
          </w:tcPr>
          <w:p w14:paraId="0A0AFACD">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62444630">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704596B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8B417A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0E94350">
        <w:tblPrEx>
          <w:tblCellMar>
            <w:top w:w="0" w:type="dxa"/>
            <w:left w:w="108" w:type="dxa"/>
            <w:bottom w:w="0" w:type="dxa"/>
            <w:right w:w="108" w:type="dxa"/>
          </w:tblCellMar>
        </w:tblPrEx>
        <w:trPr>
          <w:trHeight w:val="323" w:hRule="atLeast"/>
        </w:trPr>
        <w:tc>
          <w:tcPr>
            <w:tcW w:w="344" w:type="pct"/>
            <w:vMerge w:val="restart"/>
            <w:tcBorders>
              <w:top w:val="nil"/>
              <w:left w:val="single" w:color="auto" w:sz="4" w:space="0"/>
              <w:bottom w:val="single" w:color="auto" w:sz="4" w:space="0"/>
              <w:right w:val="single" w:color="auto" w:sz="4" w:space="0"/>
            </w:tcBorders>
            <w:vAlign w:val="center"/>
          </w:tcPr>
          <w:p w14:paraId="27F7118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78</w:t>
            </w:r>
          </w:p>
        </w:tc>
        <w:tc>
          <w:tcPr>
            <w:tcW w:w="2725" w:type="pct"/>
            <w:tcBorders>
              <w:top w:val="nil"/>
              <w:left w:val="nil"/>
              <w:bottom w:val="single" w:color="auto" w:sz="4" w:space="0"/>
              <w:right w:val="single" w:color="auto" w:sz="4" w:space="0"/>
            </w:tcBorders>
            <w:shd w:val="clear" w:color="000000" w:fill="FFFFFF"/>
            <w:vAlign w:val="center"/>
          </w:tcPr>
          <w:p w14:paraId="4C68ECB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导流标志杆件及基础：</w:t>
            </w:r>
            <w:r>
              <w:rPr>
                <w:rFonts w:ascii="Times New Roman" w:hAnsi="Times New Roman" w:eastAsia="宋体" w:cs="Times New Roman"/>
                <w:color w:val="000000"/>
                <w:kern w:val="0"/>
                <w:sz w:val="24"/>
                <w:szCs w:val="24"/>
                <w:lang w:val="en-US" w:eastAsia="zh-CN" w:bidi="ar-SA"/>
              </w:rPr>
              <w:t>1</w:t>
            </w:r>
            <w:r>
              <w:rPr>
                <w:rFonts w:ascii="宋体" w:hAnsi="宋体" w:eastAsia="宋体" w:cs="宋体"/>
                <w:color w:val="000000"/>
                <w:kern w:val="0"/>
                <w:sz w:val="24"/>
                <w:szCs w:val="24"/>
                <w:lang w:val="en-US" w:eastAsia="zh-CN" w:bidi="ar-SA"/>
              </w:rPr>
              <w:t>、类型：</w:t>
            </w:r>
            <w:r>
              <w:rPr>
                <w:rFonts w:ascii="Times New Roman" w:hAnsi="Times New Roman" w:eastAsia="宋体" w:cs="Times New Roman"/>
                <w:color w:val="000000"/>
                <w:kern w:val="0"/>
                <w:sz w:val="24"/>
                <w:szCs w:val="24"/>
                <w:lang w:val="en-US" w:eastAsia="zh-CN" w:bidi="ar-SA"/>
              </w:rPr>
              <w:t>2F</w:t>
            </w:r>
            <w:r>
              <w:rPr>
                <w:rFonts w:ascii="宋体" w:hAnsi="宋体" w:eastAsia="宋体" w:cs="宋体"/>
                <w:color w:val="000000"/>
                <w:kern w:val="0"/>
                <w:sz w:val="24"/>
                <w:szCs w:val="24"/>
                <w:lang w:val="en-US" w:eastAsia="zh-CN" w:bidi="ar-SA"/>
              </w:rPr>
              <w:t>标志杆件</w:t>
            </w:r>
          </w:p>
        </w:tc>
        <w:tc>
          <w:tcPr>
            <w:tcW w:w="344" w:type="pct"/>
            <w:vMerge w:val="restart"/>
            <w:tcBorders>
              <w:top w:val="nil"/>
              <w:left w:val="single" w:color="auto" w:sz="4" w:space="0"/>
              <w:bottom w:val="single" w:color="auto" w:sz="4" w:space="0"/>
              <w:right w:val="single" w:color="auto" w:sz="4" w:space="0"/>
            </w:tcBorders>
            <w:vAlign w:val="center"/>
          </w:tcPr>
          <w:p w14:paraId="704E25E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vMerge w:val="restart"/>
            <w:tcBorders>
              <w:top w:val="nil"/>
              <w:left w:val="single" w:color="auto" w:sz="4" w:space="0"/>
              <w:bottom w:val="single" w:color="auto" w:sz="4" w:space="0"/>
              <w:right w:val="single" w:color="auto" w:sz="4" w:space="0"/>
            </w:tcBorders>
            <w:vAlign w:val="center"/>
          </w:tcPr>
          <w:p w14:paraId="0111380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24500</w:t>
            </w:r>
          </w:p>
        </w:tc>
        <w:tc>
          <w:tcPr>
            <w:tcW w:w="440" w:type="pct"/>
            <w:tcBorders>
              <w:top w:val="nil"/>
              <w:left w:val="nil"/>
              <w:bottom w:val="single" w:color="auto" w:sz="4" w:space="0"/>
              <w:right w:val="single" w:color="auto" w:sz="4" w:space="0"/>
            </w:tcBorders>
            <w:noWrap/>
            <w:vAlign w:val="bottom"/>
          </w:tcPr>
          <w:p w14:paraId="0C9F636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9B5076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E7B870B">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5FC803DD">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1749312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w:t>
            </w:r>
            <w:r>
              <w:rPr>
                <w:rFonts w:ascii="宋体" w:hAnsi="宋体" w:eastAsia="宋体" w:cs="Times New Roman"/>
                <w:color w:val="000000"/>
                <w:kern w:val="0"/>
                <w:sz w:val="24"/>
                <w:szCs w:val="24"/>
                <w:lang w:val="en-US" w:eastAsia="zh-CN" w:bidi="ar-SA"/>
              </w:rPr>
              <w:t>、材质：热镀锌喷塑钢管</w:t>
            </w:r>
          </w:p>
        </w:tc>
        <w:tc>
          <w:tcPr>
            <w:tcW w:w="344" w:type="pct"/>
            <w:vMerge w:val="continue"/>
            <w:tcBorders>
              <w:top w:val="nil"/>
              <w:left w:val="single" w:color="auto" w:sz="4" w:space="0"/>
              <w:bottom w:val="single" w:color="auto" w:sz="4" w:space="0"/>
              <w:right w:val="single" w:color="auto" w:sz="4" w:space="0"/>
            </w:tcBorders>
            <w:vAlign w:val="center"/>
          </w:tcPr>
          <w:p w14:paraId="6DEF1595">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081BD75D">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2F21C35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D505938">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1B42B17">
        <w:tblPrEx>
          <w:tblCellMar>
            <w:top w:w="0" w:type="dxa"/>
            <w:left w:w="108" w:type="dxa"/>
            <w:bottom w:w="0" w:type="dxa"/>
            <w:right w:w="108" w:type="dxa"/>
          </w:tblCellMar>
        </w:tblPrEx>
        <w:trPr>
          <w:trHeight w:val="645" w:hRule="atLeast"/>
        </w:trPr>
        <w:tc>
          <w:tcPr>
            <w:tcW w:w="344" w:type="pct"/>
            <w:vMerge w:val="continue"/>
            <w:tcBorders>
              <w:top w:val="nil"/>
              <w:left w:val="single" w:color="auto" w:sz="4" w:space="0"/>
              <w:bottom w:val="single" w:color="auto" w:sz="4" w:space="0"/>
              <w:right w:val="single" w:color="auto" w:sz="4" w:space="0"/>
            </w:tcBorders>
            <w:vAlign w:val="center"/>
          </w:tcPr>
          <w:p w14:paraId="73F898B2">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2306CD7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3</w:t>
            </w:r>
            <w:r>
              <w:rPr>
                <w:rFonts w:ascii="宋体" w:hAnsi="宋体" w:eastAsia="宋体" w:cs="Times New Roman"/>
                <w:color w:val="000000"/>
                <w:kern w:val="0"/>
                <w:sz w:val="24"/>
                <w:szCs w:val="24"/>
                <w:lang w:val="en-US" w:eastAsia="zh-CN" w:bidi="ar-SA"/>
              </w:rPr>
              <w:t>、规格尺寸：</w:t>
            </w:r>
            <w:r>
              <w:rPr>
                <w:rFonts w:ascii="Times New Roman" w:hAnsi="Times New Roman" w:eastAsia="等线" w:cs="Times New Roman"/>
                <w:color w:val="000000"/>
                <w:kern w:val="0"/>
                <w:sz w:val="24"/>
                <w:szCs w:val="24"/>
                <w:lang w:val="en-US" w:eastAsia="zh-CN" w:bidi="ar-SA"/>
              </w:rPr>
              <w:t>F2</w:t>
            </w:r>
            <w:r>
              <w:rPr>
                <w:rFonts w:ascii="宋体" w:hAnsi="宋体" w:eastAsia="宋体" w:cs="Times New Roman"/>
                <w:color w:val="000000"/>
                <w:kern w:val="0"/>
                <w:sz w:val="24"/>
                <w:szCs w:val="24"/>
                <w:lang w:val="en-US" w:eastAsia="zh-CN" w:bidi="ar-SA"/>
              </w:rPr>
              <w:t>立柱</w:t>
            </w:r>
            <w:r>
              <w:rPr>
                <w:rFonts w:ascii="Times New Roman" w:hAnsi="Times New Roman" w:eastAsia="等线" w:cs="Times New Roman"/>
                <w:color w:val="000000"/>
                <w:kern w:val="0"/>
                <w:sz w:val="24"/>
                <w:szCs w:val="24"/>
                <w:lang w:val="en-US" w:eastAsia="zh-CN" w:bidi="ar-SA"/>
              </w:rPr>
              <w:t>φ273*12*7500mm</w:t>
            </w:r>
            <w:r>
              <w:rPr>
                <w:rFonts w:ascii="宋体" w:hAnsi="宋体" w:eastAsia="宋体" w:cs="Times New Roman"/>
                <w:color w:val="000000"/>
                <w:kern w:val="0"/>
                <w:sz w:val="24"/>
                <w:szCs w:val="24"/>
                <w:lang w:val="en-US" w:eastAsia="zh-CN" w:bidi="ar-SA"/>
              </w:rPr>
              <w:t>；悬臂</w:t>
            </w:r>
            <w:r>
              <w:rPr>
                <w:rFonts w:ascii="Times New Roman" w:hAnsi="Times New Roman" w:eastAsia="等线" w:cs="Times New Roman"/>
                <w:color w:val="000000"/>
                <w:kern w:val="0"/>
                <w:sz w:val="24"/>
                <w:szCs w:val="24"/>
                <w:lang w:val="en-US" w:eastAsia="zh-CN" w:bidi="ar-SA"/>
              </w:rPr>
              <w:t>φ133*12*6000mm*2</w:t>
            </w:r>
            <w:r>
              <w:rPr>
                <w:rFonts w:ascii="宋体" w:hAnsi="宋体" w:eastAsia="宋体" w:cs="Times New Roman"/>
                <w:color w:val="000000"/>
                <w:kern w:val="0"/>
                <w:sz w:val="24"/>
                <w:szCs w:val="24"/>
                <w:lang w:val="en-US" w:eastAsia="zh-CN" w:bidi="ar-SA"/>
              </w:rPr>
              <w:t>根</w:t>
            </w:r>
            <w:r>
              <w:rPr>
                <w:rFonts w:ascii="Times New Roman" w:hAnsi="Times New Roman" w:eastAsia="等线" w:cs="Times New Roman"/>
                <w:color w:val="000000"/>
                <w:kern w:val="0"/>
                <w:sz w:val="24"/>
                <w:szCs w:val="24"/>
                <w:lang w:val="en-US" w:eastAsia="zh-CN" w:bidi="ar-SA"/>
              </w:rPr>
              <w:t>+φ133*12*700mm*2</w:t>
            </w:r>
            <w:r>
              <w:rPr>
                <w:rFonts w:ascii="宋体" w:hAnsi="宋体" w:eastAsia="宋体" w:cs="Times New Roman"/>
                <w:color w:val="000000"/>
                <w:kern w:val="0"/>
                <w:sz w:val="24"/>
                <w:szCs w:val="24"/>
                <w:lang w:val="en-US" w:eastAsia="zh-CN" w:bidi="ar-SA"/>
              </w:rPr>
              <w:t>根</w:t>
            </w:r>
          </w:p>
        </w:tc>
        <w:tc>
          <w:tcPr>
            <w:tcW w:w="344" w:type="pct"/>
            <w:vMerge w:val="continue"/>
            <w:tcBorders>
              <w:top w:val="nil"/>
              <w:left w:val="single" w:color="auto" w:sz="4" w:space="0"/>
              <w:bottom w:val="single" w:color="auto" w:sz="4" w:space="0"/>
              <w:right w:val="single" w:color="auto" w:sz="4" w:space="0"/>
            </w:tcBorders>
            <w:vAlign w:val="center"/>
          </w:tcPr>
          <w:p w14:paraId="570612BE">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1F09F72A">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5C5BCE9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9104F0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51F3B1A3">
        <w:tblPrEx>
          <w:tblCellMar>
            <w:top w:w="0" w:type="dxa"/>
            <w:left w:w="108" w:type="dxa"/>
            <w:bottom w:w="0" w:type="dxa"/>
            <w:right w:w="108" w:type="dxa"/>
          </w:tblCellMar>
        </w:tblPrEx>
        <w:trPr>
          <w:trHeight w:val="638" w:hRule="atLeast"/>
        </w:trPr>
        <w:tc>
          <w:tcPr>
            <w:tcW w:w="344" w:type="pct"/>
            <w:vMerge w:val="continue"/>
            <w:tcBorders>
              <w:top w:val="nil"/>
              <w:left w:val="single" w:color="auto" w:sz="4" w:space="0"/>
              <w:bottom w:val="single" w:color="auto" w:sz="4" w:space="0"/>
              <w:right w:val="single" w:color="auto" w:sz="4" w:space="0"/>
            </w:tcBorders>
            <w:vAlign w:val="center"/>
          </w:tcPr>
          <w:p w14:paraId="47E5D4A4">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571B75C3">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4</w:t>
            </w:r>
            <w:r>
              <w:rPr>
                <w:rFonts w:ascii="宋体" w:hAnsi="宋体" w:eastAsia="宋体" w:cs="Times New Roman"/>
                <w:color w:val="000000"/>
                <w:kern w:val="0"/>
                <w:sz w:val="24"/>
                <w:szCs w:val="24"/>
                <w:lang w:val="en-US" w:eastAsia="zh-CN" w:bidi="ar-SA"/>
              </w:rPr>
              <w:t>、基础、垫层：材料品种、厚度：</w:t>
            </w:r>
            <w:r>
              <w:rPr>
                <w:rFonts w:ascii="Times New Roman" w:hAnsi="Times New Roman" w:eastAsia="等线" w:cs="Times New Roman"/>
                <w:color w:val="000000"/>
                <w:kern w:val="0"/>
                <w:sz w:val="24"/>
                <w:szCs w:val="24"/>
                <w:lang w:val="en-US" w:eastAsia="zh-CN" w:bidi="ar-SA"/>
              </w:rPr>
              <w:t>C30</w:t>
            </w:r>
            <w:r>
              <w:rPr>
                <w:rFonts w:ascii="宋体" w:hAnsi="宋体" w:eastAsia="宋体" w:cs="Times New Roman"/>
                <w:color w:val="000000"/>
                <w:kern w:val="0"/>
                <w:sz w:val="24"/>
                <w:szCs w:val="24"/>
                <w:lang w:val="en-US" w:eastAsia="zh-CN" w:bidi="ar-SA"/>
              </w:rPr>
              <w:t>砼基础；</w:t>
            </w:r>
            <w:r>
              <w:rPr>
                <w:rFonts w:ascii="Times New Roman" w:hAnsi="Times New Roman" w:eastAsia="等线" w:cs="Times New Roman"/>
                <w:color w:val="000000"/>
                <w:kern w:val="0"/>
                <w:sz w:val="24"/>
                <w:szCs w:val="24"/>
                <w:lang w:val="en-US" w:eastAsia="zh-CN" w:bidi="ar-SA"/>
              </w:rPr>
              <w:t>1600*1600*2400mm</w:t>
            </w:r>
            <w:r>
              <w:rPr>
                <w:rFonts w:ascii="宋体" w:hAnsi="宋体" w:eastAsia="宋体" w:cs="Times New Roman"/>
                <w:color w:val="000000"/>
                <w:kern w:val="0"/>
                <w:sz w:val="24"/>
                <w:szCs w:val="24"/>
                <w:lang w:val="en-US" w:eastAsia="zh-CN" w:bidi="ar-SA"/>
              </w:rPr>
              <w:t>（含基础预埋件）</w:t>
            </w:r>
          </w:p>
        </w:tc>
        <w:tc>
          <w:tcPr>
            <w:tcW w:w="344" w:type="pct"/>
            <w:vMerge w:val="continue"/>
            <w:tcBorders>
              <w:top w:val="nil"/>
              <w:left w:val="single" w:color="auto" w:sz="4" w:space="0"/>
              <w:bottom w:val="single" w:color="auto" w:sz="4" w:space="0"/>
              <w:right w:val="single" w:color="auto" w:sz="4" w:space="0"/>
            </w:tcBorders>
            <w:vAlign w:val="center"/>
          </w:tcPr>
          <w:p w14:paraId="5381A00B">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2EE5968C">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38CD367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3AEBF7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3BADED8">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0CF294A8">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513DADB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5</w:t>
            </w:r>
            <w:r>
              <w:rPr>
                <w:rFonts w:ascii="宋体" w:hAnsi="宋体" w:eastAsia="宋体" w:cs="Times New Roman"/>
                <w:color w:val="000000"/>
                <w:kern w:val="0"/>
                <w:sz w:val="24"/>
                <w:szCs w:val="24"/>
                <w:lang w:val="en-US" w:eastAsia="zh-CN" w:bidi="ar-SA"/>
              </w:rPr>
              <w:t>、油漆品种：防锈漆</w:t>
            </w:r>
          </w:p>
        </w:tc>
        <w:tc>
          <w:tcPr>
            <w:tcW w:w="344" w:type="pct"/>
            <w:vMerge w:val="continue"/>
            <w:tcBorders>
              <w:top w:val="nil"/>
              <w:left w:val="single" w:color="auto" w:sz="4" w:space="0"/>
              <w:bottom w:val="single" w:color="auto" w:sz="4" w:space="0"/>
              <w:right w:val="single" w:color="auto" w:sz="4" w:space="0"/>
            </w:tcBorders>
            <w:vAlign w:val="center"/>
          </w:tcPr>
          <w:p w14:paraId="463E70FE">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6481917E">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59B78B1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715F6537">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EB70F15">
        <w:tblPrEx>
          <w:tblCellMar>
            <w:top w:w="0" w:type="dxa"/>
            <w:left w:w="108" w:type="dxa"/>
            <w:bottom w:w="0" w:type="dxa"/>
            <w:right w:w="108" w:type="dxa"/>
          </w:tblCellMar>
        </w:tblPrEx>
        <w:trPr>
          <w:trHeight w:val="323" w:hRule="atLeast"/>
        </w:trPr>
        <w:tc>
          <w:tcPr>
            <w:tcW w:w="344" w:type="pct"/>
            <w:vMerge w:val="continue"/>
            <w:tcBorders>
              <w:top w:val="nil"/>
              <w:left w:val="single" w:color="auto" w:sz="4" w:space="0"/>
              <w:bottom w:val="single" w:color="auto" w:sz="4" w:space="0"/>
              <w:right w:val="single" w:color="auto" w:sz="4" w:space="0"/>
            </w:tcBorders>
            <w:vAlign w:val="center"/>
          </w:tcPr>
          <w:p w14:paraId="63040C03">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2D4DBF8F">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6</w:t>
            </w:r>
            <w:r>
              <w:rPr>
                <w:rFonts w:ascii="宋体" w:hAnsi="宋体" w:eastAsia="宋体" w:cs="Times New Roman"/>
                <w:color w:val="000000"/>
                <w:kern w:val="0"/>
                <w:sz w:val="24"/>
                <w:szCs w:val="24"/>
                <w:lang w:val="en-US" w:eastAsia="zh-CN" w:bidi="ar-SA"/>
              </w:rPr>
              <w:t>、运土：</w:t>
            </w:r>
            <w:r>
              <w:rPr>
                <w:rFonts w:ascii="Times New Roman" w:hAnsi="Times New Roman" w:eastAsia="等线" w:cs="Times New Roman"/>
                <w:color w:val="000000"/>
                <w:kern w:val="0"/>
                <w:sz w:val="24"/>
                <w:szCs w:val="24"/>
                <w:lang w:val="en-US" w:eastAsia="zh-CN" w:bidi="ar-SA"/>
              </w:rPr>
              <w:t>10km</w:t>
            </w:r>
            <w:r>
              <w:rPr>
                <w:rFonts w:ascii="宋体" w:hAnsi="宋体" w:eastAsia="宋体" w:cs="Times New Roman"/>
                <w:color w:val="000000"/>
                <w:kern w:val="0"/>
                <w:sz w:val="24"/>
                <w:szCs w:val="24"/>
                <w:lang w:val="en-US" w:eastAsia="zh-CN" w:bidi="ar-SA"/>
              </w:rPr>
              <w:t>以内</w:t>
            </w:r>
          </w:p>
        </w:tc>
        <w:tc>
          <w:tcPr>
            <w:tcW w:w="344" w:type="pct"/>
            <w:vMerge w:val="continue"/>
            <w:tcBorders>
              <w:top w:val="nil"/>
              <w:left w:val="single" w:color="auto" w:sz="4" w:space="0"/>
              <w:bottom w:val="single" w:color="auto" w:sz="4" w:space="0"/>
              <w:right w:val="single" w:color="auto" w:sz="4" w:space="0"/>
            </w:tcBorders>
            <w:vAlign w:val="center"/>
          </w:tcPr>
          <w:p w14:paraId="1ABA9D14">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0428D0BA">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2CDC157C">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12310C7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EED4265">
        <w:tblPrEx>
          <w:tblCellMar>
            <w:top w:w="0" w:type="dxa"/>
            <w:left w:w="108" w:type="dxa"/>
            <w:bottom w:w="0" w:type="dxa"/>
            <w:right w:w="108" w:type="dxa"/>
          </w:tblCellMar>
        </w:tblPrEx>
        <w:trPr>
          <w:trHeight w:val="323" w:hRule="atLeast"/>
        </w:trPr>
        <w:tc>
          <w:tcPr>
            <w:tcW w:w="344" w:type="pct"/>
            <w:vMerge w:val="restart"/>
            <w:tcBorders>
              <w:top w:val="nil"/>
              <w:left w:val="single" w:color="auto" w:sz="4" w:space="0"/>
              <w:bottom w:val="single" w:color="auto" w:sz="4" w:space="0"/>
              <w:right w:val="single" w:color="auto" w:sz="4" w:space="0"/>
            </w:tcBorders>
            <w:vAlign w:val="center"/>
          </w:tcPr>
          <w:p w14:paraId="4FCA962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79</w:t>
            </w:r>
          </w:p>
        </w:tc>
        <w:tc>
          <w:tcPr>
            <w:tcW w:w="2725" w:type="pct"/>
            <w:tcBorders>
              <w:top w:val="nil"/>
              <w:left w:val="nil"/>
              <w:bottom w:val="single" w:color="auto" w:sz="4" w:space="0"/>
              <w:right w:val="single" w:color="auto" w:sz="4" w:space="0"/>
            </w:tcBorders>
            <w:shd w:val="clear" w:color="000000" w:fill="FFFFFF"/>
            <w:vAlign w:val="center"/>
          </w:tcPr>
          <w:p w14:paraId="29EE79C8">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其他标志杆件：热镀锌喷塑热轧无缝钢管，</w:t>
            </w:r>
            <w:r>
              <w:rPr>
                <w:rFonts w:ascii="Times New Roman" w:hAnsi="Times New Roman" w:eastAsia="宋体" w:cs="Times New Roman"/>
                <w:color w:val="000000"/>
                <w:kern w:val="0"/>
                <w:sz w:val="24"/>
                <w:szCs w:val="24"/>
                <w:lang w:val="en-US" w:eastAsia="zh-CN" w:bidi="ar-SA"/>
              </w:rPr>
              <w:t>φ89*4000*4.5mm</w:t>
            </w:r>
          </w:p>
        </w:tc>
        <w:tc>
          <w:tcPr>
            <w:tcW w:w="344" w:type="pct"/>
            <w:vMerge w:val="restart"/>
            <w:tcBorders>
              <w:top w:val="nil"/>
              <w:left w:val="single" w:color="auto" w:sz="4" w:space="0"/>
              <w:bottom w:val="single" w:color="auto" w:sz="4" w:space="0"/>
              <w:right w:val="single" w:color="auto" w:sz="4" w:space="0"/>
            </w:tcBorders>
            <w:vAlign w:val="center"/>
          </w:tcPr>
          <w:p w14:paraId="3CC2C8E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vMerge w:val="restart"/>
            <w:tcBorders>
              <w:top w:val="nil"/>
              <w:left w:val="single" w:color="auto" w:sz="4" w:space="0"/>
              <w:bottom w:val="single" w:color="auto" w:sz="4" w:space="0"/>
              <w:right w:val="single" w:color="auto" w:sz="4" w:space="0"/>
            </w:tcBorders>
            <w:vAlign w:val="center"/>
          </w:tcPr>
          <w:p w14:paraId="17A2C25B">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1140</w:t>
            </w:r>
          </w:p>
        </w:tc>
        <w:tc>
          <w:tcPr>
            <w:tcW w:w="440" w:type="pct"/>
            <w:tcBorders>
              <w:top w:val="nil"/>
              <w:left w:val="nil"/>
              <w:bottom w:val="single" w:color="auto" w:sz="4" w:space="0"/>
              <w:right w:val="single" w:color="auto" w:sz="4" w:space="0"/>
            </w:tcBorders>
            <w:noWrap/>
            <w:vAlign w:val="bottom"/>
          </w:tcPr>
          <w:p w14:paraId="5A06CE83">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22D4CE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44B7EEBC">
        <w:tblPrEx>
          <w:tblCellMar>
            <w:top w:w="0" w:type="dxa"/>
            <w:left w:w="108" w:type="dxa"/>
            <w:bottom w:w="0" w:type="dxa"/>
            <w:right w:w="108" w:type="dxa"/>
          </w:tblCellMar>
        </w:tblPrEx>
        <w:trPr>
          <w:trHeight w:val="645" w:hRule="atLeast"/>
        </w:trPr>
        <w:tc>
          <w:tcPr>
            <w:tcW w:w="344" w:type="pct"/>
            <w:vMerge w:val="continue"/>
            <w:tcBorders>
              <w:top w:val="nil"/>
              <w:left w:val="single" w:color="auto" w:sz="4" w:space="0"/>
              <w:bottom w:val="single" w:color="auto" w:sz="4" w:space="0"/>
              <w:right w:val="single" w:color="auto" w:sz="4" w:space="0"/>
            </w:tcBorders>
            <w:vAlign w:val="center"/>
          </w:tcPr>
          <w:p w14:paraId="5F18E0CD">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2725" w:type="pct"/>
            <w:tcBorders>
              <w:top w:val="nil"/>
              <w:left w:val="nil"/>
              <w:bottom w:val="single" w:color="auto" w:sz="4" w:space="0"/>
              <w:right w:val="single" w:color="auto" w:sz="4" w:space="0"/>
            </w:tcBorders>
            <w:shd w:val="clear" w:color="000000" w:fill="FFFFFF"/>
            <w:vAlign w:val="center"/>
          </w:tcPr>
          <w:p w14:paraId="5874F69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基础、垫层：商砼</w:t>
            </w:r>
            <w:r>
              <w:rPr>
                <w:rFonts w:ascii="Times New Roman" w:hAnsi="Times New Roman" w:eastAsia="宋体" w:cs="Times New Roman"/>
                <w:color w:val="000000"/>
                <w:kern w:val="0"/>
                <w:sz w:val="24"/>
                <w:szCs w:val="24"/>
                <w:lang w:val="en-US" w:eastAsia="zh-CN" w:bidi="ar-SA"/>
              </w:rPr>
              <w:t>C25  800*800*1000mm</w:t>
            </w:r>
            <w:r>
              <w:rPr>
                <w:rFonts w:ascii="宋体" w:hAnsi="宋体" w:eastAsia="宋体" w:cs="宋体"/>
                <w:color w:val="000000"/>
                <w:kern w:val="0"/>
                <w:sz w:val="24"/>
                <w:szCs w:val="24"/>
                <w:lang w:val="en-US" w:eastAsia="zh-CN" w:bidi="ar-SA"/>
              </w:rPr>
              <w:t>（含钢筋、预埋件），碎石垫层</w:t>
            </w:r>
            <w:r>
              <w:rPr>
                <w:rFonts w:ascii="Times New Roman" w:hAnsi="Times New Roman" w:eastAsia="宋体" w:cs="Times New Roman"/>
                <w:color w:val="000000"/>
                <w:kern w:val="0"/>
                <w:sz w:val="24"/>
                <w:szCs w:val="24"/>
                <w:lang w:val="en-US" w:eastAsia="zh-CN" w:bidi="ar-SA"/>
              </w:rPr>
              <w:t>800*800*100mm"</w:t>
            </w:r>
          </w:p>
        </w:tc>
        <w:tc>
          <w:tcPr>
            <w:tcW w:w="344" w:type="pct"/>
            <w:vMerge w:val="continue"/>
            <w:tcBorders>
              <w:top w:val="nil"/>
              <w:left w:val="single" w:color="auto" w:sz="4" w:space="0"/>
              <w:bottom w:val="single" w:color="auto" w:sz="4" w:space="0"/>
              <w:right w:val="single" w:color="auto" w:sz="4" w:space="0"/>
            </w:tcBorders>
            <w:vAlign w:val="center"/>
          </w:tcPr>
          <w:p w14:paraId="1A24915E">
            <w:pPr>
              <w:widowControl/>
              <w:spacing w:before="0" w:after="0" w:line="240" w:lineRule="auto"/>
              <w:ind w:firstLine="0" w:firstLineChars="0"/>
              <w:jc w:val="left"/>
              <w:rPr>
                <w:rFonts w:hint="eastAsia" w:ascii="宋体" w:hAnsi="宋体" w:eastAsia="宋体" w:cs="宋体"/>
                <w:color w:val="000000"/>
                <w:kern w:val="0"/>
                <w:sz w:val="24"/>
                <w:szCs w:val="24"/>
                <w:lang w:val="en-US" w:eastAsia="zh-CN" w:bidi="ar-SA"/>
              </w:rPr>
            </w:pPr>
          </w:p>
        </w:tc>
        <w:tc>
          <w:tcPr>
            <w:tcW w:w="663" w:type="pct"/>
            <w:vMerge w:val="continue"/>
            <w:tcBorders>
              <w:top w:val="nil"/>
              <w:left w:val="single" w:color="auto" w:sz="4" w:space="0"/>
              <w:bottom w:val="single" w:color="auto" w:sz="4" w:space="0"/>
              <w:right w:val="single" w:color="auto" w:sz="4" w:space="0"/>
            </w:tcBorders>
            <w:vAlign w:val="center"/>
          </w:tcPr>
          <w:p w14:paraId="07E97175">
            <w:pPr>
              <w:widowControl/>
              <w:spacing w:before="0" w:after="0" w:line="240" w:lineRule="auto"/>
              <w:ind w:firstLine="0" w:firstLineChars="0"/>
              <w:jc w:val="left"/>
              <w:rPr>
                <w:rFonts w:ascii="Times New Roman" w:hAnsi="Times New Roman" w:eastAsia="等线" w:cs="Times New Roman"/>
                <w:color w:val="000000"/>
                <w:kern w:val="0"/>
                <w:sz w:val="24"/>
                <w:szCs w:val="24"/>
                <w:lang w:val="en-US" w:eastAsia="zh-CN" w:bidi="ar-SA"/>
              </w:rPr>
            </w:pPr>
          </w:p>
        </w:tc>
        <w:tc>
          <w:tcPr>
            <w:tcW w:w="440" w:type="pct"/>
            <w:tcBorders>
              <w:top w:val="nil"/>
              <w:left w:val="nil"/>
              <w:bottom w:val="single" w:color="auto" w:sz="4" w:space="0"/>
              <w:right w:val="single" w:color="auto" w:sz="4" w:space="0"/>
            </w:tcBorders>
            <w:noWrap/>
            <w:vAlign w:val="bottom"/>
          </w:tcPr>
          <w:p w14:paraId="21B252B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511C460B">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7527D51C">
        <w:tblPrEx>
          <w:tblCellMar>
            <w:top w:w="0" w:type="dxa"/>
            <w:left w:w="108" w:type="dxa"/>
            <w:bottom w:w="0" w:type="dxa"/>
            <w:right w:w="108" w:type="dxa"/>
          </w:tblCellMar>
        </w:tblPrEx>
        <w:trPr>
          <w:trHeight w:val="645" w:hRule="atLeast"/>
        </w:trPr>
        <w:tc>
          <w:tcPr>
            <w:tcW w:w="344" w:type="pct"/>
            <w:tcBorders>
              <w:top w:val="nil"/>
              <w:left w:val="single" w:color="auto" w:sz="4" w:space="0"/>
              <w:bottom w:val="single" w:color="auto" w:sz="4" w:space="0"/>
              <w:right w:val="single" w:color="auto" w:sz="4" w:space="0"/>
            </w:tcBorders>
            <w:vAlign w:val="center"/>
          </w:tcPr>
          <w:p w14:paraId="5F4E7AD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80</w:t>
            </w:r>
          </w:p>
        </w:tc>
        <w:tc>
          <w:tcPr>
            <w:tcW w:w="2725" w:type="pct"/>
            <w:tcBorders>
              <w:top w:val="nil"/>
              <w:left w:val="nil"/>
              <w:bottom w:val="single" w:color="auto" w:sz="4" w:space="0"/>
              <w:right w:val="single" w:color="auto" w:sz="4" w:space="0"/>
            </w:tcBorders>
            <w:shd w:val="clear" w:color="000000" w:fill="FFFFFF"/>
            <w:vAlign w:val="center"/>
          </w:tcPr>
          <w:p w14:paraId="60CC3E9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中间护栏：</w:t>
            </w:r>
            <w:r>
              <w:rPr>
                <w:rFonts w:ascii="Times New Roman" w:hAnsi="Times New Roman" w:eastAsia="宋体" w:cs="Times New Roman"/>
                <w:color w:val="000000"/>
                <w:kern w:val="0"/>
                <w:sz w:val="24"/>
                <w:szCs w:val="24"/>
                <w:lang w:val="en-US" w:eastAsia="zh-CN" w:bidi="ar-SA"/>
              </w:rPr>
              <w:t>1200×3000mm</w:t>
            </w:r>
            <w:r>
              <w:rPr>
                <w:rFonts w:ascii="宋体" w:hAnsi="宋体" w:eastAsia="宋体" w:cs="宋体"/>
                <w:color w:val="000000"/>
                <w:kern w:val="0"/>
                <w:sz w:val="24"/>
                <w:szCs w:val="24"/>
                <w:lang w:val="en-US" w:eastAsia="zh-CN" w:bidi="ar-SA"/>
              </w:rPr>
              <w:t>京式护栏，钢质，热镀锌，表面白色喷塑，净重</w:t>
            </w:r>
            <w:r>
              <w:rPr>
                <w:rFonts w:ascii="Times New Roman" w:hAnsi="Times New Roman" w:eastAsia="宋体" w:cs="Times New Roman"/>
                <w:color w:val="000000"/>
                <w:kern w:val="0"/>
                <w:sz w:val="24"/>
                <w:szCs w:val="24"/>
                <w:lang w:val="en-US" w:eastAsia="zh-CN" w:bidi="ar-SA"/>
              </w:rPr>
              <w:t>≥57kg</w:t>
            </w:r>
            <w:r>
              <w:rPr>
                <w:rFonts w:ascii="宋体" w:hAnsi="宋体" w:eastAsia="宋体" w:cs="宋体"/>
                <w:color w:val="000000"/>
                <w:kern w:val="0"/>
                <w:sz w:val="24"/>
                <w:szCs w:val="24"/>
                <w:lang w:val="en-US" w:eastAsia="zh-CN" w:bidi="ar-SA"/>
              </w:rPr>
              <w:t>，反光轮廓标</w:t>
            </w:r>
          </w:p>
        </w:tc>
        <w:tc>
          <w:tcPr>
            <w:tcW w:w="344" w:type="pct"/>
            <w:tcBorders>
              <w:top w:val="nil"/>
              <w:left w:val="nil"/>
              <w:bottom w:val="single" w:color="auto" w:sz="4" w:space="0"/>
              <w:right w:val="single" w:color="auto" w:sz="4" w:space="0"/>
            </w:tcBorders>
            <w:vAlign w:val="center"/>
          </w:tcPr>
          <w:p w14:paraId="1689D337">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4078ACD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1110</w:t>
            </w:r>
          </w:p>
        </w:tc>
        <w:tc>
          <w:tcPr>
            <w:tcW w:w="440" w:type="pct"/>
            <w:tcBorders>
              <w:top w:val="nil"/>
              <w:left w:val="nil"/>
              <w:bottom w:val="single" w:color="auto" w:sz="4" w:space="0"/>
              <w:right w:val="single" w:color="auto" w:sz="4" w:space="0"/>
            </w:tcBorders>
            <w:noWrap/>
            <w:vAlign w:val="bottom"/>
          </w:tcPr>
          <w:p w14:paraId="708B6EFF">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02E240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60E7206B">
        <w:tblPrEx>
          <w:tblCellMar>
            <w:top w:w="0" w:type="dxa"/>
            <w:left w:w="108" w:type="dxa"/>
            <w:bottom w:w="0" w:type="dxa"/>
            <w:right w:w="108" w:type="dxa"/>
          </w:tblCellMar>
        </w:tblPrEx>
        <w:trPr>
          <w:trHeight w:val="638" w:hRule="atLeast"/>
        </w:trPr>
        <w:tc>
          <w:tcPr>
            <w:tcW w:w="344" w:type="pct"/>
            <w:tcBorders>
              <w:top w:val="nil"/>
              <w:left w:val="single" w:color="auto" w:sz="4" w:space="0"/>
              <w:bottom w:val="single" w:color="auto" w:sz="4" w:space="0"/>
              <w:right w:val="single" w:color="auto" w:sz="4" w:space="0"/>
            </w:tcBorders>
            <w:vAlign w:val="center"/>
          </w:tcPr>
          <w:p w14:paraId="14278D75">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81</w:t>
            </w:r>
          </w:p>
        </w:tc>
        <w:tc>
          <w:tcPr>
            <w:tcW w:w="2725" w:type="pct"/>
            <w:tcBorders>
              <w:top w:val="nil"/>
              <w:left w:val="nil"/>
              <w:bottom w:val="single" w:color="auto" w:sz="4" w:space="0"/>
              <w:right w:val="single" w:color="auto" w:sz="4" w:space="0"/>
            </w:tcBorders>
            <w:vAlign w:val="center"/>
          </w:tcPr>
          <w:p w14:paraId="4C6A85C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中间护栏：</w:t>
            </w:r>
            <w:r>
              <w:rPr>
                <w:rFonts w:ascii="Times New Roman" w:hAnsi="Times New Roman" w:eastAsia="宋体" w:cs="Times New Roman"/>
                <w:color w:val="000000"/>
                <w:kern w:val="0"/>
                <w:sz w:val="24"/>
                <w:szCs w:val="24"/>
                <w:lang w:val="en-US" w:eastAsia="zh-CN" w:bidi="ar-SA"/>
              </w:rPr>
              <w:t>1200×3000mm</w:t>
            </w:r>
            <w:r>
              <w:rPr>
                <w:rFonts w:ascii="宋体" w:hAnsi="宋体" w:eastAsia="宋体" w:cs="宋体"/>
                <w:color w:val="000000"/>
                <w:kern w:val="0"/>
                <w:sz w:val="24"/>
                <w:szCs w:val="24"/>
                <w:lang w:val="en-US" w:eastAsia="zh-CN" w:bidi="ar-SA"/>
              </w:rPr>
              <w:t>穿插式护栏，钢质，热镀锌，表面白色喷塑，反光轮廓标，含立柱及底座</w:t>
            </w:r>
          </w:p>
        </w:tc>
        <w:tc>
          <w:tcPr>
            <w:tcW w:w="344" w:type="pct"/>
            <w:tcBorders>
              <w:top w:val="nil"/>
              <w:left w:val="nil"/>
              <w:bottom w:val="single" w:color="auto" w:sz="4" w:space="0"/>
              <w:right w:val="single" w:color="auto" w:sz="4" w:space="0"/>
            </w:tcBorders>
            <w:vAlign w:val="center"/>
          </w:tcPr>
          <w:p w14:paraId="2D9A75E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19A95C76">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990</w:t>
            </w:r>
          </w:p>
        </w:tc>
        <w:tc>
          <w:tcPr>
            <w:tcW w:w="440" w:type="pct"/>
            <w:tcBorders>
              <w:top w:val="nil"/>
              <w:left w:val="nil"/>
              <w:bottom w:val="single" w:color="auto" w:sz="4" w:space="0"/>
              <w:right w:val="single" w:color="auto" w:sz="4" w:space="0"/>
            </w:tcBorders>
            <w:noWrap/>
            <w:vAlign w:val="bottom"/>
          </w:tcPr>
          <w:p w14:paraId="114CC9ED">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9EB3F45">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2F433599">
        <w:tblPrEx>
          <w:tblCellMar>
            <w:top w:w="0" w:type="dxa"/>
            <w:left w:w="108" w:type="dxa"/>
            <w:bottom w:w="0" w:type="dxa"/>
            <w:right w:w="108" w:type="dxa"/>
          </w:tblCellMar>
        </w:tblPrEx>
        <w:trPr>
          <w:trHeight w:val="645" w:hRule="atLeast"/>
        </w:trPr>
        <w:tc>
          <w:tcPr>
            <w:tcW w:w="344" w:type="pct"/>
            <w:tcBorders>
              <w:top w:val="nil"/>
              <w:left w:val="single" w:color="auto" w:sz="4" w:space="0"/>
              <w:bottom w:val="single" w:color="auto" w:sz="4" w:space="0"/>
              <w:right w:val="single" w:color="auto" w:sz="4" w:space="0"/>
            </w:tcBorders>
            <w:vAlign w:val="center"/>
          </w:tcPr>
          <w:p w14:paraId="1DD3875C">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82</w:t>
            </w:r>
          </w:p>
        </w:tc>
        <w:tc>
          <w:tcPr>
            <w:tcW w:w="2725" w:type="pct"/>
            <w:tcBorders>
              <w:top w:val="nil"/>
              <w:left w:val="nil"/>
              <w:bottom w:val="single" w:color="auto" w:sz="4" w:space="0"/>
              <w:right w:val="single" w:color="auto" w:sz="4" w:space="0"/>
            </w:tcBorders>
            <w:shd w:val="clear" w:color="000000" w:fill="FFFFFF"/>
            <w:vAlign w:val="center"/>
          </w:tcPr>
          <w:p w14:paraId="56FC89C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机非护栏：</w:t>
            </w:r>
            <w:r>
              <w:rPr>
                <w:rFonts w:ascii="Times New Roman" w:hAnsi="Times New Roman" w:eastAsia="宋体" w:cs="Times New Roman"/>
                <w:color w:val="000000"/>
                <w:kern w:val="0"/>
                <w:sz w:val="24"/>
                <w:szCs w:val="24"/>
                <w:lang w:val="en-US" w:eastAsia="zh-CN" w:bidi="ar-SA"/>
              </w:rPr>
              <w:t>1000×3000mm</w:t>
            </w:r>
            <w:r>
              <w:rPr>
                <w:rFonts w:ascii="宋体" w:hAnsi="宋体" w:eastAsia="宋体" w:cs="宋体"/>
                <w:color w:val="000000"/>
                <w:kern w:val="0"/>
                <w:sz w:val="24"/>
                <w:szCs w:val="24"/>
                <w:lang w:val="en-US" w:eastAsia="zh-CN" w:bidi="ar-SA"/>
              </w:rPr>
              <w:t>京式护栏，钢质，热镀锌，表面白色喷塑，净重</w:t>
            </w:r>
            <w:r>
              <w:rPr>
                <w:rFonts w:ascii="Times New Roman" w:hAnsi="Times New Roman" w:eastAsia="宋体" w:cs="Times New Roman"/>
                <w:color w:val="000000"/>
                <w:kern w:val="0"/>
                <w:sz w:val="24"/>
                <w:szCs w:val="24"/>
                <w:lang w:val="en-US" w:eastAsia="zh-CN" w:bidi="ar-SA"/>
              </w:rPr>
              <w:t>≥47kg</w:t>
            </w:r>
            <w:r>
              <w:rPr>
                <w:rFonts w:ascii="宋体" w:hAnsi="宋体" w:eastAsia="宋体" w:cs="宋体"/>
                <w:color w:val="000000"/>
                <w:kern w:val="0"/>
                <w:sz w:val="24"/>
                <w:szCs w:val="24"/>
                <w:lang w:val="en-US" w:eastAsia="zh-CN" w:bidi="ar-SA"/>
              </w:rPr>
              <w:t>，反光轮廓标</w:t>
            </w:r>
          </w:p>
        </w:tc>
        <w:tc>
          <w:tcPr>
            <w:tcW w:w="344" w:type="pct"/>
            <w:tcBorders>
              <w:top w:val="nil"/>
              <w:left w:val="nil"/>
              <w:bottom w:val="single" w:color="auto" w:sz="4" w:space="0"/>
              <w:right w:val="single" w:color="auto" w:sz="4" w:space="0"/>
            </w:tcBorders>
            <w:vAlign w:val="center"/>
          </w:tcPr>
          <w:p w14:paraId="313E30FF">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39EA65BA">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895</w:t>
            </w:r>
          </w:p>
        </w:tc>
        <w:tc>
          <w:tcPr>
            <w:tcW w:w="440" w:type="pct"/>
            <w:tcBorders>
              <w:top w:val="nil"/>
              <w:left w:val="nil"/>
              <w:bottom w:val="single" w:color="auto" w:sz="4" w:space="0"/>
              <w:right w:val="single" w:color="auto" w:sz="4" w:space="0"/>
            </w:tcBorders>
            <w:noWrap/>
            <w:vAlign w:val="bottom"/>
          </w:tcPr>
          <w:p w14:paraId="704D6829">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64A1D3B2">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099AABB0">
        <w:tblPrEx>
          <w:tblCellMar>
            <w:top w:w="0" w:type="dxa"/>
            <w:left w:w="108" w:type="dxa"/>
            <w:bottom w:w="0" w:type="dxa"/>
            <w:right w:w="108" w:type="dxa"/>
          </w:tblCellMar>
        </w:tblPrEx>
        <w:trPr>
          <w:trHeight w:val="638" w:hRule="atLeast"/>
        </w:trPr>
        <w:tc>
          <w:tcPr>
            <w:tcW w:w="344" w:type="pct"/>
            <w:tcBorders>
              <w:top w:val="nil"/>
              <w:left w:val="single" w:color="auto" w:sz="4" w:space="0"/>
              <w:bottom w:val="single" w:color="auto" w:sz="4" w:space="0"/>
              <w:right w:val="single" w:color="auto" w:sz="4" w:space="0"/>
            </w:tcBorders>
            <w:vAlign w:val="center"/>
          </w:tcPr>
          <w:p w14:paraId="406BF191">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83</w:t>
            </w:r>
          </w:p>
        </w:tc>
        <w:tc>
          <w:tcPr>
            <w:tcW w:w="2725" w:type="pct"/>
            <w:tcBorders>
              <w:top w:val="nil"/>
              <w:left w:val="nil"/>
              <w:bottom w:val="single" w:color="auto" w:sz="4" w:space="0"/>
              <w:right w:val="single" w:color="auto" w:sz="4" w:space="0"/>
            </w:tcBorders>
            <w:vAlign w:val="center"/>
          </w:tcPr>
          <w:p w14:paraId="081F305B">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机非护栏：</w:t>
            </w:r>
            <w:r>
              <w:rPr>
                <w:rFonts w:ascii="Times New Roman" w:hAnsi="Times New Roman" w:eastAsia="宋体" w:cs="Times New Roman"/>
                <w:color w:val="000000"/>
                <w:kern w:val="0"/>
                <w:sz w:val="24"/>
                <w:szCs w:val="24"/>
                <w:lang w:val="en-US" w:eastAsia="zh-CN" w:bidi="ar-SA"/>
              </w:rPr>
              <w:t>1000×3000mm</w:t>
            </w:r>
            <w:r>
              <w:rPr>
                <w:rFonts w:ascii="宋体" w:hAnsi="宋体" w:eastAsia="宋体" w:cs="宋体"/>
                <w:color w:val="000000"/>
                <w:kern w:val="0"/>
                <w:sz w:val="24"/>
                <w:szCs w:val="24"/>
                <w:lang w:val="en-US" w:eastAsia="zh-CN" w:bidi="ar-SA"/>
              </w:rPr>
              <w:t>穿插式护栏，钢质，热镀锌，表面白色喷塑，反光轮廓标，含立柱及底座</w:t>
            </w:r>
          </w:p>
        </w:tc>
        <w:tc>
          <w:tcPr>
            <w:tcW w:w="344" w:type="pct"/>
            <w:tcBorders>
              <w:top w:val="nil"/>
              <w:left w:val="nil"/>
              <w:bottom w:val="single" w:color="auto" w:sz="4" w:space="0"/>
              <w:right w:val="single" w:color="auto" w:sz="4" w:space="0"/>
            </w:tcBorders>
            <w:vAlign w:val="center"/>
          </w:tcPr>
          <w:p w14:paraId="2F8EBD05">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套</w:t>
            </w:r>
          </w:p>
        </w:tc>
        <w:tc>
          <w:tcPr>
            <w:tcW w:w="663" w:type="pct"/>
            <w:tcBorders>
              <w:top w:val="nil"/>
              <w:left w:val="nil"/>
              <w:bottom w:val="single" w:color="auto" w:sz="4" w:space="0"/>
              <w:right w:val="single" w:color="auto" w:sz="4" w:space="0"/>
            </w:tcBorders>
            <w:vAlign w:val="center"/>
          </w:tcPr>
          <w:p w14:paraId="11F637DE">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795</w:t>
            </w:r>
          </w:p>
        </w:tc>
        <w:tc>
          <w:tcPr>
            <w:tcW w:w="440" w:type="pct"/>
            <w:tcBorders>
              <w:top w:val="nil"/>
              <w:left w:val="nil"/>
              <w:bottom w:val="single" w:color="auto" w:sz="4" w:space="0"/>
              <w:right w:val="single" w:color="auto" w:sz="4" w:space="0"/>
            </w:tcBorders>
            <w:noWrap/>
            <w:vAlign w:val="bottom"/>
          </w:tcPr>
          <w:p w14:paraId="2DCA0B54">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3B215A86">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r w14:paraId="1AC808DC">
        <w:tblPrEx>
          <w:tblCellMar>
            <w:top w:w="0" w:type="dxa"/>
            <w:left w:w="108" w:type="dxa"/>
            <w:bottom w:w="0" w:type="dxa"/>
            <w:right w:w="108" w:type="dxa"/>
          </w:tblCellMar>
        </w:tblPrEx>
        <w:trPr>
          <w:trHeight w:val="315" w:hRule="atLeast"/>
        </w:trPr>
        <w:tc>
          <w:tcPr>
            <w:tcW w:w="344" w:type="pct"/>
            <w:tcBorders>
              <w:top w:val="nil"/>
              <w:left w:val="single" w:color="auto" w:sz="4" w:space="0"/>
              <w:bottom w:val="single" w:color="auto" w:sz="4" w:space="0"/>
              <w:right w:val="single" w:color="auto" w:sz="4" w:space="0"/>
            </w:tcBorders>
            <w:vAlign w:val="center"/>
          </w:tcPr>
          <w:p w14:paraId="0DB92CB9">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　</w:t>
            </w:r>
          </w:p>
        </w:tc>
        <w:tc>
          <w:tcPr>
            <w:tcW w:w="2725" w:type="pct"/>
            <w:tcBorders>
              <w:top w:val="nil"/>
              <w:left w:val="nil"/>
              <w:bottom w:val="single" w:color="auto" w:sz="4" w:space="0"/>
              <w:right w:val="single" w:color="auto" w:sz="4" w:space="0"/>
            </w:tcBorders>
            <w:vAlign w:val="center"/>
          </w:tcPr>
          <w:p w14:paraId="13F56803">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合计</w:t>
            </w:r>
          </w:p>
        </w:tc>
        <w:tc>
          <w:tcPr>
            <w:tcW w:w="344" w:type="pct"/>
            <w:tcBorders>
              <w:top w:val="nil"/>
              <w:left w:val="nil"/>
              <w:bottom w:val="single" w:color="auto" w:sz="4" w:space="0"/>
              <w:right w:val="single" w:color="auto" w:sz="4" w:space="0"/>
            </w:tcBorders>
            <w:vAlign w:val="center"/>
          </w:tcPr>
          <w:p w14:paraId="48A3F469">
            <w:pPr>
              <w:widowControl/>
              <w:spacing w:before="0" w:after="0" w:line="240" w:lineRule="auto"/>
              <w:ind w:firstLine="0" w:firstLineChars="0"/>
              <w:jc w:val="center"/>
              <w:rPr>
                <w:rFonts w:hint="eastAsia" w:ascii="宋体" w:hAnsi="宋体" w:eastAsia="宋体" w:cs="宋体"/>
                <w:color w:val="000000"/>
                <w:kern w:val="0"/>
                <w:sz w:val="24"/>
                <w:szCs w:val="24"/>
                <w:lang w:val="en-US" w:eastAsia="zh-CN" w:bidi="ar-SA"/>
              </w:rPr>
            </w:pPr>
            <w:r>
              <w:rPr>
                <w:rFonts w:ascii="宋体" w:hAnsi="宋体" w:eastAsia="宋体" w:cs="宋体"/>
                <w:color w:val="000000"/>
                <w:kern w:val="0"/>
                <w:sz w:val="24"/>
                <w:szCs w:val="24"/>
                <w:lang w:val="en-US" w:eastAsia="zh-CN" w:bidi="ar-SA"/>
              </w:rPr>
              <w:t>　</w:t>
            </w:r>
          </w:p>
        </w:tc>
        <w:tc>
          <w:tcPr>
            <w:tcW w:w="663" w:type="pct"/>
            <w:tcBorders>
              <w:top w:val="nil"/>
              <w:left w:val="nil"/>
              <w:bottom w:val="single" w:color="auto" w:sz="4" w:space="0"/>
              <w:right w:val="single" w:color="auto" w:sz="4" w:space="0"/>
            </w:tcBorders>
            <w:vAlign w:val="center"/>
          </w:tcPr>
          <w:p w14:paraId="54E43842">
            <w:pPr>
              <w:widowControl/>
              <w:spacing w:before="0" w:after="0" w:line="240" w:lineRule="auto"/>
              <w:ind w:firstLine="0" w:firstLineChars="0"/>
              <w:jc w:val="center"/>
              <w:rPr>
                <w:rFonts w:ascii="Times New Roman" w:hAnsi="Times New Roman" w:eastAsia="等线" w:cs="Times New Roman"/>
                <w:color w:val="000000"/>
                <w:kern w:val="0"/>
                <w:sz w:val="24"/>
                <w:szCs w:val="24"/>
                <w:lang w:val="en-US" w:eastAsia="zh-CN" w:bidi="ar-SA"/>
              </w:rPr>
            </w:pPr>
            <w:r>
              <w:rPr>
                <w:rFonts w:ascii="Times New Roman" w:hAnsi="Times New Roman" w:eastAsia="等线" w:cs="Times New Roman"/>
                <w:color w:val="000000"/>
                <w:kern w:val="0"/>
                <w:sz w:val="24"/>
                <w:szCs w:val="24"/>
                <w:lang w:val="en-US" w:eastAsia="zh-CN" w:bidi="ar-SA"/>
              </w:rPr>
              <w:t>228633</w:t>
            </w:r>
          </w:p>
        </w:tc>
        <w:tc>
          <w:tcPr>
            <w:tcW w:w="440" w:type="pct"/>
            <w:tcBorders>
              <w:top w:val="nil"/>
              <w:left w:val="nil"/>
              <w:bottom w:val="single" w:color="auto" w:sz="4" w:space="0"/>
              <w:right w:val="single" w:color="auto" w:sz="4" w:space="0"/>
            </w:tcBorders>
            <w:noWrap/>
            <w:vAlign w:val="bottom"/>
          </w:tcPr>
          <w:p w14:paraId="524F2D31">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c>
          <w:tcPr>
            <w:tcW w:w="481" w:type="pct"/>
            <w:tcBorders>
              <w:top w:val="nil"/>
              <w:left w:val="nil"/>
              <w:bottom w:val="single" w:color="auto" w:sz="4" w:space="0"/>
              <w:right w:val="single" w:color="auto" w:sz="4" w:space="0"/>
            </w:tcBorders>
            <w:noWrap/>
            <w:vAlign w:val="bottom"/>
          </w:tcPr>
          <w:p w14:paraId="42859C40">
            <w:pPr>
              <w:widowControl/>
              <w:spacing w:before="0" w:after="0" w:line="240" w:lineRule="auto"/>
              <w:ind w:firstLine="0" w:firstLineChars="0"/>
              <w:jc w:val="left"/>
              <w:rPr>
                <w:rFonts w:hint="eastAsia" w:ascii="等线" w:hAnsi="等线" w:eastAsia="等线" w:cs="宋体"/>
                <w:color w:val="000000"/>
                <w:kern w:val="0"/>
                <w:sz w:val="22"/>
                <w:szCs w:val="22"/>
                <w:lang w:val="en-US" w:eastAsia="zh-CN" w:bidi="ar-SA"/>
              </w:rPr>
            </w:pPr>
            <w:r>
              <w:rPr>
                <w:rFonts w:ascii="等线" w:hAnsi="等线" w:eastAsia="等线" w:cs="宋体"/>
                <w:color w:val="000000"/>
                <w:kern w:val="0"/>
                <w:sz w:val="22"/>
                <w:szCs w:val="22"/>
                <w:lang w:val="en-US" w:eastAsia="zh-CN" w:bidi="ar-SA"/>
              </w:rPr>
              <w:t>　</w:t>
            </w:r>
          </w:p>
        </w:tc>
      </w:tr>
    </w:tbl>
    <w:p w14:paraId="5B323AAB">
      <w:pPr>
        <w:widowControl w:val="0"/>
        <w:spacing w:before="62" w:after="93" w:line="300" w:lineRule="auto"/>
        <w:ind w:firstLine="0" w:firstLineChars="0"/>
        <w:jc w:val="both"/>
        <w:rPr>
          <w:rFonts w:ascii="Times New Roman" w:hAnsi="Times New Roman" w:eastAsia="宋体" w:cs="Times New Roman"/>
          <w:kern w:val="2"/>
          <w:sz w:val="24"/>
          <w:szCs w:val="24"/>
          <w:lang w:val="zh-CN" w:eastAsia="zh-CN" w:bidi="ar-SA"/>
        </w:rPr>
      </w:pPr>
    </w:p>
    <w:p w14:paraId="5ED80DCD">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二十一、交通信号系统维护工作服务考评办法</w:t>
      </w:r>
    </w:p>
    <w:p w14:paraId="219648EB">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一、主管部门考核</w:t>
      </w:r>
    </w:p>
    <w:p w14:paraId="1D7811E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主管部门每季度进行百分制考核。检查方式采取日常巡查和专项检查相结合的方式。</w:t>
      </w:r>
    </w:p>
    <w:p w14:paraId="2252823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二、考核办法及加、扣分细则</w:t>
      </w:r>
    </w:p>
    <w:p w14:paraId="52592DAC">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1、中标单位应按照招标文件规定的响应时间，保质保量按时完成综合行政执法局、交警大队下达维护工作任务。</w:t>
      </w:r>
    </w:p>
    <w:p w14:paraId="423A0F3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中标单位每季度有100分的基础分数。在日常维护过程中，采购人对每一项维护项目，根据标准和要求进行考核，发现维护单位如有违反管理规定，扣除相应的分值，并开据《整改（扣分）通知书》，由维护单位代理人签字，存档。</w:t>
      </w:r>
    </w:p>
    <w:p w14:paraId="48661110">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3、中标单位在接到交通主管部门《整改（扣分）通知书》后，未按规定的时间要求进行整改的，将取消其维护资格。</w:t>
      </w:r>
    </w:p>
    <w:p w14:paraId="0EA95E1E">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4、中标单位在合同期限内，各类维护项目完成出色，得到社会各界的好评，或通过技术革新，使用利用高科技手段，或有新产品采用，交通主管部门将对其进行加分，加分分值可以冲抵扣分分值。</w:t>
      </w:r>
    </w:p>
    <w:p w14:paraId="128C6D6F">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3、考核标准</w:t>
      </w:r>
    </w:p>
    <w:p w14:paraId="304EE83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考核采用计分制，以季度为考核计分单位，每季度按照扣除的相应分数扣除服务费用，年底按照减去扣除的费用结算。每扣除一分相应扣除1000元。</w:t>
      </w:r>
    </w:p>
    <w:p w14:paraId="5E2F0B86">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4、考核标准</w:t>
      </w:r>
    </w:p>
    <w:tbl>
      <w:tblPr>
        <w:tblStyle w:val="2"/>
        <w:tblW w:w="5291" w:type="pct"/>
        <w:jc w:val="center"/>
        <w:tblLayout w:type="fixed"/>
        <w:tblCellMar>
          <w:top w:w="0" w:type="dxa"/>
          <w:left w:w="108" w:type="dxa"/>
          <w:bottom w:w="0" w:type="dxa"/>
          <w:right w:w="108" w:type="dxa"/>
        </w:tblCellMar>
      </w:tblPr>
      <w:tblGrid>
        <w:gridCol w:w="511"/>
        <w:gridCol w:w="740"/>
        <w:gridCol w:w="6102"/>
        <w:gridCol w:w="830"/>
        <w:gridCol w:w="835"/>
      </w:tblGrid>
      <w:tr w14:paraId="06D60835">
        <w:tblPrEx>
          <w:tblCellMar>
            <w:top w:w="0" w:type="dxa"/>
            <w:left w:w="108" w:type="dxa"/>
            <w:bottom w:w="0" w:type="dxa"/>
            <w:right w:w="108" w:type="dxa"/>
          </w:tblCellMar>
        </w:tblPrEx>
        <w:trPr>
          <w:trHeight w:val="436" w:hRule="atLeast"/>
          <w:jc w:val="center"/>
        </w:trPr>
        <w:tc>
          <w:tcPr>
            <w:tcW w:w="5000" w:type="pct"/>
            <w:gridSpan w:val="5"/>
            <w:tcBorders>
              <w:top w:val="nil"/>
              <w:left w:val="nil"/>
              <w:bottom w:val="nil"/>
              <w:right w:val="nil"/>
            </w:tcBorders>
            <w:vAlign w:val="center"/>
          </w:tcPr>
          <w:p w14:paraId="236F7B33">
            <w:pPr>
              <w:widowControl w:val="0"/>
              <w:spacing w:after="0" w:line="240" w:lineRule="exact"/>
              <w:jc w:val="center"/>
              <w:rPr>
                <w:rFonts w:ascii="Times New Roman" w:hAnsi="Times New Roman" w:eastAsia="宋体" w:cs="Times New Roman"/>
                <w:kern w:val="0"/>
                <w:szCs w:val="21"/>
                <w:lang w:val="en-US" w:eastAsia="zh-CN" w:bidi="ar-SA"/>
                <w14:ligatures w14:val="none"/>
              </w:rPr>
            </w:pPr>
            <w:bookmarkStart w:id="1" w:name="_Hlk164157151"/>
            <w:r>
              <w:rPr>
                <w:rFonts w:hint="eastAsia" w:ascii="Calibri" w:hAnsi="Calibri" w:eastAsia="宋体" w:cs="Times New Roman"/>
                <w:kern w:val="0"/>
                <w:szCs w:val="21"/>
                <w:lang w:val="en-US" w:eastAsia="zh-CN" w:bidi="ar-SA"/>
                <w14:ligatures w14:val="none"/>
              </w:rPr>
              <w:t>考核评分表（明查/暗查）</w:t>
            </w:r>
          </w:p>
        </w:tc>
      </w:tr>
      <w:tr w14:paraId="348EE36B">
        <w:tblPrEx>
          <w:tblCellMar>
            <w:top w:w="0" w:type="dxa"/>
            <w:left w:w="108" w:type="dxa"/>
            <w:bottom w:w="0" w:type="dxa"/>
            <w:right w:w="108" w:type="dxa"/>
          </w:tblCellMar>
        </w:tblPrEx>
        <w:trPr>
          <w:trHeight w:val="311" w:hRule="atLeast"/>
          <w:jc w:val="center"/>
        </w:trPr>
        <w:tc>
          <w:tcPr>
            <w:tcW w:w="5000" w:type="pct"/>
            <w:gridSpan w:val="5"/>
            <w:tcBorders>
              <w:top w:val="nil"/>
              <w:left w:val="nil"/>
              <w:bottom w:val="single" w:color="auto" w:sz="4" w:space="0"/>
              <w:right w:val="nil"/>
            </w:tcBorders>
            <w:vAlign w:val="center"/>
          </w:tcPr>
          <w:p w14:paraId="5C0580F7">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考核日期：  年  月  日-  年  月  日</w:t>
            </w:r>
          </w:p>
          <w:p w14:paraId="5A3167E9">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 xml:space="preserve">考核标段： </w:t>
            </w:r>
          </w:p>
          <w:p w14:paraId="346C29DD">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考核路段：</w:t>
            </w:r>
          </w:p>
        </w:tc>
      </w:tr>
      <w:tr w14:paraId="25DFAD59">
        <w:tblPrEx>
          <w:tblCellMar>
            <w:top w:w="0" w:type="dxa"/>
            <w:left w:w="108" w:type="dxa"/>
            <w:bottom w:w="0" w:type="dxa"/>
            <w:right w:w="108" w:type="dxa"/>
          </w:tblCellMar>
        </w:tblPrEx>
        <w:trPr>
          <w:trHeight w:val="311" w:hRule="atLeast"/>
          <w:jc w:val="center"/>
        </w:trPr>
        <w:tc>
          <w:tcPr>
            <w:tcW w:w="284" w:type="pct"/>
            <w:tcBorders>
              <w:top w:val="single" w:color="auto" w:sz="4" w:space="0"/>
              <w:left w:val="single" w:color="auto" w:sz="4" w:space="0"/>
              <w:bottom w:val="single" w:color="auto" w:sz="4" w:space="0"/>
              <w:right w:val="single" w:color="auto" w:sz="4" w:space="0"/>
            </w:tcBorders>
            <w:vAlign w:val="center"/>
          </w:tcPr>
          <w:p w14:paraId="68B75B6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类别</w:t>
            </w:r>
          </w:p>
        </w:tc>
        <w:tc>
          <w:tcPr>
            <w:tcW w:w="410" w:type="pct"/>
            <w:tcBorders>
              <w:top w:val="single" w:color="auto" w:sz="4" w:space="0"/>
              <w:left w:val="single" w:color="auto" w:sz="4" w:space="0"/>
              <w:bottom w:val="single" w:color="auto" w:sz="4" w:space="0"/>
              <w:right w:val="single" w:color="auto" w:sz="4" w:space="0"/>
            </w:tcBorders>
            <w:vAlign w:val="center"/>
          </w:tcPr>
          <w:p w14:paraId="5D3B89D0">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考核内容</w:t>
            </w:r>
          </w:p>
        </w:tc>
        <w:tc>
          <w:tcPr>
            <w:tcW w:w="3383" w:type="pct"/>
            <w:tcBorders>
              <w:top w:val="single" w:color="auto" w:sz="4" w:space="0"/>
              <w:left w:val="single" w:color="auto" w:sz="4" w:space="0"/>
              <w:bottom w:val="single" w:color="auto" w:sz="4" w:space="0"/>
              <w:right w:val="single" w:color="auto" w:sz="4" w:space="0"/>
            </w:tcBorders>
            <w:vAlign w:val="center"/>
          </w:tcPr>
          <w:p w14:paraId="5022DE42">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扣分标准</w:t>
            </w:r>
          </w:p>
        </w:tc>
        <w:tc>
          <w:tcPr>
            <w:tcW w:w="460" w:type="pct"/>
            <w:tcBorders>
              <w:top w:val="single" w:color="auto" w:sz="4" w:space="0"/>
              <w:left w:val="single" w:color="auto" w:sz="4" w:space="0"/>
              <w:bottom w:val="single" w:color="auto" w:sz="4" w:space="0"/>
              <w:right w:val="single" w:color="auto" w:sz="4" w:space="0"/>
            </w:tcBorders>
            <w:vAlign w:val="center"/>
          </w:tcPr>
          <w:p w14:paraId="64B560D1">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 w:val="18"/>
                <w:szCs w:val="21"/>
                <w:lang w:val="en-US" w:eastAsia="zh-CN" w:bidi="ar-SA"/>
                <w14:ligatures w14:val="none"/>
              </w:rPr>
              <w:t>扣分点数量</w:t>
            </w:r>
          </w:p>
        </w:tc>
        <w:tc>
          <w:tcPr>
            <w:tcW w:w="463" w:type="pct"/>
            <w:tcBorders>
              <w:top w:val="single" w:color="auto" w:sz="4" w:space="0"/>
              <w:left w:val="single" w:color="auto" w:sz="4" w:space="0"/>
              <w:bottom w:val="single" w:color="auto" w:sz="4" w:space="0"/>
              <w:right w:val="single" w:color="auto" w:sz="4" w:space="0"/>
            </w:tcBorders>
            <w:vAlign w:val="center"/>
          </w:tcPr>
          <w:p w14:paraId="1D501FC6">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扣分</w:t>
            </w:r>
          </w:p>
        </w:tc>
      </w:tr>
      <w:tr w14:paraId="047BFAF5">
        <w:tblPrEx>
          <w:tblCellMar>
            <w:top w:w="0" w:type="dxa"/>
            <w:left w:w="108" w:type="dxa"/>
            <w:bottom w:w="0" w:type="dxa"/>
            <w:right w:w="108" w:type="dxa"/>
          </w:tblCellMar>
        </w:tblPrEx>
        <w:trPr>
          <w:trHeight w:val="458" w:hRule="atLeast"/>
          <w:jc w:val="center"/>
        </w:trPr>
        <w:tc>
          <w:tcPr>
            <w:tcW w:w="284" w:type="pct"/>
            <w:vMerge w:val="restart"/>
            <w:tcBorders>
              <w:top w:val="single" w:color="auto" w:sz="4" w:space="0"/>
              <w:left w:val="single" w:color="auto" w:sz="4" w:space="0"/>
              <w:bottom w:val="single" w:color="auto" w:sz="4" w:space="0"/>
              <w:right w:val="single" w:color="auto" w:sz="4" w:space="0"/>
            </w:tcBorders>
            <w:vAlign w:val="center"/>
          </w:tcPr>
          <w:p w14:paraId="1109EE93">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设施考核</w:t>
            </w: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45123C91">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控制柜</w:t>
            </w:r>
          </w:p>
        </w:tc>
        <w:tc>
          <w:tcPr>
            <w:tcW w:w="3383" w:type="pct"/>
            <w:tcBorders>
              <w:top w:val="single" w:color="auto" w:sz="4" w:space="0"/>
              <w:left w:val="single" w:color="auto" w:sz="4" w:space="0"/>
              <w:bottom w:val="single" w:color="auto" w:sz="4" w:space="0"/>
              <w:right w:val="single" w:color="auto" w:sz="4" w:space="0"/>
            </w:tcBorders>
            <w:vAlign w:val="center"/>
          </w:tcPr>
          <w:p w14:paraId="67AA653C">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控制（柜）体完整无缺、不渗水、无积灰、无锈蚀，锁具完好。达不到要求的发现一次扣0.5分。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0EFA917B">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3DABD7A0">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p>
        </w:tc>
      </w:tr>
      <w:tr w14:paraId="35612715">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235736B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63DAB650">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5890FED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电器元件和导线，应绝缘良好，各零部件无变形缺损。达不到要求的发现一次扣0.5分。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4D8E626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6A6164B3">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44F99CE7">
        <w:tblPrEx>
          <w:tblCellMar>
            <w:top w:w="0" w:type="dxa"/>
            <w:left w:w="108" w:type="dxa"/>
            <w:bottom w:w="0" w:type="dxa"/>
            <w:right w:w="108" w:type="dxa"/>
          </w:tblCellMar>
        </w:tblPrEx>
        <w:trPr>
          <w:trHeight w:val="90"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B25145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088B156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5AC1776C">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漏电开关应每年试验一次。达不到要求的发现一次扣0.5分。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4B0F4400">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23B07EB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352B6A6">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70517C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596DAFD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5FFFABB0">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每一年对控制柜内部器件进行吹扫,检查接线是否松动等基本情况。达不到要求的发现一次扣0.5分。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6E6A5DF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01A2F30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0721F38A">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7735ED5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6ADF5BF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15D86E59">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控制柜内部器件分布合理,布线规范。达不到要求的发现一次扣0.5分。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2B0E0EC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555A600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5A3CB50B">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C889B3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5FB6B17E">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7EC410ED">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信号机工作完好，指示正确，各部件连接坚固无松动。达不到要求的发现一次扣0.5分。</w:t>
            </w:r>
          </w:p>
        </w:tc>
        <w:tc>
          <w:tcPr>
            <w:tcW w:w="460" w:type="pct"/>
            <w:tcBorders>
              <w:top w:val="single" w:color="auto" w:sz="4" w:space="0"/>
              <w:left w:val="single" w:color="auto" w:sz="4" w:space="0"/>
              <w:bottom w:val="single" w:color="auto" w:sz="4" w:space="0"/>
              <w:right w:val="single" w:color="auto" w:sz="4" w:space="0"/>
            </w:tcBorders>
            <w:vAlign w:val="center"/>
          </w:tcPr>
          <w:p w14:paraId="42CA525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66C6231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19D01708">
        <w:tblPrEx>
          <w:tblCellMar>
            <w:top w:w="0" w:type="dxa"/>
            <w:left w:w="108" w:type="dxa"/>
            <w:bottom w:w="0" w:type="dxa"/>
            <w:right w:w="108" w:type="dxa"/>
          </w:tblCellMar>
        </w:tblPrEx>
        <w:trPr>
          <w:trHeight w:val="459"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5FA4DB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4E848D2B">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电缆线路</w:t>
            </w:r>
          </w:p>
        </w:tc>
        <w:tc>
          <w:tcPr>
            <w:tcW w:w="3383" w:type="pct"/>
            <w:tcBorders>
              <w:top w:val="single" w:color="auto" w:sz="4" w:space="0"/>
              <w:left w:val="single" w:color="auto" w:sz="4" w:space="0"/>
              <w:bottom w:val="single" w:color="auto" w:sz="4" w:space="0"/>
              <w:right w:val="single" w:color="auto" w:sz="4" w:space="0"/>
            </w:tcBorders>
            <w:vAlign w:val="center"/>
          </w:tcPr>
          <w:p w14:paraId="4E289817">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电缆线路（穿管地埋线路）的路面上应无开挖、新的建筑打桩、植树及有可能腐蚀电缆的化学物品。达不到要求的发现一次扣1分。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065F92A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1B8A0AE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91256D9">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5F1057B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1101B7B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09F2803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电缆线路在地上部分的钢带、保护管、固定设备无锈蚀，标桩完整无缺。达不到要求的发现一次扣1分。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372E6EF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0B62D1A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7E869F5A">
        <w:tblPrEx>
          <w:tblCellMar>
            <w:top w:w="0" w:type="dxa"/>
            <w:left w:w="108" w:type="dxa"/>
            <w:bottom w:w="0" w:type="dxa"/>
            <w:right w:w="108" w:type="dxa"/>
          </w:tblCellMar>
        </w:tblPrEx>
        <w:trPr>
          <w:trHeight w:val="90"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7F9AB8D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6DB2138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63A412F5">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接头坚固螺母（压接管）无松动、发热现象，绝缘包带无老化开裂, 钢带接地良好。达不到要求的发现一次扣1分。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2878370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26E3718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7DC64A1E">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0D9C4E10">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406B73C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7545B3CB">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分段的绝缘电阻不低于50兆欧。达不到要求的发现一次扣1分。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0E0F616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7F190448">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3F008ED9">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B166CC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6658600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6768631A">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人孔、手孔井内干净无异物，电缆标志牌齐全、字迹清楚。达不到要求的发现一次扣1分。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2AAEBAA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0C3A98B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B26109B">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1374FEC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0A5F4AB3">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04C17B2A">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巡视检查对严重缺陷和损伤，并已无法处理的电缆（穿越导线）线路应在2日内分段或全部更新。达不到要求的发现一次扣1分。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0D9EAE5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1B92D5F0">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50691227">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2E5801E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014D8423">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15D2F34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每季度巡修一次，巡修无记录扣2分。　　</w:t>
            </w:r>
          </w:p>
        </w:tc>
        <w:tc>
          <w:tcPr>
            <w:tcW w:w="460" w:type="pct"/>
            <w:tcBorders>
              <w:top w:val="single" w:color="auto" w:sz="4" w:space="0"/>
              <w:left w:val="single" w:color="auto" w:sz="4" w:space="0"/>
              <w:bottom w:val="single" w:color="auto" w:sz="4" w:space="0"/>
              <w:right w:val="single" w:color="auto" w:sz="4" w:space="0"/>
            </w:tcBorders>
            <w:vAlign w:val="center"/>
          </w:tcPr>
          <w:p w14:paraId="58CCC0D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420EE4B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083D696C">
        <w:tblPrEx>
          <w:tblCellMar>
            <w:top w:w="0" w:type="dxa"/>
            <w:left w:w="108" w:type="dxa"/>
            <w:bottom w:w="0" w:type="dxa"/>
            <w:right w:w="108" w:type="dxa"/>
          </w:tblCellMar>
        </w:tblPrEx>
        <w:trPr>
          <w:trHeight w:val="49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9EA3B8E">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59FBAB2C">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w:t>
            </w:r>
          </w:p>
        </w:tc>
        <w:tc>
          <w:tcPr>
            <w:tcW w:w="3383" w:type="pct"/>
            <w:tcBorders>
              <w:top w:val="single" w:color="auto" w:sz="4" w:space="0"/>
              <w:left w:val="single" w:color="auto" w:sz="4" w:space="0"/>
              <w:bottom w:val="single" w:color="auto" w:sz="4" w:space="0"/>
              <w:right w:val="single" w:color="auto" w:sz="4" w:space="0"/>
            </w:tcBorders>
            <w:vAlign w:val="center"/>
          </w:tcPr>
          <w:p w14:paraId="26E2A91A">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信号灯、支架完好清洁、无蛛网、无非法粘帖物、无积污、断裂、脱焊及严重锈蚀，对严重影响安全的器件应予整修或更换。达不到要求的发现一次扣1分。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607E166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602F0E1D">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p>
        </w:tc>
      </w:tr>
      <w:tr w14:paraId="653C1DBC">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702038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634DAA08">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3580CEE5">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信号灯引下线和管内穿线绝缘良好，无破皮、塑料绝缘开裂等现象。达不到要求的发现一次扣1分。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298E06C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48A7B79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08F148E4">
        <w:tblPrEx>
          <w:tblCellMar>
            <w:top w:w="0" w:type="dxa"/>
            <w:left w:w="108" w:type="dxa"/>
            <w:bottom w:w="0" w:type="dxa"/>
            <w:right w:w="108" w:type="dxa"/>
          </w:tblCellMar>
        </w:tblPrEx>
        <w:trPr>
          <w:trHeight w:val="3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4E4DA05E">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130E25A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20C6E936">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信号灯残压不得高于10v，达不到要求的发现一次扣1分。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09ED6DE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749EBE23">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2E7BB290">
        <w:tblPrEx>
          <w:tblCellMar>
            <w:top w:w="0" w:type="dxa"/>
            <w:left w:w="108" w:type="dxa"/>
            <w:bottom w:w="0" w:type="dxa"/>
            <w:right w:w="108" w:type="dxa"/>
          </w:tblCellMar>
        </w:tblPrEx>
        <w:trPr>
          <w:trHeight w:val="3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2B86163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520E149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0138C6F1">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信号灯显示有部分或全部不亮者,必须在1个工作日内完成修复或更换。达不到要求的发现一次扣1分。</w:t>
            </w:r>
          </w:p>
          <w:p w14:paraId="7A34B61B">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信号灯半年做一次清洁工作，未做清洁扣3分，无台帐记录扣1.5分。</w:t>
            </w:r>
          </w:p>
        </w:tc>
        <w:tc>
          <w:tcPr>
            <w:tcW w:w="460" w:type="pct"/>
            <w:tcBorders>
              <w:top w:val="single" w:color="auto" w:sz="4" w:space="0"/>
              <w:left w:val="single" w:color="auto" w:sz="4" w:space="0"/>
              <w:bottom w:val="single" w:color="auto" w:sz="4" w:space="0"/>
              <w:right w:val="single" w:color="auto" w:sz="4" w:space="0"/>
            </w:tcBorders>
            <w:vAlign w:val="center"/>
          </w:tcPr>
          <w:p w14:paraId="533B309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20C486F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F4BC55E">
        <w:tblPrEx>
          <w:tblCellMar>
            <w:top w:w="0" w:type="dxa"/>
            <w:left w:w="108" w:type="dxa"/>
            <w:bottom w:w="0" w:type="dxa"/>
            <w:right w:w="108" w:type="dxa"/>
          </w:tblCellMar>
        </w:tblPrEx>
        <w:trPr>
          <w:jc w:val="center"/>
        </w:trPr>
        <w:tc>
          <w:tcPr>
            <w:tcW w:w="284" w:type="pct"/>
            <w:vMerge w:val="restart"/>
            <w:tcBorders>
              <w:top w:val="single" w:color="auto" w:sz="4" w:space="0"/>
              <w:left w:val="single" w:color="auto" w:sz="4" w:space="0"/>
              <w:bottom w:val="single" w:color="auto" w:sz="4" w:space="0"/>
              <w:right w:val="single" w:color="auto" w:sz="4" w:space="0"/>
            </w:tcBorders>
            <w:vAlign w:val="center"/>
          </w:tcPr>
          <w:p w14:paraId="5A7E148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设施巡修</w:t>
            </w:r>
          </w:p>
        </w:tc>
        <w:tc>
          <w:tcPr>
            <w:tcW w:w="410" w:type="pct"/>
            <w:tcBorders>
              <w:top w:val="single" w:color="auto" w:sz="4" w:space="0"/>
              <w:left w:val="single" w:color="auto" w:sz="4" w:space="0"/>
              <w:bottom w:val="single" w:color="auto" w:sz="4" w:space="0"/>
              <w:right w:val="single" w:color="auto" w:sz="4" w:space="0"/>
            </w:tcBorders>
            <w:vAlign w:val="center"/>
          </w:tcPr>
          <w:p w14:paraId="31E7680C">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信号器材</w:t>
            </w:r>
          </w:p>
        </w:tc>
        <w:tc>
          <w:tcPr>
            <w:tcW w:w="3383" w:type="pct"/>
            <w:tcBorders>
              <w:top w:val="single" w:color="auto" w:sz="4" w:space="0"/>
              <w:left w:val="single" w:color="auto" w:sz="4" w:space="0"/>
              <w:bottom w:val="single" w:color="auto" w:sz="4" w:space="0"/>
              <w:right w:val="single" w:color="auto" w:sz="4" w:space="0"/>
            </w:tcBorders>
            <w:vAlign w:val="center"/>
          </w:tcPr>
          <w:p w14:paraId="158F73BF">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每季度一次常规检修，检修无记录扣1.5分，不检不记录扣3分。</w:t>
            </w:r>
          </w:p>
        </w:tc>
        <w:tc>
          <w:tcPr>
            <w:tcW w:w="460" w:type="pct"/>
            <w:tcBorders>
              <w:top w:val="single" w:color="auto" w:sz="4" w:space="0"/>
              <w:left w:val="single" w:color="auto" w:sz="4" w:space="0"/>
              <w:bottom w:val="single" w:color="auto" w:sz="4" w:space="0"/>
              <w:right w:val="single" w:color="auto" w:sz="4" w:space="0"/>
            </w:tcBorders>
            <w:vAlign w:val="center"/>
          </w:tcPr>
          <w:p w14:paraId="3B5822A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02220CA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099A3902">
        <w:tblPrEx>
          <w:tblCellMar>
            <w:top w:w="0" w:type="dxa"/>
            <w:left w:w="108" w:type="dxa"/>
            <w:bottom w:w="0" w:type="dxa"/>
            <w:right w:w="108" w:type="dxa"/>
          </w:tblCellMar>
        </w:tblPrEx>
        <w:trPr>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48DFA68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tcBorders>
              <w:top w:val="single" w:color="auto" w:sz="4" w:space="0"/>
              <w:left w:val="single" w:color="auto" w:sz="4" w:space="0"/>
              <w:bottom w:val="single" w:color="auto" w:sz="4" w:space="0"/>
              <w:right w:val="single" w:color="auto" w:sz="4" w:space="0"/>
            </w:tcBorders>
            <w:vAlign w:val="center"/>
          </w:tcPr>
          <w:p w14:paraId="470471D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道路指示标牌</w:t>
            </w:r>
          </w:p>
        </w:tc>
        <w:tc>
          <w:tcPr>
            <w:tcW w:w="3383" w:type="pct"/>
            <w:tcBorders>
              <w:top w:val="single" w:color="auto" w:sz="4" w:space="0"/>
              <w:left w:val="single" w:color="auto" w:sz="4" w:space="0"/>
              <w:bottom w:val="single" w:color="auto" w:sz="4" w:space="0"/>
              <w:right w:val="single" w:color="auto" w:sz="4" w:space="0"/>
            </w:tcBorders>
            <w:vAlign w:val="center"/>
          </w:tcPr>
          <w:p w14:paraId="10912FE9">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每季度巡修一次，巡修无记录扣3分。　</w:t>
            </w:r>
          </w:p>
        </w:tc>
        <w:tc>
          <w:tcPr>
            <w:tcW w:w="460" w:type="pct"/>
            <w:tcBorders>
              <w:top w:val="single" w:color="auto" w:sz="4" w:space="0"/>
              <w:left w:val="single" w:color="auto" w:sz="4" w:space="0"/>
              <w:bottom w:val="single" w:color="auto" w:sz="4" w:space="0"/>
              <w:right w:val="single" w:color="auto" w:sz="4" w:space="0"/>
            </w:tcBorders>
            <w:vAlign w:val="center"/>
          </w:tcPr>
          <w:p w14:paraId="2CE7C47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5268629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0EE638F7">
        <w:tblPrEx>
          <w:tblCellMar>
            <w:top w:w="0" w:type="dxa"/>
            <w:left w:w="108" w:type="dxa"/>
            <w:bottom w:w="0" w:type="dxa"/>
            <w:right w:w="108" w:type="dxa"/>
          </w:tblCellMar>
        </w:tblPrEx>
        <w:trPr>
          <w:trHeight w:val="12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7C89BD8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tcBorders>
              <w:top w:val="single" w:color="auto" w:sz="4" w:space="0"/>
              <w:left w:val="single" w:color="auto" w:sz="4" w:space="0"/>
              <w:bottom w:val="single" w:color="auto" w:sz="4" w:space="0"/>
              <w:right w:val="single" w:color="auto" w:sz="4" w:space="0"/>
            </w:tcBorders>
            <w:vAlign w:val="center"/>
          </w:tcPr>
          <w:p w14:paraId="4B386F35">
            <w:pPr>
              <w:widowControl w:val="0"/>
              <w:spacing w:after="0" w:line="240" w:lineRule="exact"/>
              <w:jc w:val="left"/>
              <w:rPr>
                <w:rFonts w:ascii="Times New Roman" w:hAnsi="Times New Roman" w:eastAsia="宋体" w:cs="Times New Roman"/>
                <w:kern w:val="0"/>
                <w:sz w:val="18"/>
                <w:szCs w:val="21"/>
                <w:lang w:val="en-US" w:eastAsia="zh-CN" w:bidi="ar-SA"/>
                <w14:ligatures w14:val="none"/>
              </w:rPr>
            </w:pPr>
            <w:r>
              <w:rPr>
                <w:rFonts w:hint="eastAsia" w:ascii="Times New Roman" w:hAnsi="Times New Roman" w:eastAsia="宋体" w:cs="Times New Roman"/>
                <w:kern w:val="0"/>
                <w:sz w:val="18"/>
                <w:szCs w:val="21"/>
                <w:lang w:val="en-US" w:eastAsia="zh-CN" w:bidi="ar-SA"/>
                <w14:ligatures w14:val="none"/>
              </w:rPr>
              <w:t>护栏路名牌等其他设施</w:t>
            </w:r>
          </w:p>
        </w:tc>
        <w:tc>
          <w:tcPr>
            <w:tcW w:w="3383" w:type="pct"/>
            <w:tcBorders>
              <w:top w:val="single" w:color="auto" w:sz="4" w:space="0"/>
              <w:left w:val="single" w:color="auto" w:sz="4" w:space="0"/>
              <w:bottom w:val="single" w:color="auto" w:sz="4" w:space="0"/>
              <w:right w:val="single" w:color="auto" w:sz="4" w:space="0"/>
            </w:tcBorders>
            <w:vAlign w:val="center"/>
          </w:tcPr>
          <w:p w14:paraId="4F0F20A4">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每季度一次常规检修，检修无记录扣1.5分，不检不记录扣3分。</w:t>
            </w:r>
          </w:p>
        </w:tc>
        <w:tc>
          <w:tcPr>
            <w:tcW w:w="460" w:type="pct"/>
            <w:tcBorders>
              <w:top w:val="single" w:color="auto" w:sz="4" w:space="0"/>
              <w:left w:val="single" w:color="auto" w:sz="4" w:space="0"/>
              <w:bottom w:val="single" w:color="auto" w:sz="4" w:space="0"/>
              <w:right w:val="single" w:color="auto" w:sz="4" w:space="0"/>
            </w:tcBorders>
            <w:vAlign w:val="center"/>
          </w:tcPr>
          <w:p w14:paraId="12640BF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232CF60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97FB415">
        <w:tblPrEx>
          <w:tblCellMar>
            <w:top w:w="0" w:type="dxa"/>
            <w:left w:w="108" w:type="dxa"/>
            <w:bottom w:w="0" w:type="dxa"/>
            <w:right w:w="108" w:type="dxa"/>
          </w:tblCellMar>
        </w:tblPrEx>
        <w:trPr>
          <w:trHeight w:val="587" w:hRule="atLeast"/>
          <w:jc w:val="center"/>
        </w:trPr>
        <w:tc>
          <w:tcPr>
            <w:tcW w:w="284" w:type="pct"/>
            <w:vMerge w:val="restart"/>
            <w:tcBorders>
              <w:top w:val="single" w:color="auto" w:sz="4" w:space="0"/>
              <w:left w:val="single" w:color="auto" w:sz="4" w:space="0"/>
              <w:bottom w:val="single" w:color="auto" w:sz="4" w:space="0"/>
              <w:right w:val="single" w:color="auto" w:sz="4" w:space="0"/>
            </w:tcBorders>
            <w:vAlign w:val="center"/>
          </w:tcPr>
          <w:p w14:paraId="312422D7">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设施运行</w:t>
            </w: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5259540B">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工作正常率</w:t>
            </w:r>
          </w:p>
        </w:tc>
        <w:tc>
          <w:tcPr>
            <w:tcW w:w="3383" w:type="pct"/>
            <w:tcBorders>
              <w:top w:val="single" w:color="auto" w:sz="4" w:space="0"/>
              <w:left w:val="single" w:color="auto" w:sz="4" w:space="0"/>
              <w:bottom w:val="single" w:color="auto" w:sz="4" w:space="0"/>
              <w:right w:val="single" w:color="auto" w:sz="4" w:space="0"/>
            </w:tcBorders>
            <w:vAlign w:val="center"/>
          </w:tcPr>
          <w:p w14:paraId="47F9FDD7">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一般信号灯正常工作率100%（月度）、非养护原因除外，每降1%扣1分。</w:t>
            </w:r>
          </w:p>
        </w:tc>
        <w:tc>
          <w:tcPr>
            <w:tcW w:w="460" w:type="pct"/>
            <w:tcBorders>
              <w:top w:val="single" w:color="auto" w:sz="4" w:space="0"/>
              <w:left w:val="single" w:color="auto" w:sz="4" w:space="0"/>
              <w:bottom w:val="single" w:color="auto" w:sz="4" w:space="0"/>
              <w:right w:val="single" w:color="auto" w:sz="4" w:space="0"/>
            </w:tcBorders>
            <w:vAlign w:val="center"/>
          </w:tcPr>
          <w:p w14:paraId="029F76A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6C21D89B">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p>
        </w:tc>
      </w:tr>
      <w:tr w14:paraId="7518AA47">
        <w:tblPrEx>
          <w:tblCellMar>
            <w:top w:w="0" w:type="dxa"/>
            <w:left w:w="108" w:type="dxa"/>
            <w:bottom w:w="0" w:type="dxa"/>
            <w:right w:w="108" w:type="dxa"/>
          </w:tblCellMar>
        </w:tblPrEx>
        <w:trPr>
          <w:trHeight w:val="390"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32C7A8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3C661C6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345DA46B">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其他道路交通安全设施的使用完好率≥95%，达不到要求的发现一次扣1分。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07796B6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5819E95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14B348C9">
        <w:tblPrEx>
          <w:tblCellMar>
            <w:top w:w="0" w:type="dxa"/>
            <w:left w:w="108" w:type="dxa"/>
            <w:bottom w:w="0" w:type="dxa"/>
            <w:right w:w="108" w:type="dxa"/>
          </w:tblCellMar>
        </w:tblPrEx>
        <w:trPr>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4E496E8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72226AA3">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维保管理</w:t>
            </w:r>
          </w:p>
        </w:tc>
        <w:tc>
          <w:tcPr>
            <w:tcW w:w="3383" w:type="pct"/>
            <w:tcBorders>
              <w:top w:val="single" w:color="auto" w:sz="4" w:space="0"/>
              <w:left w:val="single" w:color="auto" w:sz="4" w:space="0"/>
              <w:bottom w:val="single" w:color="auto" w:sz="4" w:space="0"/>
              <w:right w:val="single" w:color="auto" w:sz="4" w:space="0"/>
            </w:tcBorders>
            <w:vAlign w:val="center"/>
          </w:tcPr>
          <w:p w14:paraId="2D61EC7F">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每月工作数据未按要求上报的，由维护单位领导说明情况。第二次以上每发现一次扣1分。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20BA929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3096652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33749D62">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CFC02A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2AFEFDB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135813AD">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每月的最后一日将下月具体保养计划及当月的维修记录及台帐报送甲方备案，无保养计划或晚交扣2分。</w:t>
            </w:r>
          </w:p>
        </w:tc>
        <w:tc>
          <w:tcPr>
            <w:tcW w:w="460" w:type="pct"/>
            <w:tcBorders>
              <w:top w:val="single" w:color="auto" w:sz="4" w:space="0"/>
              <w:left w:val="single" w:color="auto" w:sz="4" w:space="0"/>
              <w:bottom w:val="single" w:color="auto" w:sz="4" w:space="0"/>
              <w:right w:val="single" w:color="auto" w:sz="4" w:space="0"/>
            </w:tcBorders>
            <w:vAlign w:val="center"/>
          </w:tcPr>
          <w:p w14:paraId="34F77E2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15B09C9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147A644B">
        <w:tblPrEx>
          <w:tblCellMar>
            <w:top w:w="0" w:type="dxa"/>
            <w:left w:w="108" w:type="dxa"/>
            <w:bottom w:w="0" w:type="dxa"/>
            <w:right w:w="108" w:type="dxa"/>
          </w:tblCellMar>
        </w:tblPrEx>
        <w:trPr>
          <w:trHeight w:val="385"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1BC67F7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29158B7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3A934E42">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一般故障应在2小时内恢复，达不到要求的发现一次扣1分。</w:t>
            </w:r>
          </w:p>
        </w:tc>
        <w:tc>
          <w:tcPr>
            <w:tcW w:w="460" w:type="pct"/>
            <w:tcBorders>
              <w:top w:val="single" w:color="auto" w:sz="4" w:space="0"/>
              <w:left w:val="single" w:color="auto" w:sz="4" w:space="0"/>
              <w:bottom w:val="single" w:color="auto" w:sz="4" w:space="0"/>
              <w:right w:val="single" w:color="auto" w:sz="4" w:space="0"/>
            </w:tcBorders>
            <w:vAlign w:val="center"/>
          </w:tcPr>
          <w:p w14:paraId="402E1C82">
            <w:pPr>
              <w:widowControl w:val="0"/>
              <w:spacing w:after="0" w:line="240" w:lineRule="exact"/>
              <w:ind w:firstLine="210" w:firstLineChars="100"/>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44087B9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6881935B">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6663E3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0B6D2A22">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故障责任</w:t>
            </w:r>
          </w:p>
        </w:tc>
        <w:tc>
          <w:tcPr>
            <w:tcW w:w="3383" w:type="pct"/>
            <w:tcBorders>
              <w:top w:val="single" w:color="auto" w:sz="4" w:space="0"/>
              <w:left w:val="single" w:color="auto" w:sz="4" w:space="0"/>
              <w:bottom w:val="single" w:color="auto" w:sz="4" w:space="0"/>
              <w:right w:val="single" w:color="auto" w:sz="4" w:space="0"/>
            </w:tcBorders>
            <w:vAlign w:val="center"/>
          </w:tcPr>
          <w:p w14:paraId="75F61AA3">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产生重大不可推脱责任的故障，发生一次扣2分。</w:t>
            </w:r>
          </w:p>
        </w:tc>
        <w:tc>
          <w:tcPr>
            <w:tcW w:w="460" w:type="pct"/>
            <w:tcBorders>
              <w:top w:val="single" w:color="auto" w:sz="4" w:space="0"/>
              <w:left w:val="single" w:color="auto" w:sz="4" w:space="0"/>
              <w:bottom w:val="single" w:color="auto" w:sz="4" w:space="0"/>
              <w:right w:val="single" w:color="auto" w:sz="4" w:space="0"/>
            </w:tcBorders>
            <w:vAlign w:val="center"/>
          </w:tcPr>
          <w:p w14:paraId="7D68D99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3A6FA7B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448DD76F">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4DFF0AA3">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4C47DD5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7C0423EE">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重大故障分析报告，无分析报告扣2分，晚交扣1分。</w:t>
            </w:r>
          </w:p>
        </w:tc>
        <w:tc>
          <w:tcPr>
            <w:tcW w:w="460" w:type="pct"/>
            <w:tcBorders>
              <w:top w:val="single" w:color="auto" w:sz="4" w:space="0"/>
              <w:left w:val="single" w:color="auto" w:sz="4" w:space="0"/>
              <w:bottom w:val="single" w:color="auto" w:sz="4" w:space="0"/>
              <w:right w:val="single" w:color="auto" w:sz="4" w:space="0"/>
            </w:tcBorders>
            <w:vAlign w:val="center"/>
          </w:tcPr>
          <w:p w14:paraId="45E357E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3DB0D95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326F9B8B">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108EA374">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4B2162B8">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5AD514EB">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故障报修率控制在1％，报修率每增加1％扣1分。</w:t>
            </w:r>
          </w:p>
        </w:tc>
        <w:tc>
          <w:tcPr>
            <w:tcW w:w="460" w:type="pct"/>
            <w:tcBorders>
              <w:top w:val="single" w:color="auto" w:sz="4" w:space="0"/>
              <w:left w:val="single" w:color="auto" w:sz="4" w:space="0"/>
              <w:bottom w:val="single" w:color="auto" w:sz="4" w:space="0"/>
              <w:right w:val="single" w:color="auto" w:sz="4" w:space="0"/>
            </w:tcBorders>
            <w:vAlign w:val="center"/>
          </w:tcPr>
          <w:p w14:paraId="3B9060A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2CD99681">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7C5F34C7">
        <w:tblPrEx>
          <w:tblCellMar>
            <w:top w:w="0" w:type="dxa"/>
            <w:left w:w="108" w:type="dxa"/>
            <w:bottom w:w="0" w:type="dxa"/>
            <w:right w:w="108" w:type="dxa"/>
          </w:tblCellMar>
        </w:tblPrEx>
        <w:trPr>
          <w:trHeight w:val="311" w:hRule="atLeast"/>
          <w:jc w:val="center"/>
        </w:trPr>
        <w:tc>
          <w:tcPr>
            <w:tcW w:w="284" w:type="pct"/>
            <w:vMerge w:val="restart"/>
            <w:tcBorders>
              <w:top w:val="single" w:color="auto" w:sz="4" w:space="0"/>
              <w:left w:val="single" w:color="auto" w:sz="4" w:space="0"/>
              <w:bottom w:val="single" w:color="auto" w:sz="4" w:space="0"/>
              <w:right w:val="single" w:color="auto" w:sz="4" w:space="0"/>
            </w:tcBorders>
            <w:vAlign w:val="center"/>
          </w:tcPr>
          <w:p w14:paraId="7EAF04AD">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服务质量</w:t>
            </w:r>
          </w:p>
        </w:tc>
        <w:tc>
          <w:tcPr>
            <w:tcW w:w="410" w:type="pct"/>
            <w:tcBorders>
              <w:top w:val="single" w:color="auto" w:sz="4" w:space="0"/>
              <w:left w:val="single" w:color="auto" w:sz="4" w:space="0"/>
              <w:bottom w:val="single" w:color="auto" w:sz="4" w:space="0"/>
              <w:right w:val="single" w:color="auto" w:sz="4" w:space="0"/>
            </w:tcBorders>
            <w:vAlign w:val="center"/>
          </w:tcPr>
          <w:p w14:paraId="1B53513E">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任务协作</w:t>
            </w:r>
          </w:p>
        </w:tc>
        <w:tc>
          <w:tcPr>
            <w:tcW w:w="3383" w:type="pct"/>
            <w:tcBorders>
              <w:top w:val="single" w:color="auto" w:sz="4" w:space="0"/>
              <w:left w:val="single" w:color="auto" w:sz="4" w:space="0"/>
              <w:bottom w:val="single" w:color="auto" w:sz="4" w:space="0"/>
              <w:right w:val="single" w:color="auto" w:sz="4" w:space="0"/>
            </w:tcBorders>
            <w:vAlign w:val="center"/>
          </w:tcPr>
          <w:p w14:paraId="66607CAE">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协作综合行政执法局、交警大队完成相关延伸工作，不配合一次扣2分。</w:t>
            </w:r>
          </w:p>
        </w:tc>
        <w:tc>
          <w:tcPr>
            <w:tcW w:w="460" w:type="pct"/>
            <w:tcBorders>
              <w:top w:val="single" w:color="auto" w:sz="4" w:space="0"/>
              <w:left w:val="single" w:color="auto" w:sz="4" w:space="0"/>
              <w:bottom w:val="single" w:color="auto" w:sz="4" w:space="0"/>
              <w:right w:val="single" w:color="auto" w:sz="4" w:space="0"/>
            </w:tcBorders>
            <w:vAlign w:val="center"/>
          </w:tcPr>
          <w:p w14:paraId="1E9C122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restart"/>
            <w:tcBorders>
              <w:top w:val="single" w:color="auto" w:sz="4" w:space="0"/>
              <w:left w:val="single" w:color="auto" w:sz="4" w:space="0"/>
              <w:bottom w:val="single" w:color="auto" w:sz="4" w:space="0"/>
              <w:right w:val="single" w:color="auto" w:sz="4" w:space="0"/>
            </w:tcBorders>
            <w:vAlign w:val="center"/>
          </w:tcPr>
          <w:p w14:paraId="65014273">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p>
        </w:tc>
      </w:tr>
      <w:tr w14:paraId="1BA43A3B">
        <w:tblPrEx>
          <w:tblCellMar>
            <w:top w:w="0" w:type="dxa"/>
            <w:left w:w="108" w:type="dxa"/>
            <w:bottom w:w="0" w:type="dxa"/>
            <w:right w:w="108" w:type="dxa"/>
          </w:tblCellMar>
        </w:tblPrEx>
        <w:trPr>
          <w:trHeight w:val="311"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B78B1EC">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104E9FDA">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施工管理</w:t>
            </w:r>
          </w:p>
        </w:tc>
        <w:tc>
          <w:tcPr>
            <w:tcW w:w="3383" w:type="pct"/>
            <w:tcBorders>
              <w:top w:val="single" w:color="auto" w:sz="4" w:space="0"/>
              <w:left w:val="single" w:color="auto" w:sz="4" w:space="0"/>
              <w:bottom w:val="single" w:color="auto" w:sz="4" w:space="0"/>
              <w:right w:val="single" w:color="auto" w:sz="4" w:space="0"/>
            </w:tcBorders>
            <w:vAlign w:val="center"/>
          </w:tcPr>
          <w:p w14:paraId="33571E13">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文明施工，规定时间内，保质保量完成任务，达不到要求的发现一次扣3分。</w:t>
            </w:r>
          </w:p>
        </w:tc>
        <w:tc>
          <w:tcPr>
            <w:tcW w:w="460" w:type="pct"/>
            <w:tcBorders>
              <w:top w:val="single" w:color="auto" w:sz="4" w:space="0"/>
              <w:left w:val="single" w:color="auto" w:sz="4" w:space="0"/>
              <w:bottom w:val="single" w:color="auto" w:sz="4" w:space="0"/>
              <w:right w:val="single" w:color="auto" w:sz="4" w:space="0"/>
            </w:tcBorders>
            <w:vAlign w:val="center"/>
          </w:tcPr>
          <w:p w14:paraId="30299B5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473A1E2B">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41D58ED7">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065A9E69">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5D7BE5B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75290AA0">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承包方工作人员必须遵守劳动纪律，并服从管理，达不到要求的发现一次扣2分。</w:t>
            </w:r>
          </w:p>
        </w:tc>
        <w:tc>
          <w:tcPr>
            <w:tcW w:w="460" w:type="pct"/>
            <w:tcBorders>
              <w:top w:val="single" w:color="auto" w:sz="4" w:space="0"/>
              <w:left w:val="single" w:color="auto" w:sz="4" w:space="0"/>
              <w:bottom w:val="single" w:color="auto" w:sz="4" w:space="0"/>
              <w:right w:val="single" w:color="auto" w:sz="4" w:space="0"/>
            </w:tcBorders>
            <w:vAlign w:val="center"/>
          </w:tcPr>
          <w:p w14:paraId="42899835">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33A0FB4D">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1A020044">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38D5AE1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788475F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0CAEFEEB">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发生因施工质量、效率等引起大队、中队民警、城管市政物业投诉、新闻媒体曝光，一次扣0.5-3分。</w:t>
            </w:r>
          </w:p>
        </w:tc>
        <w:tc>
          <w:tcPr>
            <w:tcW w:w="460" w:type="pct"/>
            <w:tcBorders>
              <w:top w:val="single" w:color="auto" w:sz="4" w:space="0"/>
              <w:left w:val="single" w:color="auto" w:sz="4" w:space="0"/>
              <w:bottom w:val="single" w:color="auto" w:sz="4" w:space="0"/>
              <w:right w:val="single" w:color="auto" w:sz="4" w:space="0"/>
            </w:tcBorders>
            <w:vAlign w:val="center"/>
          </w:tcPr>
          <w:p w14:paraId="30764408">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441CA56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40ED6124">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59D0EBBF">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restart"/>
            <w:tcBorders>
              <w:top w:val="single" w:color="auto" w:sz="4" w:space="0"/>
              <w:left w:val="single" w:color="auto" w:sz="4" w:space="0"/>
              <w:bottom w:val="single" w:color="auto" w:sz="4" w:space="0"/>
              <w:right w:val="single" w:color="auto" w:sz="4" w:space="0"/>
            </w:tcBorders>
            <w:vAlign w:val="center"/>
          </w:tcPr>
          <w:p w14:paraId="3EF0DD52">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加分项</w:t>
            </w:r>
          </w:p>
        </w:tc>
        <w:tc>
          <w:tcPr>
            <w:tcW w:w="3383" w:type="pct"/>
            <w:tcBorders>
              <w:top w:val="single" w:color="auto" w:sz="4" w:space="0"/>
              <w:left w:val="single" w:color="auto" w:sz="4" w:space="0"/>
              <w:bottom w:val="single" w:color="auto" w:sz="4" w:space="0"/>
              <w:right w:val="single" w:color="auto" w:sz="4" w:space="0"/>
            </w:tcBorders>
            <w:vAlign w:val="center"/>
          </w:tcPr>
          <w:p w14:paraId="396771F3">
            <w:pPr>
              <w:widowControl w:val="0"/>
              <w:spacing w:after="0" w:line="240" w:lineRule="exact"/>
              <w:jc w:val="left"/>
              <w:rPr>
                <w:rFonts w:hint="eastAsia" w:ascii="宋体" w:hAnsi="宋体" w:eastAsia="宋体" w:cs="宋体"/>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快速响应综合行政执法局、交警大队工作要求，迅速到达现场处置的，酌情加分。</w:t>
            </w:r>
          </w:p>
        </w:tc>
        <w:tc>
          <w:tcPr>
            <w:tcW w:w="460" w:type="pct"/>
            <w:tcBorders>
              <w:top w:val="single" w:color="auto" w:sz="4" w:space="0"/>
              <w:left w:val="single" w:color="auto" w:sz="4" w:space="0"/>
              <w:bottom w:val="single" w:color="auto" w:sz="4" w:space="0"/>
              <w:right w:val="single" w:color="auto" w:sz="4" w:space="0"/>
            </w:tcBorders>
            <w:vAlign w:val="center"/>
          </w:tcPr>
          <w:p w14:paraId="508B44F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09E2128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100AFD40">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6DB4805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40AC506A">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2D95BF03">
            <w:pPr>
              <w:widowControl w:val="0"/>
              <w:spacing w:after="0" w:line="240" w:lineRule="exact"/>
              <w:jc w:val="left"/>
              <w:rPr>
                <w:rFonts w:hint="eastAsia" w:ascii="宋体" w:hAnsi="宋体" w:eastAsia="宋体" w:cs="宋体"/>
                <w:b/>
                <w:bCs/>
                <w:kern w:val="2"/>
                <w:sz w:val="21"/>
                <w:szCs w:val="21"/>
                <w:lang w:val="en-US" w:eastAsia="zh-CN" w:bidi="ar-SA"/>
                <w14:ligatures w14:val="standardContextual"/>
              </w:rPr>
            </w:pPr>
            <w:r>
              <w:rPr>
                <w:rFonts w:hint="eastAsia" w:ascii="宋体" w:hAnsi="宋体" w:eastAsia="宋体" w:cs="宋体"/>
                <w:kern w:val="0"/>
                <w:sz w:val="21"/>
                <w:szCs w:val="21"/>
                <w:lang w:val="en-US" w:eastAsia="zh-CN" w:bidi="ar-SA"/>
                <w14:ligatures w14:val="none"/>
              </w:rPr>
              <w:t>能结合维护工作提出有价值的交通设施优化举措，交通设施改进措施等合理化建议的，每一件奖2分。</w:t>
            </w:r>
          </w:p>
        </w:tc>
        <w:tc>
          <w:tcPr>
            <w:tcW w:w="460" w:type="pct"/>
            <w:tcBorders>
              <w:top w:val="single" w:color="auto" w:sz="4" w:space="0"/>
              <w:left w:val="single" w:color="auto" w:sz="4" w:space="0"/>
              <w:bottom w:val="single" w:color="auto" w:sz="4" w:space="0"/>
              <w:right w:val="single" w:color="auto" w:sz="4" w:space="0"/>
            </w:tcBorders>
            <w:vAlign w:val="center"/>
          </w:tcPr>
          <w:p w14:paraId="64CD9B0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3EC11337">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4E56C782">
        <w:tblPrEx>
          <w:tblCellMar>
            <w:top w:w="0" w:type="dxa"/>
            <w:left w:w="108" w:type="dxa"/>
            <w:bottom w:w="0" w:type="dxa"/>
            <w:right w:w="108" w:type="dxa"/>
          </w:tblCellMar>
        </w:tblPrEx>
        <w:trPr>
          <w:trHeight w:val="458" w:hRule="atLeast"/>
          <w:jc w:val="center"/>
        </w:trPr>
        <w:tc>
          <w:tcPr>
            <w:tcW w:w="284" w:type="pct"/>
            <w:vMerge w:val="continue"/>
            <w:tcBorders>
              <w:top w:val="single" w:color="auto" w:sz="4" w:space="0"/>
              <w:left w:val="single" w:color="auto" w:sz="4" w:space="0"/>
              <w:bottom w:val="single" w:color="auto" w:sz="4" w:space="0"/>
              <w:right w:val="single" w:color="auto" w:sz="4" w:space="0"/>
            </w:tcBorders>
            <w:vAlign w:val="center"/>
          </w:tcPr>
          <w:p w14:paraId="10A232AE">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10" w:type="pct"/>
            <w:vMerge w:val="continue"/>
            <w:tcBorders>
              <w:top w:val="single" w:color="auto" w:sz="4" w:space="0"/>
              <w:left w:val="single" w:color="auto" w:sz="4" w:space="0"/>
              <w:bottom w:val="single" w:color="auto" w:sz="4" w:space="0"/>
              <w:right w:val="single" w:color="auto" w:sz="4" w:space="0"/>
            </w:tcBorders>
            <w:vAlign w:val="center"/>
          </w:tcPr>
          <w:p w14:paraId="397EFA0E">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3383" w:type="pct"/>
            <w:tcBorders>
              <w:top w:val="single" w:color="auto" w:sz="4" w:space="0"/>
              <w:left w:val="single" w:color="auto" w:sz="4" w:space="0"/>
              <w:bottom w:val="single" w:color="auto" w:sz="4" w:space="0"/>
              <w:right w:val="single" w:color="auto" w:sz="4" w:space="0"/>
            </w:tcBorders>
            <w:vAlign w:val="center"/>
          </w:tcPr>
          <w:p w14:paraId="574BB171">
            <w:pPr>
              <w:widowControl w:val="0"/>
              <w:spacing w:after="0" w:line="240" w:lineRule="exact"/>
              <w:jc w:val="left"/>
              <w:rPr>
                <w:rFonts w:hint="eastAsia" w:ascii="宋体" w:hAnsi="宋体" w:eastAsia="宋体" w:cs="宋体"/>
                <w:b/>
                <w:bCs/>
                <w:kern w:val="0"/>
                <w:sz w:val="21"/>
                <w:szCs w:val="21"/>
                <w:lang w:val="en-US" w:eastAsia="zh-CN" w:bidi="ar-SA"/>
                <w14:ligatures w14:val="none"/>
              </w:rPr>
            </w:pPr>
            <w:r>
              <w:rPr>
                <w:rFonts w:hint="eastAsia" w:ascii="宋体" w:hAnsi="宋体" w:eastAsia="宋体" w:cs="宋体"/>
                <w:kern w:val="0"/>
                <w:sz w:val="21"/>
                <w:szCs w:val="21"/>
                <w:lang w:val="en-US" w:eastAsia="zh-CN" w:bidi="ar-SA"/>
                <w14:ligatures w14:val="none"/>
              </w:rPr>
              <w:t>配合综合行政执法局、交警大队安排的其他工作，积极配合的酌情加分。</w:t>
            </w:r>
          </w:p>
        </w:tc>
        <w:tc>
          <w:tcPr>
            <w:tcW w:w="460" w:type="pct"/>
            <w:tcBorders>
              <w:top w:val="single" w:color="auto" w:sz="4" w:space="0"/>
              <w:left w:val="single" w:color="auto" w:sz="4" w:space="0"/>
              <w:bottom w:val="single" w:color="auto" w:sz="4" w:space="0"/>
              <w:right w:val="single" w:color="auto" w:sz="4" w:space="0"/>
            </w:tcBorders>
            <w:vAlign w:val="center"/>
          </w:tcPr>
          <w:p w14:paraId="0DE32B66">
            <w:pPr>
              <w:widowControl w:val="0"/>
              <w:spacing w:after="0" w:line="240" w:lineRule="exact"/>
              <w:jc w:val="left"/>
              <w:rPr>
                <w:rFonts w:ascii="Times New Roman" w:hAnsi="Times New Roman" w:eastAsia="宋体" w:cs="Times New Roman"/>
                <w:kern w:val="0"/>
                <w:szCs w:val="21"/>
                <w:lang w:val="en-US" w:eastAsia="zh-CN" w:bidi="ar-SA"/>
                <w14:ligatures w14:val="none"/>
              </w:rPr>
            </w:pPr>
          </w:p>
        </w:tc>
        <w:tc>
          <w:tcPr>
            <w:tcW w:w="463" w:type="pct"/>
            <w:vMerge w:val="continue"/>
            <w:tcBorders>
              <w:top w:val="single" w:color="auto" w:sz="4" w:space="0"/>
              <w:left w:val="single" w:color="auto" w:sz="4" w:space="0"/>
              <w:bottom w:val="single" w:color="auto" w:sz="4" w:space="0"/>
              <w:right w:val="single" w:color="auto" w:sz="4" w:space="0"/>
            </w:tcBorders>
            <w:vAlign w:val="center"/>
          </w:tcPr>
          <w:p w14:paraId="5F049862">
            <w:pPr>
              <w:widowControl w:val="0"/>
              <w:spacing w:after="0" w:line="240" w:lineRule="exact"/>
              <w:jc w:val="left"/>
              <w:rPr>
                <w:rFonts w:ascii="Times New Roman" w:hAnsi="Times New Roman" w:eastAsia="宋体" w:cs="Times New Roman"/>
                <w:kern w:val="0"/>
                <w:szCs w:val="21"/>
                <w:lang w:val="en-US" w:eastAsia="zh-CN" w:bidi="ar-SA"/>
                <w14:ligatures w14:val="none"/>
              </w:rPr>
            </w:pPr>
          </w:p>
        </w:tc>
      </w:tr>
      <w:tr w14:paraId="51595CBD">
        <w:tblPrEx>
          <w:tblCellMar>
            <w:top w:w="0" w:type="dxa"/>
            <w:left w:w="108" w:type="dxa"/>
            <w:bottom w:w="0" w:type="dxa"/>
            <w:right w:w="108" w:type="dxa"/>
          </w:tblCellMar>
        </w:tblPrEx>
        <w:trPr>
          <w:trHeight w:val="311"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7230B33F">
            <w:pPr>
              <w:widowControl w:val="0"/>
              <w:spacing w:after="0" w:line="240" w:lineRule="exact"/>
              <w:jc w:val="left"/>
              <w:rPr>
                <w:rFonts w:hint="eastAsia"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总扣分数:</w:t>
            </w:r>
          </w:p>
        </w:tc>
      </w:tr>
      <w:tr w14:paraId="14869796">
        <w:tblPrEx>
          <w:tblCellMar>
            <w:top w:w="0" w:type="dxa"/>
            <w:left w:w="108" w:type="dxa"/>
            <w:bottom w:w="0" w:type="dxa"/>
            <w:right w:w="108" w:type="dxa"/>
          </w:tblCellMar>
        </w:tblPrEx>
        <w:trPr>
          <w:trHeight w:val="392" w:hRule="atLeast"/>
          <w:jc w:val="center"/>
        </w:trPr>
        <w:tc>
          <w:tcPr>
            <w:tcW w:w="5000" w:type="pct"/>
            <w:gridSpan w:val="5"/>
            <w:tcBorders>
              <w:top w:val="single" w:color="auto" w:sz="4" w:space="0"/>
              <w:left w:val="single" w:color="auto" w:sz="4" w:space="0"/>
              <w:bottom w:val="single" w:color="auto" w:sz="4" w:space="0"/>
              <w:right w:val="single" w:color="auto" w:sz="4" w:space="0"/>
            </w:tcBorders>
            <w:vAlign w:val="center"/>
          </w:tcPr>
          <w:p w14:paraId="6C47AB61">
            <w:pPr>
              <w:widowControl w:val="0"/>
              <w:spacing w:after="0" w:line="240" w:lineRule="exact"/>
              <w:jc w:val="left"/>
              <w:rPr>
                <w:rFonts w:ascii="Times New Roman" w:hAnsi="Times New Roman" w:eastAsia="宋体" w:cs="Times New Roman"/>
                <w:kern w:val="0"/>
                <w:szCs w:val="21"/>
                <w:lang w:val="en-US" w:eastAsia="zh-CN" w:bidi="ar-SA"/>
                <w14:ligatures w14:val="none"/>
              </w:rPr>
            </w:pPr>
            <w:r>
              <w:rPr>
                <w:rFonts w:hint="eastAsia" w:ascii="Times New Roman" w:hAnsi="Times New Roman" w:eastAsia="宋体" w:cs="Times New Roman"/>
                <w:kern w:val="0"/>
                <w:szCs w:val="21"/>
                <w:lang w:val="en-US" w:eastAsia="zh-CN" w:bidi="ar-SA"/>
                <w14:ligatures w14:val="none"/>
              </w:rPr>
              <w:t>考核人：</w:t>
            </w:r>
          </w:p>
        </w:tc>
      </w:tr>
      <w:bookmarkEnd w:id="1"/>
    </w:tbl>
    <w:p w14:paraId="01253334">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注：1.本考核表作为养护合同的附件以及养护费用支付的依据。</w:t>
      </w:r>
    </w:p>
    <w:p w14:paraId="0B29F915">
      <w:pPr>
        <w:widowControl w:val="0"/>
        <w:spacing w:before="62" w:after="93" w:line="300" w:lineRule="auto"/>
        <w:ind w:firstLine="480" w:firstLineChars="200"/>
        <w:jc w:val="both"/>
        <w:rPr>
          <w:rFonts w:ascii="Times New Roman" w:hAnsi="Times New Roman" w:eastAsia="宋体" w:cs="Times New Roman"/>
          <w:kern w:val="2"/>
          <w:sz w:val="24"/>
          <w:szCs w:val="24"/>
          <w:lang w:val="zh-CN" w:eastAsia="zh-CN" w:bidi="ar-SA"/>
        </w:rPr>
      </w:pPr>
      <w:r>
        <w:rPr>
          <w:rFonts w:ascii="Times New Roman" w:hAnsi="Times New Roman" w:eastAsia="宋体" w:cs="Times New Roman"/>
          <w:kern w:val="2"/>
          <w:sz w:val="24"/>
          <w:szCs w:val="24"/>
          <w:lang w:val="zh-CN" w:eastAsia="zh-CN" w:bidi="ar-SA"/>
        </w:rPr>
        <w:t>2.本考核办法，分数与资金挂钩，每分1000元。具体实施归采购人负责解释。</w:t>
      </w:r>
    </w:p>
    <w:p w14:paraId="0716CC01">
      <w:pPr>
        <w:widowControl/>
        <w:numPr>
          <w:ilvl w:val="0"/>
          <w:numId w:val="0"/>
        </w:numPr>
        <w:pBdr>
          <w:top w:val="none" w:color="000000" w:sz="0" w:space="0"/>
          <w:left w:val="none" w:color="000000" w:sz="0" w:space="0"/>
          <w:bottom w:val="none" w:color="000000" w:sz="0" w:space="0"/>
          <w:right w:val="none" w:color="000000" w:sz="0" w:space="0"/>
        </w:pBdr>
        <w:spacing w:before="240" w:after="240" w:line="85" w:lineRule="atLeast"/>
        <w:ind w:leftChars="0" w:right="0" w:rightChars="0"/>
        <w:jc w:val="both"/>
        <w:rPr>
          <w:rFonts w:ascii="宋体" w:hAnsi="宋体" w:eastAsia="宋体" w:cs="宋体"/>
          <w:b/>
          <w:color w:val="000000"/>
          <w:kern w:val="0"/>
          <w:sz w:val="30"/>
          <w:szCs w:val="22"/>
          <w:u w:val="none"/>
          <w:lang/>
        </w:rPr>
      </w:pPr>
      <w:r>
        <w:rPr>
          <w:rFonts w:ascii="Times New Roman" w:hAnsi="Times New Roman" w:eastAsia="宋体" w:cs="Times New Roman"/>
          <w:kern w:val="2"/>
          <w:sz w:val="24"/>
          <w:szCs w:val="24"/>
          <w:lang w:val="zh-CN" w:eastAsia="zh-CN" w:bidi="ar-SA"/>
        </w:rPr>
        <w:t>二十二、其他要求：见《拟签订的合同文本》。</w:t>
      </w:r>
    </w:p>
    <w:p w14:paraId="65D279A6">
      <w:pPr>
        <w:keepNext w:val="0"/>
        <w:keepLines w:val="0"/>
        <w:pageBreakBefore w:val="0"/>
        <w:widowControl/>
        <w:kinsoku/>
        <w:wordWrap/>
        <w:overflowPunct/>
        <w:topLinePunct w:val="0"/>
        <w:autoSpaceDE/>
        <w:autoSpaceDN/>
        <w:bidi w:val="0"/>
        <w:adjustRightInd/>
        <w:snapToGrid/>
        <w:spacing w:line="360" w:lineRule="auto"/>
        <w:ind w:firstLine="560" w:firstLineChars="200"/>
        <w:jc w:val="left"/>
        <w:textAlignment w:val="auto"/>
        <w:outlineLvl w:val="9"/>
        <w:rPr>
          <w:rFonts w:hint="eastAsia" w:ascii="宋体" w:hAnsi="宋体" w:eastAsia="宋体" w:cs="宋体"/>
          <w:kern w:val="0"/>
          <w:sz w:val="28"/>
          <w:szCs w:val="28"/>
        </w:rPr>
      </w:pPr>
    </w:p>
    <w:p w14:paraId="3C3312F5"/>
    <w:sectPr>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admin" w:date="2026-08-20T16:36:31Z" w:initials="a">
    <w:p w14:paraId="65FCC338">
      <w:pPr>
        <w:jc w:val="left"/>
        <w:rPr>
          <w:rFonts w:ascii="Arial" w:hAnsi="Arial" w:eastAsia="Arial" w:cs="Times New Roman"/>
          <w:sz w:val="21"/>
          <w:szCs w:val="22"/>
        </w:rPr>
      </w:pPr>
      <w: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5FCC338"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modern"/>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4DB0EF3"/>
    <w:multiLevelType w:val="singleLevel"/>
    <w:tmpl w:val="64DB0EF3"/>
    <w:lvl w:ilvl="0" w:tentative="0">
      <w:start w:val="6"/>
      <w:numFmt w:val="chineseCounting"/>
      <w:suff w:val="space"/>
      <w:lvlText w:val="第%1章"/>
      <w:lvlJc w:val="left"/>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admin">
    <w15:presenceInfo w15:providerId="None" w15:userId="admi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1C414C"/>
    <w:rsid w:val="62CB1620"/>
    <w:rsid w:val="6B60063C"/>
    <w:rsid w:val="7F1C41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79</Words>
  <Characters>91</Characters>
  <Lines>0</Lines>
  <Paragraphs>0</Paragraphs>
  <TotalTime>0</TotalTime>
  <ScaleCrop>false</ScaleCrop>
  <LinksUpToDate>false</LinksUpToDate>
  <CharactersWithSpaces>99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2026-08-20T06:10:00Z</dcterms:created>
  <dc:creator>admin</dc:creator>
  <cp:lastModifiedBy>admin</cp:lastModifiedBy>
  <dcterms:modified xsi:type="dcterms:W3CDTF">2026-08-21T06:31:51Z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0DE9EC3F643D4A64AA038EB39223B199_11</vt:lpwstr>
  </property>
  <property fmtid="{D5CDD505-2E9C-101B-9397-08002B2CF9AE}" pid="4" name="KSOTemplateDocerSaveRecord">
    <vt:lpwstr>eyJoZGlkIjoiM2ExN2NkM2I4MDFjMjBhMWJkYzk1MGZjMWZkN2E3YzciLCJ1c2VySWQiOiIyMDE3NTQ4NDIifQ==</vt:lpwstr>
  </property>
</Properties>
</file>