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50C9D3">
      <w:pPr>
        <w:spacing w:line="360" w:lineRule="auto"/>
        <w:ind w:firstLine="480"/>
        <w:rPr>
          <w:rFonts w:hint="eastAsia" w:ascii="宋体" w:hAnsi="宋体" w:eastAsia="宋体" w:cs="宋体"/>
          <w:sz w:val="28"/>
          <w:szCs w:val="28"/>
          <w:lang w:eastAsia="zh-CN"/>
        </w:rPr>
      </w:pPr>
      <w:r>
        <w:rPr>
          <w:rFonts w:hint="eastAsia" w:ascii="宋体" w:hAnsi="宋体" w:eastAsia="宋体" w:cs="宋体"/>
          <w:sz w:val="28"/>
          <w:szCs w:val="28"/>
          <w:lang w:eastAsia="zh-CN"/>
        </w:rPr>
        <w:t>如有建议或意见，请以书面形式并加盖公章、注明联系人、联系方式，于</w:t>
      </w:r>
      <w:r>
        <w:rPr>
          <w:rFonts w:hint="eastAsia" w:ascii="宋体" w:hAnsi="宋体" w:eastAsia="宋体" w:cs="宋体"/>
          <w:sz w:val="28"/>
          <w:szCs w:val="28"/>
          <w:lang w:val="en-US" w:eastAsia="zh-CN"/>
        </w:rPr>
        <w:t>2026</w:t>
      </w:r>
      <w:r>
        <w:rPr>
          <w:rFonts w:hint="eastAsia" w:ascii="宋体" w:hAnsi="宋体" w:eastAsia="宋体" w:cs="宋体"/>
          <w:sz w:val="28"/>
          <w:szCs w:val="28"/>
          <w:lang w:eastAsia="zh-CN"/>
        </w:rPr>
        <w:t>年</w:t>
      </w:r>
      <w:r>
        <w:rPr>
          <w:rFonts w:hint="eastAsia" w:ascii="宋体" w:hAnsi="宋体" w:eastAsia="宋体" w:cs="宋体"/>
          <w:sz w:val="28"/>
          <w:szCs w:val="28"/>
          <w:lang w:val="en-US" w:eastAsia="zh-CN"/>
        </w:rPr>
        <w:t>08月</w:t>
      </w:r>
      <w:r>
        <w:rPr>
          <w:rFonts w:hint="eastAsia" w:ascii="宋体" w:hAnsi="宋体" w:cs="宋体"/>
          <w:sz w:val="28"/>
          <w:szCs w:val="28"/>
          <w:lang w:val="en-US" w:eastAsia="zh-CN"/>
        </w:rPr>
        <w:t>11</w:t>
      </w:r>
      <w:r>
        <w:rPr>
          <w:rFonts w:hint="eastAsia" w:ascii="宋体" w:hAnsi="宋体" w:eastAsia="宋体" w:cs="宋体"/>
          <w:sz w:val="28"/>
          <w:szCs w:val="28"/>
          <w:lang w:val="en-US" w:eastAsia="zh-CN"/>
        </w:rPr>
        <w:t>日</w:t>
      </w:r>
      <w:r>
        <w:rPr>
          <w:rFonts w:hint="eastAsia" w:ascii="宋体" w:hAnsi="宋体" w:eastAsia="宋体" w:cs="宋体"/>
          <w:sz w:val="28"/>
          <w:szCs w:val="28"/>
          <w:lang w:eastAsia="zh-CN"/>
        </w:rPr>
        <w:t>之前送至我单位，逾期不受理（如邮寄，</w:t>
      </w:r>
      <w:r>
        <w:rPr>
          <w:rFonts w:hint="eastAsia" w:ascii="宋体" w:hAnsi="宋体" w:eastAsia="宋体" w:cs="宋体"/>
          <w:sz w:val="28"/>
          <w:szCs w:val="28"/>
          <w:lang w:val="en-US" w:eastAsia="zh-CN"/>
        </w:rPr>
        <w:t>2026</w:t>
      </w:r>
      <w:r>
        <w:rPr>
          <w:rFonts w:hint="eastAsia" w:ascii="宋体" w:hAnsi="宋体" w:eastAsia="宋体" w:cs="宋体"/>
          <w:sz w:val="28"/>
          <w:szCs w:val="28"/>
          <w:lang w:eastAsia="zh-CN"/>
        </w:rPr>
        <w:t>年</w:t>
      </w:r>
      <w:r>
        <w:rPr>
          <w:rFonts w:hint="eastAsia" w:ascii="宋体" w:hAnsi="宋体" w:cs="宋体"/>
          <w:sz w:val="28"/>
          <w:szCs w:val="28"/>
          <w:lang w:val="en-US" w:eastAsia="zh-CN"/>
        </w:rPr>
        <w:t>08</w:t>
      </w:r>
      <w:r>
        <w:rPr>
          <w:rFonts w:hint="eastAsia" w:ascii="宋体" w:hAnsi="宋体" w:eastAsia="宋体" w:cs="宋体"/>
          <w:sz w:val="28"/>
          <w:szCs w:val="28"/>
          <w:lang w:val="en-US" w:eastAsia="zh-CN"/>
        </w:rPr>
        <w:t>月</w:t>
      </w:r>
      <w:r>
        <w:rPr>
          <w:rFonts w:hint="eastAsia" w:ascii="宋体" w:hAnsi="宋体" w:cs="宋体"/>
          <w:sz w:val="28"/>
          <w:szCs w:val="28"/>
          <w:lang w:val="en-US" w:eastAsia="zh-CN"/>
        </w:rPr>
        <w:t>11</w:t>
      </w:r>
      <w:bookmarkStart w:id="10" w:name="_GoBack"/>
      <w:bookmarkEnd w:id="10"/>
      <w:r>
        <w:rPr>
          <w:rFonts w:hint="eastAsia" w:ascii="宋体" w:hAnsi="宋体" w:eastAsia="宋体" w:cs="宋体"/>
          <w:sz w:val="28"/>
          <w:szCs w:val="28"/>
          <w:lang w:val="en-US" w:eastAsia="zh-CN"/>
        </w:rPr>
        <w:t>日</w:t>
      </w:r>
      <w:r>
        <w:rPr>
          <w:rFonts w:hint="eastAsia" w:ascii="宋体" w:hAnsi="宋体" w:eastAsia="宋体" w:cs="宋体"/>
          <w:sz w:val="28"/>
          <w:szCs w:val="28"/>
          <w:lang w:eastAsia="zh-CN"/>
        </w:rPr>
        <w:t>之后到达本单位的邮件将不再受理）。</w:t>
      </w:r>
    </w:p>
    <w:p w14:paraId="495DD4F3">
      <w:pPr>
        <w:rPr>
          <w:rFonts w:hint="eastAsia" w:ascii="宋体" w:hAnsi="宋体" w:eastAsia="宋体" w:cs="宋体"/>
          <w:b/>
          <w:bCs/>
          <w:sz w:val="28"/>
          <w:szCs w:val="28"/>
        </w:rPr>
      </w:pPr>
      <w:r>
        <w:rPr>
          <w:rFonts w:hint="eastAsia" w:ascii="宋体" w:hAnsi="宋体" w:eastAsia="宋体" w:cs="宋体"/>
          <w:b/>
          <w:bCs/>
          <w:sz w:val="28"/>
          <w:szCs w:val="28"/>
        </w:rPr>
        <w:br w:type="page"/>
      </w:r>
    </w:p>
    <w:p w14:paraId="4E66DE89">
      <w:pPr>
        <w:pStyle w:val="4"/>
        <w:keepNext w:val="0"/>
        <w:keepLines w:val="0"/>
        <w:pageBreakBefore w:val="0"/>
        <w:widowControl/>
        <w:kinsoku/>
        <w:wordWrap/>
        <w:overflowPunct/>
        <w:topLinePunct w:val="0"/>
        <w:autoSpaceDE/>
        <w:autoSpaceDN/>
        <w:bidi w:val="0"/>
        <w:adjustRightInd w:val="0"/>
        <w:snapToGrid w:val="0"/>
        <w:spacing w:line="360" w:lineRule="auto"/>
        <w:ind w:left="0" w:leftChars="0" w:right="0" w:firstLine="0" w:firstLineChars="0"/>
        <w:jc w:val="center"/>
        <w:textAlignment w:val="auto"/>
        <w:rPr>
          <w:rFonts w:hint="eastAsia" w:ascii="宋体" w:hAnsi="宋体" w:eastAsia="宋体" w:cs="宋体"/>
          <w:b/>
          <w:bCs/>
          <w:sz w:val="28"/>
          <w:szCs w:val="28"/>
        </w:rPr>
      </w:pPr>
      <w:r>
        <w:rPr>
          <w:rFonts w:hint="eastAsia" w:ascii="宋体" w:hAnsi="宋体" w:eastAsia="宋体" w:cs="宋体"/>
          <w:b/>
          <w:bCs/>
          <w:sz w:val="28"/>
          <w:szCs w:val="28"/>
        </w:rPr>
        <w:t>采 购 需 求</w:t>
      </w:r>
    </w:p>
    <w:p w14:paraId="1890123F">
      <w:pPr>
        <w:pStyle w:val="4"/>
        <w:spacing w:line="360" w:lineRule="auto"/>
        <w:ind w:firstLine="48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一、本项目不接受超过</w:t>
      </w:r>
      <w:r>
        <w:rPr>
          <w:rFonts w:hint="eastAsia" w:ascii="宋体" w:hAnsi="宋体" w:eastAsia="宋体" w:cs="宋体"/>
          <w:b/>
          <w:bCs/>
          <w:color w:val="auto"/>
          <w:sz w:val="24"/>
          <w:highlight w:val="none"/>
          <w:u w:val="single"/>
          <w:lang w:val="en-US" w:eastAsia="zh-CN"/>
        </w:rPr>
        <w:t>380.015262</w:t>
      </w:r>
      <w:r>
        <w:rPr>
          <w:rFonts w:hint="eastAsia" w:ascii="宋体" w:hAnsi="宋体" w:cs="宋体"/>
          <w:b/>
          <w:bCs/>
          <w:color w:val="auto"/>
          <w:sz w:val="24"/>
          <w:highlight w:val="none"/>
          <w:u w:val="single"/>
          <w:lang w:val="en-US" w:eastAsia="zh-CN"/>
        </w:rPr>
        <w:t>万</w:t>
      </w:r>
      <w:r>
        <w:rPr>
          <w:rFonts w:hint="eastAsia" w:ascii="宋体" w:hAnsi="宋体" w:eastAsia="宋体" w:cs="宋体"/>
          <w:b/>
          <w:bCs/>
          <w:color w:val="auto"/>
          <w:sz w:val="24"/>
          <w:highlight w:val="none"/>
        </w:rPr>
        <w:t>元</w:t>
      </w:r>
      <w:r>
        <w:rPr>
          <w:rFonts w:hint="eastAsia" w:ascii="宋体" w:hAnsi="宋体" w:eastAsia="宋体" w:cs="宋体"/>
          <w:b/>
          <w:bCs/>
          <w:color w:val="auto"/>
          <w:sz w:val="24"/>
          <w:highlight w:val="none"/>
          <w:lang w:val="en-US" w:eastAsia="zh-CN"/>
        </w:rPr>
        <w:t>（采购项目预算金额）</w:t>
      </w:r>
      <w:r>
        <w:rPr>
          <w:rFonts w:hint="eastAsia" w:ascii="宋体" w:hAnsi="宋体" w:eastAsia="宋体" w:cs="宋体"/>
          <w:b/>
          <w:bCs/>
          <w:color w:val="auto"/>
          <w:sz w:val="24"/>
          <w:highlight w:val="none"/>
        </w:rPr>
        <w:t>，其中</w:t>
      </w:r>
      <w:r>
        <w:rPr>
          <w:rFonts w:hint="eastAsia" w:ascii="宋体" w:hAnsi="宋体" w:eastAsia="宋体" w:cs="宋体"/>
          <w:b/>
          <w:bCs/>
          <w:color w:val="auto"/>
          <w:sz w:val="24"/>
          <w:highlight w:val="none"/>
          <w:lang w:val="en-US" w:eastAsia="zh-CN"/>
        </w:rPr>
        <w:t>基础运维费用不得高于1538620.29元，备品备件费用不得高于1520695.605元，</w:t>
      </w:r>
      <w:r>
        <w:rPr>
          <w:rFonts w:hint="eastAsia" w:ascii="宋体" w:hAnsi="宋体" w:cs="宋体"/>
          <w:b/>
          <w:bCs/>
          <w:color w:val="auto"/>
          <w:sz w:val="24"/>
          <w:highlight w:val="none"/>
          <w:lang w:val="en-US" w:eastAsia="zh-CN"/>
        </w:rPr>
        <w:t>链路租赁</w:t>
      </w:r>
      <w:r>
        <w:rPr>
          <w:rFonts w:hint="eastAsia" w:ascii="宋体" w:hAnsi="宋体" w:eastAsia="宋体" w:cs="宋体"/>
          <w:b/>
          <w:bCs/>
          <w:color w:val="auto"/>
          <w:sz w:val="24"/>
          <w:highlight w:val="none"/>
        </w:rPr>
        <w:t>费用不得高于</w:t>
      </w:r>
      <w:r>
        <w:rPr>
          <w:rFonts w:hint="eastAsia" w:ascii="宋体" w:hAnsi="宋体" w:eastAsia="宋体" w:cs="宋体"/>
          <w:b/>
          <w:bCs/>
          <w:color w:val="auto"/>
          <w:sz w:val="24"/>
          <w:highlight w:val="none"/>
          <w:lang w:val="en-US" w:eastAsia="zh-CN"/>
        </w:rPr>
        <w:t>740836.725</w:t>
      </w:r>
      <w:r>
        <w:rPr>
          <w:rFonts w:hint="eastAsia" w:ascii="宋体" w:hAnsi="宋体" w:eastAsia="宋体" w:cs="宋体"/>
          <w:b/>
          <w:bCs/>
          <w:color w:val="auto"/>
          <w:sz w:val="24"/>
          <w:highlight w:val="none"/>
        </w:rPr>
        <w:t>元</w:t>
      </w:r>
      <w:r>
        <w:rPr>
          <w:rFonts w:hint="eastAsia" w:ascii="宋体" w:hAnsi="宋体" w:eastAsia="宋体" w:cs="宋体"/>
          <w:b/>
          <w:bCs/>
          <w:color w:val="auto"/>
          <w:sz w:val="24"/>
          <w:highlight w:val="none"/>
        </w:rPr>
        <w:t>。</w:t>
      </w:r>
      <w:r>
        <w:rPr>
          <w:rFonts w:hint="eastAsia" w:ascii="宋体" w:hAnsi="宋体" w:eastAsia="宋体" w:cs="宋体"/>
          <w:bCs/>
          <w:color w:val="auto"/>
          <w:sz w:val="24"/>
          <w:highlight w:val="none"/>
        </w:rPr>
        <w:t>报价包括产品价、税金、运费、安装调试、检验、保险等全部费用。采购人不再支付报价以外的任何费用</w:t>
      </w:r>
      <w:r>
        <w:rPr>
          <w:rFonts w:hint="eastAsia" w:ascii="宋体" w:hAnsi="宋体" w:eastAsia="宋体" w:cs="宋体"/>
          <w:b/>
          <w:color w:val="auto"/>
          <w:sz w:val="24"/>
          <w:highlight w:val="none"/>
        </w:rPr>
        <w:t>。</w:t>
      </w:r>
    </w:p>
    <w:p w14:paraId="2C13C056">
      <w:pPr>
        <w:pStyle w:val="8"/>
        <w:widowControl/>
        <w:spacing w:line="360" w:lineRule="auto"/>
        <w:ind w:firstLine="482"/>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二、项目简介：</w:t>
      </w:r>
    </w:p>
    <w:p w14:paraId="710D1A19">
      <w:pPr>
        <w:pStyle w:val="4"/>
        <w:spacing w:line="360" w:lineRule="auto"/>
        <w:ind w:firstLine="48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铜山区视频监控维保项目主要是维护铜山区范围内建设的监控点</w:t>
      </w:r>
      <w:r>
        <w:rPr>
          <w:rFonts w:hint="eastAsia" w:ascii="仿宋" w:hAnsi="仿宋" w:eastAsia="仿宋"/>
          <w:bCs/>
          <w:color w:val="auto"/>
          <w:sz w:val="24"/>
          <w:highlight w:val="none"/>
          <w:lang w:val="en-US" w:eastAsia="zh-CN"/>
        </w:rPr>
        <w:t>3520</w:t>
      </w:r>
      <w:r>
        <w:rPr>
          <w:rFonts w:hint="eastAsia" w:ascii="宋体" w:hAnsi="宋体" w:eastAsia="宋体" w:cs="宋体"/>
          <w:bCs/>
          <w:color w:val="auto"/>
          <w:sz w:val="24"/>
          <w:highlight w:val="none"/>
        </w:rPr>
        <w:t>处。视频监控维保项目由前端子系统、网络传输子系统以及后端管理子系统三大部分组成，实现对路口机动车的自动抓拍、记录、传输和处理，同时系统还兼具录像功能，能够实时记录通行车辆信息。</w:t>
      </w:r>
    </w:p>
    <w:p w14:paraId="0FF9A8FD">
      <w:pPr>
        <w:pStyle w:val="9"/>
        <w:spacing w:after="0" w:line="360" w:lineRule="auto"/>
        <w:ind w:left="0" w:firstLine="480"/>
        <w:rPr>
          <w:rFonts w:hint="eastAsia" w:ascii="宋体" w:hAnsi="宋体" w:eastAsia="宋体" w:cs="宋体"/>
          <w:b/>
          <w:color w:val="auto"/>
          <w:sz w:val="24"/>
          <w:highlight w:val="none"/>
        </w:rPr>
      </w:pPr>
      <w:r>
        <w:rPr>
          <w:rFonts w:hint="eastAsia" w:ascii="宋体" w:hAnsi="宋体" w:cs="宋体"/>
          <w:bCs/>
          <w:color w:val="auto"/>
          <w:sz w:val="24"/>
          <w:highlight w:val="none"/>
          <w:lang w:val="en-US" w:eastAsia="zh-CN"/>
        </w:rPr>
        <w:t>项目</w:t>
      </w:r>
      <w:r>
        <w:rPr>
          <w:rFonts w:hint="eastAsia" w:ascii="宋体" w:hAnsi="宋体" w:eastAsia="宋体" w:cs="宋体"/>
          <w:bCs/>
          <w:color w:val="auto"/>
          <w:sz w:val="24"/>
          <w:highlight w:val="none"/>
        </w:rPr>
        <w:t>维保时间为</w:t>
      </w:r>
      <w:r>
        <w:rPr>
          <w:rFonts w:hint="eastAsia" w:ascii="宋体" w:hAnsi="宋体" w:eastAsia="宋体" w:cs="宋体"/>
          <w:b/>
          <w:color w:val="auto"/>
          <w:sz w:val="24"/>
          <w:highlight w:val="none"/>
        </w:rPr>
        <w:t>1年，具体时间以合同规定时间为准。</w:t>
      </w:r>
    </w:p>
    <w:p w14:paraId="408C1EC3">
      <w:pPr>
        <w:pStyle w:val="9"/>
        <w:spacing w:after="0" w:line="360" w:lineRule="auto"/>
        <w:ind w:left="0" w:firstLine="48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在线率：≥95%</w:t>
      </w:r>
    </w:p>
    <w:p w14:paraId="1AD7209C">
      <w:pPr>
        <w:pStyle w:val="9"/>
        <w:spacing w:line="360" w:lineRule="auto"/>
        <w:ind w:left="0" w:firstLine="48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维保范围包括：技防城、三道防线、测速卡口、道路320、雪亮工程、闯红灯自动记录系统、</w:t>
      </w:r>
      <w:r>
        <w:rPr>
          <w:rFonts w:hint="eastAsia" w:ascii="宋体" w:hAnsi="宋体" w:eastAsia="宋体" w:cs="宋体"/>
          <w:bCs/>
          <w:color w:val="auto"/>
          <w:sz w:val="24"/>
          <w:highlight w:val="none"/>
          <w:lang w:val="en-US" w:eastAsia="zh-CN"/>
        </w:rPr>
        <w:t>报警柱、高空瞭望、图像设备</w:t>
      </w:r>
      <w:r>
        <w:rPr>
          <w:rFonts w:hint="eastAsia" w:ascii="宋体" w:hAnsi="宋体" w:eastAsia="宋体" w:cs="宋体"/>
          <w:bCs/>
          <w:color w:val="auto"/>
          <w:sz w:val="24"/>
          <w:highlight w:val="none"/>
        </w:rPr>
        <w:t>、</w:t>
      </w:r>
      <w:r>
        <w:rPr>
          <w:rFonts w:hint="eastAsia" w:ascii="宋体" w:hAnsi="宋体" w:eastAsia="宋体" w:cs="宋体"/>
          <w:bCs/>
          <w:color w:val="auto"/>
          <w:sz w:val="24"/>
          <w:highlight w:val="none"/>
          <w:lang w:val="en-US" w:eastAsia="zh-CN"/>
        </w:rPr>
        <w:t>市局移交、</w:t>
      </w:r>
      <w:r>
        <w:rPr>
          <w:rFonts w:hint="eastAsia" w:ascii="宋体" w:hAnsi="宋体" w:eastAsia="宋体" w:cs="宋体"/>
          <w:bCs/>
          <w:color w:val="auto"/>
          <w:sz w:val="24"/>
          <w:highlight w:val="none"/>
        </w:rPr>
        <w:t>政府移交项目、宗教场所的全系统前后端设备、立杆、平台的维护保养，负责前端设备的用电</w:t>
      </w:r>
      <w:r>
        <w:rPr>
          <w:rFonts w:hint="eastAsia" w:ascii="宋体" w:hAnsi="宋体" w:eastAsia="宋体" w:cs="宋体"/>
          <w:bCs/>
          <w:color w:val="auto"/>
          <w:sz w:val="24"/>
          <w:highlight w:val="none"/>
          <w:lang w:val="en-US" w:eastAsia="zh-CN"/>
        </w:rPr>
        <w:t>保障</w:t>
      </w:r>
      <w:r>
        <w:rPr>
          <w:rFonts w:hint="eastAsia" w:ascii="宋体" w:hAnsi="宋体" w:eastAsia="宋体" w:cs="宋体"/>
          <w:bCs/>
          <w:color w:val="auto"/>
          <w:sz w:val="24"/>
          <w:highlight w:val="none"/>
        </w:rPr>
        <w:t>，负责数据传输专线的接入并承担使用费用。在设备接入、使用、维护保养中出现的问题。</w:t>
      </w:r>
    </w:p>
    <w:p w14:paraId="05F56A12">
      <w:pPr>
        <w:pStyle w:val="4"/>
        <w:numPr>
          <w:ilvl w:val="0"/>
          <w:numId w:val="1"/>
        </w:numPr>
        <w:spacing w:after="156" w:line="360" w:lineRule="auto"/>
        <w:ind w:firstLine="241"/>
        <w:rPr>
          <w:rFonts w:hint="eastAsia" w:ascii="宋体" w:hAnsi="宋体" w:eastAsia="宋体" w:cs="宋体"/>
          <w:b/>
          <w:bCs/>
          <w:color w:val="auto"/>
          <w:sz w:val="24"/>
          <w:szCs w:val="24"/>
          <w:highlight w:val="none"/>
          <w:lang w:val="en-US" w:eastAsia="zh-CN" w:bidi="ar-SA"/>
        </w:rPr>
      </w:pPr>
      <w:r>
        <w:rPr>
          <w:rFonts w:hint="eastAsia" w:ascii="宋体" w:hAnsi="宋体" w:eastAsia="宋体" w:cs="宋体"/>
          <w:b/>
          <w:bCs/>
          <w:color w:val="auto"/>
          <w:sz w:val="24"/>
          <w:szCs w:val="24"/>
          <w:highlight w:val="none"/>
          <w:lang w:val="en-US" w:eastAsia="zh-CN" w:bidi="ar-SA"/>
        </w:rPr>
        <w:t>监控维保及备品备件清单</w:t>
      </w:r>
    </w:p>
    <w:tbl>
      <w:tblPr>
        <w:tblStyle w:val="2"/>
        <w:tblW w:w="9498" w:type="dxa"/>
        <w:tblInd w:w="108" w:type="dxa"/>
        <w:tblLayout w:type="autofit"/>
        <w:tblCellMar>
          <w:top w:w="0" w:type="dxa"/>
          <w:left w:w="108" w:type="dxa"/>
          <w:bottom w:w="0" w:type="dxa"/>
          <w:right w:w="108" w:type="dxa"/>
        </w:tblCellMar>
      </w:tblPr>
      <w:tblGrid>
        <w:gridCol w:w="960"/>
        <w:gridCol w:w="1734"/>
        <w:gridCol w:w="4252"/>
        <w:gridCol w:w="1276"/>
        <w:gridCol w:w="1276"/>
      </w:tblGrid>
      <w:tr w14:paraId="6A396194">
        <w:tblPrEx>
          <w:tblCellMar>
            <w:top w:w="0" w:type="dxa"/>
            <w:left w:w="108" w:type="dxa"/>
            <w:bottom w:w="0" w:type="dxa"/>
            <w:right w:w="108" w:type="dxa"/>
          </w:tblCellMar>
        </w:tblPrEx>
        <w:trPr>
          <w:trHeight w:val="520" w:hRule="atLeast"/>
        </w:trPr>
        <w:tc>
          <w:tcPr>
            <w:tcW w:w="9498" w:type="dxa"/>
            <w:gridSpan w:val="5"/>
            <w:tcBorders>
              <w:top w:val="nil"/>
              <w:left w:val="nil"/>
              <w:bottom w:val="nil"/>
              <w:right w:val="nil"/>
            </w:tcBorders>
            <w:noWrap/>
            <w:vAlign w:val="center"/>
          </w:tcPr>
          <w:p w14:paraId="62547D95">
            <w:pPr>
              <w:pStyle w:val="4"/>
              <w:spacing w:line="360" w:lineRule="auto"/>
              <w:ind w:firstLine="280" w:firstLineChars="100"/>
              <w:jc w:val="center"/>
              <w:rPr>
                <w:rFonts w:ascii="宋体" w:hAnsi="宋体" w:cs="宋体"/>
                <w:b/>
                <w:bCs/>
                <w:color w:val="000000"/>
                <w:sz w:val="32"/>
                <w:szCs w:val="32"/>
              </w:rPr>
            </w:pPr>
            <w:r>
              <w:rPr>
                <w:rFonts w:hint="eastAsia" w:ascii="宋体" w:hAnsi="宋体" w:eastAsia="宋体" w:cs="宋体"/>
                <w:bCs/>
                <w:color w:val="auto"/>
                <w:sz w:val="28"/>
                <w:szCs w:val="28"/>
                <w:lang w:val="en-US" w:eastAsia="zh-CN" w:bidi="ar-SA"/>
              </w:rPr>
              <w:br w:type="page"/>
            </w:r>
            <w:r>
              <w:rPr>
                <w:rFonts w:hint="eastAsia" w:ascii="仿宋" w:hAnsi="仿宋" w:eastAsia="仿宋"/>
                <w:b/>
                <w:color w:val="000000"/>
                <w:sz w:val="28"/>
                <w:szCs w:val="28"/>
              </w:rPr>
              <w:t>清单</w:t>
            </w:r>
          </w:p>
        </w:tc>
      </w:tr>
      <w:tr w14:paraId="2B579277">
        <w:tblPrEx>
          <w:tblCellMar>
            <w:top w:w="0" w:type="dxa"/>
            <w:left w:w="108" w:type="dxa"/>
            <w:bottom w:w="0" w:type="dxa"/>
            <w:right w:w="108" w:type="dxa"/>
          </w:tblCellMar>
        </w:tblPrEx>
        <w:trPr>
          <w:trHeight w:val="520" w:hRule="atLeast"/>
        </w:trPr>
        <w:tc>
          <w:tcPr>
            <w:tcW w:w="960" w:type="dxa"/>
            <w:tcBorders>
              <w:top w:val="single" w:color="auto" w:sz="4" w:space="0"/>
              <w:left w:val="single" w:color="auto" w:sz="4" w:space="0"/>
              <w:bottom w:val="single" w:color="auto" w:sz="4" w:space="0"/>
              <w:right w:val="single" w:color="auto" w:sz="4" w:space="0"/>
            </w:tcBorders>
            <w:shd w:val="clear" w:color="000000" w:fill="C0C0C0"/>
            <w:noWrap w:val="0"/>
            <w:vAlign w:val="center"/>
          </w:tcPr>
          <w:p w14:paraId="40775912">
            <w:pPr>
              <w:jc w:val="center"/>
              <w:rPr>
                <w:rFonts w:ascii="宋体" w:hAnsi="宋体" w:cs="宋体"/>
                <w:b/>
                <w:bCs/>
                <w:color w:val="000000"/>
                <w:sz w:val="24"/>
                <w:szCs w:val="24"/>
              </w:rPr>
            </w:pPr>
            <w:r>
              <w:rPr>
                <w:rFonts w:hint="eastAsia" w:ascii="宋体" w:hAnsi="宋体" w:cs="宋体"/>
                <w:b/>
                <w:bCs/>
                <w:color w:val="000000"/>
                <w:sz w:val="24"/>
                <w:szCs w:val="24"/>
              </w:rPr>
              <w:t>序号</w:t>
            </w:r>
          </w:p>
        </w:tc>
        <w:tc>
          <w:tcPr>
            <w:tcW w:w="1734" w:type="dxa"/>
            <w:tcBorders>
              <w:top w:val="single" w:color="auto" w:sz="4" w:space="0"/>
              <w:left w:val="nil"/>
              <w:bottom w:val="single" w:color="auto" w:sz="4" w:space="0"/>
              <w:right w:val="single" w:color="auto" w:sz="4" w:space="0"/>
            </w:tcBorders>
            <w:shd w:val="clear" w:color="000000" w:fill="C0C0C0"/>
            <w:noWrap w:val="0"/>
            <w:vAlign w:val="center"/>
          </w:tcPr>
          <w:p w14:paraId="0248E670">
            <w:pPr>
              <w:jc w:val="center"/>
              <w:rPr>
                <w:rFonts w:ascii="宋体" w:hAnsi="宋体" w:cs="宋体"/>
                <w:b/>
                <w:bCs/>
                <w:color w:val="000000"/>
                <w:sz w:val="24"/>
                <w:szCs w:val="24"/>
              </w:rPr>
            </w:pPr>
            <w:r>
              <w:rPr>
                <w:rFonts w:hint="eastAsia" w:ascii="宋体" w:hAnsi="宋体" w:cs="宋体"/>
                <w:b/>
                <w:bCs/>
                <w:color w:val="000000"/>
                <w:sz w:val="24"/>
                <w:szCs w:val="24"/>
              </w:rPr>
              <w:t>名称</w:t>
            </w:r>
          </w:p>
        </w:tc>
        <w:tc>
          <w:tcPr>
            <w:tcW w:w="4252" w:type="dxa"/>
            <w:tcBorders>
              <w:top w:val="single" w:color="auto" w:sz="4" w:space="0"/>
              <w:left w:val="nil"/>
              <w:bottom w:val="single" w:color="auto" w:sz="4" w:space="0"/>
              <w:right w:val="single" w:color="auto" w:sz="4" w:space="0"/>
            </w:tcBorders>
            <w:shd w:val="clear" w:color="000000" w:fill="C0C0C0"/>
            <w:noWrap w:val="0"/>
            <w:vAlign w:val="center"/>
          </w:tcPr>
          <w:p w14:paraId="2B96CD6C">
            <w:pPr>
              <w:jc w:val="center"/>
              <w:rPr>
                <w:rFonts w:ascii="宋体" w:hAnsi="宋体" w:cs="宋体"/>
                <w:b/>
                <w:bCs/>
                <w:color w:val="000000"/>
                <w:sz w:val="24"/>
                <w:szCs w:val="24"/>
              </w:rPr>
            </w:pPr>
            <w:r>
              <w:rPr>
                <w:rFonts w:hint="eastAsia" w:ascii="宋体" w:hAnsi="宋体" w:cs="宋体"/>
                <w:b/>
                <w:bCs/>
                <w:color w:val="000000"/>
                <w:sz w:val="24"/>
                <w:szCs w:val="24"/>
              </w:rPr>
              <w:t>描述</w:t>
            </w:r>
          </w:p>
        </w:tc>
        <w:tc>
          <w:tcPr>
            <w:tcW w:w="1276" w:type="dxa"/>
            <w:tcBorders>
              <w:top w:val="single" w:color="auto" w:sz="4" w:space="0"/>
              <w:left w:val="nil"/>
              <w:bottom w:val="single" w:color="auto" w:sz="4" w:space="0"/>
              <w:right w:val="single" w:color="auto" w:sz="4" w:space="0"/>
            </w:tcBorders>
            <w:shd w:val="clear" w:color="000000" w:fill="C0C0C0"/>
            <w:noWrap w:val="0"/>
            <w:vAlign w:val="center"/>
          </w:tcPr>
          <w:p w14:paraId="51D3B2EB">
            <w:pPr>
              <w:jc w:val="center"/>
              <w:rPr>
                <w:rFonts w:ascii="宋体" w:hAnsi="宋体" w:cs="宋体"/>
                <w:b/>
                <w:bCs/>
                <w:color w:val="000000"/>
                <w:sz w:val="24"/>
                <w:szCs w:val="24"/>
              </w:rPr>
            </w:pPr>
            <w:r>
              <w:rPr>
                <w:rFonts w:hint="eastAsia" w:ascii="宋体" w:hAnsi="宋体" w:cs="宋体"/>
                <w:b/>
                <w:bCs/>
                <w:color w:val="000000"/>
                <w:sz w:val="24"/>
                <w:szCs w:val="24"/>
              </w:rPr>
              <w:t>单位</w:t>
            </w:r>
          </w:p>
        </w:tc>
        <w:tc>
          <w:tcPr>
            <w:tcW w:w="1276" w:type="dxa"/>
            <w:tcBorders>
              <w:top w:val="single" w:color="auto" w:sz="4" w:space="0"/>
              <w:left w:val="nil"/>
              <w:bottom w:val="single" w:color="auto" w:sz="4" w:space="0"/>
              <w:right w:val="single" w:color="auto" w:sz="4" w:space="0"/>
            </w:tcBorders>
            <w:shd w:val="clear" w:color="000000" w:fill="C0C0C0"/>
            <w:noWrap w:val="0"/>
            <w:vAlign w:val="center"/>
          </w:tcPr>
          <w:p w14:paraId="2FACD069">
            <w:pPr>
              <w:jc w:val="center"/>
              <w:rPr>
                <w:rFonts w:ascii="宋体" w:hAnsi="宋体" w:cs="宋体"/>
                <w:b/>
                <w:bCs/>
                <w:color w:val="000000"/>
                <w:sz w:val="24"/>
                <w:szCs w:val="24"/>
              </w:rPr>
            </w:pPr>
            <w:r>
              <w:rPr>
                <w:rFonts w:hint="eastAsia" w:ascii="宋体" w:hAnsi="宋体" w:cs="宋体"/>
                <w:b/>
                <w:bCs/>
                <w:color w:val="000000"/>
                <w:sz w:val="24"/>
                <w:szCs w:val="24"/>
              </w:rPr>
              <w:t>数量</w:t>
            </w:r>
          </w:p>
        </w:tc>
      </w:tr>
      <w:tr w14:paraId="15550493">
        <w:tblPrEx>
          <w:tblCellMar>
            <w:top w:w="0" w:type="dxa"/>
            <w:left w:w="108" w:type="dxa"/>
            <w:bottom w:w="0" w:type="dxa"/>
            <w:right w:w="108" w:type="dxa"/>
          </w:tblCellMar>
        </w:tblPrEx>
        <w:trPr>
          <w:trHeight w:val="520" w:hRule="atLeast"/>
        </w:trPr>
        <w:tc>
          <w:tcPr>
            <w:tcW w:w="960" w:type="dxa"/>
            <w:tcBorders>
              <w:top w:val="nil"/>
              <w:left w:val="single" w:color="auto" w:sz="4" w:space="0"/>
              <w:bottom w:val="single" w:color="auto" w:sz="4" w:space="0"/>
              <w:right w:val="single" w:color="auto" w:sz="4" w:space="0"/>
            </w:tcBorders>
            <w:noWrap w:val="0"/>
            <w:vAlign w:val="center"/>
          </w:tcPr>
          <w:p w14:paraId="2956B392">
            <w:pPr>
              <w:jc w:val="center"/>
              <w:rPr>
                <w:rFonts w:ascii="宋体" w:hAnsi="宋体" w:cs="宋体"/>
                <w:color w:val="000000"/>
                <w:sz w:val="24"/>
                <w:szCs w:val="24"/>
              </w:rPr>
            </w:pPr>
            <w:r>
              <w:rPr>
                <w:rFonts w:hint="eastAsia" w:ascii="宋体" w:hAnsi="宋体" w:cs="宋体"/>
                <w:color w:val="000000"/>
                <w:sz w:val="24"/>
                <w:szCs w:val="24"/>
              </w:rPr>
              <w:t>1</w:t>
            </w:r>
          </w:p>
        </w:tc>
        <w:tc>
          <w:tcPr>
            <w:tcW w:w="1734" w:type="dxa"/>
            <w:vMerge w:val="restart"/>
            <w:tcBorders>
              <w:top w:val="nil"/>
              <w:left w:val="single" w:color="auto" w:sz="4" w:space="0"/>
              <w:bottom w:val="single" w:color="000000" w:sz="4" w:space="0"/>
              <w:right w:val="single" w:color="auto" w:sz="4" w:space="0"/>
            </w:tcBorders>
            <w:noWrap/>
            <w:vAlign w:val="center"/>
          </w:tcPr>
          <w:p w14:paraId="15715E6B">
            <w:pPr>
              <w:jc w:val="center"/>
              <w:rPr>
                <w:rFonts w:ascii="宋体" w:hAnsi="宋体" w:cs="宋体"/>
                <w:color w:val="000000"/>
                <w:sz w:val="22"/>
                <w:szCs w:val="22"/>
              </w:rPr>
            </w:pPr>
            <w:r>
              <w:rPr>
                <w:rFonts w:hint="eastAsia" w:ascii="宋体" w:hAnsi="宋体" w:cs="宋体"/>
                <w:color w:val="000000"/>
                <w:sz w:val="22"/>
                <w:szCs w:val="22"/>
              </w:rPr>
              <w:t>基础运维</w:t>
            </w:r>
          </w:p>
        </w:tc>
        <w:tc>
          <w:tcPr>
            <w:tcW w:w="4252" w:type="dxa"/>
            <w:tcBorders>
              <w:top w:val="nil"/>
              <w:left w:val="nil"/>
              <w:bottom w:val="single" w:color="auto" w:sz="4" w:space="0"/>
              <w:right w:val="single" w:color="auto" w:sz="4" w:space="0"/>
            </w:tcBorders>
            <w:noWrap w:val="0"/>
            <w:vAlign w:val="center"/>
          </w:tcPr>
          <w:p w14:paraId="6B518244">
            <w:pPr>
              <w:jc w:val="center"/>
              <w:rPr>
                <w:rFonts w:ascii="宋体" w:hAnsi="宋体" w:cs="宋体"/>
                <w:color w:val="000000"/>
                <w:sz w:val="24"/>
                <w:szCs w:val="24"/>
              </w:rPr>
            </w:pPr>
            <w:r>
              <w:rPr>
                <w:rFonts w:hint="eastAsia" w:ascii="宋体" w:hAnsi="宋体" w:cs="宋体"/>
                <w:color w:val="000000"/>
                <w:sz w:val="24"/>
                <w:szCs w:val="24"/>
              </w:rPr>
              <w:t>电警设备维护费</w:t>
            </w:r>
          </w:p>
        </w:tc>
        <w:tc>
          <w:tcPr>
            <w:tcW w:w="1276" w:type="dxa"/>
            <w:tcBorders>
              <w:top w:val="nil"/>
              <w:left w:val="nil"/>
              <w:bottom w:val="single" w:color="auto" w:sz="4" w:space="0"/>
              <w:right w:val="single" w:color="auto" w:sz="4" w:space="0"/>
            </w:tcBorders>
            <w:noWrap w:val="0"/>
            <w:vAlign w:val="center"/>
          </w:tcPr>
          <w:p w14:paraId="2823A72D">
            <w:pPr>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台</w:t>
            </w:r>
          </w:p>
        </w:tc>
        <w:tc>
          <w:tcPr>
            <w:tcW w:w="1276" w:type="dxa"/>
            <w:tcBorders>
              <w:top w:val="nil"/>
              <w:left w:val="nil"/>
              <w:bottom w:val="single" w:color="auto" w:sz="4" w:space="0"/>
              <w:right w:val="single" w:color="auto" w:sz="4" w:space="0"/>
            </w:tcBorders>
            <w:noWrap w:val="0"/>
            <w:vAlign w:val="center"/>
          </w:tcPr>
          <w:p w14:paraId="6164A79B">
            <w:pPr>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1205</w:t>
            </w:r>
          </w:p>
        </w:tc>
      </w:tr>
      <w:tr w14:paraId="0E83776A">
        <w:tblPrEx>
          <w:tblCellMar>
            <w:top w:w="0" w:type="dxa"/>
            <w:left w:w="108" w:type="dxa"/>
            <w:bottom w:w="0" w:type="dxa"/>
            <w:right w:w="108" w:type="dxa"/>
          </w:tblCellMar>
        </w:tblPrEx>
        <w:trPr>
          <w:trHeight w:val="520" w:hRule="atLeast"/>
        </w:trPr>
        <w:tc>
          <w:tcPr>
            <w:tcW w:w="960" w:type="dxa"/>
            <w:tcBorders>
              <w:top w:val="nil"/>
              <w:left w:val="single" w:color="auto" w:sz="4" w:space="0"/>
              <w:bottom w:val="single" w:color="auto" w:sz="4" w:space="0"/>
              <w:right w:val="single" w:color="auto" w:sz="4" w:space="0"/>
            </w:tcBorders>
            <w:noWrap w:val="0"/>
            <w:vAlign w:val="center"/>
          </w:tcPr>
          <w:p w14:paraId="11938B4F">
            <w:pPr>
              <w:jc w:val="center"/>
              <w:rPr>
                <w:rFonts w:ascii="宋体" w:hAnsi="宋体" w:cs="宋体"/>
                <w:color w:val="000000"/>
                <w:sz w:val="24"/>
                <w:szCs w:val="24"/>
              </w:rPr>
            </w:pPr>
            <w:r>
              <w:rPr>
                <w:rFonts w:hint="eastAsia" w:ascii="宋体" w:hAnsi="宋体" w:cs="宋体"/>
                <w:color w:val="000000"/>
                <w:sz w:val="24"/>
                <w:szCs w:val="24"/>
              </w:rPr>
              <w:t>2</w:t>
            </w:r>
          </w:p>
        </w:tc>
        <w:tc>
          <w:tcPr>
            <w:tcW w:w="1734" w:type="dxa"/>
            <w:vMerge w:val="continue"/>
            <w:tcBorders>
              <w:top w:val="nil"/>
              <w:left w:val="single" w:color="auto" w:sz="4" w:space="0"/>
              <w:bottom w:val="single" w:color="000000" w:sz="4" w:space="0"/>
              <w:right w:val="single" w:color="auto" w:sz="4" w:space="0"/>
            </w:tcBorders>
            <w:noWrap w:val="0"/>
            <w:vAlign w:val="center"/>
          </w:tcPr>
          <w:p w14:paraId="1E890963">
            <w:pPr>
              <w:rPr>
                <w:rFonts w:ascii="宋体" w:hAnsi="宋体" w:cs="宋体"/>
                <w:color w:val="000000"/>
                <w:sz w:val="22"/>
                <w:szCs w:val="22"/>
              </w:rPr>
            </w:pPr>
          </w:p>
        </w:tc>
        <w:tc>
          <w:tcPr>
            <w:tcW w:w="4252" w:type="dxa"/>
            <w:tcBorders>
              <w:top w:val="nil"/>
              <w:left w:val="nil"/>
              <w:bottom w:val="single" w:color="auto" w:sz="4" w:space="0"/>
              <w:right w:val="single" w:color="auto" w:sz="4" w:space="0"/>
            </w:tcBorders>
            <w:noWrap w:val="0"/>
            <w:vAlign w:val="center"/>
          </w:tcPr>
          <w:p w14:paraId="227BAA67">
            <w:pPr>
              <w:jc w:val="center"/>
              <w:rPr>
                <w:rFonts w:ascii="宋体" w:hAnsi="宋体" w:cs="宋体"/>
                <w:color w:val="000000"/>
                <w:sz w:val="24"/>
                <w:szCs w:val="24"/>
              </w:rPr>
            </w:pPr>
            <w:r>
              <w:rPr>
                <w:rFonts w:hint="eastAsia" w:ascii="宋体" w:hAnsi="宋体" w:cs="宋体"/>
                <w:color w:val="000000"/>
                <w:sz w:val="24"/>
                <w:szCs w:val="24"/>
              </w:rPr>
              <w:t>卡口设备维护费</w:t>
            </w:r>
          </w:p>
        </w:tc>
        <w:tc>
          <w:tcPr>
            <w:tcW w:w="1276" w:type="dxa"/>
            <w:tcBorders>
              <w:top w:val="nil"/>
              <w:left w:val="nil"/>
              <w:bottom w:val="single" w:color="auto" w:sz="4" w:space="0"/>
              <w:right w:val="single" w:color="auto" w:sz="4" w:space="0"/>
            </w:tcBorders>
            <w:noWrap w:val="0"/>
            <w:vAlign w:val="center"/>
          </w:tcPr>
          <w:p w14:paraId="5F458CC5">
            <w:pPr>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台</w:t>
            </w:r>
          </w:p>
        </w:tc>
        <w:tc>
          <w:tcPr>
            <w:tcW w:w="1276" w:type="dxa"/>
            <w:tcBorders>
              <w:top w:val="nil"/>
              <w:left w:val="nil"/>
              <w:bottom w:val="single" w:color="auto" w:sz="4" w:space="0"/>
              <w:right w:val="single" w:color="auto" w:sz="4" w:space="0"/>
            </w:tcBorders>
            <w:noWrap w:val="0"/>
            <w:vAlign w:val="center"/>
          </w:tcPr>
          <w:p w14:paraId="425661FB">
            <w:pPr>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756</w:t>
            </w:r>
          </w:p>
        </w:tc>
      </w:tr>
      <w:tr w14:paraId="6D2FF9C7">
        <w:tblPrEx>
          <w:tblCellMar>
            <w:top w:w="0" w:type="dxa"/>
            <w:left w:w="108" w:type="dxa"/>
            <w:bottom w:w="0" w:type="dxa"/>
            <w:right w:w="108" w:type="dxa"/>
          </w:tblCellMar>
        </w:tblPrEx>
        <w:trPr>
          <w:trHeight w:val="520" w:hRule="atLeast"/>
        </w:trPr>
        <w:tc>
          <w:tcPr>
            <w:tcW w:w="960" w:type="dxa"/>
            <w:tcBorders>
              <w:top w:val="nil"/>
              <w:left w:val="single" w:color="auto" w:sz="4" w:space="0"/>
              <w:bottom w:val="single" w:color="auto" w:sz="4" w:space="0"/>
              <w:right w:val="single" w:color="auto" w:sz="4" w:space="0"/>
            </w:tcBorders>
            <w:noWrap w:val="0"/>
            <w:vAlign w:val="center"/>
          </w:tcPr>
          <w:p w14:paraId="2A2706B4">
            <w:pPr>
              <w:jc w:val="center"/>
              <w:rPr>
                <w:rFonts w:ascii="宋体" w:hAnsi="宋体" w:cs="宋体"/>
                <w:color w:val="000000"/>
                <w:sz w:val="24"/>
                <w:szCs w:val="24"/>
              </w:rPr>
            </w:pPr>
            <w:r>
              <w:rPr>
                <w:rFonts w:hint="eastAsia" w:ascii="宋体" w:hAnsi="宋体" w:cs="宋体"/>
                <w:color w:val="000000"/>
                <w:sz w:val="24"/>
                <w:szCs w:val="24"/>
              </w:rPr>
              <w:t>3</w:t>
            </w:r>
          </w:p>
        </w:tc>
        <w:tc>
          <w:tcPr>
            <w:tcW w:w="1734" w:type="dxa"/>
            <w:vMerge w:val="continue"/>
            <w:tcBorders>
              <w:top w:val="nil"/>
              <w:left w:val="single" w:color="auto" w:sz="4" w:space="0"/>
              <w:bottom w:val="single" w:color="000000" w:sz="4" w:space="0"/>
              <w:right w:val="single" w:color="auto" w:sz="4" w:space="0"/>
            </w:tcBorders>
            <w:noWrap w:val="0"/>
            <w:vAlign w:val="center"/>
          </w:tcPr>
          <w:p w14:paraId="5B75050F">
            <w:pPr>
              <w:rPr>
                <w:rFonts w:ascii="宋体" w:hAnsi="宋体" w:cs="宋体"/>
                <w:color w:val="000000"/>
                <w:sz w:val="22"/>
                <w:szCs w:val="22"/>
              </w:rPr>
            </w:pPr>
          </w:p>
        </w:tc>
        <w:tc>
          <w:tcPr>
            <w:tcW w:w="4252" w:type="dxa"/>
            <w:tcBorders>
              <w:top w:val="nil"/>
              <w:left w:val="nil"/>
              <w:bottom w:val="single" w:color="auto" w:sz="4" w:space="0"/>
              <w:right w:val="single" w:color="auto" w:sz="4" w:space="0"/>
            </w:tcBorders>
            <w:noWrap w:val="0"/>
            <w:vAlign w:val="center"/>
          </w:tcPr>
          <w:p w14:paraId="328D4635">
            <w:pPr>
              <w:jc w:val="center"/>
              <w:rPr>
                <w:rFonts w:ascii="宋体" w:hAnsi="宋体" w:cs="宋体"/>
                <w:color w:val="000000"/>
                <w:sz w:val="24"/>
                <w:szCs w:val="24"/>
              </w:rPr>
            </w:pPr>
            <w:r>
              <w:rPr>
                <w:rFonts w:hint="eastAsia" w:ascii="宋体" w:hAnsi="宋体" w:cs="宋体"/>
                <w:color w:val="000000"/>
                <w:sz w:val="24"/>
                <w:szCs w:val="24"/>
                <w:lang w:val="en-US" w:eastAsia="zh-CN"/>
              </w:rPr>
              <w:t>图像</w:t>
            </w:r>
            <w:r>
              <w:rPr>
                <w:rFonts w:hint="eastAsia" w:ascii="宋体" w:hAnsi="宋体" w:cs="宋体"/>
                <w:color w:val="000000"/>
                <w:sz w:val="24"/>
                <w:szCs w:val="24"/>
              </w:rPr>
              <w:t>设备维护费</w:t>
            </w:r>
          </w:p>
        </w:tc>
        <w:tc>
          <w:tcPr>
            <w:tcW w:w="1276" w:type="dxa"/>
            <w:tcBorders>
              <w:top w:val="nil"/>
              <w:left w:val="nil"/>
              <w:bottom w:val="single" w:color="auto" w:sz="4" w:space="0"/>
              <w:right w:val="single" w:color="auto" w:sz="4" w:space="0"/>
            </w:tcBorders>
            <w:noWrap w:val="0"/>
            <w:vAlign w:val="center"/>
          </w:tcPr>
          <w:p w14:paraId="6EA4C5EC">
            <w:pPr>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台</w:t>
            </w:r>
          </w:p>
        </w:tc>
        <w:tc>
          <w:tcPr>
            <w:tcW w:w="1276" w:type="dxa"/>
            <w:tcBorders>
              <w:top w:val="nil"/>
              <w:left w:val="nil"/>
              <w:bottom w:val="single" w:color="auto" w:sz="4" w:space="0"/>
              <w:right w:val="single" w:color="auto" w:sz="4" w:space="0"/>
            </w:tcBorders>
            <w:noWrap w:val="0"/>
            <w:vAlign w:val="center"/>
          </w:tcPr>
          <w:p w14:paraId="6A371DED">
            <w:pPr>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624</w:t>
            </w:r>
          </w:p>
        </w:tc>
      </w:tr>
      <w:tr w14:paraId="67A6BED4">
        <w:tblPrEx>
          <w:tblCellMar>
            <w:top w:w="0" w:type="dxa"/>
            <w:left w:w="108" w:type="dxa"/>
            <w:bottom w:w="0" w:type="dxa"/>
            <w:right w:w="108" w:type="dxa"/>
          </w:tblCellMar>
        </w:tblPrEx>
        <w:trPr>
          <w:trHeight w:val="520" w:hRule="atLeast"/>
        </w:trPr>
        <w:tc>
          <w:tcPr>
            <w:tcW w:w="960" w:type="dxa"/>
            <w:tcBorders>
              <w:top w:val="nil"/>
              <w:left w:val="single" w:color="auto" w:sz="4" w:space="0"/>
              <w:bottom w:val="single" w:color="auto" w:sz="4" w:space="0"/>
              <w:right w:val="single" w:color="auto" w:sz="4" w:space="0"/>
            </w:tcBorders>
            <w:noWrap w:val="0"/>
            <w:vAlign w:val="center"/>
          </w:tcPr>
          <w:p w14:paraId="0FD2E55E">
            <w:pPr>
              <w:jc w:val="center"/>
              <w:rPr>
                <w:rFonts w:ascii="宋体" w:hAnsi="宋体" w:cs="宋体"/>
                <w:color w:val="000000"/>
                <w:sz w:val="24"/>
                <w:szCs w:val="24"/>
              </w:rPr>
            </w:pPr>
            <w:r>
              <w:rPr>
                <w:rFonts w:hint="eastAsia" w:ascii="宋体" w:hAnsi="宋体" w:cs="宋体"/>
                <w:color w:val="000000"/>
                <w:sz w:val="24"/>
                <w:szCs w:val="24"/>
              </w:rPr>
              <w:t>4</w:t>
            </w:r>
          </w:p>
        </w:tc>
        <w:tc>
          <w:tcPr>
            <w:tcW w:w="1734" w:type="dxa"/>
            <w:vMerge w:val="continue"/>
            <w:tcBorders>
              <w:top w:val="nil"/>
              <w:left w:val="single" w:color="auto" w:sz="4" w:space="0"/>
              <w:bottom w:val="single" w:color="000000" w:sz="4" w:space="0"/>
              <w:right w:val="single" w:color="auto" w:sz="4" w:space="0"/>
            </w:tcBorders>
            <w:noWrap w:val="0"/>
            <w:vAlign w:val="center"/>
          </w:tcPr>
          <w:p w14:paraId="18D3A3B8">
            <w:pPr>
              <w:rPr>
                <w:rFonts w:ascii="宋体" w:hAnsi="宋体" w:cs="宋体"/>
                <w:color w:val="000000"/>
                <w:sz w:val="22"/>
                <w:szCs w:val="22"/>
              </w:rPr>
            </w:pPr>
          </w:p>
        </w:tc>
        <w:tc>
          <w:tcPr>
            <w:tcW w:w="4252" w:type="dxa"/>
            <w:tcBorders>
              <w:top w:val="nil"/>
              <w:left w:val="nil"/>
              <w:bottom w:val="single" w:color="auto" w:sz="4" w:space="0"/>
              <w:right w:val="single" w:color="auto" w:sz="4" w:space="0"/>
            </w:tcBorders>
            <w:noWrap w:val="0"/>
            <w:vAlign w:val="center"/>
          </w:tcPr>
          <w:p w14:paraId="07D2F292">
            <w:pPr>
              <w:jc w:val="center"/>
              <w:rPr>
                <w:rFonts w:ascii="宋体" w:hAnsi="宋体" w:cs="宋体"/>
                <w:color w:val="000000"/>
                <w:sz w:val="24"/>
                <w:szCs w:val="24"/>
              </w:rPr>
            </w:pPr>
            <w:r>
              <w:rPr>
                <w:rFonts w:hint="eastAsia" w:ascii="宋体" w:hAnsi="宋体" w:cs="宋体"/>
                <w:color w:val="000000"/>
                <w:sz w:val="24"/>
                <w:szCs w:val="24"/>
              </w:rPr>
              <w:t>普通设备维护费</w:t>
            </w:r>
          </w:p>
        </w:tc>
        <w:tc>
          <w:tcPr>
            <w:tcW w:w="1276" w:type="dxa"/>
            <w:tcBorders>
              <w:top w:val="nil"/>
              <w:left w:val="nil"/>
              <w:bottom w:val="single" w:color="auto" w:sz="4" w:space="0"/>
              <w:right w:val="single" w:color="auto" w:sz="4" w:space="0"/>
            </w:tcBorders>
            <w:noWrap w:val="0"/>
            <w:vAlign w:val="center"/>
          </w:tcPr>
          <w:p w14:paraId="5ACC6FFD">
            <w:pPr>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台</w:t>
            </w:r>
          </w:p>
        </w:tc>
        <w:tc>
          <w:tcPr>
            <w:tcW w:w="1276" w:type="dxa"/>
            <w:tcBorders>
              <w:top w:val="nil"/>
              <w:left w:val="nil"/>
              <w:bottom w:val="single" w:color="auto" w:sz="4" w:space="0"/>
              <w:right w:val="single" w:color="auto" w:sz="4" w:space="0"/>
            </w:tcBorders>
            <w:noWrap w:val="0"/>
            <w:vAlign w:val="center"/>
          </w:tcPr>
          <w:p w14:paraId="5D341EA9">
            <w:pPr>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935</w:t>
            </w:r>
          </w:p>
        </w:tc>
      </w:tr>
      <w:tr w14:paraId="02E99560">
        <w:tblPrEx>
          <w:tblCellMar>
            <w:top w:w="0" w:type="dxa"/>
            <w:left w:w="108" w:type="dxa"/>
            <w:bottom w:w="0" w:type="dxa"/>
            <w:right w:w="108" w:type="dxa"/>
          </w:tblCellMar>
        </w:tblPrEx>
        <w:trPr>
          <w:trHeight w:val="520" w:hRule="atLeast"/>
        </w:trPr>
        <w:tc>
          <w:tcPr>
            <w:tcW w:w="960" w:type="dxa"/>
            <w:tcBorders>
              <w:top w:val="nil"/>
              <w:left w:val="single" w:color="auto" w:sz="4" w:space="0"/>
              <w:bottom w:val="single" w:color="auto" w:sz="4" w:space="0"/>
              <w:right w:val="single" w:color="auto" w:sz="4" w:space="0"/>
            </w:tcBorders>
            <w:noWrap w:val="0"/>
            <w:vAlign w:val="center"/>
          </w:tcPr>
          <w:p w14:paraId="12DC7E64">
            <w:pPr>
              <w:jc w:val="center"/>
              <w:rPr>
                <w:rFonts w:hint="eastAsia" w:ascii="宋体" w:hAnsi="宋体" w:eastAsia="宋体" w:cs="宋体"/>
                <w:color w:val="000000"/>
                <w:sz w:val="24"/>
                <w:szCs w:val="24"/>
                <w:lang w:eastAsia="zh-CN"/>
              </w:rPr>
            </w:pPr>
            <w:r>
              <w:rPr>
                <w:rFonts w:hint="eastAsia" w:ascii="宋体" w:hAnsi="宋体" w:cs="宋体"/>
                <w:color w:val="000000"/>
                <w:sz w:val="24"/>
                <w:szCs w:val="24"/>
                <w:lang w:val="en-US" w:eastAsia="zh-CN"/>
              </w:rPr>
              <w:t>5</w:t>
            </w:r>
          </w:p>
        </w:tc>
        <w:tc>
          <w:tcPr>
            <w:tcW w:w="1734" w:type="dxa"/>
            <w:vMerge w:val="continue"/>
            <w:tcBorders>
              <w:top w:val="nil"/>
              <w:left w:val="single" w:color="auto" w:sz="4" w:space="0"/>
              <w:bottom w:val="single" w:color="000000" w:sz="4" w:space="0"/>
              <w:right w:val="single" w:color="auto" w:sz="4" w:space="0"/>
            </w:tcBorders>
            <w:noWrap w:val="0"/>
            <w:vAlign w:val="center"/>
          </w:tcPr>
          <w:p w14:paraId="2876D500">
            <w:pPr>
              <w:rPr>
                <w:rFonts w:ascii="宋体" w:hAnsi="宋体" w:cs="宋体"/>
                <w:color w:val="000000"/>
                <w:sz w:val="22"/>
                <w:szCs w:val="22"/>
              </w:rPr>
            </w:pPr>
          </w:p>
        </w:tc>
        <w:tc>
          <w:tcPr>
            <w:tcW w:w="4252" w:type="dxa"/>
            <w:tcBorders>
              <w:top w:val="nil"/>
              <w:left w:val="nil"/>
              <w:bottom w:val="nil"/>
              <w:right w:val="single" w:color="auto" w:sz="4" w:space="0"/>
            </w:tcBorders>
            <w:noWrap w:val="0"/>
            <w:vAlign w:val="center"/>
          </w:tcPr>
          <w:p w14:paraId="294736FC">
            <w:pPr>
              <w:jc w:val="center"/>
              <w:rPr>
                <w:rFonts w:ascii="宋体" w:hAnsi="宋体" w:cs="宋体"/>
                <w:color w:val="000000"/>
                <w:sz w:val="24"/>
                <w:szCs w:val="24"/>
              </w:rPr>
            </w:pPr>
            <w:r>
              <w:rPr>
                <w:rFonts w:hint="eastAsia" w:ascii="宋体" w:hAnsi="宋体" w:cs="宋体"/>
                <w:color w:val="000000"/>
                <w:sz w:val="24"/>
                <w:szCs w:val="24"/>
              </w:rPr>
              <w:t>机房基础环境维护</w:t>
            </w:r>
          </w:p>
        </w:tc>
        <w:tc>
          <w:tcPr>
            <w:tcW w:w="1276" w:type="dxa"/>
            <w:tcBorders>
              <w:top w:val="nil"/>
              <w:left w:val="nil"/>
              <w:bottom w:val="single" w:color="auto" w:sz="4" w:space="0"/>
              <w:right w:val="single" w:color="auto" w:sz="4" w:space="0"/>
            </w:tcBorders>
            <w:noWrap w:val="0"/>
            <w:vAlign w:val="center"/>
          </w:tcPr>
          <w:p w14:paraId="68F834AE">
            <w:pPr>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项</w:t>
            </w:r>
          </w:p>
        </w:tc>
        <w:tc>
          <w:tcPr>
            <w:tcW w:w="1276" w:type="dxa"/>
            <w:tcBorders>
              <w:top w:val="nil"/>
              <w:left w:val="nil"/>
              <w:bottom w:val="single" w:color="auto" w:sz="4" w:space="0"/>
              <w:right w:val="single" w:color="auto" w:sz="4" w:space="0"/>
            </w:tcBorders>
            <w:noWrap w:val="0"/>
            <w:vAlign w:val="center"/>
          </w:tcPr>
          <w:p w14:paraId="13C9D553">
            <w:pPr>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1</w:t>
            </w:r>
          </w:p>
        </w:tc>
      </w:tr>
      <w:tr w14:paraId="0B93BB04">
        <w:tblPrEx>
          <w:tblCellMar>
            <w:top w:w="0" w:type="dxa"/>
            <w:left w:w="108" w:type="dxa"/>
            <w:bottom w:w="0" w:type="dxa"/>
            <w:right w:w="108" w:type="dxa"/>
          </w:tblCellMar>
        </w:tblPrEx>
        <w:trPr>
          <w:trHeight w:val="520" w:hRule="atLeast"/>
        </w:trPr>
        <w:tc>
          <w:tcPr>
            <w:tcW w:w="960" w:type="dxa"/>
            <w:tcBorders>
              <w:top w:val="nil"/>
              <w:left w:val="single" w:color="auto" w:sz="4" w:space="0"/>
              <w:bottom w:val="single" w:color="auto" w:sz="4" w:space="0"/>
              <w:right w:val="single" w:color="auto" w:sz="4" w:space="0"/>
            </w:tcBorders>
            <w:noWrap w:val="0"/>
            <w:vAlign w:val="center"/>
          </w:tcPr>
          <w:p w14:paraId="2CD5BDA3">
            <w:pPr>
              <w:jc w:val="center"/>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6</w:t>
            </w:r>
          </w:p>
        </w:tc>
        <w:tc>
          <w:tcPr>
            <w:tcW w:w="1734" w:type="dxa"/>
            <w:vMerge w:val="continue"/>
            <w:tcBorders>
              <w:top w:val="nil"/>
              <w:left w:val="single" w:color="auto" w:sz="4" w:space="0"/>
              <w:bottom w:val="single" w:color="000000" w:sz="4" w:space="0"/>
              <w:right w:val="single" w:color="auto" w:sz="4" w:space="0"/>
            </w:tcBorders>
            <w:noWrap w:val="0"/>
            <w:vAlign w:val="center"/>
          </w:tcPr>
          <w:p w14:paraId="6DE7060D">
            <w:pPr>
              <w:rPr>
                <w:rFonts w:ascii="宋体" w:hAnsi="宋体" w:cs="宋体"/>
                <w:color w:val="000000"/>
                <w:sz w:val="22"/>
                <w:szCs w:val="22"/>
              </w:rPr>
            </w:pPr>
          </w:p>
        </w:tc>
        <w:tc>
          <w:tcPr>
            <w:tcW w:w="4252" w:type="dxa"/>
            <w:tcBorders>
              <w:top w:val="single" w:color="auto" w:sz="4" w:space="0"/>
              <w:left w:val="nil"/>
              <w:bottom w:val="nil"/>
              <w:right w:val="single" w:color="auto" w:sz="4" w:space="0"/>
            </w:tcBorders>
            <w:noWrap w:val="0"/>
            <w:vAlign w:val="center"/>
          </w:tcPr>
          <w:p w14:paraId="73DF562E">
            <w:pPr>
              <w:jc w:val="center"/>
              <w:rPr>
                <w:rFonts w:ascii="宋体" w:hAnsi="宋体" w:cs="宋体"/>
                <w:color w:val="000000"/>
                <w:sz w:val="24"/>
                <w:szCs w:val="24"/>
              </w:rPr>
            </w:pPr>
            <w:r>
              <w:rPr>
                <w:rFonts w:hint="eastAsia" w:ascii="宋体" w:hAnsi="宋体" w:cs="宋体"/>
                <w:color w:val="000000"/>
                <w:sz w:val="24"/>
                <w:szCs w:val="24"/>
              </w:rPr>
              <w:t>网络设备维护</w:t>
            </w:r>
          </w:p>
        </w:tc>
        <w:tc>
          <w:tcPr>
            <w:tcW w:w="1276" w:type="dxa"/>
            <w:tcBorders>
              <w:top w:val="nil"/>
              <w:left w:val="nil"/>
              <w:bottom w:val="single" w:color="auto" w:sz="4" w:space="0"/>
              <w:right w:val="single" w:color="auto" w:sz="4" w:space="0"/>
            </w:tcBorders>
            <w:noWrap w:val="0"/>
            <w:vAlign w:val="center"/>
          </w:tcPr>
          <w:p w14:paraId="1FD2A977">
            <w:pPr>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项</w:t>
            </w:r>
          </w:p>
        </w:tc>
        <w:tc>
          <w:tcPr>
            <w:tcW w:w="1276" w:type="dxa"/>
            <w:tcBorders>
              <w:top w:val="nil"/>
              <w:left w:val="nil"/>
              <w:bottom w:val="single" w:color="auto" w:sz="4" w:space="0"/>
              <w:right w:val="single" w:color="auto" w:sz="4" w:space="0"/>
            </w:tcBorders>
            <w:noWrap w:val="0"/>
            <w:vAlign w:val="center"/>
          </w:tcPr>
          <w:p w14:paraId="6FDBFA9D">
            <w:pPr>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1</w:t>
            </w:r>
          </w:p>
        </w:tc>
      </w:tr>
      <w:tr w14:paraId="39888963">
        <w:tblPrEx>
          <w:tblCellMar>
            <w:top w:w="0" w:type="dxa"/>
            <w:left w:w="108" w:type="dxa"/>
            <w:bottom w:w="0" w:type="dxa"/>
            <w:right w:w="108" w:type="dxa"/>
          </w:tblCellMar>
        </w:tblPrEx>
        <w:trPr>
          <w:trHeight w:val="520" w:hRule="atLeast"/>
        </w:trPr>
        <w:tc>
          <w:tcPr>
            <w:tcW w:w="960" w:type="dxa"/>
            <w:tcBorders>
              <w:top w:val="nil"/>
              <w:left w:val="single" w:color="auto" w:sz="4" w:space="0"/>
              <w:bottom w:val="single" w:color="auto" w:sz="4" w:space="0"/>
              <w:right w:val="single" w:color="auto" w:sz="4" w:space="0"/>
            </w:tcBorders>
            <w:noWrap w:val="0"/>
            <w:vAlign w:val="center"/>
          </w:tcPr>
          <w:p w14:paraId="395299D7">
            <w:pPr>
              <w:jc w:val="center"/>
              <w:rPr>
                <w:rFonts w:hint="eastAsia" w:ascii="宋体" w:hAnsi="宋体" w:eastAsia="宋体" w:cs="宋体"/>
                <w:color w:val="000000"/>
                <w:sz w:val="24"/>
                <w:szCs w:val="24"/>
                <w:lang w:eastAsia="zh-CN"/>
              </w:rPr>
            </w:pPr>
            <w:r>
              <w:rPr>
                <w:rFonts w:hint="eastAsia" w:ascii="宋体" w:hAnsi="宋体" w:cs="宋体"/>
                <w:color w:val="000000"/>
                <w:sz w:val="24"/>
                <w:szCs w:val="24"/>
                <w:lang w:val="en-US" w:eastAsia="zh-CN"/>
              </w:rPr>
              <w:t>7</w:t>
            </w:r>
          </w:p>
        </w:tc>
        <w:tc>
          <w:tcPr>
            <w:tcW w:w="1734" w:type="dxa"/>
            <w:vMerge w:val="continue"/>
            <w:tcBorders>
              <w:top w:val="nil"/>
              <w:left w:val="single" w:color="auto" w:sz="4" w:space="0"/>
              <w:bottom w:val="single" w:color="000000" w:sz="4" w:space="0"/>
              <w:right w:val="single" w:color="auto" w:sz="4" w:space="0"/>
            </w:tcBorders>
            <w:noWrap w:val="0"/>
            <w:vAlign w:val="center"/>
          </w:tcPr>
          <w:p w14:paraId="5336B8A6">
            <w:pPr>
              <w:rPr>
                <w:rFonts w:ascii="宋体" w:hAnsi="宋体" w:cs="宋体"/>
                <w:color w:val="000000"/>
                <w:sz w:val="22"/>
                <w:szCs w:val="22"/>
              </w:rPr>
            </w:pPr>
          </w:p>
        </w:tc>
        <w:tc>
          <w:tcPr>
            <w:tcW w:w="4252" w:type="dxa"/>
            <w:tcBorders>
              <w:top w:val="single" w:color="auto" w:sz="4" w:space="0"/>
              <w:left w:val="nil"/>
              <w:bottom w:val="nil"/>
              <w:right w:val="single" w:color="auto" w:sz="4" w:space="0"/>
            </w:tcBorders>
            <w:noWrap w:val="0"/>
            <w:vAlign w:val="center"/>
          </w:tcPr>
          <w:p w14:paraId="1EF76AA1">
            <w:pPr>
              <w:jc w:val="center"/>
              <w:rPr>
                <w:rFonts w:ascii="宋体" w:hAnsi="宋体" w:cs="宋体"/>
                <w:color w:val="000000"/>
                <w:sz w:val="24"/>
                <w:szCs w:val="24"/>
              </w:rPr>
            </w:pPr>
            <w:r>
              <w:rPr>
                <w:rFonts w:hint="eastAsia" w:ascii="宋体" w:hAnsi="宋体" w:cs="宋体"/>
                <w:color w:val="000000"/>
                <w:sz w:val="24"/>
                <w:szCs w:val="24"/>
              </w:rPr>
              <w:t>存储设备维护</w:t>
            </w:r>
          </w:p>
        </w:tc>
        <w:tc>
          <w:tcPr>
            <w:tcW w:w="1276" w:type="dxa"/>
            <w:tcBorders>
              <w:top w:val="nil"/>
              <w:left w:val="nil"/>
              <w:bottom w:val="single" w:color="auto" w:sz="4" w:space="0"/>
              <w:right w:val="single" w:color="auto" w:sz="4" w:space="0"/>
            </w:tcBorders>
            <w:noWrap w:val="0"/>
            <w:vAlign w:val="center"/>
          </w:tcPr>
          <w:p w14:paraId="57DF2F9C">
            <w:pPr>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项</w:t>
            </w:r>
          </w:p>
        </w:tc>
        <w:tc>
          <w:tcPr>
            <w:tcW w:w="1276" w:type="dxa"/>
            <w:tcBorders>
              <w:top w:val="nil"/>
              <w:left w:val="nil"/>
              <w:bottom w:val="single" w:color="auto" w:sz="4" w:space="0"/>
              <w:right w:val="single" w:color="auto" w:sz="4" w:space="0"/>
            </w:tcBorders>
            <w:noWrap w:val="0"/>
            <w:vAlign w:val="center"/>
          </w:tcPr>
          <w:p w14:paraId="7662F491">
            <w:pPr>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1</w:t>
            </w:r>
          </w:p>
        </w:tc>
      </w:tr>
      <w:tr w14:paraId="2C3E725B">
        <w:tblPrEx>
          <w:tblCellMar>
            <w:top w:w="0" w:type="dxa"/>
            <w:left w:w="108" w:type="dxa"/>
            <w:bottom w:w="0" w:type="dxa"/>
            <w:right w:w="108" w:type="dxa"/>
          </w:tblCellMar>
        </w:tblPrEx>
        <w:trPr>
          <w:trHeight w:val="520" w:hRule="atLeast"/>
        </w:trPr>
        <w:tc>
          <w:tcPr>
            <w:tcW w:w="960" w:type="dxa"/>
            <w:tcBorders>
              <w:top w:val="nil"/>
              <w:left w:val="single" w:color="auto" w:sz="4" w:space="0"/>
              <w:bottom w:val="single" w:color="auto" w:sz="4" w:space="0"/>
              <w:right w:val="single" w:color="auto" w:sz="4" w:space="0"/>
            </w:tcBorders>
            <w:noWrap w:val="0"/>
            <w:vAlign w:val="center"/>
          </w:tcPr>
          <w:p w14:paraId="516BB7D8">
            <w:pPr>
              <w:jc w:val="center"/>
              <w:rPr>
                <w:rFonts w:hint="eastAsia" w:ascii="宋体" w:hAnsi="宋体" w:eastAsia="宋体" w:cs="宋体"/>
                <w:color w:val="000000"/>
                <w:sz w:val="24"/>
                <w:szCs w:val="24"/>
                <w:lang w:eastAsia="zh-CN"/>
              </w:rPr>
            </w:pPr>
            <w:r>
              <w:rPr>
                <w:rFonts w:hint="eastAsia" w:ascii="宋体" w:hAnsi="宋体" w:cs="宋体"/>
                <w:color w:val="000000"/>
                <w:sz w:val="24"/>
                <w:szCs w:val="24"/>
                <w:lang w:val="en-US" w:eastAsia="zh-CN"/>
              </w:rPr>
              <w:t>8</w:t>
            </w:r>
          </w:p>
        </w:tc>
        <w:tc>
          <w:tcPr>
            <w:tcW w:w="1734" w:type="dxa"/>
            <w:vMerge w:val="continue"/>
            <w:tcBorders>
              <w:top w:val="nil"/>
              <w:left w:val="single" w:color="auto" w:sz="4" w:space="0"/>
              <w:bottom w:val="single" w:color="000000" w:sz="4" w:space="0"/>
              <w:right w:val="single" w:color="auto" w:sz="4" w:space="0"/>
            </w:tcBorders>
            <w:noWrap w:val="0"/>
            <w:vAlign w:val="center"/>
          </w:tcPr>
          <w:p w14:paraId="61227B15">
            <w:pPr>
              <w:rPr>
                <w:rFonts w:ascii="宋体" w:hAnsi="宋体" w:cs="宋体"/>
                <w:color w:val="000000"/>
                <w:sz w:val="22"/>
                <w:szCs w:val="22"/>
              </w:rPr>
            </w:pPr>
          </w:p>
        </w:tc>
        <w:tc>
          <w:tcPr>
            <w:tcW w:w="4252" w:type="dxa"/>
            <w:tcBorders>
              <w:top w:val="single" w:color="auto" w:sz="4" w:space="0"/>
              <w:left w:val="nil"/>
              <w:bottom w:val="nil"/>
              <w:right w:val="single" w:color="auto" w:sz="4" w:space="0"/>
            </w:tcBorders>
            <w:noWrap w:val="0"/>
            <w:vAlign w:val="center"/>
          </w:tcPr>
          <w:p w14:paraId="7011D44A">
            <w:pPr>
              <w:jc w:val="center"/>
              <w:rPr>
                <w:rFonts w:ascii="宋体" w:hAnsi="宋体" w:cs="宋体"/>
                <w:color w:val="000000"/>
                <w:sz w:val="24"/>
                <w:szCs w:val="24"/>
              </w:rPr>
            </w:pPr>
            <w:r>
              <w:rPr>
                <w:rFonts w:hint="eastAsia" w:ascii="宋体" w:hAnsi="宋体" w:cs="宋体"/>
                <w:color w:val="000000"/>
                <w:sz w:val="24"/>
                <w:szCs w:val="24"/>
              </w:rPr>
              <w:t>仓库、场地租赁</w:t>
            </w:r>
          </w:p>
        </w:tc>
        <w:tc>
          <w:tcPr>
            <w:tcW w:w="1276" w:type="dxa"/>
            <w:tcBorders>
              <w:top w:val="nil"/>
              <w:left w:val="nil"/>
              <w:bottom w:val="single" w:color="auto" w:sz="4" w:space="0"/>
              <w:right w:val="single" w:color="auto" w:sz="4" w:space="0"/>
            </w:tcBorders>
            <w:noWrap w:val="0"/>
            <w:vAlign w:val="center"/>
          </w:tcPr>
          <w:p w14:paraId="5DBF13C1">
            <w:pPr>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项</w:t>
            </w:r>
          </w:p>
        </w:tc>
        <w:tc>
          <w:tcPr>
            <w:tcW w:w="1276" w:type="dxa"/>
            <w:tcBorders>
              <w:top w:val="nil"/>
              <w:left w:val="nil"/>
              <w:bottom w:val="single" w:color="auto" w:sz="4" w:space="0"/>
              <w:right w:val="single" w:color="auto" w:sz="4" w:space="0"/>
            </w:tcBorders>
            <w:noWrap w:val="0"/>
            <w:vAlign w:val="center"/>
          </w:tcPr>
          <w:p w14:paraId="772FB4F7">
            <w:pPr>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1</w:t>
            </w:r>
          </w:p>
        </w:tc>
      </w:tr>
      <w:tr w14:paraId="6A230888">
        <w:tblPrEx>
          <w:tblCellMar>
            <w:top w:w="0" w:type="dxa"/>
            <w:left w:w="108" w:type="dxa"/>
            <w:bottom w:w="0" w:type="dxa"/>
            <w:right w:w="108" w:type="dxa"/>
          </w:tblCellMar>
        </w:tblPrEx>
        <w:trPr>
          <w:trHeight w:val="520" w:hRule="atLeast"/>
        </w:trPr>
        <w:tc>
          <w:tcPr>
            <w:tcW w:w="960" w:type="dxa"/>
            <w:tcBorders>
              <w:top w:val="nil"/>
              <w:left w:val="single" w:color="auto" w:sz="4" w:space="0"/>
              <w:bottom w:val="single" w:color="auto" w:sz="4" w:space="0"/>
              <w:right w:val="single" w:color="auto" w:sz="4" w:space="0"/>
            </w:tcBorders>
            <w:noWrap w:val="0"/>
            <w:vAlign w:val="center"/>
          </w:tcPr>
          <w:p w14:paraId="38D75E3D">
            <w:pPr>
              <w:jc w:val="center"/>
              <w:rPr>
                <w:rFonts w:hint="eastAsia" w:ascii="宋体" w:hAnsi="宋体" w:eastAsia="宋体" w:cs="宋体"/>
                <w:color w:val="000000"/>
                <w:sz w:val="24"/>
                <w:szCs w:val="24"/>
                <w:lang w:eastAsia="zh-CN"/>
              </w:rPr>
            </w:pPr>
            <w:r>
              <w:rPr>
                <w:rFonts w:hint="eastAsia" w:ascii="宋体" w:hAnsi="宋体" w:cs="宋体"/>
                <w:color w:val="000000"/>
                <w:sz w:val="24"/>
                <w:szCs w:val="24"/>
                <w:lang w:val="en-US" w:eastAsia="zh-CN"/>
              </w:rPr>
              <w:t>9</w:t>
            </w:r>
          </w:p>
        </w:tc>
        <w:tc>
          <w:tcPr>
            <w:tcW w:w="1734" w:type="dxa"/>
            <w:vMerge w:val="continue"/>
            <w:tcBorders>
              <w:top w:val="nil"/>
              <w:left w:val="single" w:color="auto" w:sz="4" w:space="0"/>
              <w:bottom w:val="single" w:color="000000" w:sz="4" w:space="0"/>
              <w:right w:val="single" w:color="auto" w:sz="4" w:space="0"/>
            </w:tcBorders>
            <w:noWrap w:val="0"/>
            <w:vAlign w:val="center"/>
          </w:tcPr>
          <w:p w14:paraId="34A4BD9D">
            <w:pPr>
              <w:rPr>
                <w:rFonts w:ascii="宋体" w:hAnsi="宋体" w:cs="宋体"/>
                <w:color w:val="000000"/>
                <w:sz w:val="22"/>
                <w:szCs w:val="22"/>
              </w:rPr>
            </w:pPr>
          </w:p>
        </w:tc>
        <w:tc>
          <w:tcPr>
            <w:tcW w:w="4252" w:type="dxa"/>
            <w:tcBorders>
              <w:top w:val="single" w:color="auto" w:sz="4" w:space="0"/>
              <w:left w:val="nil"/>
              <w:bottom w:val="nil"/>
              <w:right w:val="single" w:color="auto" w:sz="4" w:space="0"/>
            </w:tcBorders>
            <w:noWrap w:val="0"/>
            <w:vAlign w:val="center"/>
          </w:tcPr>
          <w:p w14:paraId="7E00AFD5">
            <w:pPr>
              <w:jc w:val="center"/>
              <w:rPr>
                <w:rFonts w:ascii="宋体" w:hAnsi="宋体" w:cs="宋体"/>
                <w:color w:val="000000"/>
                <w:sz w:val="24"/>
                <w:szCs w:val="24"/>
              </w:rPr>
            </w:pPr>
            <w:r>
              <w:rPr>
                <w:rFonts w:hint="eastAsia" w:ascii="宋体" w:hAnsi="宋体" w:cs="宋体"/>
                <w:color w:val="000000"/>
                <w:sz w:val="24"/>
                <w:szCs w:val="24"/>
              </w:rPr>
              <w:t>平台运维</w:t>
            </w:r>
          </w:p>
        </w:tc>
        <w:tc>
          <w:tcPr>
            <w:tcW w:w="1276" w:type="dxa"/>
            <w:tcBorders>
              <w:top w:val="nil"/>
              <w:left w:val="nil"/>
              <w:bottom w:val="single" w:color="auto" w:sz="4" w:space="0"/>
              <w:right w:val="single" w:color="auto" w:sz="4" w:space="0"/>
            </w:tcBorders>
            <w:noWrap w:val="0"/>
            <w:vAlign w:val="center"/>
          </w:tcPr>
          <w:p w14:paraId="6E35C0E3">
            <w:pPr>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项</w:t>
            </w:r>
          </w:p>
        </w:tc>
        <w:tc>
          <w:tcPr>
            <w:tcW w:w="1276" w:type="dxa"/>
            <w:tcBorders>
              <w:top w:val="nil"/>
              <w:left w:val="nil"/>
              <w:bottom w:val="single" w:color="auto" w:sz="4" w:space="0"/>
              <w:right w:val="single" w:color="auto" w:sz="4" w:space="0"/>
            </w:tcBorders>
            <w:noWrap w:val="0"/>
            <w:vAlign w:val="center"/>
          </w:tcPr>
          <w:p w14:paraId="6A22FA03">
            <w:pPr>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1</w:t>
            </w:r>
          </w:p>
        </w:tc>
      </w:tr>
      <w:tr w14:paraId="6F112320">
        <w:tblPrEx>
          <w:tblCellMar>
            <w:top w:w="0" w:type="dxa"/>
            <w:left w:w="108" w:type="dxa"/>
            <w:bottom w:w="0" w:type="dxa"/>
            <w:right w:w="108" w:type="dxa"/>
          </w:tblCellMar>
        </w:tblPrEx>
        <w:trPr>
          <w:trHeight w:val="520" w:hRule="atLeast"/>
        </w:trPr>
        <w:tc>
          <w:tcPr>
            <w:tcW w:w="960" w:type="dxa"/>
            <w:tcBorders>
              <w:top w:val="nil"/>
              <w:left w:val="single" w:color="auto" w:sz="4" w:space="0"/>
              <w:bottom w:val="single" w:color="auto" w:sz="4" w:space="0"/>
              <w:right w:val="single" w:color="auto" w:sz="4" w:space="0"/>
            </w:tcBorders>
            <w:shd w:val="clear" w:color="auto" w:fill="auto"/>
            <w:noWrap w:val="0"/>
            <w:vAlign w:val="center"/>
          </w:tcPr>
          <w:p w14:paraId="66FACBB2">
            <w:pPr>
              <w:jc w:val="center"/>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10</w:t>
            </w:r>
          </w:p>
        </w:tc>
        <w:tc>
          <w:tcPr>
            <w:tcW w:w="1734" w:type="dxa"/>
            <w:vMerge w:val="continue"/>
            <w:tcBorders>
              <w:top w:val="nil"/>
              <w:left w:val="single" w:color="auto" w:sz="4" w:space="0"/>
              <w:bottom w:val="single" w:color="000000" w:sz="4" w:space="0"/>
              <w:right w:val="single" w:color="auto" w:sz="4" w:space="0"/>
            </w:tcBorders>
            <w:shd w:val="clear" w:color="auto" w:fill="auto"/>
            <w:noWrap w:val="0"/>
            <w:vAlign w:val="center"/>
          </w:tcPr>
          <w:p w14:paraId="1D9DEB76">
            <w:pPr>
              <w:rPr>
                <w:rFonts w:ascii="宋体" w:hAnsi="宋体" w:cs="宋体"/>
                <w:color w:val="000000"/>
                <w:sz w:val="22"/>
                <w:szCs w:val="22"/>
              </w:rPr>
            </w:pPr>
          </w:p>
        </w:tc>
        <w:tc>
          <w:tcPr>
            <w:tcW w:w="4252" w:type="dxa"/>
            <w:tcBorders>
              <w:top w:val="single" w:color="auto" w:sz="4" w:space="0"/>
              <w:left w:val="nil"/>
              <w:bottom w:val="nil"/>
              <w:right w:val="single" w:color="auto" w:sz="4" w:space="0"/>
            </w:tcBorders>
            <w:shd w:val="clear" w:color="000000" w:fill="FFFFFF"/>
            <w:noWrap w:val="0"/>
            <w:vAlign w:val="center"/>
          </w:tcPr>
          <w:p w14:paraId="193D0366">
            <w:pPr>
              <w:jc w:val="center"/>
              <w:rPr>
                <w:rFonts w:hint="eastAsia" w:ascii="宋体" w:hAnsi="宋体" w:cs="宋体"/>
                <w:color w:val="000000"/>
                <w:sz w:val="24"/>
                <w:szCs w:val="24"/>
              </w:rPr>
            </w:pPr>
            <w:r>
              <w:rPr>
                <w:rFonts w:hint="eastAsia" w:ascii="宋体" w:hAnsi="宋体" w:cs="宋体"/>
                <w:color w:val="000000"/>
                <w:sz w:val="24"/>
                <w:szCs w:val="24"/>
              </w:rPr>
              <w:t>杆件及基础维护</w:t>
            </w:r>
          </w:p>
        </w:tc>
        <w:tc>
          <w:tcPr>
            <w:tcW w:w="1276" w:type="dxa"/>
            <w:tcBorders>
              <w:top w:val="nil"/>
              <w:left w:val="nil"/>
              <w:bottom w:val="single" w:color="auto" w:sz="4" w:space="0"/>
              <w:right w:val="single" w:color="auto" w:sz="4" w:space="0"/>
            </w:tcBorders>
            <w:shd w:val="clear" w:color="000000" w:fill="FFFFFF"/>
            <w:noWrap w:val="0"/>
            <w:vAlign w:val="center"/>
          </w:tcPr>
          <w:p w14:paraId="5D16B8F5">
            <w:pPr>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项</w:t>
            </w:r>
          </w:p>
        </w:tc>
        <w:tc>
          <w:tcPr>
            <w:tcW w:w="1276" w:type="dxa"/>
            <w:tcBorders>
              <w:top w:val="nil"/>
              <w:left w:val="nil"/>
              <w:bottom w:val="single" w:color="auto" w:sz="4" w:space="0"/>
              <w:right w:val="single" w:color="auto" w:sz="4" w:space="0"/>
            </w:tcBorders>
            <w:shd w:val="clear" w:color="000000" w:fill="FFFFFF"/>
            <w:noWrap w:val="0"/>
            <w:vAlign w:val="center"/>
          </w:tcPr>
          <w:p w14:paraId="1A45D0DF">
            <w:pPr>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1</w:t>
            </w:r>
          </w:p>
        </w:tc>
      </w:tr>
      <w:tr w14:paraId="23E13FFF">
        <w:tblPrEx>
          <w:tblCellMar>
            <w:top w:w="0" w:type="dxa"/>
            <w:left w:w="108" w:type="dxa"/>
            <w:bottom w:w="0" w:type="dxa"/>
            <w:right w:w="108" w:type="dxa"/>
          </w:tblCellMar>
        </w:tblPrEx>
        <w:trPr>
          <w:trHeight w:val="520" w:hRule="atLeast"/>
        </w:trPr>
        <w:tc>
          <w:tcPr>
            <w:tcW w:w="960" w:type="dxa"/>
            <w:tcBorders>
              <w:top w:val="nil"/>
              <w:left w:val="single" w:color="auto" w:sz="4" w:space="0"/>
              <w:bottom w:val="single" w:color="auto" w:sz="4" w:space="0"/>
              <w:right w:val="single" w:color="auto" w:sz="4" w:space="0"/>
            </w:tcBorders>
            <w:noWrap w:val="0"/>
            <w:vAlign w:val="center"/>
          </w:tcPr>
          <w:p w14:paraId="61A0867D">
            <w:pPr>
              <w:jc w:val="center"/>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11</w:t>
            </w:r>
          </w:p>
        </w:tc>
        <w:tc>
          <w:tcPr>
            <w:tcW w:w="1734" w:type="dxa"/>
            <w:vMerge w:val="restart"/>
            <w:tcBorders>
              <w:top w:val="nil"/>
              <w:left w:val="single" w:color="auto" w:sz="4" w:space="0"/>
              <w:right w:val="single" w:color="auto" w:sz="4" w:space="0"/>
            </w:tcBorders>
            <w:noWrap w:val="0"/>
            <w:vAlign w:val="center"/>
          </w:tcPr>
          <w:p w14:paraId="0F014507">
            <w:pPr>
              <w:jc w:val="center"/>
              <w:rPr>
                <w:rFonts w:ascii="宋体" w:hAnsi="宋体" w:cs="宋体"/>
                <w:color w:val="000000"/>
                <w:sz w:val="24"/>
                <w:szCs w:val="24"/>
              </w:rPr>
            </w:pPr>
            <w:r>
              <w:rPr>
                <w:rFonts w:hint="eastAsia" w:ascii="宋体" w:hAnsi="宋体" w:cs="宋体"/>
                <w:color w:val="000000"/>
                <w:sz w:val="24"/>
                <w:szCs w:val="24"/>
              </w:rPr>
              <w:t>备品备件</w:t>
            </w:r>
          </w:p>
        </w:tc>
        <w:tc>
          <w:tcPr>
            <w:tcW w:w="4252" w:type="dxa"/>
            <w:tcBorders>
              <w:top w:val="single" w:color="auto" w:sz="4" w:space="0"/>
              <w:left w:val="nil"/>
              <w:bottom w:val="single" w:color="auto" w:sz="4" w:space="0"/>
              <w:right w:val="single" w:color="auto" w:sz="4" w:space="0"/>
            </w:tcBorders>
            <w:noWrap w:val="0"/>
            <w:vAlign w:val="center"/>
          </w:tcPr>
          <w:p w14:paraId="79B89C1B">
            <w:pPr>
              <w:jc w:val="center"/>
              <w:rPr>
                <w:rFonts w:hint="eastAsia" w:ascii="宋体" w:hAnsi="宋体" w:cs="宋体"/>
                <w:color w:val="000000"/>
                <w:sz w:val="24"/>
                <w:szCs w:val="24"/>
              </w:rPr>
            </w:pPr>
            <w:r>
              <w:rPr>
                <w:rFonts w:hint="eastAsia" w:ascii="宋体" w:hAnsi="宋体" w:cs="宋体"/>
                <w:color w:val="000000"/>
                <w:sz w:val="24"/>
                <w:szCs w:val="24"/>
                <w:lang w:val="en-US" w:eastAsia="zh-CN"/>
              </w:rPr>
              <w:t>400万全彩摄像机</w:t>
            </w:r>
          </w:p>
        </w:tc>
        <w:tc>
          <w:tcPr>
            <w:tcW w:w="1276" w:type="dxa"/>
            <w:tcBorders>
              <w:top w:val="nil"/>
              <w:left w:val="nil"/>
              <w:bottom w:val="single" w:color="auto" w:sz="4" w:space="0"/>
              <w:right w:val="single" w:color="auto" w:sz="4" w:space="0"/>
            </w:tcBorders>
            <w:noWrap w:val="0"/>
            <w:vAlign w:val="center"/>
          </w:tcPr>
          <w:p w14:paraId="0E3C9B54">
            <w:pPr>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台</w:t>
            </w:r>
          </w:p>
        </w:tc>
        <w:tc>
          <w:tcPr>
            <w:tcW w:w="1276" w:type="dxa"/>
            <w:tcBorders>
              <w:top w:val="nil"/>
              <w:left w:val="nil"/>
              <w:bottom w:val="single" w:color="auto" w:sz="4" w:space="0"/>
              <w:right w:val="single" w:color="auto" w:sz="4" w:space="0"/>
            </w:tcBorders>
            <w:noWrap w:val="0"/>
            <w:vAlign w:val="center"/>
          </w:tcPr>
          <w:p w14:paraId="5E3A55A8">
            <w:pPr>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15</w:t>
            </w:r>
          </w:p>
        </w:tc>
      </w:tr>
      <w:tr w14:paraId="3691C3E3">
        <w:tblPrEx>
          <w:tblCellMar>
            <w:top w:w="0" w:type="dxa"/>
            <w:left w:w="108" w:type="dxa"/>
            <w:bottom w:w="0" w:type="dxa"/>
            <w:right w:w="108" w:type="dxa"/>
          </w:tblCellMar>
        </w:tblPrEx>
        <w:trPr>
          <w:trHeight w:val="520" w:hRule="atLeast"/>
        </w:trPr>
        <w:tc>
          <w:tcPr>
            <w:tcW w:w="960" w:type="dxa"/>
            <w:tcBorders>
              <w:top w:val="nil"/>
              <w:left w:val="single" w:color="auto" w:sz="4" w:space="0"/>
              <w:bottom w:val="single" w:color="auto" w:sz="4" w:space="0"/>
              <w:right w:val="single" w:color="auto" w:sz="4" w:space="0"/>
            </w:tcBorders>
            <w:noWrap w:val="0"/>
            <w:vAlign w:val="center"/>
          </w:tcPr>
          <w:p w14:paraId="5FCBF7A3">
            <w:pPr>
              <w:jc w:val="center"/>
              <w:rPr>
                <w:rFonts w:ascii="宋体" w:hAnsi="宋体" w:cs="宋体"/>
                <w:color w:val="000000"/>
                <w:sz w:val="24"/>
                <w:szCs w:val="24"/>
              </w:rPr>
            </w:pPr>
            <w:r>
              <w:rPr>
                <w:rFonts w:hint="eastAsia" w:ascii="宋体" w:hAnsi="宋体" w:cs="宋体"/>
                <w:color w:val="000000"/>
                <w:sz w:val="24"/>
                <w:szCs w:val="24"/>
              </w:rPr>
              <w:t>12</w:t>
            </w:r>
          </w:p>
        </w:tc>
        <w:tc>
          <w:tcPr>
            <w:tcW w:w="1734" w:type="dxa"/>
            <w:vMerge w:val="continue"/>
            <w:tcBorders>
              <w:left w:val="single" w:color="auto" w:sz="4" w:space="0"/>
              <w:right w:val="single" w:color="auto" w:sz="4" w:space="0"/>
            </w:tcBorders>
            <w:noWrap w:val="0"/>
            <w:vAlign w:val="center"/>
          </w:tcPr>
          <w:p w14:paraId="5AD1CFD6">
            <w:pPr>
              <w:jc w:val="center"/>
              <w:rPr>
                <w:rFonts w:ascii="宋体" w:hAnsi="宋体" w:cs="宋体"/>
                <w:color w:val="000000"/>
                <w:sz w:val="24"/>
                <w:szCs w:val="24"/>
              </w:rPr>
            </w:pPr>
          </w:p>
        </w:tc>
        <w:tc>
          <w:tcPr>
            <w:tcW w:w="4252" w:type="dxa"/>
            <w:tcBorders>
              <w:top w:val="single" w:color="auto" w:sz="4" w:space="0"/>
              <w:left w:val="nil"/>
              <w:bottom w:val="single" w:color="auto" w:sz="4" w:space="0"/>
              <w:right w:val="single" w:color="auto" w:sz="4" w:space="0"/>
            </w:tcBorders>
            <w:noWrap w:val="0"/>
            <w:vAlign w:val="center"/>
          </w:tcPr>
          <w:p w14:paraId="35DC1DB7">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bidi="ar-SA"/>
              </w:rPr>
            </w:pPr>
            <w:r>
              <w:rPr>
                <w:rFonts w:hint="eastAsia" w:ascii="宋体" w:hAnsi="宋体" w:cs="宋体"/>
                <w:color w:val="000000"/>
                <w:sz w:val="24"/>
                <w:szCs w:val="24"/>
                <w:lang w:val="en-US" w:eastAsia="zh-CN"/>
              </w:rPr>
              <w:t>800万+400万全结构化摄像机</w:t>
            </w:r>
          </w:p>
        </w:tc>
        <w:tc>
          <w:tcPr>
            <w:tcW w:w="1276" w:type="dxa"/>
            <w:tcBorders>
              <w:top w:val="nil"/>
              <w:left w:val="nil"/>
              <w:bottom w:val="single" w:color="auto" w:sz="4" w:space="0"/>
              <w:right w:val="single" w:color="auto" w:sz="4" w:space="0"/>
            </w:tcBorders>
            <w:noWrap w:val="0"/>
            <w:vAlign w:val="center"/>
          </w:tcPr>
          <w:p w14:paraId="7F777DF4">
            <w:pPr>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台</w:t>
            </w:r>
          </w:p>
        </w:tc>
        <w:tc>
          <w:tcPr>
            <w:tcW w:w="1276" w:type="dxa"/>
            <w:tcBorders>
              <w:top w:val="nil"/>
              <w:left w:val="nil"/>
              <w:bottom w:val="single" w:color="auto" w:sz="4" w:space="0"/>
              <w:right w:val="single" w:color="auto" w:sz="4" w:space="0"/>
            </w:tcBorders>
            <w:noWrap w:val="0"/>
            <w:vAlign w:val="center"/>
          </w:tcPr>
          <w:p w14:paraId="1C0932FE">
            <w:pPr>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20</w:t>
            </w:r>
          </w:p>
        </w:tc>
      </w:tr>
      <w:tr w14:paraId="39C5338E">
        <w:tblPrEx>
          <w:tblCellMar>
            <w:top w:w="0" w:type="dxa"/>
            <w:left w:w="108" w:type="dxa"/>
            <w:bottom w:w="0" w:type="dxa"/>
            <w:right w:w="108" w:type="dxa"/>
          </w:tblCellMar>
        </w:tblPrEx>
        <w:trPr>
          <w:trHeight w:val="520" w:hRule="atLeast"/>
        </w:trPr>
        <w:tc>
          <w:tcPr>
            <w:tcW w:w="960" w:type="dxa"/>
            <w:tcBorders>
              <w:top w:val="nil"/>
              <w:left w:val="single" w:color="auto" w:sz="4" w:space="0"/>
              <w:bottom w:val="single" w:color="auto" w:sz="4" w:space="0"/>
              <w:right w:val="single" w:color="auto" w:sz="4" w:space="0"/>
            </w:tcBorders>
            <w:noWrap w:val="0"/>
            <w:vAlign w:val="center"/>
          </w:tcPr>
          <w:p w14:paraId="072F127C">
            <w:pPr>
              <w:jc w:val="center"/>
              <w:rPr>
                <w:rFonts w:ascii="宋体" w:hAnsi="宋体" w:cs="宋体"/>
                <w:color w:val="000000"/>
                <w:sz w:val="24"/>
                <w:szCs w:val="24"/>
              </w:rPr>
            </w:pPr>
            <w:r>
              <w:rPr>
                <w:rFonts w:hint="eastAsia" w:ascii="宋体" w:hAnsi="宋体" w:cs="宋体"/>
                <w:color w:val="000000"/>
                <w:sz w:val="24"/>
                <w:szCs w:val="24"/>
              </w:rPr>
              <w:t>13</w:t>
            </w:r>
          </w:p>
        </w:tc>
        <w:tc>
          <w:tcPr>
            <w:tcW w:w="1734" w:type="dxa"/>
            <w:vMerge w:val="continue"/>
            <w:tcBorders>
              <w:left w:val="single" w:color="auto" w:sz="4" w:space="0"/>
              <w:right w:val="single" w:color="auto" w:sz="4" w:space="0"/>
            </w:tcBorders>
            <w:noWrap w:val="0"/>
            <w:vAlign w:val="center"/>
          </w:tcPr>
          <w:p w14:paraId="3A1FDD5F">
            <w:pPr>
              <w:rPr>
                <w:rFonts w:ascii="宋体" w:hAnsi="宋体" w:cs="宋体"/>
                <w:color w:val="000000"/>
                <w:sz w:val="24"/>
                <w:szCs w:val="24"/>
              </w:rPr>
            </w:pPr>
          </w:p>
        </w:tc>
        <w:tc>
          <w:tcPr>
            <w:tcW w:w="4252" w:type="dxa"/>
            <w:tcBorders>
              <w:top w:val="nil"/>
              <w:left w:val="nil"/>
              <w:bottom w:val="single" w:color="auto" w:sz="4" w:space="0"/>
              <w:right w:val="single" w:color="auto" w:sz="4" w:space="0"/>
            </w:tcBorders>
            <w:noWrap w:val="0"/>
            <w:vAlign w:val="center"/>
          </w:tcPr>
          <w:p w14:paraId="6078FF48">
            <w:pPr>
              <w:jc w:val="center"/>
              <w:rPr>
                <w:rFonts w:hint="eastAsia" w:ascii="宋体" w:hAnsi="宋体" w:cs="宋体"/>
                <w:color w:val="000000"/>
                <w:sz w:val="24"/>
                <w:szCs w:val="24"/>
                <w:lang w:eastAsia="zh-CN"/>
              </w:rPr>
            </w:pPr>
            <w:r>
              <w:rPr>
                <w:rFonts w:hint="eastAsia" w:ascii="宋体" w:hAnsi="宋体" w:cs="宋体"/>
                <w:color w:val="000000"/>
                <w:sz w:val="24"/>
                <w:szCs w:val="24"/>
                <w:lang w:val="en-US" w:eastAsia="zh-CN"/>
              </w:rPr>
              <w:t>900万电子警察</w:t>
            </w:r>
          </w:p>
        </w:tc>
        <w:tc>
          <w:tcPr>
            <w:tcW w:w="1276" w:type="dxa"/>
            <w:tcBorders>
              <w:top w:val="nil"/>
              <w:left w:val="nil"/>
              <w:bottom w:val="single" w:color="auto" w:sz="4" w:space="0"/>
              <w:right w:val="single" w:color="auto" w:sz="4" w:space="0"/>
            </w:tcBorders>
            <w:noWrap w:val="0"/>
            <w:vAlign w:val="center"/>
          </w:tcPr>
          <w:p w14:paraId="07CBDB5A">
            <w:pPr>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台</w:t>
            </w:r>
          </w:p>
        </w:tc>
        <w:tc>
          <w:tcPr>
            <w:tcW w:w="1276" w:type="dxa"/>
            <w:tcBorders>
              <w:top w:val="nil"/>
              <w:left w:val="nil"/>
              <w:bottom w:val="single" w:color="auto" w:sz="4" w:space="0"/>
              <w:right w:val="single" w:color="auto" w:sz="4" w:space="0"/>
            </w:tcBorders>
            <w:noWrap w:val="0"/>
            <w:vAlign w:val="center"/>
          </w:tcPr>
          <w:p w14:paraId="0ADF076B">
            <w:pPr>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110</w:t>
            </w:r>
          </w:p>
        </w:tc>
      </w:tr>
      <w:tr w14:paraId="46AB96B4">
        <w:tblPrEx>
          <w:tblCellMar>
            <w:top w:w="0" w:type="dxa"/>
            <w:left w:w="108" w:type="dxa"/>
            <w:bottom w:w="0" w:type="dxa"/>
            <w:right w:w="108" w:type="dxa"/>
          </w:tblCellMar>
        </w:tblPrEx>
        <w:trPr>
          <w:trHeight w:val="520" w:hRule="atLeast"/>
        </w:trPr>
        <w:tc>
          <w:tcPr>
            <w:tcW w:w="960" w:type="dxa"/>
            <w:tcBorders>
              <w:top w:val="nil"/>
              <w:left w:val="single" w:color="auto" w:sz="4" w:space="0"/>
              <w:bottom w:val="single" w:color="auto" w:sz="4" w:space="0"/>
              <w:right w:val="single" w:color="auto" w:sz="4" w:space="0"/>
            </w:tcBorders>
            <w:noWrap w:val="0"/>
            <w:vAlign w:val="center"/>
          </w:tcPr>
          <w:p w14:paraId="792B76A3">
            <w:pPr>
              <w:jc w:val="center"/>
              <w:rPr>
                <w:rFonts w:ascii="宋体" w:hAnsi="宋体" w:cs="宋体"/>
                <w:color w:val="000000"/>
                <w:sz w:val="24"/>
                <w:szCs w:val="24"/>
              </w:rPr>
            </w:pPr>
            <w:r>
              <w:rPr>
                <w:rFonts w:hint="eastAsia" w:ascii="宋体" w:hAnsi="宋体" w:cs="宋体"/>
                <w:color w:val="000000"/>
                <w:sz w:val="24"/>
                <w:szCs w:val="24"/>
              </w:rPr>
              <w:t>14</w:t>
            </w:r>
          </w:p>
        </w:tc>
        <w:tc>
          <w:tcPr>
            <w:tcW w:w="1734" w:type="dxa"/>
            <w:vMerge w:val="continue"/>
            <w:tcBorders>
              <w:left w:val="single" w:color="auto" w:sz="4" w:space="0"/>
              <w:right w:val="single" w:color="auto" w:sz="4" w:space="0"/>
            </w:tcBorders>
            <w:noWrap w:val="0"/>
            <w:vAlign w:val="center"/>
          </w:tcPr>
          <w:p w14:paraId="089727D9">
            <w:pPr>
              <w:rPr>
                <w:rFonts w:ascii="宋体" w:hAnsi="宋体" w:cs="宋体"/>
                <w:color w:val="000000"/>
                <w:sz w:val="24"/>
                <w:szCs w:val="24"/>
              </w:rPr>
            </w:pPr>
          </w:p>
        </w:tc>
        <w:tc>
          <w:tcPr>
            <w:tcW w:w="4252" w:type="dxa"/>
            <w:tcBorders>
              <w:top w:val="nil"/>
              <w:left w:val="nil"/>
              <w:bottom w:val="single" w:color="auto" w:sz="4" w:space="0"/>
              <w:right w:val="single" w:color="auto" w:sz="4" w:space="0"/>
            </w:tcBorders>
            <w:noWrap w:val="0"/>
            <w:vAlign w:val="center"/>
          </w:tcPr>
          <w:p w14:paraId="77914574">
            <w:pPr>
              <w:jc w:val="center"/>
              <w:rPr>
                <w:rFonts w:hint="eastAsia" w:ascii="宋体" w:hAnsi="宋体" w:cs="宋体"/>
                <w:color w:val="000000"/>
                <w:sz w:val="24"/>
                <w:szCs w:val="24"/>
              </w:rPr>
            </w:pPr>
            <w:r>
              <w:rPr>
                <w:rFonts w:hint="eastAsia" w:ascii="宋体" w:hAnsi="宋体" w:cs="宋体"/>
                <w:color w:val="000000"/>
                <w:sz w:val="24"/>
                <w:szCs w:val="24"/>
                <w:lang w:val="en-US" w:eastAsia="zh-CN"/>
              </w:rPr>
              <w:t>补光灯</w:t>
            </w:r>
          </w:p>
        </w:tc>
        <w:tc>
          <w:tcPr>
            <w:tcW w:w="1276" w:type="dxa"/>
            <w:tcBorders>
              <w:top w:val="nil"/>
              <w:left w:val="nil"/>
              <w:bottom w:val="single" w:color="auto" w:sz="4" w:space="0"/>
              <w:right w:val="single" w:color="auto" w:sz="4" w:space="0"/>
            </w:tcBorders>
            <w:noWrap w:val="0"/>
            <w:vAlign w:val="center"/>
          </w:tcPr>
          <w:p w14:paraId="6E12ED6E">
            <w:pPr>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台</w:t>
            </w:r>
          </w:p>
        </w:tc>
        <w:tc>
          <w:tcPr>
            <w:tcW w:w="1276" w:type="dxa"/>
            <w:tcBorders>
              <w:top w:val="nil"/>
              <w:left w:val="nil"/>
              <w:bottom w:val="single" w:color="auto" w:sz="4" w:space="0"/>
              <w:right w:val="single" w:color="auto" w:sz="4" w:space="0"/>
            </w:tcBorders>
            <w:noWrap w:val="0"/>
            <w:vAlign w:val="center"/>
          </w:tcPr>
          <w:p w14:paraId="1FD30C2E">
            <w:pPr>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110</w:t>
            </w:r>
          </w:p>
        </w:tc>
      </w:tr>
      <w:tr w14:paraId="4119EAAD">
        <w:tblPrEx>
          <w:tblCellMar>
            <w:top w:w="0" w:type="dxa"/>
            <w:left w:w="108" w:type="dxa"/>
            <w:bottom w:w="0" w:type="dxa"/>
            <w:right w:w="108" w:type="dxa"/>
          </w:tblCellMar>
        </w:tblPrEx>
        <w:trPr>
          <w:trHeight w:val="520" w:hRule="atLeast"/>
        </w:trPr>
        <w:tc>
          <w:tcPr>
            <w:tcW w:w="960" w:type="dxa"/>
            <w:tcBorders>
              <w:top w:val="nil"/>
              <w:left w:val="single" w:color="auto" w:sz="4" w:space="0"/>
              <w:bottom w:val="single" w:color="auto" w:sz="4" w:space="0"/>
              <w:right w:val="single" w:color="auto" w:sz="4" w:space="0"/>
            </w:tcBorders>
            <w:noWrap w:val="0"/>
            <w:vAlign w:val="center"/>
          </w:tcPr>
          <w:p w14:paraId="0619D6B2">
            <w:pPr>
              <w:jc w:val="center"/>
              <w:rPr>
                <w:rFonts w:ascii="宋体" w:hAnsi="宋体" w:cs="宋体"/>
                <w:color w:val="000000"/>
                <w:sz w:val="24"/>
                <w:szCs w:val="24"/>
              </w:rPr>
            </w:pPr>
            <w:r>
              <w:rPr>
                <w:rFonts w:hint="eastAsia" w:ascii="宋体" w:hAnsi="宋体" w:cs="宋体"/>
                <w:color w:val="000000"/>
                <w:sz w:val="24"/>
                <w:szCs w:val="24"/>
              </w:rPr>
              <w:t>15</w:t>
            </w:r>
          </w:p>
        </w:tc>
        <w:tc>
          <w:tcPr>
            <w:tcW w:w="1734" w:type="dxa"/>
            <w:vMerge w:val="continue"/>
            <w:tcBorders>
              <w:left w:val="single" w:color="auto" w:sz="4" w:space="0"/>
              <w:right w:val="single" w:color="auto" w:sz="4" w:space="0"/>
            </w:tcBorders>
            <w:noWrap w:val="0"/>
            <w:vAlign w:val="center"/>
          </w:tcPr>
          <w:p w14:paraId="199F8EC7">
            <w:pPr>
              <w:rPr>
                <w:rFonts w:ascii="宋体" w:hAnsi="宋体" w:cs="宋体"/>
                <w:color w:val="000000"/>
                <w:sz w:val="24"/>
                <w:szCs w:val="24"/>
              </w:rPr>
            </w:pPr>
          </w:p>
        </w:tc>
        <w:tc>
          <w:tcPr>
            <w:tcW w:w="4252" w:type="dxa"/>
            <w:tcBorders>
              <w:top w:val="nil"/>
              <w:left w:val="nil"/>
              <w:bottom w:val="single" w:color="auto" w:sz="4" w:space="0"/>
              <w:right w:val="single" w:color="auto" w:sz="4" w:space="0"/>
            </w:tcBorders>
            <w:noWrap w:val="0"/>
            <w:vAlign w:val="center"/>
          </w:tcPr>
          <w:p w14:paraId="1181D425">
            <w:pPr>
              <w:jc w:val="center"/>
              <w:rPr>
                <w:rFonts w:hint="eastAsia" w:ascii="宋体" w:hAnsi="宋体" w:cs="宋体"/>
                <w:color w:val="000000"/>
                <w:sz w:val="24"/>
                <w:szCs w:val="24"/>
              </w:rPr>
            </w:pPr>
            <w:r>
              <w:rPr>
                <w:rFonts w:hint="eastAsia" w:ascii="宋体" w:hAnsi="宋体" w:cs="宋体"/>
                <w:color w:val="000000"/>
                <w:sz w:val="24"/>
                <w:szCs w:val="24"/>
                <w:lang w:val="en-US" w:eastAsia="zh-CN"/>
              </w:rPr>
              <w:t>爆闪灯</w:t>
            </w:r>
          </w:p>
        </w:tc>
        <w:tc>
          <w:tcPr>
            <w:tcW w:w="1276" w:type="dxa"/>
            <w:tcBorders>
              <w:top w:val="nil"/>
              <w:left w:val="nil"/>
              <w:bottom w:val="single" w:color="auto" w:sz="4" w:space="0"/>
              <w:right w:val="single" w:color="auto" w:sz="4" w:space="0"/>
            </w:tcBorders>
            <w:noWrap w:val="0"/>
            <w:vAlign w:val="center"/>
          </w:tcPr>
          <w:p w14:paraId="760D0A44">
            <w:pPr>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台</w:t>
            </w:r>
          </w:p>
        </w:tc>
        <w:tc>
          <w:tcPr>
            <w:tcW w:w="1276" w:type="dxa"/>
            <w:tcBorders>
              <w:top w:val="nil"/>
              <w:left w:val="nil"/>
              <w:bottom w:val="single" w:color="auto" w:sz="4" w:space="0"/>
              <w:right w:val="single" w:color="auto" w:sz="4" w:space="0"/>
            </w:tcBorders>
            <w:noWrap w:val="0"/>
            <w:vAlign w:val="center"/>
          </w:tcPr>
          <w:p w14:paraId="784FFABF">
            <w:pPr>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50</w:t>
            </w:r>
          </w:p>
        </w:tc>
      </w:tr>
      <w:tr w14:paraId="530208E7">
        <w:tblPrEx>
          <w:tblCellMar>
            <w:top w:w="0" w:type="dxa"/>
            <w:left w:w="108" w:type="dxa"/>
            <w:bottom w:w="0" w:type="dxa"/>
            <w:right w:w="108" w:type="dxa"/>
          </w:tblCellMar>
        </w:tblPrEx>
        <w:trPr>
          <w:trHeight w:val="520" w:hRule="atLeast"/>
        </w:trPr>
        <w:tc>
          <w:tcPr>
            <w:tcW w:w="960" w:type="dxa"/>
            <w:tcBorders>
              <w:top w:val="nil"/>
              <w:left w:val="single" w:color="auto" w:sz="4" w:space="0"/>
              <w:bottom w:val="single" w:color="auto" w:sz="4" w:space="0"/>
              <w:right w:val="single" w:color="auto" w:sz="4" w:space="0"/>
            </w:tcBorders>
            <w:noWrap w:val="0"/>
            <w:vAlign w:val="center"/>
          </w:tcPr>
          <w:p w14:paraId="5D83AFAA">
            <w:pPr>
              <w:jc w:val="center"/>
              <w:rPr>
                <w:rFonts w:ascii="宋体" w:hAnsi="宋体" w:cs="宋体"/>
                <w:color w:val="000000"/>
                <w:sz w:val="24"/>
                <w:szCs w:val="24"/>
              </w:rPr>
            </w:pPr>
            <w:r>
              <w:rPr>
                <w:rFonts w:hint="eastAsia" w:ascii="宋体" w:hAnsi="宋体" w:cs="宋体"/>
                <w:color w:val="000000"/>
                <w:sz w:val="24"/>
                <w:szCs w:val="24"/>
              </w:rPr>
              <w:t>16</w:t>
            </w:r>
          </w:p>
        </w:tc>
        <w:tc>
          <w:tcPr>
            <w:tcW w:w="1734" w:type="dxa"/>
            <w:vMerge w:val="continue"/>
            <w:tcBorders>
              <w:left w:val="single" w:color="auto" w:sz="4" w:space="0"/>
              <w:right w:val="single" w:color="auto" w:sz="4" w:space="0"/>
            </w:tcBorders>
            <w:noWrap w:val="0"/>
            <w:vAlign w:val="center"/>
          </w:tcPr>
          <w:p w14:paraId="634EBBBC">
            <w:pPr>
              <w:rPr>
                <w:rFonts w:ascii="宋体" w:hAnsi="宋体" w:cs="宋体"/>
                <w:color w:val="000000"/>
                <w:sz w:val="24"/>
                <w:szCs w:val="24"/>
              </w:rPr>
            </w:pPr>
          </w:p>
        </w:tc>
        <w:tc>
          <w:tcPr>
            <w:tcW w:w="4252" w:type="dxa"/>
            <w:tcBorders>
              <w:top w:val="nil"/>
              <w:left w:val="nil"/>
              <w:bottom w:val="single" w:color="auto" w:sz="4" w:space="0"/>
              <w:right w:val="single" w:color="auto" w:sz="4" w:space="0"/>
            </w:tcBorders>
            <w:noWrap w:val="0"/>
            <w:vAlign w:val="center"/>
          </w:tcPr>
          <w:p w14:paraId="5EA4CE28">
            <w:pPr>
              <w:jc w:val="center"/>
              <w:rPr>
                <w:rFonts w:hint="default" w:ascii="宋体" w:hAnsi="宋体" w:cs="宋体"/>
                <w:color w:val="000000"/>
                <w:sz w:val="24"/>
                <w:szCs w:val="24"/>
                <w:lang w:val="en-US"/>
              </w:rPr>
            </w:pPr>
            <w:r>
              <w:rPr>
                <w:rFonts w:hint="eastAsia" w:ascii="宋体" w:hAnsi="宋体" w:cs="宋体"/>
                <w:color w:val="000000"/>
                <w:sz w:val="24"/>
                <w:szCs w:val="24"/>
                <w:lang w:val="en-US" w:eastAsia="zh-CN"/>
              </w:rPr>
              <w:t>交通终端控制模块</w:t>
            </w:r>
          </w:p>
        </w:tc>
        <w:tc>
          <w:tcPr>
            <w:tcW w:w="1276" w:type="dxa"/>
            <w:tcBorders>
              <w:top w:val="nil"/>
              <w:left w:val="nil"/>
              <w:bottom w:val="single" w:color="auto" w:sz="4" w:space="0"/>
              <w:right w:val="single" w:color="auto" w:sz="4" w:space="0"/>
            </w:tcBorders>
            <w:noWrap w:val="0"/>
            <w:vAlign w:val="center"/>
          </w:tcPr>
          <w:p w14:paraId="21742137">
            <w:pPr>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套</w:t>
            </w:r>
          </w:p>
        </w:tc>
        <w:tc>
          <w:tcPr>
            <w:tcW w:w="1276" w:type="dxa"/>
            <w:tcBorders>
              <w:top w:val="nil"/>
              <w:left w:val="nil"/>
              <w:bottom w:val="single" w:color="auto" w:sz="4" w:space="0"/>
              <w:right w:val="single" w:color="auto" w:sz="4" w:space="0"/>
            </w:tcBorders>
            <w:noWrap w:val="0"/>
            <w:vAlign w:val="center"/>
          </w:tcPr>
          <w:p w14:paraId="47BED8F1">
            <w:pPr>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15</w:t>
            </w:r>
          </w:p>
        </w:tc>
      </w:tr>
      <w:tr w14:paraId="00551EF2">
        <w:tblPrEx>
          <w:tblCellMar>
            <w:top w:w="0" w:type="dxa"/>
            <w:left w:w="108" w:type="dxa"/>
            <w:bottom w:w="0" w:type="dxa"/>
            <w:right w:w="108" w:type="dxa"/>
          </w:tblCellMar>
        </w:tblPrEx>
        <w:trPr>
          <w:trHeight w:val="520" w:hRule="atLeast"/>
        </w:trPr>
        <w:tc>
          <w:tcPr>
            <w:tcW w:w="960" w:type="dxa"/>
            <w:tcBorders>
              <w:top w:val="nil"/>
              <w:left w:val="single" w:color="auto" w:sz="4" w:space="0"/>
              <w:bottom w:val="single" w:color="auto" w:sz="4" w:space="0"/>
              <w:right w:val="single" w:color="auto" w:sz="4" w:space="0"/>
            </w:tcBorders>
            <w:noWrap w:val="0"/>
            <w:vAlign w:val="center"/>
          </w:tcPr>
          <w:p w14:paraId="0BA105B5">
            <w:pPr>
              <w:jc w:val="center"/>
              <w:rPr>
                <w:rFonts w:ascii="宋体" w:hAnsi="宋体" w:cs="宋体"/>
                <w:color w:val="000000"/>
                <w:sz w:val="24"/>
                <w:szCs w:val="24"/>
              </w:rPr>
            </w:pPr>
            <w:r>
              <w:rPr>
                <w:rFonts w:hint="eastAsia" w:ascii="宋体" w:hAnsi="宋体" w:cs="宋体"/>
                <w:color w:val="000000"/>
                <w:sz w:val="24"/>
                <w:szCs w:val="24"/>
              </w:rPr>
              <w:t>17</w:t>
            </w:r>
          </w:p>
        </w:tc>
        <w:tc>
          <w:tcPr>
            <w:tcW w:w="1734" w:type="dxa"/>
            <w:vMerge w:val="continue"/>
            <w:tcBorders>
              <w:left w:val="single" w:color="auto" w:sz="4" w:space="0"/>
              <w:right w:val="single" w:color="auto" w:sz="4" w:space="0"/>
            </w:tcBorders>
            <w:noWrap w:val="0"/>
            <w:vAlign w:val="center"/>
          </w:tcPr>
          <w:p w14:paraId="094C15A2">
            <w:pPr>
              <w:rPr>
                <w:rFonts w:ascii="宋体" w:hAnsi="宋体" w:cs="宋体"/>
                <w:color w:val="000000"/>
                <w:sz w:val="24"/>
                <w:szCs w:val="24"/>
              </w:rPr>
            </w:pPr>
          </w:p>
        </w:tc>
        <w:tc>
          <w:tcPr>
            <w:tcW w:w="4252" w:type="dxa"/>
            <w:tcBorders>
              <w:top w:val="nil"/>
              <w:left w:val="nil"/>
              <w:bottom w:val="single" w:color="auto" w:sz="4" w:space="0"/>
              <w:right w:val="single" w:color="auto" w:sz="4" w:space="0"/>
            </w:tcBorders>
            <w:noWrap w:val="0"/>
            <w:vAlign w:val="center"/>
          </w:tcPr>
          <w:p w14:paraId="3299258D">
            <w:pPr>
              <w:jc w:val="center"/>
              <w:rPr>
                <w:rFonts w:hint="eastAsia" w:ascii="宋体" w:hAnsi="宋体" w:cs="宋体"/>
                <w:color w:val="000000"/>
                <w:sz w:val="24"/>
                <w:szCs w:val="24"/>
              </w:rPr>
            </w:pPr>
            <w:r>
              <w:rPr>
                <w:rFonts w:hint="eastAsia" w:ascii="宋体" w:hAnsi="宋体" w:cs="宋体"/>
                <w:color w:val="000000"/>
                <w:sz w:val="24"/>
                <w:szCs w:val="24"/>
                <w:lang w:val="en-US" w:eastAsia="zh-CN"/>
              </w:rPr>
              <w:t>违章自动抓拍球</w:t>
            </w:r>
          </w:p>
        </w:tc>
        <w:tc>
          <w:tcPr>
            <w:tcW w:w="1276" w:type="dxa"/>
            <w:tcBorders>
              <w:top w:val="nil"/>
              <w:left w:val="nil"/>
              <w:bottom w:val="single" w:color="auto" w:sz="4" w:space="0"/>
              <w:right w:val="single" w:color="auto" w:sz="4" w:space="0"/>
            </w:tcBorders>
            <w:noWrap w:val="0"/>
            <w:vAlign w:val="center"/>
          </w:tcPr>
          <w:p w14:paraId="01ADE24E">
            <w:pPr>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台</w:t>
            </w:r>
          </w:p>
        </w:tc>
        <w:tc>
          <w:tcPr>
            <w:tcW w:w="1276" w:type="dxa"/>
            <w:tcBorders>
              <w:top w:val="nil"/>
              <w:left w:val="nil"/>
              <w:bottom w:val="single" w:color="auto" w:sz="4" w:space="0"/>
              <w:right w:val="single" w:color="auto" w:sz="4" w:space="0"/>
            </w:tcBorders>
            <w:noWrap w:val="0"/>
            <w:vAlign w:val="center"/>
          </w:tcPr>
          <w:p w14:paraId="31F1E56C">
            <w:pPr>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3</w:t>
            </w:r>
          </w:p>
        </w:tc>
      </w:tr>
      <w:tr w14:paraId="4B42C5AD">
        <w:tblPrEx>
          <w:tblCellMar>
            <w:top w:w="0" w:type="dxa"/>
            <w:left w:w="108" w:type="dxa"/>
            <w:bottom w:w="0" w:type="dxa"/>
            <w:right w:w="108" w:type="dxa"/>
          </w:tblCellMar>
        </w:tblPrEx>
        <w:trPr>
          <w:trHeight w:val="520" w:hRule="atLeast"/>
        </w:trPr>
        <w:tc>
          <w:tcPr>
            <w:tcW w:w="960" w:type="dxa"/>
            <w:tcBorders>
              <w:top w:val="nil"/>
              <w:left w:val="single" w:color="auto" w:sz="4" w:space="0"/>
              <w:bottom w:val="single" w:color="auto" w:sz="4" w:space="0"/>
              <w:right w:val="single" w:color="auto" w:sz="4" w:space="0"/>
            </w:tcBorders>
            <w:noWrap w:val="0"/>
            <w:vAlign w:val="center"/>
          </w:tcPr>
          <w:p w14:paraId="2ECA7461">
            <w:pPr>
              <w:jc w:val="center"/>
              <w:rPr>
                <w:rFonts w:ascii="宋体" w:hAnsi="宋体" w:cs="宋体"/>
                <w:color w:val="000000"/>
                <w:sz w:val="24"/>
                <w:szCs w:val="24"/>
              </w:rPr>
            </w:pPr>
            <w:r>
              <w:rPr>
                <w:rFonts w:hint="eastAsia" w:ascii="宋体" w:hAnsi="宋体" w:cs="宋体"/>
                <w:color w:val="000000"/>
                <w:sz w:val="24"/>
                <w:szCs w:val="24"/>
              </w:rPr>
              <w:t>18</w:t>
            </w:r>
          </w:p>
        </w:tc>
        <w:tc>
          <w:tcPr>
            <w:tcW w:w="1734" w:type="dxa"/>
            <w:vMerge w:val="continue"/>
            <w:tcBorders>
              <w:left w:val="single" w:color="auto" w:sz="4" w:space="0"/>
              <w:right w:val="single" w:color="auto" w:sz="4" w:space="0"/>
            </w:tcBorders>
            <w:noWrap w:val="0"/>
            <w:vAlign w:val="center"/>
          </w:tcPr>
          <w:p w14:paraId="256DEC3B">
            <w:pPr>
              <w:rPr>
                <w:rFonts w:ascii="宋体" w:hAnsi="宋体" w:cs="宋体"/>
                <w:color w:val="000000"/>
                <w:sz w:val="24"/>
                <w:szCs w:val="24"/>
              </w:rPr>
            </w:pPr>
          </w:p>
        </w:tc>
        <w:tc>
          <w:tcPr>
            <w:tcW w:w="4252" w:type="dxa"/>
            <w:tcBorders>
              <w:top w:val="nil"/>
              <w:left w:val="nil"/>
              <w:bottom w:val="single" w:color="auto" w:sz="4" w:space="0"/>
              <w:right w:val="single" w:color="auto" w:sz="4" w:space="0"/>
            </w:tcBorders>
            <w:noWrap w:val="0"/>
            <w:vAlign w:val="center"/>
          </w:tcPr>
          <w:p w14:paraId="0B0A0C05">
            <w:pPr>
              <w:jc w:val="center"/>
              <w:rPr>
                <w:rFonts w:hint="default" w:ascii="宋体" w:hAnsi="宋体" w:cs="宋体"/>
                <w:color w:val="000000"/>
                <w:sz w:val="24"/>
                <w:szCs w:val="24"/>
                <w:lang w:val="en-US"/>
              </w:rPr>
            </w:pPr>
            <w:r>
              <w:rPr>
                <w:rFonts w:hint="eastAsia" w:ascii="宋体" w:hAnsi="宋体" w:cs="宋体"/>
                <w:color w:val="000000"/>
                <w:sz w:val="24"/>
                <w:szCs w:val="24"/>
                <w:lang w:val="en-US" w:eastAsia="zh-CN"/>
              </w:rPr>
              <w:t>视频图像云存储设备扩容模块</w:t>
            </w:r>
          </w:p>
        </w:tc>
        <w:tc>
          <w:tcPr>
            <w:tcW w:w="1276" w:type="dxa"/>
            <w:tcBorders>
              <w:top w:val="nil"/>
              <w:left w:val="nil"/>
              <w:bottom w:val="single" w:color="auto" w:sz="4" w:space="0"/>
              <w:right w:val="single" w:color="auto" w:sz="4" w:space="0"/>
            </w:tcBorders>
            <w:noWrap w:val="0"/>
            <w:vAlign w:val="center"/>
          </w:tcPr>
          <w:p w14:paraId="4B023BF7">
            <w:pPr>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台</w:t>
            </w:r>
          </w:p>
        </w:tc>
        <w:tc>
          <w:tcPr>
            <w:tcW w:w="1276" w:type="dxa"/>
            <w:tcBorders>
              <w:top w:val="nil"/>
              <w:left w:val="nil"/>
              <w:bottom w:val="single" w:color="auto" w:sz="4" w:space="0"/>
              <w:right w:val="single" w:color="auto" w:sz="4" w:space="0"/>
            </w:tcBorders>
            <w:noWrap w:val="0"/>
            <w:vAlign w:val="center"/>
          </w:tcPr>
          <w:p w14:paraId="43738AC2">
            <w:pPr>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1</w:t>
            </w:r>
          </w:p>
        </w:tc>
      </w:tr>
      <w:tr w14:paraId="0A5A6643">
        <w:tblPrEx>
          <w:tblCellMar>
            <w:top w:w="0" w:type="dxa"/>
            <w:left w:w="108" w:type="dxa"/>
            <w:bottom w:w="0" w:type="dxa"/>
            <w:right w:w="108" w:type="dxa"/>
          </w:tblCellMar>
        </w:tblPrEx>
        <w:trPr>
          <w:trHeight w:val="520" w:hRule="atLeast"/>
        </w:trPr>
        <w:tc>
          <w:tcPr>
            <w:tcW w:w="960" w:type="dxa"/>
            <w:tcBorders>
              <w:top w:val="nil"/>
              <w:left w:val="single" w:color="auto" w:sz="4" w:space="0"/>
              <w:bottom w:val="single" w:color="auto" w:sz="4" w:space="0"/>
              <w:right w:val="single" w:color="auto" w:sz="4" w:space="0"/>
            </w:tcBorders>
            <w:noWrap w:val="0"/>
            <w:vAlign w:val="center"/>
          </w:tcPr>
          <w:p w14:paraId="5F067965">
            <w:pPr>
              <w:jc w:val="center"/>
              <w:rPr>
                <w:rFonts w:hint="eastAsia" w:ascii="宋体" w:hAnsi="宋体" w:cs="宋体"/>
                <w:color w:val="000000"/>
                <w:sz w:val="24"/>
                <w:szCs w:val="24"/>
              </w:rPr>
            </w:pPr>
            <w:r>
              <w:rPr>
                <w:rFonts w:hint="eastAsia" w:ascii="宋体" w:hAnsi="宋体" w:cs="宋体"/>
                <w:color w:val="000000"/>
                <w:sz w:val="24"/>
                <w:szCs w:val="24"/>
                <w:lang w:val="en-US" w:eastAsia="zh-CN"/>
              </w:rPr>
              <w:t>19</w:t>
            </w:r>
          </w:p>
        </w:tc>
        <w:tc>
          <w:tcPr>
            <w:tcW w:w="1734" w:type="dxa"/>
            <w:vMerge w:val="continue"/>
            <w:tcBorders>
              <w:left w:val="single" w:color="auto" w:sz="4" w:space="0"/>
              <w:right w:val="single" w:color="auto" w:sz="4" w:space="0"/>
            </w:tcBorders>
            <w:noWrap w:val="0"/>
            <w:vAlign w:val="center"/>
          </w:tcPr>
          <w:p w14:paraId="42BB8351">
            <w:pPr>
              <w:rPr>
                <w:rFonts w:ascii="宋体" w:hAnsi="宋体" w:cs="宋体"/>
                <w:color w:val="000000"/>
                <w:sz w:val="24"/>
                <w:szCs w:val="24"/>
              </w:rPr>
            </w:pPr>
          </w:p>
        </w:tc>
        <w:tc>
          <w:tcPr>
            <w:tcW w:w="4252" w:type="dxa"/>
            <w:tcBorders>
              <w:top w:val="nil"/>
              <w:left w:val="nil"/>
              <w:bottom w:val="single" w:color="auto" w:sz="4" w:space="0"/>
              <w:right w:val="single" w:color="auto" w:sz="4" w:space="0"/>
            </w:tcBorders>
            <w:noWrap w:val="0"/>
            <w:vAlign w:val="center"/>
          </w:tcPr>
          <w:p w14:paraId="22F13748">
            <w:pPr>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雷达</w:t>
            </w:r>
          </w:p>
        </w:tc>
        <w:tc>
          <w:tcPr>
            <w:tcW w:w="1276" w:type="dxa"/>
            <w:tcBorders>
              <w:top w:val="nil"/>
              <w:left w:val="nil"/>
              <w:bottom w:val="single" w:color="auto" w:sz="4" w:space="0"/>
              <w:right w:val="single" w:color="auto" w:sz="4" w:space="0"/>
            </w:tcBorders>
            <w:noWrap w:val="0"/>
            <w:vAlign w:val="center"/>
          </w:tcPr>
          <w:p w14:paraId="324B5FB1">
            <w:pPr>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台</w:t>
            </w:r>
          </w:p>
        </w:tc>
        <w:tc>
          <w:tcPr>
            <w:tcW w:w="1276" w:type="dxa"/>
            <w:tcBorders>
              <w:top w:val="nil"/>
              <w:left w:val="nil"/>
              <w:bottom w:val="single" w:color="auto" w:sz="4" w:space="0"/>
              <w:right w:val="single" w:color="auto" w:sz="4" w:space="0"/>
            </w:tcBorders>
            <w:noWrap w:val="0"/>
            <w:vAlign w:val="center"/>
          </w:tcPr>
          <w:p w14:paraId="3BB6FB15">
            <w:pPr>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5</w:t>
            </w:r>
          </w:p>
        </w:tc>
      </w:tr>
      <w:tr w14:paraId="573FD49A">
        <w:tblPrEx>
          <w:tblCellMar>
            <w:top w:w="0" w:type="dxa"/>
            <w:left w:w="108" w:type="dxa"/>
            <w:bottom w:w="0" w:type="dxa"/>
            <w:right w:w="108" w:type="dxa"/>
          </w:tblCellMar>
        </w:tblPrEx>
        <w:trPr>
          <w:trHeight w:val="520" w:hRule="atLeast"/>
        </w:trPr>
        <w:tc>
          <w:tcPr>
            <w:tcW w:w="960" w:type="dxa"/>
            <w:tcBorders>
              <w:top w:val="nil"/>
              <w:left w:val="single" w:color="auto" w:sz="4" w:space="0"/>
              <w:bottom w:val="single" w:color="auto" w:sz="4" w:space="0"/>
              <w:right w:val="single" w:color="auto" w:sz="4" w:space="0"/>
            </w:tcBorders>
            <w:noWrap w:val="0"/>
            <w:vAlign w:val="center"/>
          </w:tcPr>
          <w:p w14:paraId="38003F19">
            <w:pPr>
              <w:jc w:val="center"/>
              <w:rPr>
                <w:rFonts w:hint="eastAsia" w:ascii="宋体" w:hAnsi="宋体" w:cs="宋体"/>
                <w:color w:val="000000"/>
                <w:sz w:val="24"/>
                <w:szCs w:val="24"/>
              </w:rPr>
            </w:pPr>
            <w:r>
              <w:rPr>
                <w:rFonts w:hint="eastAsia" w:ascii="宋体" w:hAnsi="宋体" w:cs="宋体"/>
                <w:color w:val="000000"/>
                <w:sz w:val="24"/>
                <w:szCs w:val="24"/>
                <w:lang w:val="en-US" w:eastAsia="zh-CN"/>
              </w:rPr>
              <w:t>20</w:t>
            </w:r>
          </w:p>
        </w:tc>
        <w:tc>
          <w:tcPr>
            <w:tcW w:w="1734" w:type="dxa"/>
            <w:vMerge w:val="continue"/>
            <w:tcBorders>
              <w:left w:val="single" w:color="auto" w:sz="4" w:space="0"/>
              <w:right w:val="single" w:color="auto" w:sz="4" w:space="0"/>
            </w:tcBorders>
            <w:noWrap w:val="0"/>
            <w:vAlign w:val="center"/>
          </w:tcPr>
          <w:p w14:paraId="7A28E9E2">
            <w:pPr>
              <w:rPr>
                <w:rFonts w:ascii="宋体" w:hAnsi="宋体" w:cs="宋体"/>
                <w:color w:val="000000"/>
                <w:sz w:val="24"/>
                <w:szCs w:val="24"/>
              </w:rPr>
            </w:pPr>
          </w:p>
        </w:tc>
        <w:tc>
          <w:tcPr>
            <w:tcW w:w="4252" w:type="dxa"/>
            <w:tcBorders>
              <w:top w:val="nil"/>
              <w:left w:val="nil"/>
              <w:bottom w:val="single" w:color="auto" w:sz="4" w:space="0"/>
              <w:right w:val="single" w:color="auto" w:sz="4" w:space="0"/>
            </w:tcBorders>
            <w:noWrap w:val="0"/>
            <w:vAlign w:val="center"/>
          </w:tcPr>
          <w:p w14:paraId="3AF55A45">
            <w:pPr>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硬盘</w:t>
            </w:r>
          </w:p>
        </w:tc>
        <w:tc>
          <w:tcPr>
            <w:tcW w:w="1276" w:type="dxa"/>
            <w:tcBorders>
              <w:top w:val="nil"/>
              <w:left w:val="nil"/>
              <w:bottom w:val="single" w:color="auto" w:sz="4" w:space="0"/>
              <w:right w:val="single" w:color="auto" w:sz="4" w:space="0"/>
            </w:tcBorders>
            <w:noWrap w:val="0"/>
            <w:vAlign w:val="center"/>
          </w:tcPr>
          <w:p w14:paraId="070C7928">
            <w:pPr>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块</w:t>
            </w:r>
          </w:p>
        </w:tc>
        <w:tc>
          <w:tcPr>
            <w:tcW w:w="1276" w:type="dxa"/>
            <w:tcBorders>
              <w:top w:val="nil"/>
              <w:left w:val="nil"/>
              <w:bottom w:val="single" w:color="auto" w:sz="4" w:space="0"/>
              <w:right w:val="single" w:color="auto" w:sz="4" w:space="0"/>
            </w:tcBorders>
            <w:noWrap w:val="0"/>
            <w:vAlign w:val="center"/>
          </w:tcPr>
          <w:p w14:paraId="352AA83E">
            <w:pPr>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10</w:t>
            </w:r>
          </w:p>
        </w:tc>
      </w:tr>
      <w:tr w14:paraId="22B48741">
        <w:tblPrEx>
          <w:tblCellMar>
            <w:top w:w="0" w:type="dxa"/>
            <w:left w:w="108" w:type="dxa"/>
            <w:bottom w:w="0" w:type="dxa"/>
            <w:right w:w="108" w:type="dxa"/>
          </w:tblCellMar>
        </w:tblPrEx>
        <w:trPr>
          <w:trHeight w:val="520"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14:paraId="6EBC2A6D">
            <w:pPr>
              <w:jc w:val="center"/>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21</w:t>
            </w:r>
          </w:p>
        </w:tc>
        <w:tc>
          <w:tcPr>
            <w:tcW w:w="1734" w:type="dxa"/>
            <w:vMerge w:val="restart"/>
            <w:tcBorders>
              <w:top w:val="single" w:color="auto" w:sz="4" w:space="0"/>
              <w:left w:val="single" w:color="auto" w:sz="4" w:space="0"/>
              <w:bottom w:val="single" w:color="auto" w:sz="4" w:space="0"/>
              <w:right w:val="single" w:color="auto" w:sz="4" w:space="0"/>
            </w:tcBorders>
            <w:noWrap/>
            <w:vAlign w:val="center"/>
          </w:tcPr>
          <w:p w14:paraId="5C8961E8">
            <w:pPr>
              <w:jc w:val="center"/>
              <w:rPr>
                <w:rFonts w:hint="default" w:ascii="宋体" w:hAnsi="宋体" w:eastAsia="宋体" w:cs="宋体"/>
                <w:color w:val="000000"/>
                <w:sz w:val="22"/>
                <w:szCs w:val="22"/>
                <w:lang w:val="en-US" w:eastAsia="zh-CN"/>
              </w:rPr>
            </w:pPr>
            <w:r>
              <w:rPr>
                <w:rFonts w:hint="eastAsia" w:ascii="宋体" w:hAnsi="宋体" w:cs="宋体"/>
                <w:color w:val="auto"/>
                <w:sz w:val="22"/>
                <w:szCs w:val="22"/>
                <w:lang w:val="en-US" w:eastAsia="zh-CN"/>
              </w:rPr>
              <w:t>链路租赁</w:t>
            </w:r>
          </w:p>
        </w:tc>
        <w:tc>
          <w:tcPr>
            <w:tcW w:w="4252" w:type="dxa"/>
            <w:tcBorders>
              <w:top w:val="single" w:color="auto" w:sz="4" w:space="0"/>
              <w:left w:val="nil"/>
              <w:bottom w:val="single" w:color="auto" w:sz="4" w:space="0"/>
              <w:right w:val="single" w:color="auto" w:sz="4" w:space="0"/>
            </w:tcBorders>
            <w:noWrap w:val="0"/>
            <w:vAlign w:val="center"/>
          </w:tcPr>
          <w:p w14:paraId="7E502426">
            <w:pPr>
              <w:jc w:val="center"/>
              <w:rPr>
                <w:rFonts w:hint="eastAsia" w:ascii="宋体" w:hAnsi="宋体" w:cs="宋体"/>
                <w:color w:val="000000"/>
                <w:sz w:val="24"/>
                <w:szCs w:val="24"/>
              </w:rPr>
            </w:pPr>
            <w:r>
              <w:rPr>
                <w:rFonts w:hint="eastAsia" w:ascii="宋体" w:hAnsi="宋体" w:cs="宋体"/>
                <w:color w:val="000000"/>
                <w:sz w:val="24"/>
                <w:szCs w:val="24"/>
                <w:lang w:val="en-US" w:eastAsia="zh-CN"/>
              </w:rPr>
              <w:t>20M光纤租赁</w:t>
            </w:r>
          </w:p>
        </w:tc>
        <w:tc>
          <w:tcPr>
            <w:tcW w:w="1276" w:type="dxa"/>
            <w:tcBorders>
              <w:top w:val="nil"/>
              <w:left w:val="nil"/>
              <w:bottom w:val="single" w:color="auto" w:sz="4" w:space="0"/>
              <w:right w:val="single" w:color="auto" w:sz="4" w:space="0"/>
            </w:tcBorders>
            <w:noWrap w:val="0"/>
            <w:vAlign w:val="center"/>
          </w:tcPr>
          <w:p w14:paraId="52918C74">
            <w:pPr>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条/年</w:t>
            </w:r>
          </w:p>
        </w:tc>
        <w:tc>
          <w:tcPr>
            <w:tcW w:w="1276" w:type="dxa"/>
            <w:tcBorders>
              <w:top w:val="nil"/>
              <w:left w:val="nil"/>
              <w:bottom w:val="single" w:color="auto" w:sz="4" w:space="0"/>
              <w:right w:val="single" w:color="auto" w:sz="4" w:space="0"/>
            </w:tcBorders>
            <w:noWrap w:val="0"/>
            <w:vAlign w:val="center"/>
          </w:tcPr>
          <w:p w14:paraId="40D0762A">
            <w:pPr>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353</w:t>
            </w:r>
          </w:p>
        </w:tc>
      </w:tr>
      <w:tr w14:paraId="340D8710">
        <w:tblPrEx>
          <w:tblCellMar>
            <w:top w:w="0" w:type="dxa"/>
            <w:left w:w="108" w:type="dxa"/>
            <w:bottom w:w="0" w:type="dxa"/>
            <w:right w:w="108" w:type="dxa"/>
          </w:tblCellMar>
        </w:tblPrEx>
        <w:trPr>
          <w:trHeight w:val="520"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14:paraId="1C71AE7D">
            <w:pPr>
              <w:jc w:val="center"/>
              <w:rPr>
                <w:rFonts w:hint="default" w:ascii="宋体" w:hAnsi="宋体" w:eastAsia="宋体" w:cs="宋体"/>
                <w:color w:val="000000"/>
                <w:sz w:val="24"/>
                <w:szCs w:val="24"/>
                <w:lang w:val="en-US" w:eastAsia="zh-CN"/>
              </w:rPr>
            </w:pPr>
            <w:r>
              <w:rPr>
                <w:rFonts w:hint="eastAsia" w:ascii="宋体" w:hAnsi="宋体" w:cs="宋体"/>
                <w:color w:val="000000"/>
                <w:sz w:val="24"/>
                <w:szCs w:val="24"/>
              </w:rPr>
              <w:t>2</w:t>
            </w:r>
            <w:r>
              <w:rPr>
                <w:rFonts w:hint="eastAsia" w:ascii="宋体" w:hAnsi="宋体" w:cs="宋体"/>
                <w:color w:val="000000"/>
                <w:sz w:val="24"/>
                <w:szCs w:val="24"/>
                <w:lang w:val="en-US" w:eastAsia="zh-CN"/>
              </w:rPr>
              <w:t>2</w:t>
            </w:r>
          </w:p>
        </w:tc>
        <w:tc>
          <w:tcPr>
            <w:tcW w:w="1734" w:type="dxa"/>
            <w:vMerge w:val="continue"/>
            <w:tcBorders>
              <w:left w:val="single" w:color="auto" w:sz="4" w:space="0"/>
              <w:right w:val="single" w:color="auto" w:sz="4" w:space="0"/>
            </w:tcBorders>
            <w:noWrap/>
            <w:vAlign w:val="center"/>
          </w:tcPr>
          <w:p w14:paraId="701A0512">
            <w:pPr>
              <w:jc w:val="center"/>
              <w:rPr>
                <w:rFonts w:hint="eastAsia" w:ascii="宋体" w:hAnsi="宋体" w:cs="宋体"/>
                <w:color w:val="000000"/>
                <w:sz w:val="22"/>
                <w:szCs w:val="22"/>
              </w:rPr>
            </w:pPr>
          </w:p>
        </w:tc>
        <w:tc>
          <w:tcPr>
            <w:tcW w:w="4252" w:type="dxa"/>
            <w:tcBorders>
              <w:top w:val="single" w:color="auto" w:sz="4" w:space="0"/>
              <w:left w:val="nil"/>
              <w:bottom w:val="single" w:color="auto" w:sz="4" w:space="0"/>
              <w:right w:val="single" w:color="auto" w:sz="4" w:space="0"/>
            </w:tcBorders>
            <w:noWrap w:val="0"/>
            <w:vAlign w:val="center"/>
          </w:tcPr>
          <w:p w14:paraId="3F14B278">
            <w:pPr>
              <w:jc w:val="center"/>
              <w:rPr>
                <w:rFonts w:hint="eastAsia" w:ascii="宋体" w:hAnsi="宋体" w:cs="宋体"/>
                <w:color w:val="000000"/>
                <w:sz w:val="24"/>
                <w:szCs w:val="24"/>
              </w:rPr>
            </w:pPr>
            <w:r>
              <w:rPr>
                <w:rFonts w:hint="eastAsia" w:ascii="宋体" w:hAnsi="宋体" w:cs="宋体"/>
                <w:color w:val="000000"/>
                <w:sz w:val="24"/>
                <w:szCs w:val="24"/>
                <w:lang w:val="en-US" w:eastAsia="zh-CN"/>
              </w:rPr>
              <w:t>50M光纤租赁</w:t>
            </w:r>
          </w:p>
        </w:tc>
        <w:tc>
          <w:tcPr>
            <w:tcW w:w="1276" w:type="dxa"/>
            <w:tcBorders>
              <w:top w:val="nil"/>
              <w:left w:val="nil"/>
              <w:bottom w:val="single" w:color="auto" w:sz="4" w:space="0"/>
              <w:right w:val="single" w:color="auto" w:sz="4" w:space="0"/>
            </w:tcBorders>
            <w:noWrap w:val="0"/>
            <w:vAlign w:val="center"/>
          </w:tcPr>
          <w:p w14:paraId="10E648F8">
            <w:pPr>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条/年</w:t>
            </w:r>
          </w:p>
        </w:tc>
        <w:tc>
          <w:tcPr>
            <w:tcW w:w="1276" w:type="dxa"/>
            <w:tcBorders>
              <w:top w:val="nil"/>
              <w:left w:val="nil"/>
              <w:bottom w:val="single" w:color="auto" w:sz="4" w:space="0"/>
              <w:right w:val="single" w:color="auto" w:sz="4" w:space="0"/>
            </w:tcBorders>
            <w:noWrap w:val="0"/>
            <w:vAlign w:val="center"/>
          </w:tcPr>
          <w:p w14:paraId="12AD889C">
            <w:pPr>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279</w:t>
            </w:r>
          </w:p>
        </w:tc>
      </w:tr>
      <w:tr w14:paraId="54D1BE3F">
        <w:tblPrEx>
          <w:tblCellMar>
            <w:top w:w="0" w:type="dxa"/>
            <w:left w:w="108" w:type="dxa"/>
            <w:bottom w:w="0" w:type="dxa"/>
            <w:right w:w="108" w:type="dxa"/>
          </w:tblCellMar>
        </w:tblPrEx>
        <w:trPr>
          <w:trHeight w:val="520"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14:paraId="5AC3BE36">
            <w:pPr>
              <w:jc w:val="center"/>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23</w:t>
            </w:r>
          </w:p>
        </w:tc>
        <w:tc>
          <w:tcPr>
            <w:tcW w:w="1734" w:type="dxa"/>
            <w:vMerge w:val="continue"/>
            <w:tcBorders>
              <w:left w:val="single" w:color="auto" w:sz="4" w:space="0"/>
              <w:right w:val="single" w:color="auto" w:sz="4" w:space="0"/>
            </w:tcBorders>
            <w:noWrap/>
            <w:vAlign w:val="center"/>
          </w:tcPr>
          <w:p w14:paraId="4F5C2C2A">
            <w:pPr>
              <w:jc w:val="center"/>
              <w:rPr>
                <w:rFonts w:hint="eastAsia" w:ascii="宋体" w:hAnsi="宋体" w:cs="宋体"/>
                <w:color w:val="000000"/>
                <w:sz w:val="22"/>
                <w:szCs w:val="22"/>
              </w:rPr>
            </w:pPr>
          </w:p>
        </w:tc>
        <w:tc>
          <w:tcPr>
            <w:tcW w:w="4252" w:type="dxa"/>
            <w:tcBorders>
              <w:top w:val="single" w:color="auto" w:sz="4" w:space="0"/>
              <w:left w:val="nil"/>
              <w:bottom w:val="single" w:color="auto" w:sz="4" w:space="0"/>
              <w:right w:val="single" w:color="auto" w:sz="4" w:space="0"/>
            </w:tcBorders>
            <w:noWrap w:val="0"/>
            <w:vAlign w:val="center"/>
          </w:tcPr>
          <w:p w14:paraId="62A2BC43">
            <w:pPr>
              <w:jc w:val="center"/>
              <w:rPr>
                <w:rFonts w:hint="eastAsia" w:ascii="宋体" w:hAnsi="宋体" w:cs="宋体"/>
                <w:color w:val="000000"/>
                <w:sz w:val="24"/>
                <w:szCs w:val="24"/>
              </w:rPr>
            </w:pPr>
            <w:r>
              <w:rPr>
                <w:rFonts w:hint="eastAsia" w:ascii="宋体" w:hAnsi="宋体" w:cs="宋体"/>
                <w:color w:val="000000"/>
                <w:sz w:val="24"/>
                <w:szCs w:val="24"/>
                <w:lang w:val="en-US" w:eastAsia="zh-CN"/>
              </w:rPr>
              <w:t>100M光纤租赁</w:t>
            </w:r>
          </w:p>
        </w:tc>
        <w:tc>
          <w:tcPr>
            <w:tcW w:w="1276" w:type="dxa"/>
            <w:tcBorders>
              <w:top w:val="nil"/>
              <w:left w:val="nil"/>
              <w:bottom w:val="single" w:color="auto" w:sz="4" w:space="0"/>
              <w:right w:val="single" w:color="auto" w:sz="4" w:space="0"/>
            </w:tcBorders>
            <w:noWrap w:val="0"/>
            <w:vAlign w:val="center"/>
          </w:tcPr>
          <w:p w14:paraId="738B3A1A">
            <w:pPr>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条/年</w:t>
            </w:r>
          </w:p>
        </w:tc>
        <w:tc>
          <w:tcPr>
            <w:tcW w:w="1276" w:type="dxa"/>
            <w:tcBorders>
              <w:top w:val="nil"/>
              <w:left w:val="nil"/>
              <w:bottom w:val="single" w:color="auto" w:sz="4" w:space="0"/>
              <w:right w:val="single" w:color="auto" w:sz="4" w:space="0"/>
            </w:tcBorders>
            <w:noWrap w:val="0"/>
            <w:vAlign w:val="center"/>
          </w:tcPr>
          <w:p w14:paraId="4F8147A5">
            <w:pPr>
              <w:jc w:val="center"/>
              <w:rPr>
                <w:rFonts w:hint="default" w:ascii="宋体" w:hAnsi="宋体" w:cs="宋体"/>
                <w:color w:val="000000"/>
                <w:sz w:val="24"/>
                <w:szCs w:val="24"/>
                <w:lang w:val="en-US" w:eastAsia="zh-CN"/>
              </w:rPr>
            </w:pPr>
            <w:r>
              <w:rPr>
                <w:rFonts w:hint="eastAsia" w:ascii="宋体" w:hAnsi="宋体" w:cs="宋体"/>
                <w:color w:val="000000"/>
                <w:sz w:val="24"/>
                <w:szCs w:val="24"/>
                <w:lang w:val="en-US" w:eastAsia="zh-CN"/>
              </w:rPr>
              <w:t>486</w:t>
            </w:r>
          </w:p>
        </w:tc>
      </w:tr>
      <w:tr w14:paraId="2C35FD88">
        <w:tblPrEx>
          <w:tblCellMar>
            <w:top w:w="0" w:type="dxa"/>
            <w:left w:w="108" w:type="dxa"/>
            <w:bottom w:w="0" w:type="dxa"/>
            <w:right w:w="108" w:type="dxa"/>
          </w:tblCellMar>
        </w:tblPrEx>
        <w:trPr>
          <w:trHeight w:val="520"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14:paraId="51E3323C">
            <w:pPr>
              <w:jc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rPr>
              <w:t>2</w:t>
            </w:r>
            <w:r>
              <w:rPr>
                <w:rFonts w:hint="eastAsia" w:ascii="宋体" w:hAnsi="宋体" w:cs="宋体"/>
                <w:color w:val="000000"/>
                <w:sz w:val="24"/>
                <w:szCs w:val="24"/>
                <w:lang w:val="en-US" w:eastAsia="zh-CN"/>
              </w:rPr>
              <w:t>4</w:t>
            </w:r>
          </w:p>
        </w:tc>
        <w:tc>
          <w:tcPr>
            <w:tcW w:w="1734" w:type="dxa"/>
            <w:vMerge w:val="continue"/>
            <w:tcBorders>
              <w:top w:val="single" w:color="auto" w:sz="4" w:space="0"/>
              <w:left w:val="single" w:color="auto" w:sz="4" w:space="0"/>
              <w:bottom w:val="single" w:color="auto" w:sz="4" w:space="0"/>
              <w:right w:val="single" w:color="auto" w:sz="4" w:space="0"/>
            </w:tcBorders>
            <w:noWrap w:val="0"/>
            <w:vAlign w:val="center"/>
          </w:tcPr>
          <w:p w14:paraId="33E37441">
            <w:pPr>
              <w:rPr>
                <w:rFonts w:ascii="宋体" w:hAnsi="宋体" w:cs="宋体"/>
                <w:color w:val="000000"/>
                <w:sz w:val="22"/>
                <w:szCs w:val="22"/>
              </w:rPr>
            </w:pPr>
          </w:p>
        </w:tc>
        <w:tc>
          <w:tcPr>
            <w:tcW w:w="4252" w:type="dxa"/>
            <w:tcBorders>
              <w:top w:val="single" w:color="auto" w:sz="4" w:space="0"/>
              <w:left w:val="nil"/>
              <w:bottom w:val="single" w:color="auto" w:sz="4" w:space="0"/>
              <w:right w:val="single" w:color="auto" w:sz="4" w:space="0"/>
            </w:tcBorders>
            <w:noWrap w:val="0"/>
            <w:vAlign w:val="center"/>
          </w:tcPr>
          <w:p w14:paraId="4C91AAF3">
            <w:pPr>
              <w:jc w:val="center"/>
              <w:rPr>
                <w:rFonts w:hint="eastAsia" w:ascii="宋体" w:hAnsi="宋体" w:cs="宋体"/>
                <w:color w:val="000000"/>
                <w:sz w:val="24"/>
                <w:szCs w:val="24"/>
              </w:rPr>
            </w:pPr>
            <w:r>
              <w:rPr>
                <w:rFonts w:hint="eastAsia" w:ascii="宋体" w:hAnsi="宋体" w:cs="宋体"/>
                <w:color w:val="000000"/>
                <w:sz w:val="24"/>
                <w:szCs w:val="24"/>
                <w:lang w:val="en-US" w:eastAsia="zh-CN"/>
              </w:rPr>
              <w:t>1000M裸纤传输</w:t>
            </w:r>
          </w:p>
        </w:tc>
        <w:tc>
          <w:tcPr>
            <w:tcW w:w="1276" w:type="dxa"/>
            <w:tcBorders>
              <w:top w:val="nil"/>
              <w:left w:val="nil"/>
              <w:bottom w:val="single" w:color="auto" w:sz="4" w:space="0"/>
              <w:right w:val="single" w:color="auto" w:sz="4" w:space="0"/>
            </w:tcBorders>
            <w:noWrap w:val="0"/>
            <w:vAlign w:val="center"/>
          </w:tcPr>
          <w:p w14:paraId="09F7EFFA">
            <w:pPr>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条/年</w:t>
            </w:r>
          </w:p>
        </w:tc>
        <w:tc>
          <w:tcPr>
            <w:tcW w:w="1276" w:type="dxa"/>
            <w:tcBorders>
              <w:top w:val="nil"/>
              <w:left w:val="nil"/>
              <w:bottom w:val="single" w:color="auto" w:sz="4" w:space="0"/>
              <w:right w:val="single" w:color="auto" w:sz="4" w:space="0"/>
            </w:tcBorders>
            <w:noWrap w:val="0"/>
            <w:vAlign w:val="center"/>
          </w:tcPr>
          <w:p w14:paraId="7B014BA3">
            <w:pPr>
              <w:jc w:val="center"/>
              <w:rPr>
                <w:rFonts w:hint="default" w:ascii="宋体" w:hAnsi="宋体" w:cs="宋体"/>
                <w:color w:val="000000"/>
                <w:sz w:val="24"/>
                <w:szCs w:val="24"/>
                <w:lang w:val="en-US" w:eastAsia="zh-CN"/>
              </w:rPr>
            </w:pPr>
            <w:r>
              <w:rPr>
                <w:rFonts w:hint="eastAsia" w:ascii="宋体" w:hAnsi="宋体" w:cs="宋体"/>
                <w:color w:val="000000"/>
                <w:sz w:val="24"/>
                <w:szCs w:val="24"/>
                <w:lang w:val="en-US" w:eastAsia="zh-CN"/>
              </w:rPr>
              <w:t>30</w:t>
            </w:r>
          </w:p>
        </w:tc>
      </w:tr>
    </w:tbl>
    <w:p w14:paraId="194EBD10">
      <w:pPr>
        <w:pStyle w:val="4"/>
        <w:ind w:firstLine="480"/>
        <w:rPr>
          <w:rFonts w:hint="eastAsia" w:ascii="宋体" w:hAnsi="宋体" w:eastAsia="宋体" w:cs="宋体"/>
          <w:bCs/>
          <w:color w:val="000000"/>
          <w:sz w:val="24"/>
        </w:rPr>
      </w:pPr>
    </w:p>
    <w:p w14:paraId="6E421B5C">
      <w:pPr>
        <w:pStyle w:val="4"/>
        <w:numPr>
          <w:ilvl w:val="0"/>
          <w:numId w:val="1"/>
        </w:numPr>
        <w:spacing w:after="156"/>
        <w:ind w:left="0" w:leftChars="0" w:firstLine="241" w:firstLineChars="0"/>
        <w:rPr>
          <w:rFonts w:hint="eastAsia" w:ascii="宋体" w:hAnsi="宋体" w:eastAsia="宋体" w:cs="宋体"/>
          <w:b/>
          <w:color w:val="000000"/>
          <w:sz w:val="24"/>
        </w:rPr>
      </w:pPr>
      <w:r>
        <w:rPr>
          <w:rFonts w:hint="eastAsia" w:ascii="宋体" w:hAnsi="宋体" w:eastAsia="宋体" w:cs="宋体"/>
          <w:b/>
          <w:color w:val="000000"/>
          <w:sz w:val="24"/>
        </w:rPr>
        <w:t>维保备品备件清单</w:t>
      </w:r>
    </w:p>
    <w:tbl>
      <w:tblPr>
        <w:tblStyle w:val="11"/>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92"/>
        <w:gridCol w:w="4318"/>
        <w:gridCol w:w="2920"/>
      </w:tblGrid>
      <w:tr w14:paraId="178A4A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1" w:hRule="atLeast"/>
        </w:trPr>
        <w:tc>
          <w:tcPr>
            <w:tcW w:w="1540" w:type="dxa"/>
            <w:noWrap w:val="0"/>
            <w:vAlign w:val="center"/>
          </w:tcPr>
          <w:p w14:paraId="60B5E631">
            <w:pPr>
              <w:pStyle w:val="4"/>
              <w:widowControl/>
              <w:jc w:val="center"/>
              <w:rPr>
                <w:rFonts w:ascii="仿宋" w:hAnsi="仿宋" w:eastAsia="仿宋"/>
                <w:bCs/>
                <w:color w:val="000000"/>
                <w:sz w:val="24"/>
              </w:rPr>
            </w:pPr>
            <w:r>
              <w:rPr>
                <w:rFonts w:ascii="仿宋" w:hAnsi="仿宋" w:eastAsia="仿宋"/>
                <w:bCs/>
                <w:color w:val="000000"/>
                <w:sz w:val="24"/>
              </w:rPr>
              <w:t>序号</w:t>
            </w:r>
          </w:p>
        </w:tc>
        <w:tc>
          <w:tcPr>
            <w:tcW w:w="4890" w:type="dxa"/>
            <w:noWrap w:val="0"/>
            <w:vAlign w:val="center"/>
          </w:tcPr>
          <w:p w14:paraId="473EE882">
            <w:pPr>
              <w:pStyle w:val="4"/>
              <w:widowControl/>
              <w:jc w:val="center"/>
              <w:rPr>
                <w:rFonts w:ascii="仿宋" w:hAnsi="仿宋" w:eastAsia="仿宋"/>
                <w:bCs/>
                <w:color w:val="000000"/>
                <w:sz w:val="24"/>
              </w:rPr>
            </w:pPr>
            <w:r>
              <w:rPr>
                <w:rFonts w:ascii="仿宋" w:hAnsi="仿宋" w:eastAsia="仿宋"/>
                <w:bCs/>
                <w:color w:val="000000"/>
                <w:sz w:val="24"/>
              </w:rPr>
              <w:t>设备名称</w:t>
            </w:r>
          </w:p>
        </w:tc>
        <w:tc>
          <w:tcPr>
            <w:tcW w:w="3270" w:type="dxa"/>
            <w:noWrap w:val="0"/>
            <w:vAlign w:val="center"/>
          </w:tcPr>
          <w:p w14:paraId="5851A732">
            <w:pPr>
              <w:pStyle w:val="4"/>
              <w:jc w:val="center"/>
              <w:rPr>
                <w:rFonts w:ascii="仿宋" w:hAnsi="仿宋" w:eastAsia="仿宋"/>
                <w:color w:val="000000"/>
                <w:sz w:val="24"/>
              </w:rPr>
            </w:pPr>
            <w:r>
              <w:rPr>
                <w:rFonts w:ascii="仿宋" w:hAnsi="仿宋" w:eastAsia="仿宋"/>
                <w:color w:val="000000"/>
                <w:sz w:val="24"/>
              </w:rPr>
              <w:t>备品备件数量（台</w:t>
            </w:r>
            <w:r>
              <w:rPr>
                <w:rFonts w:hint="eastAsia" w:ascii="仿宋" w:hAnsi="仿宋" w:eastAsia="仿宋"/>
                <w:color w:val="000000"/>
                <w:sz w:val="24"/>
              </w:rPr>
              <w:t>/套</w:t>
            </w:r>
            <w:r>
              <w:rPr>
                <w:rFonts w:ascii="仿宋" w:hAnsi="仿宋" w:eastAsia="仿宋"/>
                <w:color w:val="000000"/>
                <w:sz w:val="24"/>
              </w:rPr>
              <w:t>）</w:t>
            </w:r>
          </w:p>
        </w:tc>
      </w:tr>
      <w:tr w14:paraId="11D18F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5" w:hRule="atLeast"/>
        </w:trPr>
        <w:tc>
          <w:tcPr>
            <w:tcW w:w="1540" w:type="dxa"/>
            <w:noWrap w:val="0"/>
            <w:vAlign w:val="center"/>
          </w:tcPr>
          <w:p w14:paraId="587870FC">
            <w:pPr>
              <w:pStyle w:val="4"/>
              <w:widowControl/>
              <w:jc w:val="center"/>
              <w:rPr>
                <w:rFonts w:ascii="仿宋" w:hAnsi="仿宋" w:eastAsia="仿宋"/>
                <w:color w:val="000000"/>
                <w:sz w:val="24"/>
              </w:rPr>
            </w:pPr>
            <w:r>
              <w:rPr>
                <w:rFonts w:ascii="仿宋" w:hAnsi="仿宋" w:eastAsia="仿宋"/>
                <w:color w:val="000000"/>
                <w:sz w:val="24"/>
              </w:rPr>
              <w:t>1</w:t>
            </w:r>
          </w:p>
        </w:tc>
        <w:tc>
          <w:tcPr>
            <w:tcW w:w="4890" w:type="dxa"/>
            <w:noWrap w:val="0"/>
            <w:vAlign w:val="center"/>
          </w:tcPr>
          <w:p w14:paraId="602DBB5F">
            <w:pPr>
              <w:jc w:val="center"/>
              <w:rPr>
                <w:rFonts w:ascii="仿宋" w:hAnsi="仿宋" w:eastAsia="仿宋"/>
                <w:color w:val="000000"/>
                <w:sz w:val="24"/>
                <w:szCs w:val="24"/>
              </w:rPr>
            </w:pPr>
            <w:r>
              <w:rPr>
                <w:rFonts w:hint="eastAsia" w:ascii="宋体" w:hAnsi="宋体" w:cs="宋体"/>
                <w:color w:val="000000"/>
                <w:sz w:val="24"/>
                <w:szCs w:val="24"/>
                <w:lang w:val="en-US" w:eastAsia="zh-CN"/>
              </w:rPr>
              <w:t>400万全彩摄像机</w:t>
            </w:r>
          </w:p>
        </w:tc>
        <w:tc>
          <w:tcPr>
            <w:tcW w:w="3270" w:type="dxa"/>
            <w:noWrap w:val="0"/>
            <w:vAlign w:val="center"/>
          </w:tcPr>
          <w:p w14:paraId="130E15B2">
            <w:pPr>
              <w:jc w:val="center"/>
              <w:rPr>
                <w:rFonts w:ascii="仿宋" w:hAnsi="仿宋" w:eastAsia="仿宋"/>
                <w:color w:val="000000"/>
                <w:sz w:val="24"/>
                <w:szCs w:val="24"/>
              </w:rPr>
            </w:pPr>
            <w:r>
              <w:rPr>
                <w:rFonts w:hint="eastAsia" w:ascii="宋体" w:hAnsi="宋体" w:cs="宋体"/>
                <w:color w:val="000000"/>
                <w:sz w:val="24"/>
                <w:szCs w:val="24"/>
                <w:lang w:val="en-US" w:eastAsia="zh-CN"/>
              </w:rPr>
              <w:t>15</w:t>
            </w:r>
          </w:p>
        </w:tc>
      </w:tr>
      <w:tr w14:paraId="4B14EC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4" w:hRule="atLeast"/>
        </w:trPr>
        <w:tc>
          <w:tcPr>
            <w:tcW w:w="1540" w:type="dxa"/>
            <w:noWrap w:val="0"/>
            <w:vAlign w:val="center"/>
          </w:tcPr>
          <w:p w14:paraId="30027A6F">
            <w:pPr>
              <w:pStyle w:val="4"/>
              <w:widowControl/>
              <w:jc w:val="center"/>
              <w:rPr>
                <w:rFonts w:ascii="仿宋" w:hAnsi="仿宋" w:eastAsia="仿宋"/>
                <w:color w:val="000000"/>
                <w:sz w:val="24"/>
              </w:rPr>
            </w:pPr>
            <w:r>
              <w:rPr>
                <w:rFonts w:ascii="仿宋" w:hAnsi="仿宋" w:eastAsia="仿宋"/>
                <w:color w:val="000000"/>
                <w:sz w:val="24"/>
              </w:rPr>
              <w:t>2</w:t>
            </w:r>
          </w:p>
        </w:tc>
        <w:tc>
          <w:tcPr>
            <w:tcW w:w="4890" w:type="dxa"/>
            <w:noWrap w:val="0"/>
            <w:vAlign w:val="center"/>
          </w:tcPr>
          <w:p w14:paraId="20A13B6D">
            <w:pPr>
              <w:keepNext w:val="0"/>
              <w:keepLines w:val="0"/>
              <w:widowControl/>
              <w:suppressLineNumbers w:val="0"/>
              <w:jc w:val="center"/>
              <w:textAlignment w:val="center"/>
              <w:rPr>
                <w:rFonts w:ascii="仿宋" w:hAnsi="仿宋" w:eastAsia="仿宋"/>
                <w:color w:val="000000"/>
                <w:sz w:val="24"/>
                <w:szCs w:val="24"/>
              </w:rPr>
            </w:pPr>
            <w:r>
              <w:rPr>
                <w:rFonts w:hint="eastAsia" w:ascii="宋体" w:hAnsi="宋体" w:cs="宋体"/>
                <w:color w:val="000000"/>
                <w:sz w:val="24"/>
                <w:szCs w:val="24"/>
                <w:lang w:val="en-US" w:eastAsia="zh-CN"/>
              </w:rPr>
              <w:t>800万+400万全结构化摄像机</w:t>
            </w:r>
          </w:p>
        </w:tc>
        <w:tc>
          <w:tcPr>
            <w:tcW w:w="3270" w:type="dxa"/>
            <w:noWrap w:val="0"/>
            <w:vAlign w:val="center"/>
          </w:tcPr>
          <w:p w14:paraId="107118A3">
            <w:pPr>
              <w:jc w:val="center"/>
              <w:rPr>
                <w:rFonts w:ascii="仿宋" w:hAnsi="仿宋" w:eastAsia="仿宋"/>
                <w:color w:val="000000"/>
                <w:sz w:val="24"/>
                <w:szCs w:val="24"/>
              </w:rPr>
            </w:pPr>
            <w:r>
              <w:rPr>
                <w:rFonts w:hint="eastAsia" w:ascii="宋体" w:hAnsi="宋体" w:cs="宋体"/>
                <w:color w:val="000000"/>
                <w:sz w:val="24"/>
                <w:szCs w:val="24"/>
                <w:lang w:val="en-US" w:eastAsia="zh-CN"/>
              </w:rPr>
              <w:t>20</w:t>
            </w:r>
          </w:p>
        </w:tc>
      </w:tr>
      <w:tr w14:paraId="4F6690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5" w:hRule="atLeast"/>
        </w:trPr>
        <w:tc>
          <w:tcPr>
            <w:tcW w:w="1540" w:type="dxa"/>
            <w:noWrap w:val="0"/>
            <w:vAlign w:val="center"/>
          </w:tcPr>
          <w:p w14:paraId="3E070070">
            <w:pPr>
              <w:pStyle w:val="4"/>
              <w:widowControl/>
              <w:jc w:val="center"/>
              <w:rPr>
                <w:rFonts w:ascii="仿宋" w:hAnsi="仿宋" w:eastAsia="仿宋"/>
                <w:color w:val="000000"/>
                <w:sz w:val="24"/>
              </w:rPr>
            </w:pPr>
            <w:r>
              <w:rPr>
                <w:rFonts w:ascii="仿宋" w:hAnsi="仿宋" w:eastAsia="仿宋"/>
                <w:color w:val="000000"/>
                <w:sz w:val="24"/>
              </w:rPr>
              <w:t>3</w:t>
            </w:r>
          </w:p>
        </w:tc>
        <w:tc>
          <w:tcPr>
            <w:tcW w:w="4890" w:type="dxa"/>
            <w:noWrap w:val="0"/>
            <w:vAlign w:val="center"/>
          </w:tcPr>
          <w:p w14:paraId="1D6A6959">
            <w:pPr>
              <w:jc w:val="center"/>
              <w:rPr>
                <w:rFonts w:ascii="仿宋" w:hAnsi="仿宋" w:eastAsia="仿宋"/>
                <w:color w:val="000000"/>
                <w:sz w:val="24"/>
                <w:szCs w:val="24"/>
              </w:rPr>
            </w:pPr>
            <w:r>
              <w:rPr>
                <w:rFonts w:hint="eastAsia" w:ascii="宋体" w:hAnsi="宋体" w:cs="宋体"/>
                <w:color w:val="000000"/>
                <w:sz w:val="24"/>
                <w:szCs w:val="24"/>
                <w:lang w:val="en-US" w:eastAsia="zh-CN"/>
              </w:rPr>
              <w:t>900万电子警察</w:t>
            </w:r>
          </w:p>
        </w:tc>
        <w:tc>
          <w:tcPr>
            <w:tcW w:w="3270" w:type="dxa"/>
            <w:noWrap w:val="0"/>
            <w:vAlign w:val="center"/>
          </w:tcPr>
          <w:p w14:paraId="57403AAE">
            <w:pPr>
              <w:jc w:val="center"/>
              <w:rPr>
                <w:rFonts w:ascii="仿宋" w:hAnsi="仿宋" w:eastAsia="仿宋"/>
                <w:color w:val="000000"/>
                <w:sz w:val="24"/>
                <w:szCs w:val="24"/>
              </w:rPr>
            </w:pPr>
            <w:r>
              <w:rPr>
                <w:rFonts w:hint="eastAsia" w:ascii="宋体" w:hAnsi="宋体" w:cs="宋体"/>
                <w:color w:val="000000"/>
                <w:sz w:val="24"/>
                <w:szCs w:val="24"/>
                <w:lang w:val="en-US" w:eastAsia="zh-CN"/>
              </w:rPr>
              <w:t>110</w:t>
            </w:r>
          </w:p>
        </w:tc>
      </w:tr>
      <w:tr w14:paraId="4E43DF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5" w:hRule="atLeast"/>
        </w:trPr>
        <w:tc>
          <w:tcPr>
            <w:tcW w:w="1540" w:type="dxa"/>
            <w:noWrap w:val="0"/>
            <w:vAlign w:val="center"/>
          </w:tcPr>
          <w:p w14:paraId="33531EE8">
            <w:pPr>
              <w:pStyle w:val="4"/>
              <w:widowControl/>
              <w:jc w:val="center"/>
              <w:rPr>
                <w:rFonts w:ascii="仿宋" w:hAnsi="仿宋" w:eastAsia="仿宋"/>
                <w:color w:val="000000"/>
                <w:sz w:val="24"/>
              </w:rPr>
            </w:pPr>
            <w:r>
              <w:rPr>
                <w:rFonts w:ascii="仿宋" w:hAnsi="仿宋" w:eastAsia="仿宋"/>
                <w:color w:val="000000"/>
                <w:sz w:val="24"/>
              </w:rPr>
              <w:t>4</w:t>
            </w:r>
          </w:p>
        </w:tc>
        <w:tc>
          <w:tcPr>
            <w:tcW w:w="4890" w:type="dxa"/>
            <w:noWrap w:val="0"/>
            <w:vAlign w:val="center"/>
          </w:tcPr>
          <w:p w14:paraId="4EC2C941">
            <w:pPr>
              <w:jc w:val="center"/>
              <w:rPr>
                <w:rFonts w:ascii="仿宋" w:hAnsi="仿宋" w:eastAsia="仿宋" w:cs="仿宋"/>
                <w:color w:val="000000"/>
                <w:sz w:val="24"/>
                <w:szCs w:val="24"/>
                <w:lang w:bidi="ar"/>
              </w:rPr>
            </w:pPr>
            <w:r>
              <w:rPr>
                <w:rFonts w:hint="eastAsia" w:ascii="宋体" w:hAnsi="宋体" w:cs="宋体"/>
                <w:color w:val="000000"/>
                <w:sz w:val="24"/>
                <w:szCs w:val="24"/>
                <w:lang w:val="en-US" w:eastAsia="zh-CN"/>
              </w:rPr>
              <w:t>补光灯</w:t>
            </w:r>
          </w:p>
        </w:tc>
        <w:tc>
          <w:tcPr>
            <w:tcW w:w="3270" w:type="dxa"/>
            <w:noWrap w:val="0"/>
            <w:vAlign w:val="center"/>
          </w:tcPr>
          <w:p w14:paraId="6B7272A5">
            <w:pPr>
              <w:jc w:val="center"/>
              <w:rPr>
                <w:rFonts w:ascii="仿宋" w:hAnsi="仿宋" w:eastAsia="仿宋" w:cs="仿宋"/>
                <w:color w:val="000000"/>
                <w:sz w:val="24"/>
                <w:szCs w:val="24"/>
                <w:lang w:bidi="ar"/>
              </w:rPr>
            </w:pPr>
            <w:r>
              <w:rPr>
                <w:rFonts w:hint="eastAsia" w:ascii="宋体" w:hAnsi="宋体" w:cs="宋体"/>
                <w:color w:val="000000"/>
                <w:sz w:val="24"/>
                <w:szCs w:val="24"/>
                <w:lang w:val="en-US" w:eastAsia="zh-CN"/>
              </w:rPr>
              <w:t>110</w:t>
            </w:r>
          </w:p>
        </w:tc>
      </w:tr>
      <w:tr w14:paraId="6F1875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4" w:hRule="atLeast"/>
        </w:trPr>
        <w:tc>
          <w:tcPr>
            <w:tcW w:w="1540" w:type="dxa"/>
            <w:noWrap w:val="0"/>
            <w:vAlign w:val="center"/>
          </w:tcPr>
          <w:p w14:paraId="79609F07">
            <w:pPr>
              <w:pStyle w:val="4"/>
              <w:widowControl/>
              <w:jc w:val="center"/>
              <w:rPr>
                <w:rFonts w:ascii="仿宋" w:hAnsi="仿宋" w:eastAsia="仿宋"/>
                <w:color w:val="000000"/>
                <w:sz w:val="24"/>
              </w:rPr>
            </w:pPr>
            <w:r>
              <w:rPr>
                <w:rFonts w:ascii="仿宋" w:hAnsi="仿宋" w:eastAsia="仿宋"/>
                <w:color w:val="000000"/>
                <w:sz w:val="24"/>
              </w:rPr>
              <w:t>5</w:t>
            </w:r>
          </w:p>
        </w:tc>
        <w:tc>
          <w:tcPr>
            <w:tcW w:w="4890" w:type="dxa"/>
            <w:noWrap w:val="0"/>
            <w:vAlign w:val="center"/>
          </w:tcPr>
          <w:p w14:paraId="53728C33">
            <w:pPr>
              <w:jc w:val="center"/>
              <w:rPr>
                <w:rFonts w:ascii="仿宋" w:hAnsi="仿宋" w:eastAsia="仿宋"/>
                <w:color w:val="000000"/>
                <w:sz w:val="24"/>
                <w:szCs w:val="24"/>
              </w:rPr>
            </w:pPr>
            <w:r>
              <w:rPr>
                <w:rFonts w:hint="eastAsia" w:ascii="宋体" w:hAnsi="宋体" w:cs="宋体"/>
                <w:color w:val="000000"/>
                <w:sz w:val="24"/>
                <w:szCs w:val="24"/>
                <w:lang w:val="en-US" w:eastAsia="zh-CN"/>
              </w:rPr>
              <w:t>爆闪灯</w:t>
            </w:r>
          </w:p>
        </w:tc>
        <w:tc>
          <w:tcPr>
            <w:tcW w:w="3270" w:type="dxa"/>
            <w:noWrap w:val="0"/>
            <w:vAlign w:val="center"/>
          </w:tcPr>
          <w:p w14:paraId="44BD3F0D">
            <w:pPr>
              <w:jc w:val="center"/>
              <w:rPr>
                <w:rFonts w:ascii="仿宋" w:hAnsi="仿宋" w:eastAsia="仿宋"/>
                <w:color w:val="000000"/>
                <w:sz w:val="24"/>
                <w:szCs w:val="24"/>
              </w:rPr>
            </w:pPr>
            <w:r>
              <w:rPr>
                <w:rFonts w:hint="eastAsia" w:ascii="宋体" w:hAnsi="宋体" w:cs="宋体"/>
                <w:color w:val="000000"/>
                <w:sz w:val="24"/>
                <w:szCs w:val="24"/>
                <w:lang w:val="en-US" w:eastAsia="zh-CN"/>
              </w:rPr>
              <w:t>50</w:t>
            </w:r>
          </w:p>
        </w:tc>
      </w:tr>
      <w:tr w14:paraId="44C60F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5" w:hRule="atLeast"/>
        </w:trPr>
        <w:tc>
          <w:tcPr>
            <w:tcW w:w="1540" w:type="dxa"/>
            <w:noWrap w:val="0"/>
            <w:vAlign w:val="center"/>
          </w:tcPr>
          <w:p w14:paraId="71D6227B">
            <w:pPr>
              <w:pStyle w:val="4"/>
              <w:widowControl/>
              <w:jc w:val="center"/>
              <w:rPr>
                <w:rFonts w:ascii="仿宋" w:hAnsi="仿宋" w:eastAsia="仿宋"/>
                <w:color w:val="000000"/>
                <w:sz w:val="24"/>
              </w:rPr>
            </w:pPr>
            <w:r>
              <w:rPr>
                <w:rFonts w:ascii="仿宋" w:hAnsi="仿宋" w:eastAsia="仿宋"/>
                <w:color w:val="000000"/>
                <w:sz w:val="24"/>
              </w:rPr>
              <w:t>6</w:t>
            </w:r>
          </w:p>
        </w:tc>
        <w:tc>
          <w:tcPr>
            <w:tcW w:w="4890" w:type="dxa"/>
            <w:noWrap w:val="0"/>
            <w:vAlign w:val="center"/>
          </w:tcPr>
          <w:p w14:paraId="590D7383">
            <w:pPr>
              <w:jc w:val="center"/>
              <w:rPr>
                <w:rFonts w:hint="default" w:ascii="仿宋" w:hAnsi="仿宋" w:eastAsia="仿宋"/>
                <w:color w:val="000000"/>
                <w:sz w:val="24"/>
                <w:szCs w:val="24"/>
                <w:lang w:val="en-US"/>
              </w:rPr>
            </w:pPr>
            <w:r>
              <w:rPr>
                <w:rFonts w:hint="eastAsia" w:ascii="宋体" w:hAnsi="宋体" w:cs="宋体"/>
                <w:color w:val="000000"/>
                <w:sz w:val="24"/>
                <w:szCs w:val="24"/>
                <w:lang w:val="en-US" w:eastAsia="zh-CN"/>
              </w:rPr>
              <w:t>交通终端控制模块</w:t>
            </w:r>
          </w:p>
        </w:tc>
        <w:tc>
          <w:tcPr>
            <w:tcW w:w="3270" w:type="dxa"/>
            <w:noWrap w:val="0"/>
            <w:vAlign w:val="center"/>
          </w:tcPr>
          <w:p w14:paraId="16220715">
            <w:pPr>
              <w:jc w:val="center"/>
              <w:rPr>
                <w:rFonts w:ascii="仿宋" w:hAnsi="仿宋" w:eastAsia="仿宋"/>
                <w:color w:val="000000"/>
                <w:sz w:val="24"/>
                <w:szCs w:val="24"/>
              </w:rPr>
            </w:pPr>
            <w:r>
              <w:rPr>
                <w:rFonts w:hint="eastAsia" w:ascii="宋体" w:hAnsi="宋体" w:cs="宋体"/>
                <w:color w:val="000000"/>
                <w:sz w:val="24"/>
                <w:szCs w:val="24"/>
                <w:lang w:val="en-US" w:eastAsia="zh-CN"/>
              </w:rPr>
              <w:t>15</w:t>
            </w:r>
          </w:p>
        </w:tc>
      </w:tr>
      <w:tr w14:paraId="43BD27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5" w:hRule="atLeast"/>
        </w:trPr>
        <w:tc>
          <w:tcPr>
            <w:tcW w:w="1540" w:type="dxa"/>
            <w:noWrap w:val="0"/>
            <w:vAlign w:val="center"/>
          </w:tcPr>
          <w:p w14:paraId="5E047C8A">
            <w:pPr>
              <w:pStyle w:val="4"/>
              <w:widowControl/>
              <w:jc w:val="center"/>
              <w:rPr>
                <w:rFonts w:hint="eastAsia" w:ascii="仿宋" w:hAnsi="仿宋" w:eastAsia="仿宋"/>
                <w:color w:val="000000"/>
                <w:sz w:val="24"/>
                <w:lang w:val="en-US" w:eastAsia="zh-CN"/>
              </w:rPr>
            </w:pPr>
            <w:r>
              <w:rPr>
                <w:rFonts w:hint="eastAsia" w:ascii="仿宋" w:hAnsi="仿宋" w:eastAsia="仿宋"/>
                <w:color w:val="000000"/>
                <w:sz w:val="24"/>
                <w:lang w:val="en-US" w:eastAsia="zh-CN"/>
              </w:rPr>
              <w:t>7</w:t>
            </w:r>
          </w:p>
        </w:tc>
        <w:tc>
          <w:tcPr>
            <w:tcW w:w="4890" w:type="dxa"/>
            <w:noWrap w:val="0"/>
            <w:vAlign w:val="center"/>
          </w:tcPr>
          <w:p w14:paraId="01A839A1">
            <w:pPr>
              <w:jc w:val="center"/>
              <w:rPr>
                <w:rFonts w:ascii="宋体" w:hAnsi="宋体" w:cs="宋体"/>
                <w:color w:val="000000"/>
                <w:sz w:val="24"/>
                <w:szCs w:val="24"/>
              </w:rPr>
            </w:pPr>
            <w:r>
              <w:rPr>
                <w:rFonts w:hint="eastAsia" w:ascii="宋体" w:hAnsi="宋体" w:cs="宋体"/>
                <w:color w:val="000000"/>
                <w:sz w:val="24"/>
                <w:szCs w:val="24"/>
                <w:lang w:val="en-US" w:eastAsia="zh-CN"/>
              </w:rPr>
              <w:t>违章自动抓拍球</w:t>
            </w:r>
          </w:p>
        </w:tc>
        <w:tc>
          <w:tcPr>
            <w:tcW w:w="3270" w:type="dxa"/>
            <w:noWrap w:val="0"/>
            <w:vAlign w:val="center"/>
          </w:tcPr>
          <w:p w14:paraId="12D9E4A1">
            <w:pPr>
              <w:jc w:val="center"/>
              <w:rPr>
                <w:rFonts w:ascii="宋体" w:hAnsi="宋体" w:cs="宋体"/>
                <w:color w:val="000000"/>
                <w:sz w:val="24"/>
                <w:szCs w:val="24"/>
              </w:rPr>
            </w:pPr>
            <w:r>
              <w:rPr>
                <w:rFonts w:hint="eastAsia" w:ascii="宋体" w:hAnsi="宋体" w:cs="宋体"/>
                <w:color w:val="000000"/>
                <w:sz w:val="24"/>
                <w:szCs w:val="24"/>
                <w:lang w:val="en-US" w:eastAsia="zh-CN"/>
              </w:rPr>
              <w:t>3</w:t>
            </w:r>
          </w:p>
        </w:tc>
      </w:tr>
      <w:tr w14:paraId="49A61C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5" w:hRule="atLeast"/>
        </w:trPr>
        <w:tc>
          <w:tcPr>
            <w:tcW w:w="1540" w:type="dxa"/>
            <w:noWrap w:val="0"/>
            <w:vAlign w:val="center"/>
          </w:tcPr>
          <w:p w14:paraId="2873360A">
            <w:pPr>
              <w:pStyle w:val="4"/>
              <w:widowControl/>
              <w:jc w:val="center"/>
              <w:rPr>
                <w:rFonts w:hint="eastAsia" w:ascii="仿宋" w:hAnsi="仿宋" w:eastAsia="仿宋"/>
                <w:color w:val="000000"/>
                <w:sz w:val="24"/>
                <w:lang w:val="en-US" w:eastAsia="zh-CN"/>
              </w:rPr>
            </w:pPr>
            <w:r>
              <w:rPr>
                <w:rFonts w:hint="eastAsia" w:ascii="仿宋" w:hAnsi="仿宋" w:eastAsia="仿宋"/>
                <w:color w:val="000000"/>
                <w:sz w:val="24"/>
                <w:lang w:val="en-US" w:eastAsia="zh-CN"/>
              </w:rPr>
              <w:t>8</w:t>
            </w:r>
          </w:p>
        </w:tc>
        <w:tc>
          <w:tcPr>
            <w:tcW w:w="4890" w:type="dxa"/>
            <w:noWrap w:val="0"/>
            <w:vAlign w:val="center"/>
          </w:tcPr>
          <w:p w14:paraId="7FA8734E">
            <w:pPr>
              <w:jc w:val="center"/>
              <w:rPr>
                <w:rFonts w:hint="default" w:ascii="宋体" w:hAnsi="宋体" w:cs="宋体"/>
                <w:color w:val="000000"/>
                <w:sz w:val="24"/>
                <w:szCs w:val="24"/>
                <w:lang w:val="en-US"/>
              </w:rPr>
            </w:pPr>
            <w:r>
              <w:rPr>
                <w:rFonts w:hint="eastAsia" w:ascii="宋体" w:hAnsi="宋体" w:cs="宋体"/>
                <w:color w:val="000000"/>
                <w:sz w:val="24"/>
                <w:szCs w:val="24"/>
                <w:lang w:val="en-US" w:eastAsia="zh-CN"/>
              </w:rPr>
              <w:t>视频图像云存储设备扩容模块</w:t>
            </w:r>
          </w:p>
        </w:tc>
        <w:tc>
          <w:tcPr>
            <w:tcW w:w="3270" w:type="dxa"/>
            <w:noWrap w:val="0"/>
            <w:vAlign w:val="center"/>
          </w:tcPr>
          <w:p w14:paraId="70EFB0AA">
            <w:pPr>
              <w:jc w:val="center"/>
              <w:rPr>
                <w:rFonts w:ascii="宋体" w:hAnsi="宋体" w:cs="宋体"/>
                <w:color w:val="000000"/>
                <w:sz w:val="24"/>
                <w:szCs w:val="24"/>
              </w:rPr>
            </w:pPr>
            <w:r>
              <w:rPr>
                <w:rFonts w:hint="eastAsia" w:ascii="宋体" w:hAnsi="宋体" w:cs="宋体"/>
                <w:color w:val="000000"/>
                <w:sz w:val="24"/>
                <w:szCs w:val="24"/>
                <w:lang w:val="en-US" w:eastAsia="zh-CN"/>
              </w:rPr>
              <w:t>1</w:t>
            </w:r>
          </w:p>
        </w:tc>
      </w:tr>
      <w:tr w14:paraId="497738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5" w:hRule="atLeast"/>
        </w:trPr>
        <w:tc>
          <w:tcPr>
            <w:tcW w:w="1540" w:type="dxa"/>
            <w:noWrap w:val="0"/>
            <w:vAlign w:val="center"/>
          </w:tcPr>
          <w:p w14:paraId="7B7B1A62">
            <w:pPr>
              <w:pStyle w:val="4"/>
              <w:widowControl/>
              <w:jc w:val="center"/>
              <w:rPr>
                <w:rFonts w:hint="default" w:ascii="仿宋" w:hAnsi="仿宋" w:eastAsia="仿宋"/>
                <w:color w:val="000000"/>
                <w:sz w:val="24"/>
                <w:lang w:val="en-US" w:eastAsia="zh-CN"/>
              </w:rPr>
            </w:pPr>
            <w:r>
              <w:rPr>
                <w:rFonts w:hint="eastAsia" w:ascii="仿宋" w:hAnsi="仿宋" w:eastAsia="仿宋"/>
                <w:color w:val="000000"/>
                <w:sz w:val="24"/>
                <w:lang w:val="en-US" w:eastAsia="zh-CN"/>
              </w:rPr>
              <w:t>9</w:t>
            </w:r>
          </w:p>
        </w:tc>
        <w:tc>
          <w:tcPr>
            <w:tcW w:w="4890" w:type="dxa"/>
            <w:noWrap w:val="0"/>
            <w:vAlign w:val="center"/>
          </w:tcPr>
          <w:p w14:paraId="5F6969B7">
            <w:pPr>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雷达</w:t>
            </w:r>
          </w:p>
        </w:tc>
        <w:tc>
          <w:tcPr>
            <w:tcW w:w="3270" w:type="dxa"/>
            <w:noWrap w:val="0"/>
            <w:vAlign w:val="center"/>
          </w:tcPr>
          <w:p w14:paraId="6F9C8B05">
            <w:pPr>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5</w:t>
            </w:r>
          </w:p>
        </w:tc>
      </w:tr>
      <w:tr w14:paraId="1FE2E3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5" w:hRule="atLeast"/>
        </w:trPr>
        <w:tc>
          <w:tcPr>
            <w:tcW w:w="1540" w:type="dxa"/>
            <w:noWrap w:val="0"/>
            <w:vAlign w:val="center"/>
          </w:tcPr>
          <w:p w14:paraId="0CA98046">
            <w:pPr>
              <w:pStyle w:val="4"/>
              <w:widowControl/>
              <w:jc w:val="center"/>
              <w:rPr>
                <w:rFonts w:hint="default" w:ascii="仿宋" w:hAnsi="仿宋" w:eastAsia="仿宋"/>
                <w:color w:val="000000"/>
                <w:sz w:val="24"/>
                <w:lang w:val="en-US" w:eastAsia="zh-CN"/>
              </w:rPr>
            </w:pPr>
            <w:r>
              <w:rPr>
                <w:rFonts w:hint="eastAsia" w:ascii="仿宋" w:hAnsi="仿宋" w:eastAsia="仿宋"/>
                <w:color w:val="000000"/>
                <w:sz w:val="24"/>
                <w:lang w:val="en-US" w:eastAsia="zh-CN"/>
              </w:rPr>
              <w:t>10</w:t>
            </w:r>
          </w:p>
        </w:tc>
        <w:tc>
          <w:tcPr>
            <w:tcW w:w="4890" w:type="dxa"/>
            <w:noWrap w:val="0"/>
            <w:vAlign w:val="center"/>
          </w:tcPr>
          <w:p w14:paraId="4CB5330A">
            <w:pPr>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硬盘</w:t>
            </w:r>
          </w:p>
        </w:tc>
        <w:tc>
          <w:tcPr>
            <w:tcW w:w="3270" w:type="dxa"/>
            <w:noWrap w:val="0"/>
            <w:vAlign w:val="center"/>
          </w:tcPr>
          <w:p w14:paraId="622F0185">
            <w:pPr>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10</w:t>
            </w:r>
          </w:p>
        </w:tc>
      </w:tr>
    </w:tbl>
    <w:p w14:paraId="5C50DAA7">
      <w:pPr>
        <w:pStyle w:val="5"/>
        <w:numPr>
          <w:ilvl w:val="0"/>
          <w:numId w:val="0"/>
        </w:numPr>
        <w:ind w:left="241" w:leftChars="0" w:right="1440" w:rightChars="0"/>
        <w:rPr>
          <w:rFonts w:hint="eastAsia"/>
        </w:rPr>
      </w:pPr>
    </w:p>
    <w:p w14:paraId="4CD2C12B">
      <w:pPr>
        <w:pStyle w:val="4"/>
        <w:spacing w:before="156" w:line="360" w:lineRule="auto"/>
        <w:ind w:firstLine="480"/>
        <w:rPr>
          <w:rFonts w:hint="eastAsia" w:ascii="宋体" w:hAnsi="宋体" w:eastAsia="宋体" w:cs="宋体"/>
          <w:color w:val="000000"/>
          <w:sz w:val="24"/>
        </w:rPr>
      </w:pPr>
      <w:r>
        <w:rPr>
          <w:rFonts w:hint="eastAsia" w:ascii="宋体" w:hAnsi="宋体" w:eastAsia="宋体" w:cs="宋体"/>
          <w:color w:val="000000"/>
          <w:sz w:val="24"/>
        </w:rPr>
        <w:t>★投标人应为本项目提供常用产品的备品备件，投标人应结合实际情况，充分考虑自行配置的备品备件数量供甲方随时抽查。</w:t>
      </w:r>
    </w:p>
    <w:p w14:paraId="721FFCAB">
      <w:pPr>
        <w:pStyle w:val="5"/>
        <w:spacing w:line="360" w:lineRule="auto"/>
        <w:ind w:left="281" w:right="-25" w:firstLine="540"/>
        <w:rPr>
          <w:rFonts w:hint="eastAsia" w:ascii="宋体" w:hAnsi="宋体" w:eastAsia="宋体" w:cs="宋体"/>
          <w:color w:val="000000"/>
          <w:sz w:val="24"/>
        </w:rPr>
      </w:pPr>
      <w:r>
        <w:rPr>
          <w:rFonts w:hint="eastAsia" w:ascii="宋体" w:hAnsi="宋体" w:eastAsia="宋体" w:cs="宋体"/>
          <w:color w:val="000000"/>
          <w:sz w:val="24"/>
        </w:rPr>
        <w:t>更换后的废旧设备中标人提供场地储存，等甲方确认处理方式后进行集中处理，备品备件费用按照实际使用数量进行结算。</w:t>
      </w:r>
    </w:p>
    <w:p w14:paraId="5CCB8F21">
      <w:pPr>
        <w:pStyle w:val="5"/>
        <w:spacing w:line="360" w:lineRule="auto"/>
        <w:ind w:left="281" w:right="-25" w:firstLine="540"/>
        <w:rPr>
          <w:rFonts w:hint="eastAsia" w:ascii="宋体" w:hAnsi="宋体" w:eastAsia="宋体" w:cs="宋体"/>
          <w:color w:val="000000"/>
          <w:sz w:val="24"/>
        </w:rPr>
      </w:pPr>
    </w:p>
    <w:p w14:paraId="3659C1B6">
      <w:pPr>
        <w:pStyle w:val="5"/>
        <w:ind w:left="281" w:right="-25" w:firstLine="540"/>
        <w:rPr>
          <w:rFonts w:hint="eastAsia" w:ascii="宋体" w:hAnsi="宋体" w:eastAsia="宋体" w:cs="宋体"/>
          <w:color w:val="000000"/>
          <w:sz w:val="24"/>
        </w:rPr>
      </w:pPr>
    </w:p>
    <w:p w14:paraId="49930BD6">
      <w:pPr>
        <w:pStyle w:val="5"/>
        <w:ind w:left="281" w:right="-25" w:firstLine="540"/>
        <w:rPr>
          <w:rFonts w:hint="eastAsia" w:ascii="宋体" w:hAnsi="宋体" w:eastAsia="宋体" w:cs="宋体"/>
          <w:color w:val="000000"/>
          <w:sz w:val="24"/>
        </w:rPr>
      </w:pPr>
    </w:p>
    <w:p w14:paraId="0AAA757A">
      <w:pPr>
        <w:pStyle w:val="5"/>
        <w:ind w:left="281" w:right="-25" w:firstLine="540"/>
        <w:rPr>
          <w:rFonts w:hint="eastAsia" w:ascii="宋体" w:hAnsi="宋体" w:eastAsia="宋体" w:cs="宋体"/>
          <w:color w:val="000000"/>
          <w:sz w:val="24"/>
        </w:rPr>
      </w:pPr>
    </w:p>
    <w:p w14:paraId="5A4BEE67">
      <w:pPr>
        <w:pStyle w:val="5"/>
        <w:ind w:left="281" w:right="-25" w:firstLine="540"/>
        <w:rPr>
          <w:rFonts w:hint="eastAsia" w:ascii="宋体" w:hAnsi="宋体" w:eastAsia="宋体" w:cs="宋体"/>
          <w:color w:val="000000"/>
          <w:sz w:val="24"/>
        </w:rPr>
      </w:pPr>
    </w:p>
    <w:p w14:paraId="22AB3995">
      <w:pPr>
        <w:pStyle w:val="5"/>
        <w:ind w:left="281" w:right="-25" w:firstLine="540"/>
        <w:rPr>
          <w:rFonts w:hint="eastAsia" w:ascii="宋体" w:hAnsi="宋体" w:eastAsia="宋体" w:cs="宋体"/>
          <w:color w:val="000000"/>
          <w:sz w:val="24"/>
        </w:rPr>
      </w:pPr>
    </w:p>
    <w:p w14:paraId="2725468D">
      <w:pPr>
        <w:pStyle w:val="5"/>
        <w:ind w:left="281" w:right="-25" w:firstLine="540"/>
        <w:rPr>
          <w:rFonts w:hint="eastAsia" w:ascii="宋体" w:hAnsi="宋体" w:eastAsia="宋体" w:cs="宋体"/>
          <w:color w:val="000000"/>
          <w:sz w:val="24"/>
        </w:rPr>
      </w:pPr>
    </w:p>
    <w:p w14:paraId="526B4445">
      <w:pPr>
        <w:pStyle w:val="5"/>
        <w:ind w:left="281" w:right="-25" w:firstLine="540"/>
        <w:rPr>
          <w:rFonts w:hint="eastAsia" w:ascii="宋体" w:hAnsi="宋体" w:eastAsia="宋体" w:cs="宋体"/>
          <w:color w:val="000000"/>
          <w:sz w:val="24"/>
        </w:rPr>
      </w:pPr>
    </w:p>
    <w:p w14:paraId="0FC54F59">
      <w:pPr>
        <w:pStyle w:val="5"/>
        <w:ind w:left="281" w:right="-25" w:firstLine="540"/>
        <w:rPr>
          <w:rFonts w:hint="eastAsia" w:ascii="宋体" w:hAnsi="宋体" w:eastAsia="宋体" w:cs="宋体"/>
          <w:color w:val="000000"/>
          <w:sz w:val="24"/>
        </w:rPr>
      </w:pPr>
    </w:p>
    <w:p w14:paraId="7FA328CC">
      <w:pPr>
        <w:pStyle w:val="5"/>
        <w:ind w:left="281" w:right="-25" w:firstLine="540"/>
        <w:rPr>
          <w:rFonts w:hint="eastAsia" w:ascii="宋体" w:hAnsi="宋体" w:eastAsia="宋体" w:cs="宋体"/>
          <w:color w:val="000000"/>
          <w:sz w:val="24"/>
        </w:rPr>
      </w:pPr>
    </w:p>
    <w:p w14:paraId="31B6A411">
      <w:pPr>
        <w:pStyle w:val="5"/>
        <w:ind w:left="281" w:right="-25" w:firstLine="540"/>
        <w:rPr>
          <w:rFonts w:hint="eastAsia" w:ascii="宋体" w:hAnsi="宋体" w:eastAsia="宋体" w:cs="宋体"/>
          <w:color w:val="000000"/>
          <w:sz w:val="24"/>
        </w:rPr>
      </w:pPr>
    </w:p>
    <w:p w14:paraId="292758E0">
      <w:pPr>
        <w:pStyle w:val="4"/>
        <w:keepNext/>
        <w:keepLines w:val="0"/>
        <w:pageBreakBefore w:val="0"/>
        <w:widowControl w:val="0"/>
        <w:numPr>
          <w:ilvl w:val="0"/>
          <w:numId w:val="2"/>
        </w:numPr>
        <w:kinsoku/>
        <w:wordWrap/>
        <w:overflowPunct/>
        <w:topLinePunct w:val="0"/>
        <w:autoSpaceDE/>
        <w:autoSpaceDN/>
        <w:bidi w:val="0"/>
        <w:adjustRightInd/>
        <w:snapToGrid/>
        <w:spacing w:before="156" w:line="360" w:lineRule="auto"/>
        <w:textAlignment w:val="auto"/>
        <w:rPr>
          <w:rFonts w:hint="eastAsia" w:ascii="宋体" w:hAnsi="宋体" w:eastAsia="宋体" w:cs="宋体"/>
          <w:b/>
          <w:color w:val="000000"/>
          <w:sz w:val="24"/>
        </w:rPr>
      </w:pPr>
      <w:bookmarkStart w:id="0" w:name="_Toc354565923"/>
      <w:bookmarkStart w:id="1" w:name="_Toc303185605"/>
      <w:bookmarkStart w:id="2" w:name="_Toc303079680"/>
      <w:bookmarkStart w:id="3" w:name="_Toc303079676"/>
      <w:bookmarkStart w:id="4" w:name="_Toc303185604"/>
      <w:r>
        <w:rPr>
          <w:rFonts w:hint="eastAsia" w:ascii="宋体" w:hAnsi="宋体" w:eastAsia="宋体" w:cs="宋体"/>
          <w:b/>
          <w:color w:val="000000"/>
          <w:sz w:val="24"/>
        </w:rPr>
        <w:t>备品备件设备配置参数要求</w:t>
      </w:r>
    </w:p>
    <w:p w14:paraId="6D410DF3">
      <w:pPr>
        <w:pStyle w:val="13"/>
        <w:numPr>
          <w:ilvl w:val="4"/>
          <w:numId w:val="0"/>
        </w:numPr>
        <w:tabs>
          <w:tab w:val="left" w:pos="1008"/>
        </w:tabs>
        <w:spacing w:before="156"/>
        <w:rPr>
          <w:rFonts w:hint="eastAsia" w:ascii="宋体" w:hAnsi="宋体" w:eastAsia="宋体" w:cs="宋体"/>
          <w:color w:val="000000"/>
          <w:lang w:val="en-US" w:eastAsia="zh-CN"/>
        </w:rPr>
      </w:pPr>
      <w:r>
        <w:rPr>
          <w:rFonts w:hint="eastAsia" w:ascii="宋体" w:hAnsi="宋体" w:eastAsia="宋体" w:cs="宋体"/>
          <w:color w:val="000000"/>
          <w:lang w:val="en-US" w:eastAsia="zh-CN"/>
        </w:rPr>
        <w:t>1、400万全彩摄像机</w:t>
      </w:r>
    </w:p>
    <w:p w14:paraId="2023FDC5">
      <w:pPr>
        <w:pStyle w:val="13"/>
        <w:numPr>
          <w:ilvl w:val="4"/>
          <w:numId w:val="0"/>
        </w:numPr>
        <w:tabs>
          <w:tab w:val="left" w:pos="1008"/>
        </w:tabs>
        <w:spacing w:before="156"/>
        <w:rPr>
          <w:rFonts w:hint="eastAsia" w:ascii="宋体" w:hAnsi="宋体" w:eastAsia="宋体" w:cs="宋体"/>
          <w:b w:val="0"/>
          <w:bCs w:val="0"/>
          <w:color w:val="000000"/>
          <w:lang w:val="en-US" w:eastAsia="zh-CN"/>
        </w:rPr>
      </w:pPr>
      <w:r>
        <w:rPr>
          <w:rFonts w:hint="eastAsia" w:ascii="宋体" w:hAnsi="宋体" w:eastAsia="宋体" w:cs="宋体"/>
          <w:b w:val="0"/>
          <w:bCs w:val="0"/>
          <w:color w:val="000000"/>
          <w:lang w:val="en-US" w:eastAsia="zh-CN"/>
        </w:rPr>
        <w:t>内置靶面尺寸不小于1/1.8英寸的CMOS图像传感器，光圈不小于F1.0。</w:t>
      </w:r>
    </w:p>
    <w:p w14:paraId="2BEB13E9">
      <w:pPr>
        <w:pStyle w:val="13"/>
        <w:numPr>
          <w:ilvl w:val="4"/>
          <w:numId w:val="0"/>
        </w:numPr>
        <w:tabs>
          <w:tab w:val="left" w:pos="1008"/>
        </w:tabs>
        <w:spacing w:before="156"/>
        <w:rPr>
          <w:rFonts w:hint="eastAsia" w:ascii="宋体" w:hAnsi="宋体" w:eastAsia="宋体" w:cs="宋体"/>
          <w:b w:val="0"/>
          <w:bCs w:val="0"/>
          <w:color w:val="000000"/>
          <w:lang w:val="en-US" w:eastAsia="zh-CN"/>
        </w:rPr>
      </w:pPr>
      <w:r>
        <w:rPr>
          <w:rFonts w:hint="eastAsia" w:ascii="宋体" w:hAnsi="宋体" w:eastAsia="宋体" w:cs="宋体"/>
          <w:b w:val="0"/>
          <w:bCs w:val="0"/>
          <w:color w:val="000000"/>
          <w:lang w:val="en-US" w:eastAsia="zh-CN"/>
        </w:rPr>
        <w:t>支持输出图像分辨率不低于2560x1440。</w:t>
      </w:r>
    </w:p>
    <w:p w14:paraId="307C4E61">
      <w:pPr>
        <w:pStyle w:val="13"/>
        <w:numPr>
          <w:ilvl w:val="4"/>
          <w:numId w:val="0"/>
        </w:numPr>
        <w:tabs>
          <w:tab w:val="left" w:pos="1008"/>
        </w:tabs>
        <w:spacing w:before="156"/>
        <w:rPr>
          <w:rFonts w:hint="eastAsia" w:ascii="宋体" w:hAnsi="宋体" w:eastAsia="宋体" w:cs="宋体"/>
          <w:b w:val="0"/>
          <w:bCs w:val="0"/>
          <w:color w:val="000000"/>
          <w:lang w:val="en-US" w:eastAsia="zh-CN"/>
        </w:rPr>
      </w:pPr>
      <w:r>
        <w:rPr>
          <w:rFonts w:hint="eastAsia" w:ascii="宋体" w:hAnsi="宋体" w:eastAsia="宋体" w:cs="宋体"/>
          <w:b w:val="0"/>
          <w:bCs w:val="0"/>
          <w:color w:val="000000"/>
          <w:lang w:val="en-US" w:eastAsia="zh-CN"/>
        </w:rPr>
        <w:t>内置1颗CPU、GPU、NPU于一体的芯片。</w:t>
      </w:r>
    </w:p>
    <w:p w14:paraId="06E95051">
      <w:pPr>
        <w:pStyle w:val="13"/>
        <w:numPr>
          <w:ilvl w:val="4"/>
          <w:numId w:val="0"/>
        </w:numPr>
        <w:tabs>
          <w:tab w:val="left" w:pos="1008"/>
        </w:tabs>
        <w:spacing w:before="156"/>
        <w:rPr>
          <w:rFonts w:hint="eastAsia" w:ascii="宋体" w:hAnsi="宋体" w:eastAsia="宋体" w:cs="宋体"/>
          <w:b w:val="0"/>
          <w:bCs w:val="0"/>
          <w:color w:val="000000"/>
          <w:lang w:val="en-US" w:eastAsia="zh-CN"/>
        </w:rPr>
      </w:pPr>
      <w:r>
        <w:rPr>
          <w:rFonts w:hint="eastAsia" w:ascii="宋体" w:hAnsi="宋体" w:eastAsia="宋体" w:cs="宋体"/>
          <w:b w:val="0"/>
          <w:bCs w:val="0"/>
          <w:color w:val="000000"/>
          <w:lang w:val="en-US" w:eastAsia="zh-CN"/>
        </w:rPr>
        <w:t>▲补光灯灯杯采用双层透镜结构，外表平面为柔光层，采用复眼式微透镜阵列，具有六边形阵列纹路;下层束光层为鳞甲TIR透镜，内壁具有鳞甲阵列纹路。</w:t>
      </w:r>
    </w:p>
    <w:p w14:paraId="536A0FCD">
      <w:pPr>
        <w:pStyle w:val="13"/>
        <w:numPr>
          <w:ilvl w:val="4"/>
          <w:numId w:val="0"/>
        </w:numPr>
        <w:tabs>
          <w:tab w:val="left" w:pos="1008"/>
        </w:tabs>
        <w:spacing w:before="156"/>
        <w:rPr>
          <w:rFonts w:hint="eastAsia" w:ascii="宋体" w:hAnsi="宋体" w:eastAsia="宋体" w:cs="宋体"/>
          <w:b w:val="0"/>
          <w:bCs w:val="0"/>
          <w:color w:val="000000"/>
          <w:lang w:val="en-US" w:eastAsia="zh-CN"/>
        </w:rPr>
      </w:pPr>
      <w:r>
        <w:rPr>
          <w:rFonts w:hint="eastAsia" w:ascii="宋体" w:hAnsi="宋体" w:eastAsia="宋体" w:cs="宋体"/>
          <w:b w:val="0"/>
          <w:bCs w:val="0"/>
          <w:color w:val="000000"/>
          <w:lang w:val="en-US" w:eastAsia="zh-CN"/>
        </w:rPr>
        <w:t>补光灯开启后，灯光应为椭圆形形状，且补光灯均匀无波纹状、圆环状、麻点状、条纹状和不规则亮斑。</w:t>
      </w:r>
    </w:p>
    <w:p w14:paraId="7E6D4BBC">
      <w:pPr>
        <w:pStyle w:val="13"/>
        <w:numPr>
          <w:ilvl w:val="4"/>
          <w:numId w:val="0"/>
        </w:numPr>
        <w:tabs>
          <w:tab w:val="left" w:pos="1008"/>
        </w:tabs>
        <w:spacing w:before="156"/>
        <w:rPr>
          <w:rFonts w:hint="eastAsia" w:ascii="宋体" w:hAnsi="宋体" w:eastAsia="宋体" w:cs="宋体"/>
          <w:b w:val="0"/>
          <w:bCs w:val="0"/>
          <w:color w:val="000000"/>
          <w:lang w:val="en-US" w:eastAsia="zh-CN"/>
        </w:rPr>
      </w:pPr>
      <w:r>
        <w:rPr>
          <w:rFonts w:hint="eastAsia" w:ascii="宋体" w:hAnsi="宋体" w:eastAsia="宋体" w:cs="宋体"/>
          <w:b w:val="0"/>
          <w:bCs w:val="0"/>
          <w:color w:val="000000"/>
          <w:lang w:val="en-US" w:eastAsia="zh-CN"/>
        </w:rPr>
        <w:t>▲具有AI-ISP图像质量提升功能，在低照度环境下，可自动调节预览场景视频画面中人体、车辆等目标及预览场景视频画面的区域曝光、亮度、色彩饱和度、对比度、锐度等。</w:t>
      </w:r>
    </w:p>
    <w:p w14:paraId="4234A4FE">
      <w:pPr>
        <w:pStyle w:val="13"/>
        <w:numPr>
          <w:ilvl w:val="4"/>
          <w:numId w:val="0"/>
        </w:numPr>
        <w:tabs>
          <w:tab w:val="left" w:pos="1008"/>
        </w:tabs>
        <w:spacing w:before="156"/>
        <w:rPr>
          <w:rFonts w:hint="eastAsia" w:ascii="宋体" w:hAnsi="宋体" w:eastAsia="宋体" w:cs="宋体"/>
          <w:b w:val="0"/>
          <w:bCs w:val="0"/>
          <w:color w:val="000000"/>
          <w:lang w:val="en-US" w:eastAsia="zh-CN"/>
        </w:rPr>
      </w:pPr>
      <w:r>
        <w:rPr>
          <w:rFonts w:hint="eastAsia" w:ascii="宋体" w:hAnsi="宋体" w:eastAsia="宋体" w:cs="宋体"/>
          <w:b w:val="0"/>
          <w:bCs w:val="0"/>
          <w:color w:val="000000"/>
          <w:lang w:val="en-US" w:eastAsia="zh-CN"/>
        </w:rPr>
        <w:t>在低照环境下，开启补光灯，可识别距离设备30m处人体轮廓。</w:t>
      </w:r>
    </w:p>
    <w:p w14:paraId="5EE8504D">
      <w:pPr>
        <w:pStyle w:val="13"/>
        <w:numPr>
          <w:ilvl w:val="4"/>
          <w:numId w:val="0"/>
        </w:numPr>
        <w:tabs>
          <w:tab w:val="left" w:pos="1008"/>
        </w:tabs>
        <w:spacing w:before="156"/>
        <w:rPr>
          <w:rFonts w:hint="eastAsia" w:ascii="宋体" w:hAnsi="宋体" w:eastAsia="宋体" w:cs="宋体"/>
          <w:b w:val="0"/>
          <w:bCs w:val="0"/>
          <w:color w:val="000000"/>
          <w:lang w:val="en-US" w:eastAsia="zh-CN"/>
        </w:rPr>
      </w:pPr>
      <w:r>
        <w:rPr>
          <w:rFonts w:hint="eastAsia" w:ascii="宋体" w:hAnsi="宋体" w:eastAsia="宋体" w:cs="宋体"/>
          <w:b w:val="0"/>
          <w:bCs w:val="0"/>
          <w:color w:val="000000"/>
          <w:lang w:val="en-US" w:eastAsia="zh-CN"/>
        </w:rPr>
        <w:t>具有日夜场景自适应功能，在白天和夜晚环境下，设备均可输出彩色图像，在夜晚自动开启补光灯条件下，夜晚图像清晰度应不低于白天图像清晰度的95%。</w:t>
      </w:r>
    </w:p>
    <w:p w14:paraId="05E4553A">
      <w:pPr>
        <w:pStyle w:val="13"/>
        <w:numPr>
          <w:ilvl w:val="4"/>
          <w:numId w:val="0"/>
        </w:numPr>
        <w:tabs>
          <w:tab w:val="left" w:pos="1008"/>
        </w:tabs>
        <w:spacing w:before="156"/>
        <w:rPr>
          <w:rFonts w:hint="eastAsia" w:ascii="宋体" w:hAnsi="宋体" w:eastAsia="宋体" w:cs="宋体"/>
          <w:b w:val="0"/>
          <w:bCs w:val="0"/>
          <w:color w:val="000000"/>
          <w:lang w:val="en-US" w:eastAsia="zh-CN"/>
        </w:rPr>
      </w:pPr>
      <w:r>
        <w:rPr>
          <w:rFonts w:hint="eastAsia" w:ascii="宋体" w:hAnsi="宋体" w:eastAsia="宋体" w:cs="宋体"/>
          <w:b w:val="0"/>
          <w:bCs w:val="0"/>
          <w:color w:val="000000"/>
          <w:lang w:val="en-US" w:eastAsia="zh-CN"/>
        </w:rPr>
        <w:t>可通过IE浏览器设置码流套餐为画质优先、均衡模式、存储优先及自定义多种类型。</w:t>
      </w:r>
    </w:p>
    <w:p w14:paraId="295207FC">
      <w:pPr>
        <w:pStyle w:val="13"/>
        <w:numPr>
          <w:ilvl w:val="4"/>
          <w:numId w:val="0"/>
        </w:numPr>
        <w:tabs>
          <w:tab w:val="left" w:pos="1008"/>
        </w:tabs>
        <w:spacing w:before="156"/>
        <w:rPr>
          <w:rFonts w:hint="eastAsia" w:ascii="宋体" w:hAnsi="宋体" w:eastAsia="宋体" w:cs="宋体"/>
          <w:b w:val="0"/>
          <w:bCs w:val="0"/>
          <w:color w:val="000000"/>
          <w:lang w:val="en-US" w:eastAsia="zh-CN"/>
        </w:rPr>
      </w:pPr>
      <w:r>
        <w:rPr>
          <w:rFonts w:hint="eastAsia" w:ascii="宋体" w:hAnsi="宋体" w:eastAsia="宋体" w:cs="宋体"/>
          <w:b w:val="0"/>
          <w:bCs w:val="0"/>
          <w:color w:val="000000"/>
          <w:lang w:val="en-US" w:eastAsia="zh-CN"/>
        </w:rPr>
        <w:t>▲支持对H.264、H.265编码格式的视频进行AI编码。开启AI编码功能后，视频编码格式、分辨率、帧率保持不变。</w:t>
      </w:r>
    </w:p>
    <w:p w14:paraId="44FD7C8A">
      <w:pPr>
        <w:pStyle w:val="13"/>
        <w:numPr>
          <w:ilvl w:val="4"/>
          <w:numId w:val="0"/>
        </w:numPr>
        <w:tabs>
          <w:tab w:val="left" w:pos="1008"/>
        </w:tabs>
        <w:spacing w:before="156"/>
        <w:rPr>
          <w:rFonts w:hint="default" w:ascii="仿宋" w:hAnsi="仿宋" w:eastAsia="仿宋"/>
          <w:b w:val="0"/>
          <w:bCs w:val="0"/>
          <w:color w:val="000000"/>
          <w:lang w:val="en-US" w:eastAsia="zh-CN"/>
        </w:rPr>
      </w:pPr>
      <w:r>
        <w:rPr>
          <w:rFonts w:hint="eastAsia" w:ascii="宋体" w:hAnsi="宋体" w:eastAsia="宋体" w:cs="宋体"/>
          <w:b w:val="0"/>
          <w:bCs w:val="0"/>
          <w:color w:val="000000"/>
          <w:lang w:val="en-US" w:eastAsia="zh-CN"/>
        </w:rPr>
        <w:t>▲支持流量管理功能，可设置日平均码率和最大码率上限。功能开启后，可控制平均网传流量和统计日流量余额；无历史结余流量时，实时网传码率应不超过日平均码率，存在历史结余流量时，历史结余流量可按需动态分配给当前场景使用。</w:t>
      </w:r>
    </w:p>
    <w:p w14:paraId="350A55B4">
      <w:pPr>
        <w:pStyle w:val="13"/>
        <w:numPr>
          <w:ilvl w:val="4"/>
          <w:numId w:val="0"/>
        </w:numPr>
        <w:tabs>
          <w:tab w:val="left" w:pos="1008"/>
        </w:tabs>
        <w:spacing w:before="156" w:line="360" w:lineRule="auto"/>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rPr>
        <w:t>以上提供公安部检验报告复印件。</w:t>
      </w:r>
    </w:p>
    <w:p w14:paraId="6E77AF41">
      <w:pPr>
        <w:pStyle w:val="13"/>
        <w:numPr>
          <w:ilvl w:val="4"/>
          <w:numId w:val="0"/>
        </w:numPr>
        <w:tabs>
          <w:tab w:val="left" w:pos="1008"/>
        </w:tabs>
        <w:spacing w:before="156"/>
        <w:rPr>
          <w:rFonts w:hint="eastAsia" w:ascii="宋体" w:hAnsi="宋体" w:eastAsia="宋体" w:cs="宋体"/>
          <w:color w:val="000000"/>
        </w:rPr>
      </w:pPr>
      <w:r>
        <w:rPr>
          <w:rFonts w:hint="eastAsia" w:ascii="宋体" w:hAnsi="宋体" w:eastAsia="宋体" w:cs="宋体"/>
          <w:color w:val="000000"/>
          <w:lang w:val="en-US" w:eastAsia="zh-CN"/>
        </w:rPr>
        <w:t>2</w:t>
      </w:r>
      <w:r>
        <w:rPr>
          <w:rFonts w:hint="eastAsia" w:ascii="宋体" w:hAnsi="宋体" w:eastAsia="宋体" w:cs="宋体"/>
          <w:color w:val="000000"/>
        </w:rPr>
        <w:t>、</w:t>
      </w:r>
      <w:r>
        <w:rPr>
          <w:rFonts w:hint="eastAsia" w:ascii="仿宋" w:hAnsi="仿宋" w:eastAsia="仿宋"/>
          <w:color w:val="000000"/>
        </w:rPr>
        <w:t>800万+400万全结构化摄像机</w:t>
      </w:r>
    </w:p>
    <w:p w14:paraId="02A695BF">
      <w:pPr>
        <w:pStyle w:val="13"/>
        <w:numPr>
          <w:ilvl w:val="4"/>
          <w:numId w:val="0"/>
        </w:numPr>
        <w:tabs>
          <w:tab w:val="left" w:pos="1008"/>
        </w:tabs>
        <w:spacing w:before="156"/>
        <w:rPr>
          <w:rFonts w:hint="eastAsia" w:ascii="宋体" w:hAnsi="宋体" w:eastAsia="宋体" w:cs="宋体"/>
          <w:b w:val="0"/>
          <w:bCs w:val="0"/>
          <w:color w:val="000000"/>
        </w:rPr>
      </w:pPr>
      <w:r>
        <w:rPr>
          <w:rFonts w:hint="eastAsia" w:ascii="宋体" w:hAnsi="宋体" w:eastAsia="宋体" w:cs="宋体"/>
          <w:b w:val="0"/>
          <w:bCs w:val="0"/>
          <w:color w:val="000000"/>
        </w:rPr>
        <w:t>通道1主码流不小于3840×2160，通道2主码流不小于2688×1520。</w:t>
      </w:r>
    </w:p>
    <w:p w14:paraId="547EA732">
      <w:pPr>
        <w:pStyle w:val="13"/>
        <w:numPr>
          <w:ilvl w:val="4"/>
          <w:numId w:val="0"/>
        </w:numPr>
        <w:tabs>
          <w:tab w:val="left" w:pos="1008"/>
        </w:tabs>
        <w:spacing w:before="156"/>
        <w:rPr>
          <w:rFonts w:hint="eastAsia" w:ascii="宋体" w:hAnsi="宋体" w:eastAsia="宋体" w:cs="宋体"/>
          <w:b w:val="0"/>
          <w:bCs w:val="0"/>
          <w:color w:val="000000"/>
        </w:rPr>
      </w:pPr>
      <w:r>
        <w:rPr>
          <w:rFonts w:hint="eastAsia" w:ascii="宋体" w:hAnsi="宋体" w:eastAsia="宋体" w:cs="宋体"/>
          <w:b w:val="0"/>
          <w:bCs w:val="0"/>
          <w:color w:val="000000"/>
        </w:rPr>
        <w:t>内置双镜头，2颗靶面尺寸不小于1/1.8英寸的CMOS图像传感器。</w:t>
      </w:r>
    </w:p>
    <w:p w14:paraId="242722F3">
      <w:pPr>
        <w:pStyle w:val="13"/>
        <w:numPr>
          <w:ilvl w:val="4"/>
          <w:numId w:val="0"/>
        </w:numPr>
        <w:tabs>
          <w:tab w:val="left" w:pos="1008"/>
        </w:tabs>
        <w:spacing w:before="156"/>
        <w:rPr>
          <w:rFonts w:hint="eastAsia" w:ascii="宋体" w:hAnsi="宋体" w:eastAsia="宋体" w:cs="宋体"/>
          <w:b w:val="0"/>
          <w:bCs w:val="0"/>
          <w:color w:val="000000"/>
        </w:rPr>
      </w:pPr>
      <w:r>
        <w:rPr>
          <w:rFonts w:hint="eastAsia" w:ascii="宋体" w:hAnsi="宋体" w:eastAsia="宋体" w:cs="宋体"/>
          <w:b w:val="0"/>
          <w:bCs w:val="0"/>
          <w:color w:val="000000"/>
        </w:rPr>
        <w:t>具有不少于2个音频输入接口、1个音频输出接口、3个报警输入接口、2个报警输出接口，内置2个麦克风、1个扬声器。</w:t>
      </w:r>
    </w:p>
    <w:p w14:paraId="1782C8CE">
      <w:pPr>
        <w:pStyle w:val="13"/>
        <w:numPr>
          <w:ilvl w:val="4"/>
          <w:numId w:val="0"/>
        </w:numPr>
        <w:tabs>
          <w:tab w:val="left" w:pos="1008"/>
        </w:tabs>
        <w:spacing w:before="156"/>
        <w:rPr>
          <w:rFonts w:hint="eastAsia" w:ascii="宋体" w:hAnsi="宋体" w:eastAsia="宋体" w:cs="宋体"/>
          <w:b w:val="0"/>
          <w:bCs w:val="0"/>
          <w:color w:val="000000"/>
        </w:rPr>
      </w:pPr>
      <w:r>
        <w:rPr>
          <w:rFonts w:hint="eastAsia" w:ascii="宋体" w:hAnsi="宋体" w:eastAsia="宋体" w:cs="宋体"/>
          <w:b w:val="0"/>
          <w:bCs w:val="0"/>
          <w:color w:val="000000"/>
        </w:rPr>
        <w:t>▲具有不少于6颗鳞镜式补光灯，补光灯开启后正面不可见补光灯灯珠，灯光亮度均匀，无波纹状、圆环状、麻点状、条纹状及不规则亮斑。</w:t>
      </w:r>
    </w:p>
    <w:p w14:paraId="18027672">
      <w:pPr>
        <w:pStyle w:val="13"/>
        <w:numPr>
          <w:ilvl w:val="4"/>
          <w:numId w:val="0"/>
        </w:numPr>
        <w:tabs>
          <w:tab w:val="left" w:pos="1008"/>
        </w:tabs>
        <w:spacing w:before="156"/>
        <w:rPr>
          <w:rFonts w:hint="eastAsia" w:ascii="宋体" w:hAnsi="宋体" w:eastAsia="宋体" w:cs="宋体"/>
          <w:b w:val="0"/>
          <w:bCs w:val="0"/>
          <w:color w:val="000000"/>
        </w:rPr>
      </w:pPr>
      <w:r>
        <w:rPr>
          <w:rFonts w:hint="eastAsia" w:ascii="宋体" w:hAnsi="宋体" w:eastAsia="宋体" w:cs="宋体"/>
          <w:b w:val="0"/>
          <w:bCs w:val="0"/>
          <w:color w:val="000000"/>
        </w:rPr>
        <w:t>▲采用基于transformer架构的大模型算法，内置算力不小于8TOPS。</w:t>
      </w:r>
    </w:p>
    <w:p w14:paraId="71CE0F63">
      <w:pPr>
        <w:pStyle w:val="13"/>
        <w:numPr>
          <w:ilvl w:val="4"/>
          <w:numId w:val="0"/>
        </w:numPr>
        <w:tabs>
          <w:tab w:val="left" w:pos="1008"/>
        </w:tabs>
        <w:spacing w:before="156"/>
        <w:rPr>
          <w:rFonts w:hint="eastAsia" w:ascii="宋体" w:hAnsi="宋体" w:eastAsia="宋体" w:cs="宋体"/>
          <w:b w:val="0"/>
          <w:bCs w:val="0"/>
          <w:color w:val="000000"/>
        </w:rPr>
      </w:pPr>
      <w:r>
        <w:rPr>
          <w:rFonts w:hint="eastAsia" w:ascii="宋体" w:hAnsi="宋体" w:eastAsia="宋体" w:cs="宋体"/>
          <w:b w:val="0"/>
          <w:bCs w:val="0"/>
          <w:color w:val="000000"/>
        </w:rPr>
        <w:t>▲支持大模型结构化混行目标检测功能，支持混行目标（行人、车辆、非机动车）检测、抓拍及结构化属性分析。可关联显示人体图片和车牌/车辆图片，并可将抓拍结果上传平台，上传延时不超过1S。</w:t>
      </w:r>
    </w:p>
    <w:p w14:paraId="46A8E282">
      <w:pPr>
        <w:pStyle w:val="13"/>
        <w:numPr>
          <w:ilvl w:val="4"/>
          <w:numId w:val="0"/>
        </w:numPr>
        <w:tabs>
          <w:tab w:val="left" w:pos="1008"/>
        </w:tabs>
        <w:spacing w:before="156"/>
        <w:rPr>
          <w:rFonts w:hint="eastAsia" w:ascii="宋体" w:hAnsi="宋体" w:eastAsia="宋体" w:cs="宋体"/>
          <w:b w:val="0"/>
          <w:bCs w:val="0"/>
          <w:color w:val="000000"/>
        </w:rPr>
      </w:pPr>
      <w:r>
        <w:rPr>
          <w:rFonts w:hint="eastAsia" w:ascii="宋体" w:hAnsi="宋体" w:eastAsia="宋体" w:cs="宋体"/>
          <w:b w:val="0"/>
          <w:bCs w:val="0"/>
          <w:color w:val="000000"/>
        </w:rPr>
        <w:t>▲支持大模型</w:t>
      </w:r>
      <w:r>
        <w:rPr>
          <w:rFonts w:hint="eastAsia" w:ascii="宋体" w:hAnsi="宋体" w:eastAsia="宋体" w:cs="宋体"/>
          <w:b w:val="0"/>
          <w:bCs w:val="0"/>
          <w:color w:val="000000"/>
          <w:lang w:val="en-US" w:eastAsia="zh-CN"/>
        </w:rPr>
        <w:t>目标</w:t>
      </w:r>
      <w:r>
        <w:rPr>
          <w:rFonts w:hint="eastAsia" w:ascii="宋体" w:hAnsi="宋体" w:eastAsia="宋体" w:cs="宋体"/>
          <w:b w:val="0"/>
          <w:bCs w:val="0"/>
          <w:color w:val="000000"/>
        </w:rPr>
        <w:t>比对功能，对监控画面中出现的</w:t>
      </w:r>
      <w:r>
        <w:rPr>
          <w:rFonts w:hint="eastAsia" w:ascii="宋体" w:hAnsi="宋体" w:eastAsia="宋体" w:cs="宋体"/>
          <w:b w:val="0"/>
          <w:bCs w:val="0"/>
          <w:color w:val="000000"/>
          <w:lang w:val="en-US" w:eastAsia="zh-CN"/>
        </w:rPr>
        <w:t>目标</w:t>
      </w:r>
      <w:r>
        <w:rPr>
          <w:rFonts w:hint="eastAsia" w:ascii="宋体" w:hAnsi="宋体" w:eastAsia="宋体" w:cs="宋体"/>
          <w:b w:val="0"/>
          <w:bCs w:val="0"/>
          <w:color w:val="000000"/>
        </w:rPr>
        <w:t>与设备</w:t>
      </w:r>
      <w:r>
        <w:rPr>
          <w:rFonts w:hint="eastAsia" w:ascii="宋体" w:hAnsi="宋体" w:eastAsia="宋体" w:cs="宋体"/>
          <w:b w:val="0"/>
          <w:bCs w:val="0"/>
          <w:color w:val="000000"/>
          <w:lang w:val="en-US" w:eastAsia="zh-CN"/>
        </w:rPr>
        <w:t>目标</w:t>
      </w:r>
      <w:r>
        <w:rPr>
          <w:rFonts w:hint="eastAsia" w:ascii="宋体" w:hAnsi="宋体" w:eastAsia="宋体" w:cs="宋体"/>
          <w:b w:val="0"/>
          <w:bCs w:val="0"/>
          <w:color w:val="000000"/>
        </w:rPr>
        <w:t>库中的</w:t>
      </w:r>
      <w:r>
        <w:rPr>
          <w:rFonts w:hint="eastAsia" w:ascii="宋体" w:hAnsi="宋体" w:eastAsia="宋体" w:cs="宋体"/>
          <w:b w:val="0"/>
          <w:bCs w:val="0"/>
          <w:color w:val="000000"/>
          <w:lang w:val="en-US" w:eastAsia="zh-CN"/>
        </w:rPr>
        <w:t>目标</w:t>
      </w:r>
      <w:r>
        <w:rPr>
          <w:rFonts w:hint="eastAsia" w:ascii="宋体" w:hAnsi="宋体" w:eastAsia="宋体" w:cs="宋体"/>
          <w:b w:val="0"/>
          <w:bCs w:val="0"/>
          <w:color w:val="000000"/>
        </w:rPr>
        <w:t>图片进行比对，比对准确率不低于95%。</w:t>
      </w:r>
    </w:p>
    <w:p w14:paraId="55273DCF">
      <w:pPr>
        <w:pStyle w:val="13"/>
        <w:numPr>
          <w:ilvl w:val="4"/>
          <w:numId w:val="0"/>
        </w:numPr>
        <w:tabs>
          <w:tab w:val="left" w:pos="1008"/>
        </w:tabs>
        <w:spacing w:before="156"/>
        <w:rPr>
          <w:rFonts w:hint="eastAsia" w:ascii="宋体" w:hAnsi="宋体" w:eastAsia="宋体" w:cs="宋体"/>
          <w:b w:val="0"/>
          <w:bCs w:val="0"/>
          <w:color w:val="000000"/>
        </w:rPr>
      </w:pPr>
      <w:r>
        <w:rPr>
          <w:rFonts w:hint="eastAsia" w:ascii="宋体" w:hAnsi="宋体" w:eastAsia="宋体" w:cs="宋体"/>
          <w:b w:val="0"/>
          <w:bCs w:val="0"/>
          <w:color w:val="000000"/>
        </w:rPr>
        <w:t>▲支持大模型</w:t>
      </w:r>
      <w:r>
        <w:rPr>
          <w:rFonts w:hint="eastAsia" w:ascii="宋体" w:hAnsi="宋体" w:eastAsia="宋体" w:cs="宋体"/>
          <w:b w:val="0"/>
          <w:bCs w:val="0"/>
          <w:color w:val="000000"/>
          <w:lang w:val="en-US" w:eastAsia="zh-CN"/>
        </w:rPr>
        <w:t>目标</w:t>
      </w:r>
      <w:r>
        <w:rPr>
          <w:rFonts w:hint="eastAsia" w:ascii="宋体" w:hAnsi="宋体" w:eastAsia="宋体" w:cs="宋体"/>
          <w:b w:val="0"/>
          <w:bCs w:val="0"/>
          <w:color w:val="000000"/>
        </w:rPr>
        <w:t>成像增强功能，开启后可提升低照度、雨、雾等环境下的</w:t>
      </w:r>
      <w:r>
        <w:rPr>
          <w:rFonts w:hint="eastAsia" w:ascii="宋体" w:hAnsi="宋体" w:eastAsia="宋体" w:cs="宋体"/>
          <w:b w:val="0"/>
          <w:bCs w:val="0"/>
          <w:color w:val="000000"/>
          <w:lang w:val="en-US" w:eastAsia="zh-CN"/>
        </w:rPr>
        <w:t>目标</w:t>
      </w:r>
      <w:r>
        <w:rPr>
          <w:rFonts w:hint="eastAsia" w:ascii="宋体" w:hAnsi="宋体" w:eastAsia="宋体" w:cs="宋体"/>
          <w:b w:val="0"/>
          <w:bCs w:val="0"/>
          <w:color w:val="000000"/>
        </w:rPr>
        <w:t>抓拍图片的成像效果。</w:t>
      </w:r>
    </w:p>
    <w:p w14:paraId="7973F766">
      <w:pPr>
        <w:pStyle w:val="13"/>
        <w:numPr>
          <w:ilvl w:val="4"/>
          <w:numId w:val="0"/>
        </w:numPr>
        <w:tabs>
          <w:tab w:val="left" w:pos="1008"/>
        </w:tabs>
        <w:spacing w:before="156"/>
        <w:rPr>
          <w:rFonts w:hint="eastAsia" w:ascii="宋体" w:hAnsi="宋体" w:eastAsia="宋体" w:cs="宋体"/>
          <w:b w:val="0"/>
          <w:bCs w:val="0"/>
          <w:color w:val="000000"/>
        </w:rPr>
      </w:pPr>
      <w:r>
        <w:rPr>
          <w:rFonts w:hint="eastAsia" w:ascii="宋体" w:hAnsi="宋体" w:eastAsia="宋体" w:cs="宋体"/>
          <w:b w:val="0"/>
          <w:bCs w:val="0"/>
          <w:color w:val="000000"/>
        </w:rPr>
        <w:t>▲具有AI-ISP图像质量提升功能，在低照度环境下，可自动调节预览场景视频画面中人体、车辆等目标及预览场景视频画面的区域曝光、亮度、色彩饱和度、对比度、锐度等。</w:t>
      </w:r>
    </w:p>
    <w:p w14:paraId="1B248753">
      <w:pPr>
        <w:pStyle w:val="13"/>
        <w:numPr>
          <w:ilvl w:val="4"/>
          <w:numId w:val="0"/>
        </w:numPr>
        <w:tabs>
          <w:tab w:val="left" w:pos="1008"/>
        </w:tabs>
        <w:spacing w:before="156" w:line="360" w:lineRule="auto"/>
        <w:rPr>
          <w:rFonts w:hint="eastAsia" w:ascii="宋体" w:hAnsi="宋体" w:eastAsia="宋体" w:cs="宋体"/>
          <w:b w:val="0"/>
          <w:bCs w:val="0"/>
          <w:color w:val="000000"/>
        </w:rPr>
      </w:pPr>
      <w:r>
        <w:rPr>
          <w:rFonts w:hint="eastAsia" w:ascii="宋体" w:hAnsi="宋体" w:eastAsia="宋体" w:cs="宋体"/>
          <w:b w:val="0"/>
          <w:bCs w:val="0"/>
          <w:color w:val="000000"/>
        </w:rPr>
        <w:t>外壳防护等级不低于IP67。</w:t>
      </w:r>
    </w:p>
    <w:p w14:paraId="7346D178">
      <w:pPr>
        <w:pStyle w:val="13"/>
        <w:numPr>
          <w:ilvl w:val="4"/>
          <w:numId w:val="0"/>
        </w:numPr>
        <w:tabs>
          <w:tab w:val="left" w:pos="1008"/>
        </w:tabs>
        <w:spacing w:before="156" w:line="360" w:lineRule="auto"/>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rPr>
        <w:t>以上提供公安部检验报告复印件。</w:t>
      </w:r>
    </w:p>
    <w:p w14:paraId="7B6DF7D0">
      <w:pPr>
        <w:pStyle w:val="13"/>
        <w:numPr>
          <w:ilvl w:val="4"/>
          <w:numId w:val="0"/>
        </w:numPr>
        <w:tabs>
          <w:tab w:val="left" w:pos="1008"/>
        </w:tabs>
        <w:spacing w:before="156"/>
        <w:rPr>
          <w:rFonts w:hint="eastAsia" w:ascii="宋体" w:hAnsi="宋体" w:eastAsia="宋体" w:cs="宋体"/>
          <w:color w:val="000000"/>
        </w:rPr>
      </w:pPr>
      <w:r>
        <w:rPr>
          <w:rFonts w:hint="eastAsia" w:ascii="宋体" w:hAnsi="宋体" w:eastAsia="宋体" w:cs="宋体"/>
          <w:color w:val="000000"/>
          <w:lang w:val="en-US" w:eastAsia="zh-CN"/>
        </w:rPr>
        <w:t>3</w:t>
      </w:r>
      <w:r>
        <w:rPr>
          <w:rFonts w:hint="eastAsia" w:ascii="宋体" w:hAnsi="宋体" w:eastAsia="宋体" w:cs="宋体"/>
          <w:color w:val="000000"/>
        </w:rPr>
        <w:t>、</w:t>
      </w:r>
      <w:bookmarkEnd w:id="0"/>
      <w:bookmarkEnd w:id="1"/>
      <w:r>
        <w:rPr>
          <w:rFonts w:hint="eastAsia" w:ascii="宋体" w:hAnsi="宋体" w:eastAsia="宋体" w:cs="宋体"/>
          <w:color w:val="000000"/>
          <w:lang w:val="en-US" w:eastAsia="zh-CN"/>
        </w:rPr>
        <w:t>900万高清</w:t>
      </w:r>
      <w:r>
        <w:rPr>
          <w:rFonts w:hint="eastAsia" w:ascii="宋体" w:hAnsi="宋体" w:eastAsia="宋体" w:cs="宋体"/>
          <w:color w:val="000000"/>
        </w:rPr>
        <w:t>抓拍单元</w:t>
      </w:r>
    </w:p>
    <w:bookmarkEnd w:id="2"/>
    <w:bookmarkEnd w:id="3"/>
    <w:bookmarkEnd w:id="4"/>
    <w:p w14:paraId="761B2454">
      <w:pPr>
        <w:pStyle w:val="13"/>
        <w:numPr>
          <w:ilvl w:val="4"/>
          <w:numId w:val="0"/>
        </w:numPr>
        <w:tabs>
          <w:tab w:val="left" w:pos="1008"/>
        </w:tabs>
        <w:spacing w:before="156"/>
        <w:rPr>
          <w:rFonts w:hint="eastAsia" w:ascii="宋体" w:hAnsi="宋体" w:eastAsia="宋体" w:cs="宋体"/>
          <w:b w:val="0"/>
          <w:bCs w:val="0"/>
          <w:color w:val="000000"/>
        </w:rPr>
      </w:pPr>
      <w:bookmarkStart w:id="5" w:name="_Toc303185607"/>
      <w:bookmarkStart w:id="6" w:name="_Toc354565926"/>
      <w:r>
        <w:rPr>
          <w:rFonts w:hint="eastAsia" w:ascii="宋体" w:hAnsi="宋体" w:eastAsia="宋体" w:cs="宋体"/>
          <w:b w:val="0"/>
          <w:bCs w:val="0"/>
          <w:color w:val="000000"/>
        </w:rPr>
        <w:t>通道1主码流不小于3840×2160，通道2主码流不小于2688×1520。</w:t>
      </w:r>
    </w:p>
    <w:p w14:paraId="79B5CD16">
      <w:pPr>
        <w:pStyle w:val="13"/>
        <w:numPr>
          <w:ilvl w:val="4"/>
          <w:numId w:val="0"/>
        </w:numPr>
        <w:tabs>
          <w:tab w:val="left" w:pos="1008"/>
        </w:tabs>
        <w:spacing w:before="156"/>
        <w:rPr>
          <w:rFonts w:hint="eastAsia" w:ascii="宋体" w:hAnsi="宋体" w:eastAsia="宋体" w:cs="宋体"/>
          <w:b w:val="0"/>
          <w:bCs w:val="0"/>
          <w:color w:val="000000"/>
        </w:rPr>
      </w:pPr>
      <w:r>
        <w:rPr>
          <w:rFonts w:hint="eastAsia" w:ascii="宋体" w:hAnsi="宋体" w:eastAsia="宋体" w:cs="宋体"/>
          <w:b w:val="0"/>
          <w:bCs w:val="0"/>
          <w:color w:val="000000"/>
        </w:rPr>
        <w:t>内置双镜头，2颗靶面尺寸不小于1/1.8英寸的CMOS图像传感器。</w:t>
      </w:r>
    </w:p>
    <w:p w14:paraId="3577CB55">
      <w:pPr>
        <w:pStyle w:val="13"/>
        <w:numPr>
          <w:ilvl w:val="4"/>
          <w:numId w:val="0"/>
        </w:numPr>
        <w:tabs>
          <w:tab w:val="left" w:pos="1008"/>
        </w:tabs>
        <w:spacing w:before="156"/>
        <w:rPr>
          <w:rFonts w:hint="eastAsia" w:ascii="宋体" w:hAnsi="宋体" w:eastAsia="宋体" w:cs="宋体"/>
          <w:b w:val="0"/>
          <w:bCs w:val="0"/>
          <w:color w:val="000000"/>
        </w:rPr>
      </w:pPr>
      <w:r>
        <w:rPr>
          <w:rFonts w:hint="eastAsia" w:ascii="宋体" w:hAnsi="宋体" w:eastAsia="宋体" w:cs="宋体"/>
          <w:b w:val="0"/>
          <w:bCs w:val="0"/>
          <w:color w:val="000000"/>
        </w:rPr>
        <w:t>具有不少于2个音频输入接口、1个音频输出接口、3个报警输入接口、2个报警输出接口，内置2个麦克风、1个扬声器。</w:t>
      </w:r>
    </w:p>
    <w:p w14:paraId="3C8113C0">
      <w:pPr>
        <w:pStyle w:val="13"/>
        <w:numPr>
          <w:ilvl w:val="4"/>
          <w:numId w:val="0"/>
        </w:numPr>
        <w:tabs>
          <w:tab w:val="left" w:pos="1008"/>
        </w:tabs>
        <w:spacing w:before="156"/>
        <w:rPr>
          <w:rFonts w:hint="eastAsia" w:ascii="宋体" w:hAnsi="宋体" w:eastAsia="宋体" w:cs="宋体"/>
          <w:b w:val="0"/>
          <w:bCs w:val="0"/>
          <w:color w:val="000000"/>
        </w:rPr>
      </w:pPr>
      <w:r>
        <w:rPr>
          <w:rFonts w:hint="eastAsia" w:ascii="宋体" w:hAnsi="宋体" w:eastAsia="宋体" w:cs="宋体"/>
          <w:b w:val="0"/>
          <w:bCs w:val="0"/>
          <w:color w:val="000000"/>
        </w:rPr>
        <w:t>▲具有不少于6颗鳞镜式补光灯，补光灯开启后正面不可见补光灯灯珠，灯光亮度均匀，无波纹状、圆环状、麻点状、条纹状及不规则亮斑。</w:t>
      </w:r>
    </w:p>
    <w:p w14:paraId="1038A122">
      <w:pPr>
        <w:pStyle w:val="13"/>
        <w:numPr>
          <w:ilvl w:val="4"/>
          <w:numId w:val="0"/>
        </w:numPr>
        <w:tabs>
          <w:tab w:val="left" w:pos="1008"/>
        </w:tabs>
        <w:spacing w:before="156"/>
        <w:rPr>
          <w:rFonts w:hint="eastAsia" w:ascii="宋体" w:hAnsi="宋体" w:eastAsia="宋体" w:cs="宋体"/>
          <w:b w:val="0"/>
          <w:bCs w:val="0"/>
          <w:color w:val="000000"/>
        </w:rPr>
      </w:pPr>
      <w:r>
        <w:rPr>
          <w:rFonts w:hint="eastAsia" w:ascii="宋体" w:hAnsi="宋体" w:eastAsia="宋体" w:cs="宋体"/>
          <w:b w:val="0"/>
          <w:bCs w:val="0"/>
          <w:color w:val="000000"/>
        </w:rPr>
        <w:t>▲采用基于transformer架构的大模型算法，内置算力不小于8TOPS。</w:t>
      </w:r>
    </w:p>
    <w:p w14:paraId="6EA037C3">
      <w:pPr>
        <w:pStyle w:val="13"/>
        <w:numPr>
          <w:ilvl w:val="4"/>
          <w:numId w:val="0"/>
        </w:numPr>
        <w:tabs>
          <w:tab w:val="left" w:pos="1008"/>
        </w:tabs>
        <w:spacing w:before="156"/>
        <w:rPr>
          <w:rFonts w:hint="eastAsia" w:ascii="宋体" w:hAnsi="宋体" w:eastAsia="宋体" w:cs="宋体"/>
          <w:b w:val="0"/>
          <w:bCs w:val="0"/>
          <w:color w:val="000000"/>
        </w:rPr>
      </w:pPr>
      <w:r>
        <w:rPr>
          <w:rFonts w:hint="eastAsia" w:ascii="宋体" w:hAnsi="宋体" w:eastAsia="宋体" w:cs="宋体"/>
          <w:b w:val="0"/>
          <w:bCs w:val="0"/>
          <w:color w:val="000000"/>
        </w:rPr>
        <w:t>▲支持大模型结构化混行目标检测功能，支持混行目标（行人、车辆、非机动车）检测、抓拍及结构化属性分析。可关联显示人体图片和车牌/车辆图片，并可将抓拍结果上传平台，上传延时不超过1S。</w:t>
      </w:r>
    </w:p>
    <w:p w14:paraId="0E474C7B">
      <w:pPr>
        <w:pStyle w:val="13"/>
        <w:numPr>
          <w:ilvl w:val="4"/>
          <w:numId w:val="0"/>
        </w:numPr>
        <w:tabs>
          <w:tab w:val="left" w:pos="1008"/>
        </w:tabs>
        <w:spacing w:before="156"/>
        <w:rPr>
          <w:rFonts w:hint="eastAsia" w:ascii="宋体" w:hAnsi="宋体" w:eastAsia="宋体" w:cs="宋体"/>
          <w:b w:val="0"/>
          <w:bCs w:val="0"/>
          <w:color w:val="000000"/>
        </w:rPr>
      </w:pPr>
      <w:r>
        <w:rPr>
          <w:rFonts w:hint="eastAsia" w:ascii="宋体" w:hAnsi="宋体" w:eastAsia="宋体" w:cs="宋体"/>
          <w:b w:val="0"/>
          <w:bCs w:val="0"/>
          <w:color w:val="000000"/>
        </w:rPr>
        <w:t>▲支持大模型</w:t>
      </w:r>
      <w:r>
        <w:rPr>
          <w:rFonts w:hint="eastAsia" w:ascii="宋体" w:hAnsi="宋体" w:eastAsia="宋体" w:cs="宋体"/>
          <w:b w:val="0"/>
          <w:bCs w:val="0"/>
          <w:color w:val="000000"/>
          <w:lang w:val="en-US" w:eastAsia="zh-CN"/>
        </w:rPr>
        <w:t>目标</w:t>
      </w:r>
      <w:r>
        <w:rPr>
          <w:rFonts w:hint="eastAsia" w:ascii="宋体" w:hAnsi="宋体" w:eastAsia="宋体" w:cs="宋体"/>
          <w:b w:val="0"/>
          <w:bCs w:val="0"/>
          <w:color w:val="000000"/>
        </w:rPr>
        <w:t>比对功能，对监控画面中出现的</w:t>
      </w:r>
      <w:r>
        <w:rPr>
          <w:rFonts w:hint="eastAsia" w:ascii="宋体" w:hAnsi="宋体" w:eastAsia="宋体" w:cs="宋体"/>
          <w:b w:val="0"/>
          <w:bCs w:val="0"/>
          <w:color w:val="000000"/>
          <w:lang w:val="en-US" w:eastAsia="zh-CN"/>
        </w:rPr>
        <w:t>目标</w:t>
      </w:r>
      <w:r>
        <w:rPr>
          <w:rFonts w:hint="eastAsia" w:ascii="宋体" w:hAnsi="宋体" w:eastAsia="宋体" w:cs="宋体"/>
          <w:b w:val="0"/>
          <w:bCs w:val="0"/>
          <w:color w:val="000000"/>
        </w:rPr>
        <w:t>与设备</w:t>
      </w:r>
      <w:r>
        <w:rPr>
          <w:rFonts w:hint="eastAsia" w:ascii="宋体" w:hAnsi="宋体" w:eastAsia="宋体" w:cs="宋体"/>
          <w:b w:val="0"/>
          <w:bCs w:val="0"/>
          <w:color w:val="000000"/>
          <w:lang w:val="en-US" w:eastAsia="zh-CN"/>
        </w:rPr>
        <w:t>目标</w:t>
      </w:r>
      <w:r>
        <w:rPr>
          <w:rFonts w:hint="eastAsia" w:ascii="宋体" w:hAnsi="宋体" w:eastAsia="宋体" w:cs="宋体"/>
          <w:b w:val="0"/>
          <w:bCs w:val="0"/>
          <w:color w:val="000000"/>
        </w:rPr>
        <w:t>库中的</w:t>
      </w:r>
      <w:r>
        <w:rPr>
          <w:rFonts w:hint="eastAsia" w:ascii="宋体" w:hAnsi="宋体" w:eastAsia="宋体" w:cs="宋体"/>
          <w:b w:val="0"/>
          <w:bCs w:val="0"/>
          <w:color w:val="000000"/>
          <w:lang w:val="en-US" w:eastAsia="zh-CN"/>
        </w:rPr>
        <w:t>目标</w:t>
      </w:r>
      <w:r>
        <w:rPr>
          <w:rFonts w:hint="eastAsia" w:ascii="宋体" w:hAnsi="宋体" w:eastAsia="宋体" w:cs="宋体"/>
          <w:b w:val="0"/>
          <w:bCs w:val="0"/>
          <w:color w:val="000000"/>
        </w:rPr>
        <w:t>图片进行比对，比对准确率不低于95%。</w:t>
      </w:r>
    </w:p>
    <w:p w14:paraId="2F1B5FC7">
      <w:pPr>
        <w:pStyle w:val="13"/>
        <w:numPr>
          <w:ilvl w:val="4"/>
          <w:numId w:val="0"/>
        </w:numPr>
        <w:tabs>
          <w:tab w:val="left" w:pos="1008"/>
        </w:tabs>
        <w:spacing w:before="156"/>
        <w:rPr>
          <w:rFonts w:hint="eastAsia" w:ascii="宋体" w:hAnsi="宋体" w:eastAsia="宋体" w:cs="宋体"/>
          <w:b w:val="0"/>
          <w:bCs w:val="0"/>
          <w:color w:val="000000"/>
        </w:rPr>
      </w:pPr>
      <w:r>
        <w:rPr>
          <w:rFonts w:hint="eastAsia" w:ascii="宋体" w:hAnsi="宋体" w:eastAsia="宋体" w:cs="宋体"/>
          <w:b w:val="0"/>
          <w:bCs w:val="0"/>
          <w:color w:val="000000"/>
        </w:rPr>
        <w:t>▲支持大模型</w:t>
      </w:r>
      <w:r>
        <w:rPr>
          <w:rFonts w:hint="eastAsia" w:ascii="宋体" w:hAnsi="宋体" w:eastAsia="宋体" w:cs="宋体"/>
          <w:b w:val="0"/>
          <w:bCs w:val="0"/>
          <w:color w:val="000000"/>
          <w:lang w:val="en-US" w:eastAsia="zh-CN"/>
        </w:rPr>
        <w:t>目标</w:t>
      </w:r>
      <w:r>
        <w:rPr>
          <w:rFonts w:hint="eastAsia" w:ascii="宋体" w:hAnsi="宋体" w:eastAsia="宋体" w:cs="宋体"/>
          <w:b w:val="0"/>
          <w:bCs w:val="0"/>
          <w:color w:val="000000"/>
        </w:rPr>
        <w:t>成像增强功能，开启后可提升低照度、雨、雾等环境下的</w:t>
      </w:r>
      <w:r>
        <w:rPr>
          <w:rFonts w:hint="eastAsia" w:ascii="宋体" w:hAnsi="宋体" w:eastAsia="宋体" w:cs="宋体"/>
          <w:b w:val="0"/>
          <w:bCs w:val="0"/>
          <w:color w:val="000000"/>
          <w:lang w:val="en-US" w:eastAsia="zh-CN"/>
        </w:rPr>
        <w:t>目标</w:t>
      </w:r>
      <w:r>
        <w:rPr>
          <w:rFonts w:hint="eastAsia" w:ascii="宋体" w:hAnsi="宋体" w:eastAsia="宋体" w:cs="宋体"/>
          <w:b w:val="0"/>
          <w:bCs w:val="0"/>
          <w:color w:val="000000"/>
        </w:rPr>
        <w:t>抓拍图片的成像效果。</w:t>
      </w:r>
    </w:p>
    <w:p w14:paraId="39C9B7F3">
      <w:pPr>
        <w:pStyle w:val="13"/>
        <w:numPr>
          <w:ilvl w:val="4"/>
          <w:numId w:val="0"/>
        </w:numPr>
        <w:tabs>
          <w:tab w:val="left" w:pos="1008"/>
        </w:tabs>
        <w:spacing w:before="156" w:line="240" w:lineRule="auto"/>
        <w:rPr>
          <w:rFonts w:hint="eastAsia" w:ascii="宋体" w:hAnsi="宋体" w:eastAsia="宋体" w:cs="宋体"/>
          <w:b w:val="0"/>
          <w:bCs w:val="0"/>
          <w:color w:val="000000"/>
        </w:rPr>
      </w:pPr>
      <w:r>
        <w:rPr>
          <w:rFonts w:hint="eastAsia" w:ascii="宋体" w:hAnsi="宋体" w:eastAsia="宋体" w:cs="宋体"/>
          <w:b w:val="0"/>
          <w:bCs w:val="0"/>
          <w:color w:val="000000"/>
        </w:rPr>
        <w:t>▲具有AI-ISP图像质量提升功能，在低照度环境下，可自动调节预览场景视频画面中人体、车辆等目标及预览场景视频画面的区域曝光、亮度、色彩饱和度、对比度、锐度等。</w:t>
      </w:r>
    </w:p>
    <w:p w14:paraId="0B6F6FDD">
      <w:pPr>
        <w:pStyle w:val="13"/>
        <w:numPr>
          <w:ilvl w:val="4"/>
          <w:numId w:val="0"/>
        </w:numPr>
        <w:tabs>
          <w:tab w:val="left" w:pos="1008"/>
        </w:tabs>
        <w:spacing w:before="156" w:line="240" w:lineRule="auto"/>
        <w:rPr>
          <w:rFonts w:hint="eastAsia" w:ascii="宋体" w:hAnsi="宋体" w:eastAsia="宋体" w:cs="宋体"/>
          <w:b w:val="0"/>
          <w:bCs w:val="0"/>
          <w:color w:val="000000"/>
        </w:rPr>
      </w:pPr>
      <w:r>
        <w:rPr>
          <w:rFonts w:hint="eastAsia" w:ascii="宋体" w:hAnsi="宋体" w:eastAsia="宋体" w:cs="宋体"/>
          <w:b w:val="0"/>
          <w:bCs w:val="0"/>
          <w:color w:val="000000"/>
        </w:rPr>
        <w:t>外壳防护等级不低于IP67。</w:t>
      </w:r>
    </w:p>
    <w:p w14:paraId="3C92217F">
      <w:pPr>
        <w:pStyle w:val="13"/>
        <w:numPr>
          <w:ilvl w:val="4"/>
          <w:numId w:val="0"/>
        </w:numPr>
        <w:tabs>
          <w:tab w:val="left" w:pos="1008"/>
        </w:tabs>
        <w:spacing w:before="156" w:line="240" w:lineRule="auto"/>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rPr>
        <w:t>以上提供公安部检验报告复印件。</w:t>
      </w:r>
    </w:p>
    <w:p w14:paraId="10EF6D30">
      <w:pPr>
        <w:pStyle w:val="13"/>
        <w:numPr>
          <w:ilvl w:val="4"/>
          <w:numId w:val="0"/>
        </w:numPr>
        <w:tabs>
          <w:tab w:val="left" w:pos="1008"/>
        </w:tabs>
        <w:spacing w:before="156"/>
        <w:ind w:left="1008" w:hanging="1008"/>
        <w:rPr>
          <w:rFonts w:hint="eastAsia" w:ascii="宋体" w:hAnsi="宋体" w:eastAsia="宋体" w:cs="宋体"/>
          <w:color w:val="000000"/>
        </w:rPr>
      </w:pPr>
      <w:r>
        <w:rPr>
          <w:rFonts w:hint="eastAsia" w:ascii="宋体" w:hAnsi="宋体" w:eastAsia="宋体" w:cs="宋体"/>
          <w:color w:val="000000"/>
          <w:lang w:val="en-US" w:eastAsia="zh-CN"/>
        </w:rPr>
        <w:t>4</w:t>
      </w:r>
      <w:r>
        <w:rPr>
          <w:rFonts w:hint="eastAsia" w:ascii="宋体" w:hAnsi="宋体" w:eastAsia="宋体" w:cs="宋体"/>
          <w:color w:val="000000"/>
        </w:rPr>
        <w:t>、LED频闪灯</w:t>
      </w:r>
    </w:p>
    <w:p w14:paraId="6F80CA65">
      <w:pPr>
        <w:pStyle w:val="13"/>
        <w:numPr>
          <w:ilvl w:val="4"/>
          <w:numId w:val="0"/>
        </w:numPr>
        <w:tabs>
          <w:tab w:val="left" w:pos="1008"/>
        </w:tabs>
        <w:spacing w:before="156"/>
        <w:ind w:left="1008" w:hanging="1008"/>
        <w:rPr>
          <w:rFonts w:hint="eastAsia" w:ascii="宋体" w:hAnsi="宋体" w:eastAsia="宋体" w:cs="宋体"/>
          <w:b w:val="0"/>
          <w:bCs w:val="0"/>
          <w:color w:val="000000"/>
        </w:rPr>
      </w:pPr>
      <w:r>
        <w:rPr>
          <w:rFonts w:hint="eastAsia" w:ascii="宋体" w:hAnsi="宋体" w:eastAsia="宋体" w:cs="宋体"/>
          <w:b w:val="0"/>
          <w:bCs w:val="0"/>
          <w:color w:val="000000"/>
        </w:rPr>
        <w:t>符合GA/T 1202-2022《交通技术监控成像补光装置通用技术条件》的要求。</w:t>
      </w:r>
    </w:p>
    <w:p w14:paraId="3A3797E0">
      <w:pPr>
        <w:pStyle w:val="13"/>
        <w:numPr>
          <w:ilvl w:val="4"/>
          <w:numId w:val="0"/>
        </w:numPr>
        <w:tabs>
          <w:tab w:val="left" w:pos="1008"/>
        </w:tabs>
        <w:spacing w:before="156"/>
        <w:ind w:left="1008" w:hanging="1008"/>
        <w:rPr>
          <w:rFonts w:hint="eastAsia" w:ascii="宋体" w:hAnsi="宋体" w:eastAsia="宋体" w:cs="宋体"/>
          <w:b w:val="0"/>
          <w:bCs w:val="0"/>
          <w:color w:val="000000"/>
        </w:rPr>
      </w:pPr>
      <w:r>
        <w:rPr>
          <w:rFonts w:hint="eastAsia" w:ascii="宋体" w:hAnsi="宋体" w:eastAsia="宋体" w:cs="宋体"/>
          <w:b w:val="0"/>
          <w:bCs w:val="0"/>
          <w:color w:val="000000"/>
        </w:rPr>
        <w:t>光源类型：16颗原装大功率LED。</w:t>
      </w:r>
    </w:p>
    <w:p w14:paraId="42E305FC">
      <w:pPr>
        <w:pStyle w:val="13"/>
        <w:numPr>
          <w:ilvl w:val="4"/>
          <w:numId w:val="0"/>
        </w:numPr>
        <w:tabs>
          <w:tab w:val="left" w:pos="1008"/>
        </w:tabs>
        <w:spacing w:before="156"/>
        <w:ind w:left="1008" w:hanging="1008"/>
        <w:rPr>
          <w:rFonts w:hint="eastAsia" w:ascii="宋体" w:hAnsi="宋体" w:eastAsia="宋体" w:cs="宋体"/>
          <w:b w:val="0"/>
          <w:bCs w:val="0"/>
          <w:color w:val="000000"/>
        </w:rPr>
      </w:pPr>
      <w:r>
        <w:rPr>
          <w:rFonts w:hint="eastAsia" w:ascii="宋体" w:hAnsi="宋体" w:eastAsia="宋体" w:cs="宋体"/>
          <w:b w:val="0"/>
          <w:bCs w:val="0"/>
          <w:color w:val="000000"/>
        </w:rPr>
        <w:t>发光角度12°。</w:t>
      </w:r>
    </w:p>
    <w:p w14:paraId="5017D6B0">
      <w:pPr>
        <w:pStyle w:val="13"/>
        <w:numPr>
          <w:ilvl w:val="4"/>
          <w:numId w:val="0"/>
        </w:numPr>
        <w:tabs>
          <w:tab w:val="left" w:pos="1008"/>
        </w:tabs>
        <w:spacing w:before="156"/>
        <w:ind w:left="1008" w:hanging="1008"/>
        <w:rPr>
          <w:rFonts w:hint="eastAsia" w:ascii="宋体" w:hAnsi="宋体" w:eastAsia="宋体" w:cs="宋体"/>
          <w:b w:val="0"/>
          <w:bCs w:val="0"/>
          <w:color w:val="000000"/>
        </w:rPr>
      </w:pPr>
      <w:r>
        <w:rPr>
          <w:rFonts w:hint="eastAsia" w:ascii="宋体" w:hAnsi="宋体" w:eastAsia="宋体" w:cs="宋体"/>
          <w:b w:val="0"/>
          <w:bCs w:val="0"/>
          <w:color w:val="000000"/>
        </w:rPr>
        <w:t>补光距离16米～25米。</w:t>
      </w:r>
    </w:p>
    <w:p w14:paraId="21B2C6B0">
      <w:pPr>
        <w:pStyle w:val="13"/>
        <w:numPr>
          <w:ilvl w:val="4"/>
          <w:numId w:val="0"/>
        </w:numPr>
        <w:tabs>
          <w:tab w:val="left" w:pos="1008"/>
        </w:tabs>
        <w:spacing w:before="156"/>
        <w:ind w:left="1008" w:hanging="1008"/>
        <w:rPr>
          <w:rFonts w:hint="eastAsia" w:ascii="宋体" w:hAnsi="宋体" w:eastAsia="宋体" w:cs="宋体"/>
          <w:b w:val="0"/>
          <w:bCs w:val="0"/>
          <w:color w:val="000000"/>
        </w:rPr>
      </w:pPr>
      <w:r>
        <w:rPr>
          <w:rFonts w:hint="eastAsia" w:ascii="宋体" w:hAnsi="宋体" w:eastAsia="宋体" w:cs="宋体"/>
          <w:b w:val="0"/>
          <w:bCs w:val="0"/>
          <w:color w:val="000000"/>
        </w:rPr>
        <w:t>响应时间小于20us。</w:t>
      </w:r>
    </w:p>
    <w:p w14:paraId="5793AA55">
      <w:pPr>
        <w:pStyle w:val="13"/>
        <w:numPr>
          <w:ilvl w:val="4"/>
          <w:numId w:val="0"/>
        </w:numPr>
        <w:tabs>
          <w:tab w:val="left" w:pos="1008"/>
        </w:tabs>
        <w:spacing w:before="156"/>
        <w:ind w:left="1008" w:hanging="1008"/>
        <w:rPr>
          <w:rFonts w:hint="eastAsia" w:ascii="宋体" w:hAnsi="宋体" w:eastAsia="宋体" w:cs="宋体"/>
          <w:b w:val="0"/>
          <w:bCs w:val="0"/>
          <w:color w:val="000000"/>
        </w:rPr>
      </w:pPr>
      <w:r>
        <w:rPr>
          <w:rFonts w:hint="eastAsia" w:ascii="宋体" w:hAnsi="宋体" w:eastAsia="宋体" w:cs="宋体"/>
          <w:b w:val="0"/>
          <w:bCs w:val="0"/>
          <w:color w:val="000000"/>
        </w:rPr>
        <w:t>触发方式： 高电平有效（可选配开关量触发）。</w:t>
      </w:r>
    </w:p>
    <w:p w14:paraId="4EFAFACB">
      <w:pPr>
        <w:pStyle w:val="13"/>
        <w:numPr>
          <w:ilvl w:val="4"/>
          <w:numId w:val="0"/>
        </w:numPr>
        <w:tabs>
          <w:tab w:val="left" w:pos="1008"/>
        </w:tabs>
        <w:spacing w:before="156"/>
        <w:ind w:left="1008" w:hanging="1008"/>
        <w:rPr>
          <w:rFonts w:hint="eastAsia" w:ascii="宋体" w:hAnsi="宋体" w:eastAsia="宋体" w:cs="宋体"/>
          <w:b w:val="0"/>
          <w:bCs w:val="0"/>
          <w:color w:val="000000"/>
        </w:rPr>
      </w:pPr>
      <w:r>
        <w:rPr>
          <w:rFonts w:hint="eastAsia" w:ascii="宋体" w:hAnsi="宋体" w:eastAsia="宋体" w:cs="宋体"/>
          <w:b w:val="0"/>
          <w:bCs w:val="0"/>
          <w:color w:val="000000"/>
        </w:rPr>
        <w:t>触发信号：频率1~250HZ，占空比1%~39%。</w:t>
      </w:r>
    </w:p>
    <w:p w14:paraId="25FB09E6">
      <w:pPr>
        <w:pStyle w:val="13"/>
        <w:numPr>
          <w:ilvl w:val="4"/>
          <w:numId w:val="0"/>
        </w:numPr>
        <w:tabs>
          <w:tab w:val="left" w:pos="1008"/>
        </w:tabs>
        <w:spacing w:before="156"/>
        <w:ind w:left="1008" w:hanging="1008"/>
        <w:rPr>
          <w:rFonts w:hint="eastAsia" w:ascii="宋体" w:hAnsi="宋体" w:eastAsia="宋体" w:cs="宋体"/>
          <w:b w:val="0"/>
          <w:bCs w:val="0"/>
          <w:color w:val="000000"/>
        </w:rPr>
      </w:pPr>
      <w:r>
        <w:rPr>
          <w:rFonts w:hint="eastAsia" w:ascii="宋体" w:hAnsi="宋体" w:eastAsia="宋体" w:cs="宋体"/>
          <w:b w:val="0"/>
          <w:bCs w:val="0"/>
          <w:color w:val="000000"/>
        </w:rPr>
        <w:t>工作温度：-40℃~70℃。</w:t>
      </w:r>
    </w:p>
    <w:p w14:paraId="6D7FA4B3">
      <w:pPr>
        <w:pStyle w:val="13"/>
        <w:numPr>
          <w:ilvl w:val="4"/>
          <w:numId w:val="0"/>
        </w:numPr>
        <w:tabs>
          <w:tab w:val="left" w:pos="1008"/>
        </w:tabs>
        <w:spacing w:before="156"/>
        <w:ind w:left="1008" w:hanging="1008"/>
        <w:rPr>
          <w:rFonts w:hint="eastAsia" w:ascii="宋体" w:hAnsi="宋体" w:eastAsia="宋体" w:cs="宋体"/>
          <w:b w:val="0"/>
          <w:bCs w:val="0"/>
          <w:color w:val="000000"/>
        </w:rPr>
      </w:pPr>
      <w:r>
        <w:rPr>
          <w:rFonts w:hint="eastAsia" w:ascii="宋体" w:hAnsi="宋体" w:eastAsia="宋体" w:cs="宋体"/>
          <w:b w:val="0"/>
          <w:bCs w:val="0"/>
          <w:color w:val="000000"/>
        </w:rPr>
        <w:t>工作湿度：湿度5%~95%@40℃，无凝结。</w:t>
      </w:r>
    </w:p>
    <w:p w14:paraId="01FAE2AF">
      <w:pPr>
        <w:pStyle w:val="13"/>
        <w:numPr>
          <w:ilvl w:val="4"/>
          <w:numId w:val="0"/>
        </w:numPr>
        <w:tabs>
          <w:tab w:val="left" w:pos="1008"/>
        </w:tabs>
        <w:spacing w:before="156"/>
        <w:ind w:left="1008" w:hanging="1008"/>
        <w:rPr>
          <w:rFonts w:hint="eastAsia" w:ascii="宋体" w:hAnsi="宋体" w:eastAsia="宋体" w:cs="宋体"/>
          <w:b w:val="0"/>
          <w:bCs w:val="0"/>
          <w:color w:val="000000"/>
        </w:rPr>
      </w:pPr>
      <w:r>
        <w:rPr>
          <w:rFonts w:hint="eastAsia" w:ascii="宋体" w:hAnsi="宋体" w:eastAsia="宋体" w:cs="宋体"/>
          <w:b w:val="0"/>
          <w:bCs w:val="0"/>
          <w:color w:val="000000"/>
        </w:rPr>
        <w:t>电源：220V±10%。</w:t>
      </w:r>
    </w:p>
    <w:p w14:paraId="7D5304E3">
      <w:pPr>
        <w:pStyle w:val="13"/>
        <w:numPr>
          <w:ilvl w:val="4"/>
          <w:numId w:val="0"/>
        </w:numPr>
        <w:tabs>
          <w:tab w:val="left" w:pos="1008"/>
        </w:tabs>
        <w:spacing w:before="156"/>
        <w:ind w:left="1008" w:hanging="1008"/>
        <w:rPr>
          <w:rFonts w:hint="eastAsia" w:ascii="宋体" w:hAnsi="宋体" w:eastAsia="宋体" w:cs="宋体"/>
          <w:b w:val="0"/>
          <w:bCs w:val="0"/>
          <w:color w:val="000000"/>
        </w:rPr>
      </w:pPr>
      <w:r>
        <w:rPr>
          <w:rFonts w:hint="eastAsia" w:ascii="宋体" w:hAnsi="宋体" w:eastAsia="宋体" w:cs="宋体"/>
          <w:b w:val="0"/>
          <w:bCs w:val="0"/>
          <w:color w:val="000000"/>
        </w:rPr>
        <w:t>功耗：35W MAX。</w:t>
      </w:r>
    </w:p>
    <w:p w14:paraId="0F57FE66">
      <w:pPr>
        <w:pStyle w:val="13"/>
        <w:numPr>
          <w:ilvl w:val="4"/>
          <w:numId w:val="0"/>
        </w:numPr>
        <w:tabs>
          <w:tab w:val="left" w:pos="1008"/>
        </w:tabs>
        <w:spacing w:before="156"/>
        <w:ind w:left="1008" w:hanging="1008"/>
        <w:rPr>
          <w:rFonts w:hint="eastAsia" w:ascii="宋体" w:hAnsi="宋体" w:eastAsia="宋体" w:cs="宋体"/>
          <w:b w:val="0"/>
          <w:bCs w:val="0"/>
          <w:color w:val="000000"/>
        </w:rPr>
      </w:pPr>
      <w:r>
        <w:rPr>
          <w:rFonts w:hint="eastAsia" w:ascii="宋体" w:hAnsi="宋体" w:eastAsia="宋体" w:cs="宋体"/>
          <w:b w:val="0"/>
          <w:bCs w:val="0"/>
          <w:color w:val="000000"/>
        </w:rPr>
        <w:t>防护等级：IP66 。</w:t>
      </w:r>
    </w:p>
    <w:p w14:paraId="2B79E709">
      <w:pPr>
        <w:pStyle w:val="13"/>
        <w:numPr>
          <w:ilvl w:val="4"/>
          <w:numId w:val="0"/>
        </w:numPr>
        <w:tabs>
          <w:tab w:val="left" w:pos="1008"/>
        </w:tabs>
        <w:spacing w:before="156"/>
        <w:ind w:left="1008" w:hanging="1008"/>
        <w:rPr>
          <w:rFonts w:hint="eastAsia" w:ascii="宋体" w:hAnsi="宋体" w:eastAsia="宋体" w:cs="宋体"/>
          <w:color w:val="000000"/>
        </w:rPr>
      </w:pPr>
      <w:r>
        <w:rPr>
          <w:rFonts w:hint="eastAsia" w:ascii="宋体" w:hAnsi="宋体" w:eastAsia="宋体" w:cs="宋体"/>
          <w:color w:val="000000"/>
        </w:rPr>
        <w:t>5、</w:t>
      </w:r>
      <w:bookmarkEnd w:id="5"/>
      <w:bookmarkEnd w:id="6"/>
      <w:r>
        <w:rPr>
          <w:rFonts w:hint="eastAsia" w:ascii="宋体" w:hAnsi="宋体" w:eastAsia="宋体" w:cs="宋体"/>
          <w:color w:val="000000"/>
        </w:rPr>
        <w:t>爆闪补光灯</w:t>
      </w:r>
    </w:p>
    <w:p w14:paraId="38C08D88">
      <w:pPr>
        <w:pStyle w:val="13"/>
        <w:numPr>
          <w:ilvl w:val="4"/>
          <w:numId w:val="0"/>
        </w:numPr>
        <w:tabs>
          <w:tab w:val="left" w:pos="1008"/>
        </w:tabs>
        <w:spacing w:before="156"/>
        <w:ind w:left="1008" w:hanging="1008"/>
        <w:rPr>
          <w:rFonts w:hint="eastAsia" w:ascii="宋体" w:hAnsi="宋体" w:eastAsia="宋体" w:cs="宋体"/>
          <w:b w:val="0"/>
          <w:bCs w:val="0"/>
          <w:color w:val="000000"/>
        </w:rPr>
      </w:pPr>
      <w:bookmarkStart w:id="7" w:name="_Toc303185608"/>
      <w:bookmarkStart w:id="8" w:name="_Toc354565927"/>
      <w:r>
        <w:rPr>
          <w:rFonts w:hint="eastAsia" w:ascii="宋体" w:hAnsi="宋体" w:eastAsia="宋体" w:cs="宋体"/>
          <w:b w:val="0"/>
          <w:bCs w:val="0"/>
          <w:color w:val="000000"/>
        </w:rPr>
        <w:t>符合GA/T 1202-2022《交通技术监控成像补光装置通用技术条件》二级要求。</w:t>
      </w:r>
    </w:p>
    <w:p w14:paraId="5FF7FBE6">
      <w:pPr>
        <w:pStyle w:val="13"/>
        <w:numPr>
          <w:ilvl w:val="4"/>
          <w:numId w:val="0"/>
        </w:numPr>
        <w:tabs>
          <w:tab w:val="left" w:pos="1008"/>
        </w:tabs>
        <w:spacing w:before="156"/>
        <w:ind w:left="1008" w:hanging="1008"/>
        <w:rPr>
          <w:rFonts w:hint="eastAsia" w:ascii="宋体" w:hAnsi="宋体" w:eastAsia="宋体" w:cs="宋体"/>
          <w:b w:val="0"/>
          <w:bCs w:val="0"/>
          <w:color w:val="000000"/>
        </w:rPr>
      </w:pPr>
      <w:r>
        <w:rPr>
          <w:rFonts w:hint="eastAsia" w:ascii="宋体" w:hAnsi="宋体" w:eastAsia="宋体" w:cs="宋体"/>
          <w:b w:val="0"/>
          <w:bCs w:val="0"/>
          <w:color w:val="000000"/>
        </w:rPr>
        <w:t>色温5500±500k。</w:t>
      </w:r>
    </w:p>
    <w:p w14:paraId="759D7E4B">
      <w:pPr>
        <w:pStyle w:val="13"/>
        <w:numPr>
          <w:ilvl w:val="4"/>
          <w:numId w:val="0"/>
        </w:numPr>
        <w:tabs>
          <w:tab w:val="left" w:pos="1008"/>
        </w:tabs>
        <w:spacing w:before="156"/>
        <w:ind w:left="1008" w:hanging="1008"/>
        <w:rPr>
          <w:rFonts w:hint="eastAsia" w:ascii="宋体" w:hAnsi="宋体" w:eastAsia="宋体" w:cs="宋体"/>
          <w:b w:val="0"/>
          <w:bCs w:val="0"/>
          <w:color w:val="000000"/>
        </w:rPr>
      </w:pPr>
      <w:r>
        <w:rPr>
          <w:rFonts w:hint="eastAsia" w:ascii="宋体" w:hAnsi="宋体" w:eastAsia="宋体" w:cs="宋体"/>
          <w:b w:val="0"/>
          <w:bCs w:val="0"/>
          <w:color w:val="000000"/>
        </w:rPr>
        <w:t>▲回电时间应≤50ms。</w:t>
      </w:r>
    </w:p>
    <w:p w14:paraId="02E2C876">
      <w:pPr>
        <w:pStyle w:val="13"/>
        <w:numPr>
          <w:ilvl w:val="4"/>
          <w:numId w:val="0"/>
        </w:numPr>
        <w:tabs>
          <w:tab w:val="left" w:pos="1008"/>
        </w:tabs>
        <w:spacing w:before="156"/>
        <w:ind w:left="1008" w:hanging="1008"/>
        <w:rPr>
          <w:rFonts w:hint="eastAsia" w:ascii="宋体" w:hAnsi="宋体" w:eastAsia="宋体" w:cs="宋体"/>
          <w:b w:val="0"/>
          <w:bCs w:val="0"/>
          <w:color w:val="000000"/>
        </w:rPr>
      </w:pPr>
      <w:r>
        <w:rPr>
          <w:rFonts w:hint="eastAsia" w:ascii="宋体" w:hAnsi="宋体" w:eastAsia="宋体" w:cs="宋体"/>
          <w:b w:val="0"/>
          <w:bCs w:val="0"/>
          <w:color w:val="000000"/>
        </w:rPr>
        <w:t>曝光指数试验：64NG。</w:t>
      </w:r>
    </w:p>
    <w:p w14:paraId="6E106B63">
      <w:pPr>
        <w:pStyle w:val="13"/>
        <w:numPr>
          <w:ilvl w:val="4"/>
          <w:numId w:val="0"/>
        </w:numPr>
        <w:tabs>
          <w:tab w:val="left" w:pos="1008"/>
        </w:tabs>
        <w:spacing w:before="156"/>
        <w:ind w:left="1008" w:hanging="1008"/>
        <w:rPr>
          <w:rFonts w:hint="eastAsia" w:ascii="宋体" w:hAnsi="宋体" w:eastAsia="宋体" w:cs="宋体"/>
          <w:b w:val="0"/>
          <w:bCs w:val="0"/>
          <w:color w:val="000000"/>
        </w:rPr>
      </w:pPr>
      <w:r>
        <w:rPr>
          <w:rFonts w:hint="eastAsia" w:ascii="宋体" w:hAnsi="宋体" w:eastAsia="宋体" w:cs="宋体"/>
          <w:b w:val="0"/>
          <w:bCs w:val="0"/>
          <w:color w:val="000000"/>
        </w:rPr>
        <w:t>在-40℃~80℃温度范围内均能正常工作。</w:t>
      </w:r>
    </w:p>
    <w:p w14:paraId="414D71AA">
      <w:pPr>
        <w:pStyle w:val="13"/>
        <w:numPr>
          <w:ilvl w:val="4"/>
          <w:numId w:val="0"/>
        </w:numPr>
        <w:tabs>
          <w:tab w:val="left" w:pos="1008"/>
        </w:tabs>
        <w:spacing w:before="156"/>
        <w:ind w:left="1008" w:hanging="1008"/>
        <w:rPr>
          <w:rFonts w:hint="eastAsia" w:ascii="宋体" w:hAnsi="宋体" w:eastAsia="宋体" w:cs="宋体"/>
          <w:b w:val="0"/>
          <w:bCs w:val="0"/>
          <w:color w:val="auto"/>
        </w:rPr>
      </w:pPr>
      <w:r>
        <w:rPr>
          <w:rFonts w:hint="eastAsia" w:ascii="宋体" w:hAnsi="宋体" w:eastAsia="宋体" w:cs="宋体"/>
          <w:b w:val="0"/>
          <w:bCs w:val="0"/>
          <w:color w:val="000000"/>
        </w:rPr>
        <w:t>防护等级IP66。</w:t>
      </w:r>
    </w:p>
    <w:p w14:paraId="1118AA6A">
      <w:pPr>
        <w:pStyle w:val="13"/>
        <w:numPr>
          <w:ilvl w:val="4"/>
          <w:numId w:val="0"/>
        </w:numPr>
        <w:tabs>
          <w:tab w:val="left" w:pos="1008"/>
        </w:tabs>
        <w:spacing w:before="156"/>
        <w:ind w:left="1008" w:hanging="1008"/>
        <w:rPr>
          <w:rFonts w:hint="eastAsia" w:ascii="宋体" w:hAnsi="宋体" w:eastAsia="宋体" w:cs="宋体"/>
          <w:color w:val="000000"/>
          <w:lang w:val="en-US" w:eastAsia="zh-CN"/>
        </w:rPr>
      </w:pPr>
      <w:r>
        <w:rPr>
          <w:rFonts w:hint="eastAsia" w:ascii="宋体" w:hAnsi="宋体" w:eastAsia="宋体" w:cs="宋体"/>
          <w:color w:val="000000"/>
        </w:rPr>
        <w:t>6、</w:t>
      </w:r>
      <w:bookmarkEnd w:id="7"/>
      <w:bookmarkEnd w:id="8"/>
      <w:r>
        <w:rPr>
          <w:rFonts w:hint="eastAsia" w:ascii="宋体" w:hAnsi="宋体" w:eastAsia="宋体" w:cs="宋体"/>
          <w:color w:val="000000"/>
          <w:lang w:val="en-US" w:eastAsia="zh-CN"/>
        </w:rPr>
        <w:t>交通</w:t>
      </w:r>
      <w:r>
        <w:rPr>
          <w:rFonts w:hint="eastAsia" w:ascii="宋体" w:hAnsi="宋体" w:eastAsia="宋体" w:cs="宋体"/>
          <w:color w:val="000000"/>
        </w:rPr>
        <w:t>终端</w:t>
      </w:r>
      <w:r>
        <w:rPr>
          <w:rFonts w:hint="eastAsia" w:ascii="宋体" w:hAnsi="宋体" w:eastAsia="宋体" w:cs="宋体"/>
          <w:color w:val="000000"/>
          <w:lang w:val="en-US" w:eastAsia="zh-CN"/>
        </w:rPr>
        <w:t>控制模块</w:t>
      </w:r>
    </w:p>
    <w:p w14:paraId="0D35AAC9">
      <w:pPr>
        <w:pStyle w:val="13"/>
        <w:numPr>
          <w:ilvl w:val="4"/>
          <w:numId w:val="0"/>
        </w:numPr>
        <w:tabs>
          <w:tab w:val="left" w:pos="1008"/>
        </w:tabs>
        <w:spacing w:before="156" w:line="360" w:lineRule="auto"/>
        <w:rPr>
          <w:rFonts w:hint="eastAsia" w:ascii="宋体" w:hAnsi="宋体" w:eastAsia="宋体" w:cs="宋体"/>
          <w:b w:val="0"/>
          <w:bCs w:val="0"/>
          <w:color w:val="000000"/>
        </w:rPr>
      </w:pPr>
      <w:bookmarkStart w:id="9" w:name="_Toc363597274"/>
      <w:r>
        <w:rPr>
          <w:rFonts w:hint="eastAsia" w:ascii="宋体" w:hAnsi="宋体" w:eastAsia="宋体" w:cs="宋体"/>
          <w:b w:val="0"/>
          <w:bCs w:val="0"/>
          <w:color w:val="000000"/>
        </w:rPr>
        <w:t>支持设置图片的存储空间，在规定的空间内自动循环覆盖，剩余空间为录像存储空间。</w:t>
      </w:r>
    </w:p>
    <w:p w14:paraId="20C7B6CD">
      <w:pPr>
        <w:pStyle w:val="13"/>
        <w:numPr>
          <w:ilvl w:val="4"/>
          <w:numId w:val="0"/>
        </w:numPr>
        <w:tabs>
          <w:tab w:val="left" w:pos="1008"/>
        </w:tabs>
        <w:spacing w:before="156" w:line="360" w:lineRule="auto"/>
        <w:rPr>
          <w:rFonts w:hint="eastAsia" w:ascii="宋体" w:hAnsi="宋体" w:eastAsia="宋体" w:cs="宋体"/>
          <w:b w:val="0"/>
          <w:bCs w:val="0"/>
          <w:color w:val="000000"/>
        </w:rPr>
      </w:pPr>
      <w:r>
        <w:rPr>
          <w:rFonts w:hint="eastAsia" w:ascii="宋体" w:hAnsi="宋体" w:eastAsia="宋体" w:cs="宋体"/>
          <w:b w:val="0"/>
          <w:bCs w:val="0"/>
          <w:color w:val="000000"/>
        </w:rPr>
        <w:t>▲可实时显示车流量、平均车速、平均车道时间占有率、平均车头时距等数据；支持存储采集到的车流量信息，可对全部卡口或单个卡口按天或按小时实时统计过车流量，并能够按照时间、通道、车道等条件查询，支持柱状图、折线图、表格形式展示，可将数据上传至平台。</w:t>
      </w:r>
    </w:p>
    <w:p w14:paraId="4298CF8A">
      <w:pPr>
        <w:pStyle w:val="13"/>
        <w:tabs>
          <w:tab w:val="left" w:pos="1008"/>
        </w:tabs>
        <w:spacing w:before="156" w:line="360" w:lineRule="auto"/>
        <w:rPr>
          <w:rFonts w:hint="eastAsia" w:ascii="宋体" w:hAnsi="宋体" w:eastAsia="宋体" w:cs="宋体"/>
          <w:b w:val="0"/>
          <w:bCs w:val="0"/>
          <w:color w:val="000000"/>
        </w:rPr>
      </w:pPr>
      <w:r>
        <w:rPr>
          <w:rFonts w:hint="eastAsia" w:ascii="宋体" w:hAnsi="宋体" w:eastAsia="宋体" w:cs="宋体"/>
          <w:b w:val="0"/>
          <w:bCs w:val="0"/>
          <w:color w:val="000000"/>
        </w:rPr>
        <w:t>▲对于在记录过程中出现的系统死机或意外故障，设备能够在规定的时间内自动恢复其正常工作状态并使故障前的信息不丢失。</w:t>
      </w:r>
    </w:p>
    <w:p w14:paraId="4F1F8577">
      <w:pPr>
        <w:pStyle w:val="13"/>
        <w:tabs>
          <w:tab w:val="left" w:pos="1008"/>
        </w:tabs>
        <w:spacing w:before="156" w:line="240" w:lineRule="auto"/>
        <w:rPr>
          <w:rFonts w:hint="eastAsia" w:ascii="宋体" w:hAnsi="宋体" w:eastAsia="宋体" w:cs="宋体"/>
          <w:b w:val="0"/>
          <w:bCs w:val="0"/>
          <w:color w:val="000000"/>
        </w:rPr>
      </w:pPr>
      <w:r>
        <w:rPr>
          <w:rFonts w:hint="eastAsia" w:ascii="宋体" w:hAnsi="宋体" w:eastAsia="宋体" w:cs="宋体"/>
          <w:b w:val="0"/>
          <w:bCs w:val="0"/>
          <w:color w:val="000000"/>
        </w:rPr>
        <w:t>▲设备内的录像、图片文件无法直接删除或者修改，只能通过循环覆盖和硬盘格式化操作。</w:t>
      </w:r>
    </w:p>
    <w:p w14:paraId="052EEBE8">
      <w:pPr>
        <w:pStyle w:val="13"/>
        <w:tabs>
          <w:tab w:val="left" w:pos="1008"/>
        </w:tabs>
        <w:spacing w:before="156" w:line="360" w:lineRule="auto"/>
        <w:rPr>
          <w:rFonts w:hint="eastAsia" w:ascii="宋体" w:hAnsi="宋体" w:eastAsia="宋体" w:cs="宋体"/>
          <w:b w:val="0"/>
          <w:bCs w:val="0"/>
          <w:color w:val="000000"/>
        </w:rPr>
      </w:pPr>
      <w:r>
        <w:rPr>
          <w:rFonts w:hint="eastAsia" w:ascii="宋体" w:hAnsi="宋体" w:eastAsia="宋体" w:cs="宋体"/>
          <w:b w:val="0"/>
          <w:bCs w:val="0"/>
          <w:color w:val="000000"/>
        </w:rPr>
        <w:t>支持数据直存，可将视频流直接写入存储；采用自动分段记录格式时，相邻两段间最大记录间隔时间应≤0.4s；对于记录在存储介质上的视频信息，取出的存储介质应能在同型号的其他设备上正常回放，以保证设备发生故障后记录资料的留存(或复制)。</w:t>
      </w:r>
    </w:p>
    <w:p w14:paraId="38ADE40D">
      <w:pPr>
        <w:pStyle w:val="13"/>
        <w:tabs>
          <w:tab w:val="left" w:pos="1008"/>
        </w:tabs>
        <w:spacing w:before="156" w:line="360" w:lineRule="auto"/>
        <w:rPr>
          <w:rFonts w:hint="eastAsia" w:ascii="宋体" w:hAnsi="宋体" w:eastAsia="宋体" w:cs="宋体"/>
          <w:b w:val="0"/>
          <w:bCs w:val="0"/>
          <w:color w:val="000000"/>
        </w:rPr>
      </w:pPr>
      <w:r>
        <w:rPr>
          <w:rFonts w:hint="eastAsia" w:ascii="宋体" w:hAnsi="宋体" w:eastAsia="宋体" w:cs="宋体"/>
          <w:b w:val="0"/>
          <w:bCs w:val="0"/>
          <w:color w:val="000000"/>
        </w:rPr>
        <w:t>支持实时显示接入的摄像机、线圈、车检器、红绿灯检测器等前端设备的工作状态、设备内部温度、工作时间等信息；外接机柜门时具有机柜门状态实时显示与查询功能。</w:t>
      </w:r>
    </w:p>
    <w:p w14:paraId="3F6F6AD7">
      <w:pPr>
        <w:pStyle w:val="13"/>
        <w:tabs>
          <w:tab w:val="left" w:pos="1008"/>
        </w:tabs>
        <w:spacing w:before="156" w:line="360" w:lineRule="auto"/>
        <w:rPr>
          <w:rFonts w:hint="eastAsia" w:ascii="宋体" w:hAnsi="宋体" w:eastAsia="宋体" w:cs="宋体"/>
          <w:b w:val="0"/>
          <w:bCs w:val="0"/>
          <w:color w:val="000000"/>
        </w:rPr>
      </w:pPr>
      <w:r>
        <w:rPr>
          <w:rFonts w:hint="eastAsia" w:ascii="宋体" w:hAnsi="宋体" w:eastAsia="宋体" w:cs="宋体"/>
          <w:b w:val="0"/>
          <w:bCs w:val="0"/>
          <w:color w:val="000000"/>
        </w:rPr>
        <w:t>以上提供公安部检测报告复印件。</w:t>
      </w:r>
    </w:p>
    <w:p w14:paraId="7821C267">
      <w:pPr>
        <w:pStyle w:val="13"/>
        <w:numPr>
          <w:ilvl w:val="0"/>
          <w:numId w:val="3"/>
        </w:numPr>
        <w:tabs>
          <w:tab w:val="left" w:pos="1008"/>
        </w:tabs>
        <w:spacing w:before="156"/>
        <w:rPr>
          <w:rFonts w:hint="eastAsia" w:ascii="宋体" w:hAnsi="宋体" w:eastAsia="宋体" w:cs="宋体"/>
          <w:color w:val="000000"/>
        </w:rPr>
      </w:pPr>
      <w:r>
        <w:rPr>
          <w:rFonts w:hint="eastAsia" w:ascii="宋体" w:hAnsi="宋体" w:eastAsia="宋体" w:cs="宋体"/>
          <w:color w:val="000000"/>
        </w:rPr>
        <w:t>违章抓拍球机</w:t>
      </w:r>
    </w:p>
    <w:p w14:paraId="69AE1C65">
      <w:pPr>
        <w:pStyle w:val="13"/>
        <w:tabs>
          <w:tab w:val="left" w:pos="1008"/>
        </w:tabs>
        <w:spacing w:before="156"/>
        <w:rPr>
          <w:rFonts w:hint="eastAsia" w:ascii="宋体" w:hAnsi="宋体" w:eastAsia="宋体" w:cs="宋体"/>
          <w:b w:val="0"/>
          <w:bCs w:val="0"/>
          <w:color w:val="000000"/>
        </w:rPr>
      </w:pPr>
      <w:r>
        <w:rPr>
          <w:rFonts w:hint="eastAsia" w:ascii="宋体" w:hAnsi="宋体" w:eastAsia="宋体" w:cs="宋体"/>
          <w:b w:val="0"/>
          <w:bCs w:val="0"/>
          <w:color w:val="000000"/>
        </w:rPr>
        <w:t>靶面尺寸不小于1/1.8英寸、分辨率与帧率可设置为2688x1520@30fps。</w:t>
      </w:r>
    </w:p>
    <w:p w14:paraId="3DD25A4A">
      <w:pPr>
        <w:pStyle w:val="13"/>
        <w:tabs>
          <w:tab w:val="left" w:pos="1008"/>
        </w:tabs>
        <w:spacing w:before="156"/>
        <w:rPr>
          <w:rFonts w:hint="eastAsia" w:ascii="宋体" w:hAnsi="宋体" w:eastAsia="宋体" w:cs="宋体"/>
          <w:b w:val="0"/>
          <w:bCs w:val="0"/>
          <w:color w:val="000000"/>
        </w:rPr>
      </w:pPr>
      <w:r>
        <w:rPr>
          <w:rFonts w:hint="eastAsia" w:ascii="宋体" w:hAnsi="宋体" w:eastAsia="宋体" w:cs="宋体"/>
          <w:b w:val="0"/>
          <w:bCs w:val="0"/>
          <w:color w:val="000000"/>
        </w:rPr>
        <w:t>支持最低照度可达彩色0.0002Lx，黑白0.0001Lx。</w:t>
      </w:r>
    </w:p>
    <w:p w14:paraId="4CA1EC0E">
      <w:pPr>
        <w:pStyle w:val="13"/>
        <w:tabs>
          <w:tab w:val="left" w:pos="1008"/>
        </w:tabs>
        <w:spacing w:before="156"/>
        <w:rPr>
          <w:rFonts w:hint="eastAsia" w:ascii="宋体" w:hAnsi="宋体" w:eastAsia="宋体" w:cs="宋体"/>
          <w:b w:val="0"/>
          <w:bCs w:val="0"/>
          <w:color w:val="000000"/>
        </w:rPr>
      </w:pPr>
      <w:r>
        <w:rPr>
          <w:rFonts w:hint="eastAsia" w:ascii="宋体" w:hAnsi="宋体" w:eastAsia="宋体" w:cs="宋体"/>
          <w:b w:val="0"/>
          <w:bCs w:val="0"/>
          <w:color w:val="000000"/>
        </w:rPr>
        <w:t>水平旋转范围：0°~360°连续旋转，垂直旋转范围：-20°~90°。</w:t>
      </w:r>
    </w:p>
    <w:p w14:paraId="73F71B53">
      <w:pPr>
        <w:pStyle w:val="13"/>
        <w:tabs>
          <w:tab w:val="left" w:pos="1008"/>
        </w:tabs>
        <w:spacing w:before="156"/>
        <w:rPr>
          <w:rFonts w:hint="eastAsia" w:ascii="宋体" w:hAnsi="宋体" w:eastAsia="宋体" w:cs="宋体"/>
          <w:b w:val="0"/>
          <w:bCs w:val="0"/>
          <w:color w:val="000000"/>
        </w:rPr>
      </w:pPr>
      <w:r>
        <w:rPr>
          <w:rFonts w:hint="eastAsia" w:ascii="宋体" w:hAnsi="宋体" w:eastAsia="宋体" w:cs="宋体"/>
          <w:b w:val="0"/>
          <w:bCs w:val="0"/>
          <w:color w:val="000000"/>
        </w:rPr>
        <w:t>内置不少于1颗8GB eMMC芯片、12颗补光灯、1颗GPU芯片，具有不少于1个RJ45网络接口、1路音频输入、1路音频输出、7路报警输入、2路报警输出、1个RS485接口、1个调试串口、1个SD卡槽。采用DC36V供电。</w:t>
      </w:r>
    </w:p>
    <w:p w14:paraId="3E580F5C">
      <w:pPr>
        <w:pStyle w:val="13"/>
        <w:tabs>
          <w:tab w:val="left" w:pos="1008"/>
        </w:tabs>
        <w:spacing w:before="156"/>
        <w:rPr>
          <w:rFonts w:hint="eastAsia" w:ascii="宋体" w:hAnsi="宋体" w:eastAsia="宋体" w:cs="宋体"/>
          <w:b w:val="0"/>
          <w:bCs w:val="0"/>
          <w:color w:val="000000"/>
        </w:rPr>
      </w:pPr>
      <w:r>
        <w:rPr>
          <w:rFonts w:hint="eastAsia" w:ascii="宋体" w:hAnsi="宋体" w:eastAsia="宋体" w:cs="宋体"/>
          <w:b w:val="0"/>
          <w:bCs w:val="0"/>
          <w:color w:val="000000"/>
        </w:rPr>
        <w:t>▲内置镜头，支持不小于32倍光学变倍，镜头最大焦距不小于192mm。</w:t>
      </w:r>
    </w:p>
    <w:p w14:paraId="7B38BFA4">
      <w:pPr>
        <w:pStyle w:val="13"/>
        <w:tabs>
          <w:tab w:val="left" w:pos="1008"/>
        </w:tabs>
        <w:spacing w:before="156"/>
        <w:rPr>
          <w:rFonts w:hint="eastAsia" w:ascii="宋体" w:hAnsi="宋体" w:eastAsia="宋体" w:cs="宋体"/>
          <w:b w:val="0"/>
          <w:bCs w:val="0"/>
          <w:color w:val="000000"/>
        </w:rPr>
      </w:pPr>
      <w:r>
        <w:rPr>
          <w:rFonts w:hint="eastAsia" w:ascii="宋体" w:hAnsi="宋体" w:eastAsia="宋体" w:cs="宋体"/>
          <w:b w:val="0"/>
          <w:bCs w:val="0"/>
          <w:color w:val="000000"/>
        </w:rPr>
        <w:t>▲自带雨刷，可通过网络远程控制雨刷功能检验雨刷开启、关闭。</w:t>
      </w:r>
    </w:p>
    <w:p w14:paraId="41D0749F">
      <w:pPr>
        <w:pStyle w:val="13"/>
        <w:tabs>
          <w:tab w:val="left" w:pos="1008"/>
        </w:tabs>
        <w:spacing w:before="156"/>
        <w:rPr>
          <w:rFonts w:hint="eastAsia" w:ascii="宋体" w:hAnsi="宋体" w:eastAsia="宋体" w:cs="宋体"/>
          <w:b w:val="0"/>
          <w:bCs w:val="0"/>
          <w:color w:val="000000"/>
        </w:rPr>
      </w:pPr>
      <w:r>
        <w:rPr>
          <w:rFonts w:hint="eastAsia" w:ascii="宋体" w:hAnsi="宋体" w:eastAsia="宋体" w:cs="宋体"/>
          <w:b w:val="0"/>
          <w:bCs w:val="0"/>
          <w:color w:val="000000"/>
        </w:rPr>
        <w:t>交通事件和道路事件可根据布防时间自动切换。</w:t>
      </w:r>
    </w:p>
    <w:p w14:paraId="4F9529D5">
      <w:pPr>
        <w:pStyle w:val="13"/>
        <w:tabs>
          <w:tab w:val="left" w:pos="1008"/>
        </w:tabs>
        <w:spacing w:before="156"/>
        <w:rPr>
          <w:rFonts w:hint="eastAsia" w:ascii="宋体" w:hAnsi="宋体" w:eastAsia="宋体" w:cs="宋体"/>
          <w:b w:val="0"/>
          <w:bCs w:val="0"/>
          <w:color w:val="000000"/>
        </w:rPr>
      </w:pPr>
      <w:r>
        <w:rPr>
          <w:rFonts w:hint="eastAsia" w:ascii="宋体" w:hAnsi="宋体" w:eastAsia="宋体" w:cs="宋体"/>
          <w:b w:val="0"/>
          <w:bCs w:val="0"/>
          <w:color w:val="000000"/>
        </w:rPr>
        <w:t>支持对距离设备200m处机动车违法停车行为进行抓拍。</w:t>
      </w:r>
    </w:p>
    <w:p w14:paraId="284F5103">
      <w:pPr>
        <w:pStyle w:val="13"/>
        <w:tabs>
          <w:tab w:val="left" w:pos="1008"/>
        </w:tabs>
        <w:spacing w:before="156" w:line="360" w:lineRule="auto"/>
        <w:rPr>
          <w:rFonts w:hint="eastAsia" w:ascii="宋体" w:hAnsi="宋体" w:eastAsia="宋体" w:cs="宋体"/>
          <w:b w:val="0"/>
          <w:bCs w:val="0"/>
          <w:color w:val="000000"/>
        </w:rPr>
      </w:pPr>
      <w:r>
        <w:rPr>
          <w:rFonts w:hint="eastAsia" w:ascii="宋体" w:hAnsi="宋体" w:eastAsia="宋体" w:cs="宋体"/>
          <w:b w:val="0"/>
          <w:bCs w:val="0"/>
          <w:color w:val="000000"/>
        </w:rPr>
        <w:t>支持对机动车违停、逆行、压线、连续变道、机占非、掉头、变道等交通违法行为进行检测并抓拍，当触发报警后，可联动报警并上传图片。</w:t>
      </w:r>
    </w:p>
    <w:p w14:paraId="5672365E">
      <w:pPr>
        <w:pStyle w:val="13"/>
        <w:tabs>
          <w:tab w:val="left" w:pos="1008"/>
        </w:tabs>
        <w:spacing w:before="156" w:line="360" w:lineRule="auto"/>
        <w:rPr>
          <w:rFonts w:hint="eastAsia" w:ascii="宋体" w:hAnsi="宋体" w:eastAsia="宋体" w:cs="宋体"/>
          <w:b w:val="0"/>
          <w:bCs w:val="0"/>
          <w:color w:val="000000"/>
        </w:rPr>
      </w:pPr>
      <w:r>
        <w:rPr>
          <w:rFonts w:hint="eastAsia" w:ascii="宋体" w:hAnsi="宋体" w:eastAsia="宋体" w:cs="宋体"/>
          <w:b w:val="0"/>
          <w:bCs w:val="0"/>
          <w:color w:val="000000"/>
        </w:rPr>
        <w:t>▲检测到违停车辆时，若目标车牌被遮挡物遮挡时，设备可不对该目标进行车牌识别，并上报无车牌报警。</w:t>
      </w:r>
    </w:p>
    <w:p w14:paraId="01A64607">
      <w:pPr>
        <w:pStyle w:val="13"/>
        <w:tabs>
          <w:tab w:val="left" w:pos="1008"/>
        </w:tabs>
        <w:spacing w:before="156" w:line="360" w:lineRule="auto"/>
        <w:rPr>
          <w:rFonts w:hint="eastAsia" w:ascii="宋体" w:hAnsi="宋体" w:eastAsia="宋体" w:cs="宋体"/>
          <w:b w:val="0"/>
          <w:bCs w:val="0"/>
          <w:color w:val="000000"/>
        </w:rPr>
      </w:pPr>
      <w:r>
        <w:rPr>
          <w:rFonts w:hint="eastAsia" w:ascii="宋体" w:hAnsi="宋体" w:eastAsia="宋体" w:cs="宋体"/>
          <w:b w:val="0"/>
          <w:bCs w:val="0"/>
          <w:color w:val="000000"/>
        </w:rPr>
        <w:t>▲具有VR全景图拼接功能，拼接图可选择柱状全景图和鱼眼全景图的模式，生成的柱状全景图分辨率为8192x2446，鱼眼全景图分辨率为3458x3458。</w:t>
      </w:r>
    </w:p>
    <w:p w14:paraId="68C7F3CF">
      <w:pPr>
        <w:pStyle w:val="13"/>
        <w:tabs>
          <w:tab w:val="left" w:pos="1008"/>
        </w:tabs>
        <w:spacing w:before="156" w:line="360" w:lineRule="auto"/>
        <w:rPr>
          <w:rFonts w:hint="eastAsia" w:ascii="宋体" w:hAnsi="宋体" w:eastAsia="宋体" w:cs="宋体"/>
          <w:b w:val="0"/>
          <w:bCs w:val="0"/>
          <w:color w:val="000000"/>
        </w:rPr>
      </w:pPr>
      <w:r>
        <w:rPr>
          <w:rFonts w:hint="eastAsia" w:ascii="宋体" w:hAnsi="宋体" w:eastAsia="宋体" w:cs="宋体"/>
          <w:b w:val="0"/>
          <w:bCs w:val="0"/>
          <w:color w:val="000000"/>
        </w:rPr>
        <w:t>▲具有VR展示功能，可在客户端软件展示生成的全景图和实时视频，全景图可与实时视频联动，可通过点击；全景图使实时画面转动至点击位置。</w:t>
      </w:r>
    </w:p>
    <w:p w14:paraId="0A117B3F">
      <w:pPr>
        <w:pStyle w:val="13"/>
        <w:tabs>
          <w:tab w:val="left" w:pos="1008"/>
        </w:tabs>
        <w:spacing w:before="156" w:line="360" w:lineRule="auto"/>
        <w:rPr>
          <w:rFonts w:hint="eastAsia" w:ascii="宋体" w:hAnsi="宋体" w:eastAsia="宋体" w:cs="宋体"/>
          <w:b w:val="0"/>
          <w:bCs w:val="0"/>
          <w:color w:val="000000"/>
        </w:rPr>
      </w:pPr>
      <w:r>
        <w:rPr>
          <w:rFonts w:hint="eastAsia" w:ascii="宋体" w:hAnsi="宋体" w:eastAsia="宋体" w:cs="宋体"/>
          <w:b w:val="0"/>
          <w:bCs w:val="0"/>
          <w:color w:val="000000"/>
        </w:rPr>
        <w:t>支持在智能展示界面显示通过监视画面中的机动车子品牌标志，显示车尾子品牌标志不少于3100种；显示车头子品牌标志不少于7100种。</w:t>
      </w:r>
    </w:p>
    <w:p w14:paraId="7BEFC4DD">
      <w:pPr>
        <w:pStyle w:val="13"/>
        <w:tabs>
          <w:tab w:val="left" w:pos="1008"/>
        </w:tabs>
        <w:spacing w:before="156" w:line="360" w:lineRule="auto"/>
        <w:rPr>
          <w:rFonts w:hint="eastAsia" w:ascii="宋体" w:hAnsi="宋体" w:eastAsia="宋体" w:cs="宋体"/>
          <w:b w:val="0"/>
          <w:bCs w:val="0"/>
          <w:color w:val="000000"/>
        </w:rPr>
      </w:pPr>
      <w:r>
        <w:rPr>
          <w:rFonts w:hint="eastAsia" w:ascii="宋体" w:hAnsi="宋体" w:eastAsia="宋体" w:cs="宋体"/>
          <w:b w:val="0"/>
          <w:bCs w:val="0"/>
          <w:color w:val="000000"/>
        </w:rPr>
        <w:t>开启车牌增强功能后，在检测到车辆违停时，可对目标车辆的车牌进行降噪处理。</w:t>
      </w:r>
    </w:p>
    <w:p w14:paraId="34D293B7">
      <w:pPr>
        <w:pStyle w:val="13"/>
        <w:tabs>
          <w:tab w:val="left" w:pos="1008"/>
        </w:tabs>
        <w:spacing w:before="156" w:line="360" w:lineRule="auto"/>
        <w:rPr>
          <w:rFonts w:hint="eastAsia" w:ascii="宋体" w:hAnsi="宋体" w:eastAsia="宋体" w:cs="宋体"/>
          <w:b w:val="0"/>
          <w:bCs w:val="0"/>
          <w:color w:val="000000"/>
        </w:rPr>
      </w:pPr>
      <w:r>
        <w:rPr>
          <w:rFonts w:hint="eastAsia" w:ascii="宋体" w:hAnsi="宋体" w:eastAsia="宋体" w:cs="宋体"/>
          <w:b w:val="0"/>
          <w:bCs w:val="0"/>
          <w:color w:val="000000"/>
        </w:rPr>
        <w:t>▲设备安装接口具有双防脱落装置(安全绳、圆形安装盘)，具有12个安装孔位。</w:t>
      </w:r>
    </w:p>
    <w:p w14:paraId="63ED413A">
      <w:pPr>
        <w:pStyle w:val="13"/>
        <w:tabs>
          <w:tab w:val="left" w:pos="1008"/>
        </w:tabs>
        <w:spacing w:before="156" w:line="360" w:lineRule="auto"/>
        <w:rPr>
          <w:rFonts w:hint="eastAsia" w:ascii="宋体" w:hAnsi="宋体" w:eastAsia="宋体" w:cs="宋体"/>
          <w:b w:val="0"/>
          <w:bCs w:val="0"/>
          <w:color w:val="000000"/>
        </w:rPr>
      </w:pPr>
      <w:r>
        <w:rPr>
          <w:rFonts w:hint="eastAsia" w:ascii="宋体" w:hAnsi="宋体" w:eastAsia="宋体" w:cs="宋体"/>
          <w:b w:val="0"/>
          <w:bCs w:val="0"/>
          <w:color w:val="000000"/>
        </w:rPr>
        <w:t>▲支持对抛洒物事件中的树影、标线进行过滤；可对停车事件中的施工车辆进行过滤；可对行人事件中的交通设施、车身部件、影子进行过滤。</w:t>
      </w:r>
    </w:p>
    <w:p w14:paraId="0196B276">
      <w:pPr>
        <w:pStyle w:val="13"/>
        <w:tabs>
          <w:tab w:val="left" w:pos="1008"/>
        </w:tabs>
        <w:spacing w:before="156" w:line="360" w:lineRule="auto"/>
        <w:rPr>
          <w:rFonts w:hint="eastAsia" w:ascii="宋体" w:hAnsi="宋体" w:eastAsia="宋体" w:cs="宋体"/>
          <w:b w:val="0"/>
          <w:bCs w:val="0"/>
          <w:color w:val="000000"/>
        </w:rPr>
      </w:pPr>
      <w:r>
        <w:rPr>
          <w:rFonts w:hint="eastAsia" w:ascii="宋体" w:hAnsi="宋体" w:eastAsia="宋体" w:cs="宋体"/>
          <w:b w:val="0"/>
          <w:bCs w:val="0"/>
          <w:color w:val="000000"/>
        </w:rPr>
        <w:t>支持抛洒物检测、行人检测、拥堵检测、路障检测、施工检测、交通事故检测、烟雾检测、火灾检测，当监控场景内道路事件触发报警后，可联动报警输出并上传图片，支持配置灵敏度、持续时间和过滤时间，支持布防多边形检测区域。</w:t>
      </w:r>
    </w:p>
    <w:p w14:paraId="3FC0A317">
      <w:pPr>
        <w:pStyle w:val="13"/>
        <w:numPr>
          <w:ilvl w:val="4"/>
          <w:numId w:val="0"/>
        </w:numPr>
        <w:tabs>
          <w:tab w:val="left" w:pos="1008"/>
        </w:tabs>
        <w:spacing w:before="156" w:line="360" w:lineRule="auto"/>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rPr>
        <w:t>以上提供公安部检验报告复印件。</w:t>
      </w:r>
    </w:p>
    <w:p w14:paraId="6FF312C3">
      <w:pPr>
        <w:pStyle w:val="13"/>
        <w:tabs>
          <w:tab w:val="left" w:pos="1008"/>
        </w:tabs>
        <w:spacing w:before="156"/>
        <w:rPr>
          <w:rFonts w:hint="eastAsia" w:ascii="宋体" w:hAnsi="宋体" w:eastAsia="宋体" w:cs="宋体"/>
          <w:color w:val="000000"/>
          <w:lang w:val="en-US" w:eastAsia="zh-CN"/>
        </w:rPr>
      </w:pPr>
      <w:r>
        <w:rPr>
          <w:rFonts w:hint="eastAsia" w:ascii="宋体" w:hAnsi="宋体" w:eastAsia="宋体" w:cs="宋体"/>
          <w:color w:val="000000"/>
        </w:rPr>
        <w:t>8、视频图像云存储设备扩容</w:t>
      </w:r>
      <w:r>
        <w:rPr>
          <w:rFonts w:hint="eastAsia" w:ascii="宋体" w:hAnsi="宋体" w:eastAsia="宋体" w:cs="宋体"/>
          <w:color w:val="000000"/>
          <w:lang w:val="en-US" w:eastAsia="zh-CN"/>
        </w:rPr>
        <w:t>模块（含云存储软件扩容）</w:t>
      </w:r>
    </w:p>
    <w:p w14:paraId="693533CE">
      <w:pPr>
        <w:pStyle w:val="13"/>
        <w:numPr>
          <w:ilvl w:val="4"/>
          <w:numId w:val="0"/>
        </w:numPr>
        <w:tabs>
          <w:tab w:val="left" w:pos="1008"/>
        </w:tabs>
        <w:spacing w:before="156" w:line="360" w:lineRule="auto"/>
        <w:rPr>
          <w:rFonts w:hint="eastAsia" w:ascii="宋体" w:hAnsi="宋体" w:eastAsia="宋体" w:cs="宋体"/>
          <w:b w:val="0"/>
          <w:bCs w:val="0"/>
          <w:color w:val="000000"/>
        </w:rPr>
      </w:pPr>
      <w:r>
        <w:rPr>
          <w:rFonts w:hint="eastAsia" w:ascii="宋体" w:hAnsi="宋体" w:eastAsia="宋体" w:cs="宋体"/>
          <w:b w:val="0"/>
          <w:bCs w:val="0"/>
          <w:color w:val="000000"/>
        </w:rPr>
        <w:t>配置2颗64位多核处理器，配置32GB内存，并可扩展至512GB，内置SSD固态硬盘(可扩展至4个SSD作为缓存盘)，可支持3个风扇，风扇支持热插拔并可冗余温控调速。</w:t>
      </w:r>
    </w:p>
    <w:p w14:paraId="6D12EB6A">
      <w:pPr>
        <w:pStyle w:val="13"/>
        <w:numPr>
          <w:ilvl w:val="4"/>
          <w:numId w:val="0"/>
        </w:numPr>
        <w:tabs>
          <w:tab w:val="left" w:pos="1008"/>
        </w:tabs>
        <w:spacing w:before="156" w:line="360" w:lineRule="auto"/>
        <w:rPr>
          <w:rFonts w:hint="eastAsia" w:ascii="宋体" w:hAnsi="宋体" w:eastAsia="宋体" w:cs="宋体"/>
          <w:b w:val="0"/>
          <w:bCs w:val="0"/>
          <w:color w:val="000000"/>
        </w:rPr>
      </w:pPr>
      <w:r>
        <w:rPr>
          <w:rFonts w:hint="eastAsia" w:ascii="宋体" w:hAnsi="宋体" w:eastAsia="宋体" w:cs="宋体"/>
          <w:b w:val="0"/>
          <w:bCs w:val="0"/>
          <w:color w:val="000000"/>
        </w:rPr>
        <w:t>配置6个千兆网口、1个千兆管理网口，1个IPMI管理口、4个 USB3.0 接口、1个VGA接口、1个RS-232串口、6个PCI-E3.0插槽、24个硬盘热插拔插槽，</w:t>
      </w:r>
      <w:r>
        <w:rPr>
          <w:rFonts w:hint="eastAsia" w:ascii="宋体" w:hAnsi="宋体" w:eastAsia="宋体" w:cs="宋体"/>
          <w:b w:val="0"/>
          <w:bCs w:val="0"/>
          <w:color w:val="000000"/>
          <w:lang w:val="en-US" w:eastAsia="zh-CN"/>
        </w:rPr>
        <w:t>满配246T企业级硬盘，</w:t>
      </w:r>
      <w:r>
        <w:rPr>
          <w:rFonts w:hint="eastAsia" w:ascii="宋体" w:hAnsi="宋体" w:eastAsia="宋体" w:cs="宋体"/>
          <w:b w:val="0"/>
          <w:bCs w:val="0"/>
          <w:color w:val="000000"/>
        </w:rPr>
        <w:t>采用可热插拔1+1AC220V电源或1+1直流冗余电源供电。机箱具备防尘滤网，采用双立柱防震设计。</w:t>
      </w:r>
    </w:p>
    <w:p w14:paraId="5A0FDDB9">
      <w:pPr>
        <w:pStyle w:val="13"/>
        <w:numPr>
          <w:ilvl w:val="4"/>
          <w:numId w:val="0"/>
        </w:numPr>
        <w:tabs>
          <w:tab w:val="left" w:pos="1008"/>
        </w:tabs>
        <w:spacing w:before="156" w:line="360" w:lineRule="auto"/>
        <w:rPr>
          <w:rFonts w:hint="eastAsia" w:ascii="宋体" w:hAnsi="宋体" w:eastAsia="宋体" w:cs="宋体"/>
          <w:b w:val="0"/>
          <w:bCs w:val="0"/>
          <w:color w:val="000000"/>
        </w:rPr>
      </w:pPr>
      <w:r>
        <w:rPr>
          <w:rFonts w:hint="eastAsia" w:ascii="宋体" w:hAnsi="宋体" w:eastAsia="宋体" w:cs="宋体"/>
          <w:b w:val="0"/>
          <w:bCs w:val="0"/>
          <w:color w:val="000000"/>
        </w:rPr>
        <w:t>支持集群管理功能，包括集群单元弹性扩容、负载均衡、故障迁移等；支持集群节点生命周期管理，支持集群节点服务启动/停止，集群节点服务组建、扩展、删除。</w:t>
      </w:r>
    </w:p>
    <w:p w14:paraId="63F80A64">
      <w:pPr>
        <w:pStyle w:val="13"/>
        <w:numPr>
          <w:ilvl w:val="4"/>
          <w:numId w:val="0"/>
        </w:numPr>
        <w:tabs>
          <w:tab w:val="left" w:pos="1008"/>
        </w:tabs>
        <w:spacing w:before="156" w:line="360" w:lineRule="auto"/>
        <w:rPr>
          <w:rFonts w:hint="eastAsia" w:ascii="宋体" w:hAnsi="宋体" w:eastAsia="宋体" w:cs="宋体"/>
          <w:b w:val="0"/>
          <w:bCs w:val="0"/>
          <w:color w:val="000000"/>
        </w:rPr>
      </w:pPr>
      <w:r>
        <w:rPr>
          <w:rFonts w:hint="eastAsia" w:ascii="宋体" w:hAnsi="宋体" w:eastAsia="宋体" w:cs="宋体"/>
          <w:b w:val="0"/>
          <w:bCs w:val="0"/>
          <w:color w:val="000000"/>
        </w:rPr>
        <w:t>支持将多台节点配置为集群管理方式，当其中的主服务器出现死机或者磁盘损坏等故障时，备用主机可自动替换故障主机继续录像，图片存储，并自动导入所有配置信息，可配置高速、中速、低速回传速率（1&lt;M&lt;N），故障恢复后，备用主机可将存储的录像回传；当发生故障时，可在Web日志和客户端给出报警提示。</w:t>
      </w:r>
    </w:p>
    <w:p w14:paraId="64F1A8E6">
      <w:pPr>
        <w:pStyle w:val="13"/>
        <w:numPr>
          <w:ilvl w:val="4"/>
          <w:numId w:val="0"/>
        </w:numPr>
        <w:tabs>
          <w:tab w:val="left" w:pos="1008"/>
        </w:tabs>
        <w:spacing w:before="156" w:line="360" w:lineRule="auto"/>
        <w:rPr>
          <w:rFonts w:hint="eastAsia" w:ascii="宋体" w:hAnsi="宋体" w:eastAsia="宋体" w:cs="宋体"/>
          <w:b w:val="0"/>
          <w:bCs w:val="0"/>
          <w:color w:val="000000"/>
        </w:rPr>
      </w:pPr>
      <w:r>
        <w:rPr>
          <w:rFonts w:hint="eastAsia" w:ascii="宋体" w:hAnsi="宋体" w:eastAsia="宋体" w:cs="宋体"/>
          <w:b w:val="0"/>
          <w:bCs w:val="0"/>
          <w:color w:val="000000"/>
        </w:rPr>
        <w:t>▲支持按照接入任务数实现自动负载均衡，支持前端设备自动分配到存储节点。各节点间读写任务数差距±1；节点间的自动业务负载均衡，各节点上的存储数据量在稳定情况下，存储容量使用率差距小于万分之一。</w:t>
      </w:r>
    </w:p>
    <w:p w14:paraId="62B97014">
      <w:pPr>
        <w:pStyle w:val="13"/>
        <w:numPr>
          <w:ilvl w:val="4"/>
          <w:numId w:val="0"/>
        </w:numPr>
        <w:tabs>
          <w:tab w:val="left" w:pos="1008"/>
        </w:tabs>
        <w:spacing w:before="156" w:line="360" w:lineRule="auto"/>
        <w:rPr>
          <w:rFonts w:hint="eastAsia" w:ascii="宋体" w:hAnsi="宋体" w:eastAsia="宋体" w:cs="宋体"/>
          <w:b w:val="0"/>
          <w:bCs w:val="0"/>
          <w:color w:val="000000"/>
        </w:rPr>
      </w:pPr>
      <w:r>
        <w:rPr>
          <w:rFonts w:hint="eastAsia" w:ascii="宋体" w:hAnsi="宋体" w:eastAsia="宋体" w:cs="宋体"/>
          <w:b w:val="0"/>
          <w:bCs w:val="0"/>
          <w:color w:val="000000"/>
        </w:rPr>
        <w:t>▲具备一键快速部署能力，存储节点并行部署，互不影响，单台部署时间150秒内完成。快速部署过程中，自动检测节点是否符合配置要求。当检测到当前节点的配置与预期有差距时给予报警提示。</w:t>
      </w:r>
    </w:p>
    <w:p w14:paraId="0E5A1C7A">
      <w:pPr>
        <w:pStyle w:val="13"/>
        <w:numPr>
          <w:ilvl w:val="4"/>
          <w:numId w:val="0"/>
        </w:numPr>
        <w:tabs>
          <w:tab w:val="left" w:pos="1008"/>
        </w:tabs>
        <w:spacing w:before="156" w:line="360" w:lineRule="auto"/>
        <w:rPr>
          <w:rFonts w:hint="eastAsia" w:ascii="宋体" w:hAnsi="宋体" w:eastAsia="宋体" w:cs="宋体"/>
          <w:b w:val="0"/>
          <w:bCs w:val="0"/>
          <w:color w:val="000000"/>
        </w:rPr>
      </w:pPr>
      <w:r>
        <w:rPr>
          <w:rFonts w:hint="eastAsia" w:ascii="宋体" w:hAnsi="宋体" w:eastAsia="宋体" w:cs="宋体"/>
          <w:b w:val="0"/>
          <w:bCs w:val="0"/>
          <w:color w:val="000000"/>
        </w:rPr>
        <w:t>▲支持图片数据在SSD盘中存储，实现热数据从SSD中高速提取，实现即存即取，且图片数据可设置按周期或容量进行覆盖。系统支持多级加速：支持对不同规格图片数据分级加速存储，小图支持SSD缓存加速，大图支持内存加速；系统支持自定义设置内存加速缓存大小、SSD缓存加速池容量大小，可最高针对4096 KB 图片加速提取。</w:t>
      </w:r>
    </w:p>
    <w:p w14:paraId="26110E86">
      <w:pPr>
        <w:pStyle w:val="13"/>
        <w:numPr>
          <w:ilvl w:val="4"/>
          <w:numId w:val="0"/>
        </w:numPr>
        <w:tabs>
          <w:tab w:val="left" w:pos="1008"/>
        </w:tabs>
        <w:spacing w:before="156" w:line="360" w:lineRule="auto"/>
        <w:rPr>
          <w:rFonts w:hint="eastAsia" w:ascii="宋体" w:hAnsi="宋体" w:eastAsia="宋体" w:cs="宋体"/>
          <w:b w:val="0"/>
          <w:bCs w:val="0"/>
          <w:color w:val="000000"/>
        </w:rPr>
      </w:pPr>
      <w:r>
        <w:rPr>
          <w:rFonts w:hint="eastAsia" w:ascii="宋体" w:hAnsi="宋体" w:eastAsia="宋体" w:cs="宋体"/>
          <w:b w:val="0"/>
          <w:bCs w:val="0"/>
          <w:color w:val="000000"/>
        </w:rPr>
        <w:t>支持网络故障自动发现和隔离，在1秒内感知到故障节点，1秒内进行隔离。</w:t>
      </w:r>
    </w:p>
    <w:p w14:paraId="4E1EB20C">
      <w:pPr>
        <w:pStyle w:val="13"/>
        <w:numPr>
          <w:ilvl w:val="4"/>
          <w:numId w:val="0"/>
        </w:numPr>
        <w:tabs>
          <w:tab w:val="left" w:pos="1008"/>
        </w:tabs>
        <w:spacing w:before="156" w:line="360" w:lineRule="auto"/>
        <w:rPr>
          <w:rFonts w:hint="eastAsia" w:ascii="宋体" w:hAnsi="宋体" w:eastAsia="宋体" w:cs="宋体"/>
          <w:b w:val="0"/>
          <w:bCs w:val="0"/>
          <w:color w:val="000000"/>
        </w:rPr>
      </w:pPr>
      <w:r>
        <w:rPr>
          <w:rFonts w:hint="eastAsia" w:ascii="宋体" w:hAnsi="宋体" w:eastAsia="宋体" w:cs="宋体"/>
          <w:b w:val="0"/>
          <w:bCs w:val="0"/>
          <w:color w:val="000000"/>
        </w:rPr>
        <w:t>以上提供公安部检测报告复印件。</w:t>
      </w:r>
    </w:p>
    <w:p w14:paraId="175088E2">
      <w:pPr>
        <w:pStyle w:val="13"/>
        <w:numPr>
          <w:ilvl w:val="4"/>
          <w:numId w:val="0"/>
        </w:numPr>
        <w:tabs>
          <w:tab w:val="left" w:pos="1008"/>
        </w:tabs>
        <w:spacing w:before="156" w:line="360" w:lineRule="auto"/>
        <w:rPr>
          <w:rFonts w:hint="eastAsia" w:ascii="宋体" w:hAnsi="宋体" w:eastAsia="宋体" w:cs="宋体"/>
          <w:b w:val="0"/>
          <w:bCs w:val="0"/>
          <w:color w:val="000000"/>
        </w:rPr>
      </w:pPr>
      <w:r>
        <w:rPr>
          <w:rFonts w:hint="eastAsia" w:ascii="宋体" w:hAnsi="宋体" w:eastAsia="宋体" w:cs="宋体"/>
          <w:b w:val="0"/>
          <w:bCs w:val="0"/>
          <w:color w:val="000000"/>
        </w:rPr>
        <w:t>★本次视频图像云存储设备扩容需基于铜山区公安局现有的视频图像云存储系统进行扩容，提供不少于本次云存储设备扩容需要的软件容量模块，同时扩容图云加速模块，实现图片即存即取的业务需求，并融合云存储系统原有的容量形成一朵云，实现云存储系统的动态在线扩容和统一管理，在扩容及数据迁移过程中保障业务不中断、数据不丢失。针对此项需提供承诺函并加盖投标人公章。</w:t>
      </w:r>
    </w:p>
    <w:p w14:paraId="5A411AC7">
      <w:pPr>
        <w:pStyle w:val="4"/>
        <w:numPr>
          <w:ilvl w:val="0"/>
          <w:numId w:val="4"/>
        </w:numPr>
        <w:spacing w:line="360" w:lineRule="auto"/>
        <w:rPr>
          <w:rFonts w:hint="eastAsia" w:ascii="宋体" w:hAnsi="宋体" w:eastAsia="宋体" w:cs="宋体"/>
          <w:b/>
          <w:bCs/>
          <w:color w:val="000000"/>
          <w:sz w:val="24"/>
          <w:szCs w:val="24"/>
          <w:lang w:val="en-US" w:eastAsia="zh-CN" w:bidi="ar-SA"/>
        </w:rPr>
      </w:pPr>
      <w:r>
        <w:rPr>
          <w:rFonts w:hint="eastAsia" w:ascii="宋体" w:hAnsi="宋体" w:eastAsia="宋体" w:cs="宋体"/>
          <w:b/>
          <w:bCs/>
          <w:color w:val="000000"/>
          <w:sz w:val="24"/>
          <w:szCs w:val="24"/>
          <w:lang w:val="en-US" w:eastAsia="zh-CN" w:bidi="ar-SA"/>
        </w:rPr>
        <w:t>雷达</w:t>
      </w:r>
    </w:p>
    <w:p w14:paraId="1494FD2C">
      <w:pPr>
        <w:pStyle w:val="5"/>
        <w:numPr>
          <w:ilvl w:val="0"/>
          <w:numId w:val="0"/>
        </w:numPr>
        <w:spacing w:line="360" w:lineRule="auto"/>
        <w:ind w:right="1440" w:rightChars="0"/>
        <w:rPr>
          <w:rFonts w:hint="eastAsia" w:ascii="宋体" w:hAnsi="宋体" w:eastAsia="宋体" w:cs="宋体"/>
          <w:b w:val="0"/>
          <w:bCs w:val="0"/>
          <w:color w:val="000000"/>
          <w:sz w:val="24"/>
          <w:szCs w:val="24"/>
          <w:lang w:val="en-US" w:eastAsia="zh-CN" w:bidi="ar-SA"/>
        </w:rPr>
      </w:pPr>
      <w:r>
        <w:rPr>
          <w:rFonts w:hint="eastAsia" w:ascii="宋体" w:hAnsi="宋体" w:eastAsia="宋体" w:cs="宋体"/>
          <w:b w:val="0"/>
          <w:bCs w:val="0"/>
          <w:color w:val="000000"/>
          <w:sz w:val="24"/>
          <w:szCs w:val="24"/>
          <w:lang w:val="en-US" w:eastAsia="zh-CN" w:bidi="ar-SA"/>
        </w:rPr>
        <w:t>模拟测速范围10km/h-250km/h。</w:t>
      </w:r>
    </w:p>
    <w:p w14:paraId="0EDDF86F">
      <w:pPr>
        <w:pStyle w:val="5"/>
        <w:numPr>
          <w:ilvl w:val="0"/>
          <w:numId w:val="0"/>
        </w:numPr>
        <w:spacing w:line="360" w:lineRule="auto"/>
        <w:ind w:right="1440" w:rightChars="0"/>
        <w:rPr>
          <w:rFonts w:hint="eastAsia" w:ascii="宋体" w:hAnsi="宋体" w:eastAsia="宋体" w:cs="宋体"/>
          <w:b w:val="0"/>
          <w:bCs w:val="0"/>
          <w:color w:val="000000"/>
          <w:sz w:val="24"/>
          <w:szCs w:val="24"/>
          <w:lang w:val="en-US" w:eastAsia="zh-CN" w:bidi="ar-SA"/>
        </w:rPr>
      </w:pPr>
      <w:r>
        <w:rPr>
          <w:rFonts w:hint="eastAsia" w:ascii="宋体" w:hAnsi="宋体" w:eastAsia="宋体" w:cs="宋体"/>
          <w:b w:val="0"/>
          <w:bCs w:val="0"/>
          <w:color w:val="000000"/>
          <w:sz w:val="24"/>
          <w:szCs w:val="24"/>
          <w:lang w:val="en-US" w:eastAsia="zh-CN" w:bidi="ar-SA"/>
        </w:rPr>
        <w:t>测速误差：车速20km/h-180km/h，误差-0.5km/h-0km/h；车速180km/h及以上，误差-1km/h-0km/h。</w:t>
      </w:r>
    </w:p>
    <w:p w14:paraId="26516B43">
      <w:pPr>
        <w:pStyle w:val="5"/>
        <w:numPr>
          <w:ilvl w:val="0"/>
          <w:numId w:val="0"/>
        </w:numPr>
        <w:spacing w:line="360" w:lineRule="auto"/>
        <w:ind w:right="1440" w:rightChars="0"/>
        <w:rPr>
          <w:rFonts w:hint="eastAsia" w:ascii="宋体" w:hAnsi="宋体" w:eastAsia="宋体" w:cs="宋体"/>
          <w:b w:val="0"/>
          <w:bCs w:val="0"/>
          <w:color w:val="000000"/>
          <w:sz w:val="24"/>
          <w:szCs w:val="24"/>
          <w:lang w:val="en-US" w:eastAsia="zh-CN" w:bidi="ar-SA"/>
        </w:rPr>
      </w:pPr>
      <w:r>
        <w:rPr>
          <w:rFonts w:hint="eastAsia" w:ascii="宋体" w:hAnsi="宋体" w:eastAsia="宋体" w:cs="宋体"/>
          <w:b w:val="0"/>
          <w:bCs w:val="0"/>
          <w:color w:val="000000"/>
          <w:sz w:val="24"/>
          <w:szCs w:val="24"/>
          <w:lang w:val="en-US" w:eastAsia="zh-CN" w:bidi="ar-SA"/>
        </w:rPr>
        <w:t>WIFI升级及参数配置，可通过WIFI连接进行升级，升级后功能正常，可进行雷达触发位置设置和雷达灵敏度进行配置。</w:t>
      </w:r>
    </w:p>
    <w:p w14:paraId="27C080F8">
      <w:pPr>
        <w:pStyle w:val="5"/>
        <w:numPr>
          <w:ilvl w:val="0"/>
          <w:numId w:val="0"/>
        </w:numPr>
        <w:spacing w:line="360" w:lineRule="auto"/>
        <w:ind w:right="1440" w:rightChars="0"/>
        <w:rPr>
          <w:rFonts w:hint="eastAsia" w:ascii="宋体" w:hAnsi="宋体" w:eastAsia="宋体" w:cs="宋体"/>
          <w:b w:val="0"/>
          <w:bCs w:val="0"/>
          <w:color w:val="000000"/>
          <w:sz w:val="24"/>
          <w:szCs w:val="24"/>
          <w:lang w:val="en-US" w:eastAsia="zh-CN" w:bidi="ar-SA"/>
        </w:rPr>
      </w:pPr>
      <w:r>
        <w:rPr>
          <w:rFonts w:hint="eastAsia" w:ascii="宋体" w:hAnsi="宋体" w:eastAsia="宋体" w:cs="宋体"/>
          <w:b w:val="0"/>
          <w:bCs w:val="0"/>
          <w:color w:val="000000"/>
          <w:sz w:val="24"/>
          <w:szCs w:val="24"/>
          <w:lang w:val="en-US" w:eastAsia="zh-CN" w:bidi="ar-SA"/>
        </w:rPr>
        <w:t>输入电压为9V-24V范围内测速雷达能正常工作。</w:t>
      </w:r>
    </w:p>
    <w:p w14:paraId="557C111E">
      <w:pPr>
        <w:pStyle w:val="5"/>
        <w:numPr>
          <w:ilvl w:val="0"/>
          <w:numId w:val="0"/>
        </w:numPr>
        <w:spacing w:line="360" w:lineRule="auto"/>
        <w:ind w:right="1440" w:rightChars="0"/>
        <w:rPr>
          <w:rFonts w:hint="eastAsia" w:ascii="宋体" w:hAnsi="宋体" w:eastAsia="宋体" w:cs="宋体"/>
          <w:b w:val="0"/>
          <w:bCs w:val="0"/>
          <w:color w:val="000000"/>
          <w:sz w:val="24"/>
          <w:szCs w:val="24"/>
          <w:lang w:val="en-US" w:eastAsia="zh-CN" w:bidi="ar-SA"/>
        </w:rPr>
      </w:pPr>
      <w:r>
        <w:rPr>
          <w:rFonts w:hint="eastAsia" w:ascii="宋体" w:hAnsi="宋体" w:eastAsia="宋体" w:cs="宋体"/>
          <w:b w:val="0"/>
          <w:bCs w:val="0"/>
          <w:color w:val="000000"/>
          <w:sz w:val="24"/>
          <w:szCs w:val="24"/>
          <w:lang w:val="en-US" w:eastAsia="zh-CN" w:bidi="ar-SA"/>
        </w:rPr>
        <w:t>雷达测速单元功耗应不大于2W。</w:t>
      </w:r>
    </w:p>
    <w:p w14:paraId="570735B4">
      <w:pPr>
        <w:pStyle w:val="5"/>
        <w:numPr>
          <w:ilvl w:val="0"/>
          <w:numId w:val="0"/>
        </w:numPr>
        <w:spacing w:line="360" w:lineRule="auto"/>
        <w:ind w:right="1440" w:rightChars="0"/>
        <w:rPr>
          <w:rFonts w:hint="eastAsia" w:ascii="宋体" w:hAnsi="宋体" w:eastAsia="宋体" w:cs="宋体"/>
          <w:b w:val="0"/>
          <w:bCs w:val="0"/>
          <w:color w:val="000000"/>
          <w:sz w:val="24"/>
          <w:szCs w:val="24"/>
          <w:lang w:val="en-US" w:eastAsia="zh-CN" w:bidi="ar-SA"/>
        </w:rPr>
      </w:pPr>
      <w:r>
        <w:rPr>
          <w:rFonts w:hint="eastAsia" w:ascii="宋体" w:hAnsi="宋体" w:eastAsia="宋体" w:cs="宋体"/>
          <w:b w:val="0"/>
          <w:bCs w:val="0"/>
          <w:color w:val="000000"/>
          <w:sz w:val="24"/>
          <w:szCs w:val="24"/>
          <w:lang w:val="en-US" w:eastAsia="zh-CN" w:bidi="ar-SA"/>
        </w:rPr>
        <w:t>防护等级IP66。</w:t>
      </w:r>
    </w:p>
    <w:p w14:paraId="1FEEEB2F">
      <w:pPr>
        <w:pStyle w:val="4"/>
        <w:numPr>
          <w:ilvl w:val="0"/>
          <w:numId w:val="4"/>
        </w:numPr>
        <w:spacing w:line="360" w:lineRule="auto"/>
        <w:rPr>
          <w:rFonts w:hint="eastAsia" w:ascii="宋体" w:hAnsi="宋体" w:eastAsia="宋体" w:cs="宋体"/>
          <w:b/>
          <w:bCs/>
          <w:color w:val="000000"/>
          <w:sz w:val="24"/>
          <w:szCs w:val="24"/>
          <w:lang w:val="en-US" w:eastAsia="zh-CN" w:bidi="ar-SA"/>
        </w:rPr>
      </w:pPr>
      <w:r>
        <w:rPr>
          <w:rFonts w:hint="eastAsia" w:ascii="宋体" w:hAnsi="宋体" w:eastAsia="宋体" w:cs="宋体"/>
          <w:b/>
          <w:bCs/>
          <w:color w:val="000000"/>
          <w:sz w:val="24"/>
          <w:szCs w:val="24"/>
          <w:lang w:val="en-US" w:eastAsia="zh-CN" w:bidi="ar-SA"/>
        </w:rPr>
        <w:t>硬盘</w:t>
      </w:r>
    </w:p>
    <w:p w14:paraId="4CC88819">
      <w:pPr>
        <w:pStyle w:val="5"/>
        <w:numPr>
          <w:ilvl w:val="0"/>
          <w:numId w:val="0"/>
        </w:numPr>
        <w:spacing w:line="360" w:lineRule="auto"/>
        <w:ind w:right="1440" w:rightChars="0"/>
        <w:rPr>
          <w:rFonts w:hint="eastAsia" w:ascii="宋体" w:hAnsi="宋体" w:eastAsia="宋体" w:cs="宋体"/>
          <w:b w:val="0"/>
          <w:bCs w:val="0"/>
          <w:color w:val="000000"/>
          <w:sz w:val="24"/>
          <w:szCs w:val="24"/>
          <w:lang w:val="en-US" w:eastAsia="zh-CN" w:bidi="ar-SA"/>
        </w:rPr>
      </w:pPr>
      <w:r>
        <w:rPr>
          <w:rFonts w:hint="eastAsia" w:ascii="宋体" w:hAnsi="宋体" w:eastAsia="宋体" w:cs="宋体"/>
          <w:b w:val="0"/>
          <w:bCs w:val="0"/>
          <w:color w:val="000000"/>
          <w:sz w:val="24"/>
          <w:szCs w:val="24"/>
          <w:lang w:val="en-US" w:eastAsia="zh-CN" w:bidi="ar-SA"/>
        </w:rPr>
        <w:t>4TB容量，3.5英寸，SATA3.0接口，5400RPM</w:t>
      </w:r>
    </w:p>
    <w:p w14:paraId="67F96F35">
      <w:pPr>
        <w:pStyle w:val="5"/>
        <w:numPr>
          <w:ilvl w:val="0"/>
          <w:numId w:val="0"/>
        </w:numPr>
        <w:spacing w:line="360" w:lineRule="auto"/>
        <w:ind w:right="1440" w:rightChars="0"/>
        <w:rPr>
          <w:rFonts w:hint="eastAsia" w:ascii="宋体" w:hAnsi="宋体" w:eastAsia="宋体" w:cs="宋体"/>
          <w:b w:val="0"/>
          <w:bCs w:val="0"/>
          <w:color w:val="000000"/>
          <w:sz w:val="24"/>
          <w:szCs w:val="24"/>
          <w:lang w:val="en-US" w:eastAsia="zh-CN" w:bidi="ar-SA"/>
        </w:rPr>
      </w:pPr>
      <w:r>
        <w:rPr>
          <w:rFonts w:hint="eastAsia" w:ascii="宋体" w:hAnsi="宋体" w:eastAsia="宋体" w:cs="宋体"/>
          <w:b w:val="0"/>
          <w:bCs w:val="0"/>
          <w:color w:val="000000"/>
          <w:sz w:val="24"/>
          <w:szCs w:val="24"/>
          <w:lang w:val="en-US" w:eastAsia="zh-CN" w:bidi="ar-SA"/>
        </w:rPr>
        <w:t>标称容量：4TB</w:t>
      </w:r>
    </w:p>
    <w:p w14:paraId="10C0AA6E">
      <w:pPr>
        <w:pStyle w:val="5"/>
        <w:numPr>
          <w:ilvl w:val="0"/>
          <w:numId w:val="0"/>
        </w:numPr>
        <w:ind w:right="1440" w:rightChars="0"/>
        <w:rPr>
          <w:rFonts w:hint="eastAsia" w:ascii="宋体" w:hAnsi="宋体" w:eastAsia="宋体" w:cs="宋体"/>
          <w:b w:val="0"/>
          <w:bCs w:val="0"/>
          <w:color w:val="000000"/>
          <w:sz w:val="24"/>
          <w:szCs w:val="24"/>
          <w:lang w:val="en-US" w:eastAsia="zh-CN" w:bidi="ar-SA"/>
        </w:rPr>
      </w:pPr>
      <w:r>
        <w:rPr>
          <w:rFonts w:hint="eastAsia" w:ascii="宋体" w:hAnsi="宋体" w:eastAsia="宋体" w:cs="宋体"/>
          <w:b w:val="0"/>
          <w:bCs w:val="0"/>
          <w:color w:val="000000"/>
          <w:sz w:val="24"/>
          <w:szCs w:val="24"/>
          <w:lang w:val="en-US" w:eastAsia="zh-CN" w:bidi="ar-SA"/>
        </w:rPr>
        <w:t>外形规格：3.5-inch</w:t>
      </w:r>
    </w:p>
    <w:p w14:paraId="34095CAD">
      <w:pPr>
        <w:pStyle w:val="5"/>
        <w:numPr>
          <w:ilvl w:val="0"/>
          <w:numId w:val="0"/>
        </w:numPr>
        <w:ind w:right="1440" w:rightChars="0"/>
        <w:rPr>
          <w:rFonts w:hint="eastAsia" w:ascii="宋体" w:hAnsi="宋体" w:eastAsia="宋体" w:cs="宋体"/>
          <w:b w:val="0"/>
          <w:bCs w:val="0"/>
          <w:color w:val="000000"/>
          <w:sz w:val="24"/>
          <w:szCs w:val="24"/>
          <w:lang w:val="en-US" w:eastAsia="zh-CN" w:bidi="ar-SA"/>
        </w:rPr>
      </w:pPr>
      <w:r>
        <w:rPr>
          <w:rFonts w:hint="eastAsia" w:ascii="宋体" w:hAnsi="宋体" w:eastAsia="宋体" w:cs="宋体"/>
          <w:b w:val="0"/>
          <w:bCs w:val="0"/>
          <w:color w:val="000000"/>
          <w:sz w:val="24"/>
          <w:szCs w:val="24"/>
          <w:lang w:val="en-US" w:eastAsia="zh-CN" w:bidi="ar-SA"/>
        </w:rPr>
        <w:t>接口类型：SATA</w:t>
      </w:r>
    </w:p>
    <w:p w14:paraId="023A32A9">
      <w:pPr>
        <w:pStyle w:val="5"/>
        <w:numPr>
          <w:ilvl w:val="0"/>
          <w:numId w:val="0"/>
        </w:numPr>
        <w:ind w:right="1440" w:rightChars="0"/>
        <w:rPr>
          <w:rFonts w:hint="eastAsia" w:ascii="宋体" w:hAnsi="宋体" w:eastAsia="宋体" w:cs="宋体"/>
          <w:b w:val="0"/>
          <w:bCs w:val="0"/>
          <w:color w:val="000000"/>
          <w:sz w:val="24"/>
          <w:szCs w:val="24"/>
          <w:lang w:val="en-US" w:eastAsia="zh-CN" w:bidi="ar-SA"/>
        </w:rPr>
      </w:pPr>
      <w:r>
        <w:rPr>
          <w:rFonts w:hint="eastAsia" w:ascii="宋体" w:hAnsi="宋体" w:eastAsia="宋体" w:cs="宋体"/>
          <w:b w:val="0"/>
          <w:bCs w:val="0"/>
          <w:color w:val="000000"/>
          <w:sz w:val="24"/>
          <w:szCs w:val="24"/>
          <w:lang w:val="en-US" w:eastAsia="zh-CN" w:bidi="ar-SA"/>
        </w:rPr>
        <w:t>刻录技术：CMR</w:t>
      </w:r>
    </w:p>
    <w:p w14:paraId="0032563C">
      <w:pPr>
        <w:pStyle w:val="5"/>
        <w:numPr>
          <w:ilvl w:val="0"/>
          <w:numId w:val="0"/>
        </w:numPr>
        <w:ind w:right="1440" w:rightChars="0"/>
        <w:rPr>
          <w:rFonts w:hint="eastAsia" w:ascii="宋体" w:hAnsi="宋体" w:eastAsia="宋体" w:cs="宋体"/>
          <w:b w:val="0"/>
          <w:bCs w:val="0"/>
          <w:color w:val="000000"/>
          <w:sz w:val="24"/>
          <w:szCs w:val="24"/>
          <w:lang w:val="en-US" w:eastAsia="zh-CN" w:bidi="ar-SA"/>
        </w:rPr>
      </w:pPr>
      <w:r>
        <w:rPr>
          <w:rFonts w:hint="eastAsia" w:ascii="宋体" w:hAnsi="宋体" w:eastAsia="宋体" w:cs="宋体"/>
          <w:b w:val="0"/>
          <w:bCs w:val="0"/>
          <w:color w:val="000000"/>
          <w:sz w:val="24"/>
          <w:szCs w:val="24"/>
          <w:lang w:val="en-US" w:eastAsia="zh-CN" w:bidi="ar-SA"/>
        </w:rPr>
        <w:t>转速：5400RPM</w:t>
      </w:r>
    </w:p>
    <w:p w14:paraId="1369A751">
      <w:pPr>
        <w:pStyle w:val="5"/>
        <w:numPr>
          <w:ilvl w:val="0"/>
          <w:numId w:val="0"/>
        </w:numPr>
        <w:ind w:right="1440" w:rightChars="0"/>
        <w:rPr>
          <w:rFonts w:hint="eastAsia" w:ascii="宋体" w:hAnsi="宋体" w:eastAsia="宋体" w:cs="宋体"/>
          <w:b w:val="0"/>
          <w:bCs w:val="0"/>
          <w:color w:val="000000"/>
          <w:sz w:val="24"/>
          <w:szCs w:val="24"/>
          <w:lang w:val="en-US" w:eastAsia="zh-CN" w:bidi="ar-SA"/>
        </w:rPr>
      </w:pPr>
      <w:r>
        <w:rPr>
          <w:rFonts w:hint="eastAsia" w:ascii="宋体" w:hAnsi="宋体" w:eastAsia="宋体" w:cs="宋体"/>
          <w:b w:val="0"/>
          <w:bCs w:val="0"/>
          <w:color w:val="000000"/>
          <w:sz w:val="24"/>
          <w:szCs w:val="24"/>
          <w:lang w:val="en-US" w:eastAsia="zh-CN" w:bidi="ar-SA"/>
        </w:rPr>
        <w:t>缓存：256MB</w:t>
      </w:r>
    </w:p>
    <w:p w14:paraId="07AF8AAF">
      <w:pPr>
        <w:pStyle w:val="5"/>
        <w:numPr>
          <w:ilvl w:val="0"/>
          <w:numId w:val="0"/>
        </w:numPr>
        <w:ind w:right="1440" w:rightChars="0"/>
        <w:rPr>
          <w:rFonts w:hint="eastAsia" w:ascii="宋体" w:hAnsi="宋体" w:eastAsia="宋体" w:cs="宋体"/>
          <w:b w:val="0"/>
          <w:bCs w:val="0"/>
          <w:color w:val="000000"/>
          <w:sz w:val="24"/>
          <w:szCs w:val="24"/>
          <w:lang w:val="en-US" w:eastAsia="zh-CN" w:bidi="ar-SA"/>
        </w:rPr>
      </w:pPr>
      <w:r>
        <w:rPr>
          <w:rFonts w:hint="eastAsia" w:ascii="宋体" w:hAnsi="宋体" w:eastAsia="宋体" w:cs="宋体"/>
          <w:b w:val="0"/>
          <w:bCs w:val="0"/>
          <w:color w:val="000000"/>
          <w:sz w:val="24"/>
          <w:szCs w:val="24"/>
          <w:lang w:val="en-US" w:eastAsia="zh-CN" w:bidi="ar-SA"/>
        </w:rPr>
        <w:t>最大读取速度：180MB/s</w:t>
      </w:r>
    </w:p>
    <w:p w14:paraId="56525EBE">
      <w:pPr>
        <w:pStyle w:val="5"/>
        <w:numPr>
          <w:ilvl w:val="0"/>
          <w:numId w:val="0"/>
        </w:numPr>
        <w:ind w:right="1440" w:rightChars="0"/>
        <w:rPr>
          <w:rFonts w:hint="eastAsia" w:ascii="宋体" w:hAnsi="宋体" w:eastAsia="宋体" w:cs="宋体"/>
          <w:b w:val="0"/>
          <w:bCs w:val="0"/>
          <w:color w:val="000000"/>
          <w:sz w:val="24"/>
          <w:szCs w:val="24"/>
          <w:lang w:val="en-US" w:eastAsia="zh-CN" w:bidi="ar-SA"/>
        </w:rPr>
      </w:pPr>
      <w:r>
        <w:rPr>
          <w:rFonts w:hint="eastAsia" w:ascii="宋体" w:hAnsi="宋体" w:eastAsia="宋体" w:cs="宋体"/>
          <w:b w:val="0"/>
          <w:bCs w:val="0"/>
          <w:color w:val="000000"/>
          <w:sz w:val="24"/>
          <w:szCs w:val="24"/>
          <w:lang w:val="en-US" w:eastAsia="zh-CN" w:bidi="ar-SA"/>
        </w:rPr>
        <w:t>接口传输速率（最大值）：6.0Gb/s</w:t>
      </w:r>
    </w:p>
    <w:p w14:paraId="2B55CF81">
      <w:pPr>
        <w:pStyle w:val="5"/>
        <w:numPr>
          <w:ilvl w:val="0"/>
          <w:numId w:val="0"/>
        </w:numPr>
        <w:ind w:right="1440" w:rightChars="0"/>
        <w:rPr>
          <w:rFonts w:hint="eastAsia" w:ascii="宋体" w:hAnsi="宋体" w:eastAsia="宋体" w:cs="宋体"/>
          <w:b w:val="0"/>
          <w:bCs w:val="0"/>
          <w:color w:val="000000"/>
          <w:sz w:val="24"/>
          <w:szCs w:val="24"/>
          <w:lang w:val="en-US" w:eastAsia="zh-CN" w:bidi="ar-SA"/>
        </w:rPr>
      </w:pPr>
      <w:r>
        <w:rPr>
          <w:rFonts w:hint="eastAsia" w:ascii="宋体" w:hAnsi="宋体" w:eastAsia="宋体" w:cs="宋体"/>
          <w:b w:val="0"/>
          <w:bCs w:val="0"/>
          <w:color w:val="000000"/>
          <w:sz w:val="24"/>
          <w:szCs w:val="24"/>
          <w:lang w:val="en-US" w:eastAsia="zh-CN" w:bidi="ar-SA"/>
        </w:rPr>
        <w:t>平均读写功率（W）：4.7W</w:t>
      </w:r>
    </w:p>
    <w:p w14:paraId="52256D25">
      <w:pPr>
        <w:pStyle w:val="5"/>
        <w:numPr>
          <w:ilvl w:val="0"/>
          <w:numId w:val="0"/>
        </w:numPr>
        <w:ind w:right="1440" w:rightChars="0"/>
        <w:rPr>
          <w:rFonts w:hint="eastAsia" w:ascii="宋体" w:hAnsi="宋体" w:eastAsia="宋体" w:cs="宋体"/>
          <w:b w:val="0"/>
          <w:bCs w:val="0"/>
          <w:color w:val="000000"/>
          <w:sz w:val="24"/>
          <w:szCs w:val="24"/>
          <w:lang w:val="en-US" w:eastAsia="zh-CN" w:bidi="ar-SA"/>
        </w:rPr>
      </w:pPr>
      <w:r>
        <w:rPr>
          <w:rFonts w:hint="eastAsia" w:ascii="宋体" w:hAnsi="宋体" w:eastAsia="宋体" w:cs="宋体"/>
          <w:b w:val="0"/>
          <w:bCs w:val="0"/>
          <w:color w:val="000000"/>
          <w:sz w:val="24"/>
          <w:szCs w:val="24"/>
          <w:lang w:val="en-US" w:eastAsia="zh-CN" w:bidi="ar-SA"/>
        </w:rPr>
        <w:t>加载/卸载周期：300，000</w:t>
      </w:r>
    </w:p>
    <w:p w14:paraId="6B881219">
      <w:pPr>
        <w:pStyle w:val="5"/>
        <w:numPr>
          <w:ilvl w:val="0"/>
          <w:numId w:val="0"/>
        </w:numPr>
        <w:ind w:right="1440" w:rightChars="0"/>
        <w:rPr>
          <w:rFonts w:hint="eastAsia" w:ascii="宋体" w:hAnsi="宋体" w:eastAsia="宋体" w:cs="宋体"/>
          <w:b w:val="0"/>
          <w:bCs w:val="0"/>
          <w:color w:val="000000"/>
          <w:sz w:val="24"/>
          <w:szCs w:val="24"/>
          <w:lang w:val="en-US" w:eastAsia="zh-CN" w:bidi="ar-SA"/>
        </w:rPr>
      </w:pPr>
      <w:r>
        <w:rPr>
          <w:rFonts w:hint="eastAsia" w:ascii="宋体" w:hAnsi="宋体" w:eastAsia="宋体" w:cs="宋体"/>
          <w:b w:val="0"/>
          <w:bCs w:val="0"/>
          <w:color w:val="000000"/>
          <w:sz w:val="24"/>
          <w:szCs w:val="24"/>
          <w:lang w:val="en-US" w:eastAsia="zh-CN" w:bidi="ar-SA"/>
        </w:rPr>
        <w:t>MTBF：1，000，000</w:t>
      </w:r>
    </w:p>
    <w:p w14:paraId="6E3B4016">
      <w:pPr>
        <w:pStyle w:val="5"/>
        <w:numPr>
          <w:ilvl w:val="0"/>
          <w:numId w:val="0"/>
        </w:numPr>
        <w:ind w:right="1440" w:rightChars="0"/>
        <w:rPr>
          <w:rFonts w:hint="eastAsia" w:ascii="宋体" w:hAnsi="宋体" w:eastAsia="宋体" w:cs="宋体"/>
          <w:b w:val="0"/>
          <w:bCs w:val="0"/>
          <w:color w:val="000000"/>
          <w:sz w:val="24"/>
          <w:szCs w:val="24"/>
          <w:lang w:val="en-US" w:eastAsia="zh-CN" w:bidi="ar-SA"/>
        </w:rPr>
      </w:pPr>
      <w:r>
        <w:rPr>
          <w:rFonts w:hint="eastAsia" w:ascii="宋体" w:hAnsi="宋体" w:eastAsia="宋体" w:cs="宋体"/>
          <w:b w:val="0"/>
          <w:bCs w:val="0"/>
          <w:color w:val="000000"/>
          <w:sz w:val="24"/>
          <w:szCs w:val="24"/>
          <w:lang w:val="en-US" w:eastAsia="zh-CN" w:bidi="ar-SA"/>
        </w:rPr>
        <w:t>年负荷（TB/年）：180TB</w:t>
      </w:r>
    </w:p>
    <w:p w14:paraId="37FA676E">
      <w:pPr>
        <w:pStyle w:val="4"/>
        <w:rPr>
          <w:rFonts w:hint="eastAsia" w:ascii="宋体" w:hAnsi="宋体" w:eastAsia="宋体" w:cs="宋体"/>
        </w:rPr>
      </w:pPr>
      <w:r>
        <w:rPr>
          <w:rFonts w:hint="eastAsia" w:ascii="宋体" w:hAnsi="宋体" w:eastAsia="宋体" w:cs="宋体"/>
          <w:b w:val="0"/>
          <w:bCs w:val="0"/>
          <w:color w:val="000000"/>
          <w:sz w:val="24"/>
          <w:szCs w:val="24"/>
          <w:lang w:val="en-US" w:eastAsia="zh-CN" w:bidi="ar-SA"/>
        </w:rPr>
        <w:t>工作状态温度(°C)：0-65℃</w:t>
      </w:r>
    </w:p>
    <w:p w14:paraId="39872393">
      <w:pPr>
        <w:pStyle w:val="4"/>
        <w:spacing w:line="360" w:lineRule="auto"/>
        <w:ind w:firstLine="569"/>
        <w:rPr>
          <w:rFonts w:hint="eastAsia" w:ascii="宋体" w:hAnsi="宋体" w:eastAsia="宋体" w:cs="宋体"/>
          <w:b/>
          <w:bCs/>
          <w:color w:val="000000"/>
          <w:sz w:val="24"/>
        </w:rPr>
      </w:pPr>
    </w:p>
    <w:p w14:paraId="3D7ED710">
      <w:pPr>
        <w:pStyle w:val="4"/>
        <w:spacing w:line="360" w:lineRule="auto"/>
        <w:ind w:firstLine="569"/>
        <w:rPr>
          <w:rFonts w:hint="eastAsia" w:ascii="宋体" w:hAnsi="宋体" w:eastAsia="宋体" w:cs="宋体"/>
          <w:b/>
          <w:bCs/>
          <w:color w:val="auto"/>
          <w:sz w:val="24"/>
        </w:rPr>
      </w:pPr>
      <w:r>
        <w:rPr>
          <w:rFonts w:hint="eastAsia" w:ascii="宋体" w:hAnsi="宋体" w:eastAsia="宋体" w:cs="宋体"/>
          <w:b/>
          <w:bCs/>
          <w:color w:val="000000"/>
          <w:sz w:val="24"/>
        </w:rPr>
        <w:t>备注：1、备品备件设备要能无缝接</w:t>
      </w:r>
      <w:r>
        <w:rPr>
          <w:rFonts w:hint="eastAsia" w:ascii="宋体" w:hAnsi="宋体" w:eastAsia="宋体" w:cs="宋体"/>
          <w:b/>
          <w:bCs/>
          <w:color w:val="000000"/>
          <w:sz w:val="24"/>
          <w:highlight w:val="none"/>
        </w:rPr>
        <w:t>入区公安局视频监控平台</w:t>
      </w:r>
      <w:r>
        <w:rPr>
          <w:rFonts w:hint="eastAsia" w:ascii="宋体" w:hAnsi="宋体" w:eastAsia="宋体" w:cs="宋体"/>
          <w:b/>
          <w:bCs/>
          <w:color w:val="000000"/>
          <w:sz w:val="24"/>
        </w:rPr>
        <w:t>及督察平台，平台可实现对前端</w:t>
      </w:r>
      <w:r>
        <w:rPr>
          <w:rFonts w:hint="eastAsia" w:ascii="宋体" w:hAnsi="宋体" w:eastAsia="宋体" w:cs="宋体"/>
          <w:b/>
          <w:bCs/>
          <w:color w:val="auto"/>
          <w:sz w:val="24"/>
        </w:rPr>
        <w:t>包括存储服务器等新建存储设备的直接数据调取。</w:t>
      </w:r>
    </w:p>
    <w:p w14:paraId="3D684C31">
      <w:pPr>
        <w:pStyle w:val="4"/>
        <w:spacing w:before="156" w:line="360" w:lineRule="auto"/>
        <w:ind w:firstLine="482"/>
        <w:rPr>
          <w:rFonts w:hint="eastAsia" w:ascii="宋体" w:hAnsi="宋体" w:eastAsia="宋体" w:cs="宋体"/>
          <w:color w:val="auto"/>
        </w:rPr>
      </w:pPr>
      <w:r>
        <w:rPr>
          <w:rFonts w:hint="eastAsia" w:ascii="宋体" w:hAnsi="宋体" w:eastAsia="宋体" w:cs="宋体"/>
          <w:b/>
          <w:bCs/>
          <w:color w:val="auto"/>
          <w:sz w:val="24"/>
        </w:rPr>
        <w:t>2、</w:t>
      </w:r>
      <w:r>
        <w:rPr>
          <w:rFonts w:hint="eastAsia" w:ascii="宋体" w:hAnsi="宋体" w:eastAsia="宋体" w:cs="宋体"/>
          <w:b/>
          <w:color w:val="auto"/>
          <w:sz w:val="24"/>
        </w:rPr>
        <w:t>★投标人应在投标文件中注明其维护期间用于更换设备的品牌型号，并提供产品的检测报告复印件加盖</w:t>
      </w:r>
      <w:r>
        <w:rPr>
          <w:rFonts w:hint="eastAsia" w:ascii="宋体" w:hAnsi="宋体" w:eastAsia="宋体" w:cs="宋体"/>
          <w:b/>
          <w:color w:val="auto"/>
          <w:sz w:val="24"/>
          <w:lang w:val="en-US" w:eastAsia="zh-CN"/>
        </w:rPr>
        <w:t>投标人</w:t>
      </w:r>
      <w:r>
        <w:rPr>
          <w:rFonts w:hint="eastAsia" w:ascii="宋体" w:hAnsi="宋体" w:eastAsia="宋体" w:cs="宋体"/>
          <w:b/>
          <w:color w:val="auto"/>
          <w:sz w:val="24"/>
        </w:rPr>
        <w:t>鲜章。</w:t>
      </w:r>
    </w:p>
    <w:p w14:paraId="546967E5">
      <w:pPr>
        <w:pStyle w:val="4"/>
        <w:spacing w:line="360" w:lineRule="auto"/>
        <w:ind w:firstLine="569"/>
        <w:rPr>
          <w:rFonts w:hint="eastAsia" w:ascii="宋体" w:hAnsi="宋体" w:eastAsia="宋体" w:cs="宋体"/>
          <w:b/>
          <w:bCs/>
          <w:color w:val="000000"/>
          <w:sz w:val="24"/>
        </w:rPr>
      </w:pPr>
      <w:r>
        <w:rPr>
          <w:rFonts w:hint="eastAsia" w:ascii="宋体" w:hAnsi="宋体" w:eastAsia="宋体" w:cs="宋体"/>
          <w:b/>
          <w:bCs/>
          <w:color w:val="000000"/>
          <w:sz w:val="24"/>
        </w:rPr>
        <w:t>3、投标人报价时应充分考虑以上设备安装、维护、质保及相关税金。甲方不再额外增加相关费用。</w:t>
      </w:r>
    </w:p>
    <w:bookmarkEnd w:id="9"/>
    <w:p w14:paraId="3B0B01B6">
      <w:pPr>
        <w:pStyle w:val="4"/>
        <w:rPr>
          <w:rFonts w:hint="eastAsia" w:ascii="宋体" w:hAnsi="宋体" w:eastAsia="宋体" w:cs="宋体"/>
          <w:color w:val="000000"/>
          <w:sz w:val="24"/>
        </w:rPr>
      </w:pPr>
      <w:r>
        <w:rPr>
          <w:rFonts w:hint="eastAsia" w:ascii="宋体" w:hAnsi="宋体" w:eastAsia="宋体" w:cs="宋体"/>
          <w:color w:val="000000"/>
          <w:sz w:val="24"/>
        </w:rPr>
        <w:br w:type="page"/>
      </w:r>
    </w:p>
    <w:p w14:paraId="4107336B">
      <w:pPr>
        <w:pStyle w:val="4"/>
        <w:spacing w:line="360" w:lineRule="auto"/>
        <w:rPr>
          <w:rFonts w:hint="eastAsia" w:ascii="宋体" w:hAnsi="宋体" w:eastAsia="宋体" w:cs="宋体"/>
          <w:color w:val="auto"/>
          <w:sz w:val="24"/>
        </w:rPr>
      </w:pPr>
      <w:r>
        <w:rPr>
          <w:rFonts w:hint="eastAsia" w:ascii="宋体" w:hAnsi="宋体" w:cs="宋体"/>
          <w:color w:val="auto"/>
          <w:sz w:val="24"/>
          <w:lang w:val="en-US" w:eastAsia="zh-CN"/>
        </w:rPr>
        <w:t>链路租赁</w:t>
      </w:r>
      <w:r>
        <w:rPr>
          <w:rFonts w:hint="eastAsia" w:ascii="宋体" w:hAnsi="宋体" w:eastAsia="宋体" w:cs="宋体"/>
          <w:color w:val="auto"/>
          <w:sz w:val="24"/>
        </w:rPr>
        <w:t>：</w:t>
      </w:r>
    </w:p>
    <w:tbl>
      <w:tblPr>
        <w:tblStyle w:val="2"/>
        <w:tblW w:w="912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660"/>
        <w:gridCol w:w="6468"/>
      </w:tblGrid>
      <w:tr w14:paraId="227A8B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60" w:type="dxa"/>
            <w:noWrap w:val="0"/>
            <w:vAlign w:val="center"/>
          </w:tcPr>
          <w:p w14:paraId="3905B503">
            <w:pPr>
              <w:pStyle w:val="4"/>
              <w:jc w:val="center"/>
              <w:rPr>
                <w:rFonts w:hint="eastAsia" w:ascii="宋体" w:hAnsi="宋体" w:eastAsia="宋体" w:cs="宋体"/>
                <w:color w:val="000000"/>
                <w:sz w:val="24"/>
              </w:rPr>
            </w:pPr>
            <w:r>
              <w:rPr>
                <w:rFonts w:hint="eastAsia" w:ascii="宋体" w:hAnsi="宋体" w:eastAsia="宋体" w:cs="宋体"/>
                <w:color w:val="000000"/>
                <w:sz w:val="24"/>
              </w:rPr>
              <w:t>项目</w:t>
            </w:r>
          </w:p>
        </w:tc>
        <w:tc>
          <w:tcPr>
            <w:tcW w:w="6468" w:type="dxa"/>
            <w:noWrap w:val="0"/>
            <w:vAlign w:val="center"/>
          </w:tcPr>
          <w:p w14:paraId="479D4A6B">
            <w:pPr>
              <w:pStyle w:val="4"/>
              <w:ind w:firstLine="480"/>
              <w:jc w:val="center"/>
              <w:rPr>
                <w:rFonts w:hint="eastAsia" w:ascii="宋体" w:hAnsi="宋体" w:eastAsia="宋体" w:cs="宋体"/>
                <w:color w:val="000000"/>
                <w:sz w:val="24"/>
              </w:rPr>
            </w:pPr>
            <w:r>
              <w:rPr>
                <w:rFonts w:hint="eastAsia" w:ascii="宋体" w:hAnsi="宋体" w:eastAsia="宋体" w:cs="宋体"/>
                <w:color w:val="000000"/>
                <w:sz w:val="24"/>
              </w:rPr>
              <w:t>建设需求</w:t>
            </w:r>
          </w:p>
        </w:tc>
      </w:tr>
      <w:tr w14:paraId="4CC8AA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60" w:type="dxa"/>
            <w:noWrap w:val="0"/>
            <w:vAlign w:val="center"/>
          </w:tcPr>
          <w:p w14:paraId="081F9D3F">
            <w:pPr>
              <w:pStyle w:val="4"/>
              <w:jc w:val="center"/>
              <w:rPr>
                <w:rFonts w:hint="eastAsia" w:ascii="宋体" w:hAnsi="宋体" w:eastAsia="宋体" w:cs="宋体"/>
                <w:color w:val="000000"/>
                <w:sz w:val="24"/>
              </w:rPr>
            </w:pPr>
            <w:r>
              <w:rPr>
                <w:rFonts w:hint="eastAsia" w:ascii="宋体" w:hAnsi="宋体" w:eastAsia="宋体" w:cs="宋体"/>
                <w:color w:val="000000"/>
                <w:sz w:val="24"/>
              </w:rPr>
              <w:t>电路类型要求</w:t>
            </w:r>
          </w:p>
        </w:tc>
        <w:tc>
          <w:tcPr>
            <w:tcW w:w="6468" w:type="dxa"/>
            <w:noWrap w:val="0"/>
            <w:vAlign w:val="top"/>
          </w:tcPr>
          <w:p w14:paraId="103EE5D7">
            <w:pPr>
              <w:pStyle w:val="4"/>
              <w:rPr>
                <w:rFonts w:hint="eastAsia" w:ascii="宋体" w:hAnsi="宋体" w:eastAsia="宋体" w:cs="宋体"/>
                <w:color w:val="000000"/>
                <w:sz w:val="24"/>
              </w:rPr>
            </w:pPr>
            <w:r>
              <w:rPr>
                <w:rFonts w:hint="eastAsia" w:ascii="宋体" w:hAnsi="宋体" w:eastAsia="宋体" w:cs="宋体"/>
                <w:color w:val="000000"/>
                <w:sz w:val="24"/>
              </w:rPr>
              <w:t>★基于现有公安视频专网的网络架构，提供安全、稳定、带宽独享的数据电路，与互联网物理隔离。</w:t>
            </w:r>
          </w:p>
        </w:tc>
      </w:tr>
      <w:tr w14:paraId="163CC0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2660" w:type="dxa"/>
            <w:noWrap w:val="0"/>
            <w:vAlign w:val="center"/>
          </w:tcPr>
          <w:p w14:paraId="42352FF7">
            <w:pPr>
              <w:pStyle w:val="4"/>
              <w:jc w:val="center"/>
              <w:rPr>
                <w:rFonts w:hint="eastAsia" w:ascii="宋体" w:hAnsi="宋体" w:eastAsia="宋体" w:cs="宋体"/>
                <w:color w:val="000000"/>
                <w:sz w:val="24"/>
              </w:rPr>
            </w:pPr>
            <w:r>
              <w:rPr>
                <w:rFonts w:hint="eastAsia" w:ascii="宋体" w:hAnsi="宋体" w:eastAsia="宋体" w:cs="宋体"/>
                <w:color w:val="000000"/>
                <w:sz w:val="24"/>
              </w:rPr>
              <w:t>网络安全要求</w:t>
            </w:r>
          </w:p>
        </w:tc>
        <w:tc>
          <w:tcPr>
            <w:tcW w:w="6468" w:type="dxa"/>
            <w:noWrap w:val="0"/>
            <w:vAlign w:val="top"/>
          </w:tcPr>
          <w:p w14:paraId="32130FBE">
            <w:pPr>
              <w:pStyle w:val="4"/>
              <w:rPr>
                <w:rFonts w:hint="eastAsia" w:ascii="宋体" w:hAnsi="宋体" w:eastAsia="宋体" w:cs="宋体"/>
                <w:color w:val="000000"/>
                <w:sz w:val="24"/>
              </w:rPr>
            </w:pPr>
            <w:r>
              <w:rPr>
                <w:rFonts w:hint="eastAsia" w:ascii="宋体" w:hAnsi="宋体" w:eastAsia="宋体" w:cs="宋体"/>
                <w:color w:val="000000"/>
                <w:sz w:val="24"/>
              </w:rPr>
              <w:t>优化网络，提高网络的可靠性和安全性，对监控信号在网络传输过程中可能遭受的网络窃听、网络病毒和恶意代码攻击等安全风险，进行必要的防护。</w:t>
            </w:r>
          </w:p>
        </w:tc>
      </w:tr>
      <w:tr w14:paraId="02D3E8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660" w:type="dxa"/>
            <w:noWrap w:val="0"/>
            <w:vAlign w:val="center"/>
          </w:tcPr>
          <w:p w14:paraId="7C94D5B6">
            <w:pPr>
              <w:pStyle w:val="4"/>
              <w:jc w:val="center"/>
              <w:rPr>
                <w:rFonts w:hint="eastAsia" w:ascii="宋体" w:hAnsi="宋体" w:eastAsia="宋体" w:cs="宋体"/>
                <w:color w:val="000000"/>
                <w:sz w:val="24"/>
              </w:rPr>
            </w:pPr>
            <w:r>
              <w:rPr>
                <w:rFonts w:hint="eastAsia" w:ascii="宋体" w:hAnsi="宋体" w:eastAsia="宋体" w:cs="宋体"/>
                <w:color w:val="000000"/>
                <w:sz w:val="24"/>
              </w:rPr>
              <w:t>维护要求</w:t>
            </w:r>
          </w:p>
        </w:tc>
        <w:tc>
          <w:tcPr>
            <w:tcW w:w="6468" w:type="dxa"/>
            <w:noWrap w:val="0"/>
            <w:vAlign w:val="top"/>
          </w:tcPr>
          <w:p w14:paraId="0F975DCD">
            <w:pPr>
              <w:pStyle w:val="4"/>
              <w:rPr>
                <w:rFonts w:hint="eastAsia" w:ascii="宋体" w:hAnsi="宋体" w:eastAsia="宋体" w:cs="宋体"/>
                <w:color w:val="000000"/>
                <w:sz w:val="24"/>
              </w:rPr>
            </w:pPr>
            <w:r>
              <w:rPr>
                <w:rFonts w:hint="eastAsia" w:ascii="宋体" w:hAnsi="宋体" w:eastAsia="宋体" w:cs="宋体"/>
                <w:color w:val="000000"/>
                <w:sz w:val="24"/>
              </w:rPr>
              <w:t>要求供应商所提供的网络具有对所有节点传输设备的日常运行状态、故障响应、资源分配和调度控制等监测管理功能，提供端到端的客户网络监控等业务，供应商对于客户网络监控服务应具备7*24小时的实时服务监控团队。</w:t>
            </w:r>
          </w:p>
        </w:tc>
      </w:tr>
      <w:tr w14:paraId="6776BD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60" w:type="dxa"/>
            <w:noWrap w:val="0"/>
            <w:vAlign w:val="center"/>
          </w:tcPr>
          <w:p w14:paraId="29B3180F">
            <w:pPr>
              <w:pStyle w:val="4"/>
              <w:jc w:val="center"/>
              <w:rPr>
                <w:rFonts w:hint="eastAsia" w:ascii="宋体" w:hAnsi="宋体" w:eastAsia="宋体" w:cs="宋体"/>
                <w:color w:val="000000"/>
                <w:sz w:val="24"/>
              </w:rPr>
            </w:pPr>
            <w:r>
              <w:rPr>
                <w:rFonts w:hint="eastAsia" w:ascii="宋体" w:hAnsi="宋体" w:eastAsia="宋体" w:cs="宋体"/>
                <w:color w:val="000000"/>
                <w:sz w:val="24"/>
              </w:rPr>
              <w:t>时延要求</w:t>
            </w:r>
          </w:p>
        </w:tc>
        <w:tc>
          <w:tcPr>
            <w:tcW w:w="6468" w:type="dxa"/>
            <w:noWrap w:val="0"/>
            <w:vAlign w:val="top"/>
          </w:tcPr>
          <w:p w14:paraId="03428EF6">
            <w:pPr>
              <w:pStyle w:val="4"/>
              <w:rPr>
                <w:rFonts w:hint="eastAsia" w:ascii="宋体" w:hAnsi="宋体" w:eastAsia="宋体" w:cs="宋体"/>
                <w:color w:val="000000"/>
                <w:sz w:val="24"/>
              </w:rPr>
            </w:pPr>
            <w:r>
              <w:rPr>
                <w:rFonts w:hint="eastAsia" w:ascii="宋体" w:hAnsi="宋体" w:eastAsia="宋体" w:cs="宋体"/>
                <w:color w:val="000000"/>
                <w:sz w:val="24"/>
              </w:rPr>
              <w:t xml:space="preserve">点对点测试，传输1500 bytes，延时≤10ms，丢包率≤0.1%。 </w:t>
            </w:r>
          </w:p>
        </w:tc>
      </w:tr>
      <w:tr w14:paraId="28306C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60" w:type="dxa"/>
            <w:noWrap w:val="0"/>
            <w:vAlign w:val="center"/>
          </w:tcPr>
          <w:p w14:paraId="2CFD40D6">
            <w:pPr>
              <w:pStyle w:val="4"/>
              <w:jc w:val="center"/>
              <w:rPr>
                <w:rFonts w:hint="eastAsia" w:ascii="宋体" w:hAnsi="宋体" w:eastAsia="宋体" w:cs="宋体"/>
                <w:color w:val="000000"/>
                <w:sz w:val="24"/>
              </w:rPr>
            </w:pPr>
            <w:r>
              <w:rPr>
                <w:rFonts w:hint="eastAsia" w:ascii="宋体" w:hAnsi="宋体" w:eastAsia="宋体" w:cs="宋体"/>
                <w:color w:val="000000"/>
                <w:sz w:val="24"/>
              </w:rPr>
              <w:t>设备要求</w:t>
            </w:r>
          </w:p>
        </w:tc>
        <w:tc>
          <w:tcPr>
            <w:tcW w:w="6468" w:type="dxa"/>
            <w:noWrap w:val="0"/>
            <w:vAlign w:val="top"/>
          </w:tcPr>
          <w:p w14:paraId="101C26A4">
            <w:pPr>
              <w:pStyle w:val="4"/>
              <w:rPr>
                <w:rFonts w:hint="eastAsia" w:ascii="宋体" w:hAnsi="宋体" w:eastAsia="宋体" w:cs="宋体"/>
                <w:color w:val="000000"/>
                <w:sz w:val="24"/>
              </w:rPr>
            </w:pPr>
            <w:r>
              <w:rPr>
                <w:rFonts w:hint="eastAsia" w:ascii="宋体" w:hAnsi="宋体" w:eastAsia="宋体" w:cs="宋体"/>
                <w:color w:val="000000"/>
                <w:sz w:val="24"/>
              </w:rPr>
              <w:t>★公安侧的核心汇聚设备应满足一下：</w:t>
            </w:r>
          </w:p>
          <w:p w14:paraId="2C520467">
            <w:pPr>
              <w:pStyle w:val="4"/>
              <w:rPr>
                <w:rFonts w:hint="eastAsia" w:ascii="宋体" w:hAnsi="宋体" w:eastAsia="宋体" w:cs="宋体"/>
                <w:color w:val="000000"/>
                <w:sz w:val="24"/>
              </w:rPr>
            </w:pPr>
            <w:r>
              <w:rPr>
                <w:rFonts w:hint="eastAsia" w:ascii="宋体" w:hAnsi="宋体" w:eastAsia="宋体" w:cs="宋体"/>
                <w:color w:val="000000"/>
                <w:sz w:val="24"/>
              </w:rPr>
              <w:t>1.需支持-48V直流和220V交流两种供电模式。</w:t>
            </w:r>
          </w:p>
          <w:p w14:paraId="1F346CF6">
            <w:pPr>
              <w:pStyle w:val="4"/>
              <w:rPr>
                <w:rFonts w:hint="eastAsia" w:ascii="宋体" w:hAnsi="宋体" w:eastAsia="宋体" w:cs="宋体"/>
                <w:color w:val="000000"/>
                <w:sz w:val="24"/>
              </w:rPr>
            </w:pPr>
            <w:r>
              <w:rPr>
                <w:rFonts w:hint="eastAsia" w:ascii="宋体" w:hAnsi="宋体" w:eastAsia="宋体" w:cs="宋体"/>
                <w:color w:val="000000"/>
                <w:sz w:val="24"/>
              </w:rPr>
              <w:t>2.需支持槽位：低速槽位≥6个，应满足每个槽位背板带宽至少8个GE；高速槽位≥4个，应满足每个槽位容量至少为10G。</w:t>
            </w:r>
          </w:p>
          <w:p w14:paraId="402DED18">
            <w:pPr>
              <w:pStyle w:val="4"/>
              <w:rPr>
                <w:rFonts w:hint="eastAsia" w:ascii="宋体" w:hAnsi="宋体" w:eastAsia="宋体" w:cs="宋体"/>
                <w:color w:val="000000"/>
                <w:sz w:val="24"/>
              </w:rPr>
            </w:pPr>
            <w:r>
              <w:rPr>
                <w:rFonts w:hint="eastAsia" w:ascii="宋体" w:hAnsi="宋体" w:eastAsia="宋体" w:cs="宋体"/>
                <w:color w:val="000000"/>
                <w:sz w:val="24"/>
              </w:rPr>
              <w:t>3.需支持TDM E1、ATM E1、ML-PPP E1、STM-1/4、CEP STM-1/4、FE（光口和电口）、GE（光口和电口）、10GE（光口）等接口。</w:t>
            </w:r>
          </w:p>
          <w:p w14:paraId="018C3688">
            <w:pPr>
              <w:pStyle w:val="4"/>
              <w:rPr>
                <w:rFonts w:hint="eastAsia" w:ascii="宋体" w:hAnsi="宋体" w:eastAsia="宋体" w:cs="宋体"/>
                <w:color w:val="000000"/>
                <w:sz w:val="24"/>
              </w:rPr>
            </w:pPr>
            <w:r>
              <w:rPr>
                <w:rFonts w:hint="eastAsia" w:ascii="宋体" w:hAnsi="宋体" w:eastAsia="宋体" w:cs="宋体"/>
                <w:color w:val="000000"/>
                <w:sz w:val="24"/>
              </w:rPr>
              <w:t>4.需要至少有两个Interface槽位，可以提供E1板的1:2支路保护。</w:t>
            </w:r>
          </w:p>
          <w:p w14:paraId="70923722">
            <w:pPr>
              <w:pStyle w:val="4"/>
              <w:rPr>
                <w:rFonts w:hint="eastAsia" w:ascii="宋体" w:hAnsi="宋体" w:eastAsia="宋体" w:cs="宋体"/>
                <w:color w:val="000000"/>
                <w:sz w:val="24"/>
              </w:rPr>
            </w:pPr>
            <w:r>
              <w:rPr>
                <w:rFonts w:hint="eastAsia" w:ascii="宋体" w:hAnsi="宋体" w:eastAsia="宋体" w:cs="宋体"/>
                <w:color w:val="000000"/>
                <w:sz w:val="24"/>
              </w:rPr>
              <w:t>4.需支持与其他分组传送产品共同组网。</w:t>
            </w:r>
          </w:p>
          <w:p w14:paraId="757C9C0A">
            <w:pPr>
              <w:pStyle w:val="4"/>
              <w:rPr>
                <w:rFonts w:hint="eastAsia" w:ascii="宋体" w:hAnsi="宋体" w:eastAsia="宋体" w:cs="宋体"/>
                <w:color w:val="000000"/>
                <w:sz w:val="24"/>
              </w:rPr>
            </w:pPr>
            <w:r>
              <w:rPr>
                <w:rFonts w:hint="eastAsia" w:ascii="宋体" w:hAnsi="宋体" w:eastAsia="宋体" w:cs="宋体"/>
                <w:color w:val="000000"/>
                <w:sz w:val="24"/>
              </w:rPr>
              <w:t>5.需支持通过MLPPP E1方式与传统SDH网络混合组网。</w:t>
            </w:r>
          </w:p>
        </w:tc>
      </w:tr>
      <w:tr w14:paraId="769FD3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60" w:type="dxa"/>
            <w:noWrap w:val="0"/>
            <w:vAlign w:val="center"/>
          </w:tcPr>
          <w:p w14:paraId="74E02D22">
            <w:pPr>
              <w:pStyle w:val="4"/>
              <w:jc w:val="center"/>
              <w:rPr>
                <w:rFonts w:hint="eastAsia" w:ascii="宋体" w:hAnsi="宋体" w:eastAsia="宋体" w:cs="宋体"/>
                <w:color w:val="000000"/>
                <w:sz w:val="24"/>
              </w:rPr>
            </w:pPr>
            <w:r>
              <w:rPr>
                <w:rFonts w:hint="eastAsia" w:ascii="宋体" w:hAnsi="宋体" w:eastAsia="宋体" w:cs="宋体"/>
                <w:color w:val="000000"/>
                <w:sz w:val="24"/>
              </w:rPr>
              <w:t>可用率要求</w:t>
            </w:r>
          </w:p>
        </w:tc>
        <w:tc>
          <w:tcPr>
            <w:tcW w:w="6468" w:type="dxa"/>
            <w:noWrap w:val="0"/>
            <w:vAlign w:val="top"/>
          </w:tcPr>
          <w:p w14:paraId="3722CD82">
            <w:pPr>
              <w:pStyle w:val="4"/>
              <w:rPr>
                <w:rFonts w:hint="eastAsia" w:ascii="宋体" w:hAnsi="宋体" w:eastAsia="宋体" w:cs="宋体"/>
                <w:color w:val="000000"/>
                <w:sz w:val="24"/>
              </w:rPr>
            </w:pPr>
            <w:r>
              <w:rPr>
                <w:rFonts w:hint="eastAsia" w:ascii="宋体" w:hAnsi="宋体" w:eastAsia="宋体" w:cs="宋体"/>
                <w:color w:val="000000"/>
                <w:sz w:val="24"/>
              </w:rPr>
              <w:t>★电路通路全年可用率平均达到99.9％。</w:t>
            </w:r>
          </w:p>
        </w:tc>
      </w:tr>
      <w:tr w14:paraId="799997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60" w:type="dxa"/>
            <w:noWrap w:val="0"/>
            <w:vAlign w:val="center"/>
          </w:tcPr>
          <w:p w14:paraId="0F646F07">
            <w:pPr>
              <w:pStyle w:val="4"/>
              <w:jc w:val="center"/>
              <w:rPr>
                <w:rFonts w:hint="eastAsia" w:ascii="宋体" w:hAnsi="宋体" w:eastAsia="宋体" w:cs="宋体"/>
                <w:color w:val="000000"/>
                <w:sz w:val="24"/>
              </w:rPr>
            </w:pPr>
            <w:r>
              <w:rPr>
                <w:rFonts w:hint="eastAsia" w:ascii="宋体" w:hAnsi="宋体" w:eastAsia="宋体" w:cs="宋体"/>
                <w:color w:val="000000"/>
                <w:sz w:val="24"/>
              </w:rPr>
              <w:t>资源覆盖要求</w:t>
            </w:r>
          </w:p>
        </w:tc>
        <w:tc>
          <w:tcPr>
            <w:tcW w:w="6468" w:type="dxa"/>
            <w:noWrap w:val="0"/>
            <w:vAlign w:val="top"/>
          </w:tcPr>
          <w:p w14:paraId="27B4E133">
            <w:pPr>
              <w:pStyle w:val="4"/>
              <w:rPr>
                <w:rFonts w:hint="eastAsia" w:ascii="宋体" w:hAnsi="宋体" w:eastAsia="宋体" w:cs="宋体"/>
                <w:color w:val="000000"/>
                <w:sz w:val="24"/>
              </w:rPr>
            </w:pPr>
            <w:r>
              <w:rPr>
                <w:rFonts w:hint="eastAsia" w:ascii="宋体" w:hAnsi="宋体" w:eastAsia="宋体" w:cs="宋体"/>
                <w:color w:val="000000"/>
                <w:sz w:val="24"/>
              </w:rPr>
              <w:t>★要求供应商光缆资源预覆盖率不低于70%。</w:t>
            </w:r>
          </w:p>
        </w:tc>
      </w:tr>
    </w:tbl>
    <w:p w14:paraId="16E622BE">
      <w:pPr>
        <w:pStyle w:val="5"/>
        <w:ind w:left="0" w:right="-25"/>
        <w:rPr>
          <w:rFonts w:hint="eastAsia" w:ascii="宋体" w:hAnsi="宋体" w:eastAsia="宋体" w:cs="宋体"/>
          <w:color w:val="000000"/>
          <w:sz w:val="24"/>
        </w:rPr>
      </w:pPr>
    </w:p>
    <w:p w14:paraId="508F61ED">
      <w:pPr>
        <w:pStyle w:val="5"/>
        <w:spacing w:line="360" w:lineRule="auto"/>
        <w:ind w:left="0" w:right="-25"/>
        <w:rPr>
          <w:rFonts w:hint="eastAsia" w:ascii="宋体" w:hAnsi="宋体" w:eastAsia="宋体" w:cs="宋体"/>
          <w:b/>
          <w:color w:val="000000"/>
          <w:sz w:val="24"/>
        </w:rPr>
      </w:pPr>
      <w:r>
        <w:rPr>
          <w:rFonts w:hint="eastAsia" w:ascii="宋体" w:hAnsi="宋体" w:eastAsia="宋体" w:cs="宋体"/>
          <w:b/>
          <w:color w:val="000000"/>
          <w:sz w:val="24"/>
        </w:rPr>
        <w:t>服务期限：1年，具体时间以合同规定时间为准。</w:t>
      </w:r>
    </w:p>
    <w:p w14:paraId="05E150F2">
      <w:pPr>
        <w:pStyle w:val="4"/>
        <w:spacing w:before="156" w:line="360" w:lineRule="auto"/>
        <w:ind w:firstLine="482"/>
        <w:rPr>
          <w:rFonts w:hint="eastAsia" w:ascii="宋体" w:hAnsi="宋体" w:eastAsia="宋体" w:cs="宋体"/>
          <w:b/>
          <w:color w:val="auto"/>
          <w:sz w:val="24"/>
          <w:highlight w:val="none"/>
        </w:rPr>
      </w:pPr>
      <w:r>
        <w:rPr>
          <w:rFonts w:hint="eastAsia" w:ascii="宋体" w:hAnsi="宋体" w:eastAsia="宋体" w:cs="宋体"/>
          <w:b/>
          <w:color w:val="000000"/>
          <w:sz w:val="24"/>
        </w:rPr>
        <w:t>★所</w:t>
      </w:r>
      <w:r>
        <w:rPr>
          <w:rFonts w:hint="eastAsia" w:ascii="宋体" w:hAnsi="宋体" w:eastAsia="宋体" w:cs="宋体"/>
          <w:b/>
          <w:color w:val="auto"/>
          <w:sz w:val="24"/>
          <w:highlight w:val="none"/>
        </w:rPr>
        <w:t>使用的专线需与徐州市公安局视频监控专网无缝对接；（提供承诺函</w:t>
      </w:r>
      <w:r>
        <w:rPr>
          <w:rFonts w:hint="eastAsia" w:ascii="宋体" w:hAnsi="宋体" w:eastAsia="宋体" w:cs="宋体"/>
          <w:b/>
          <w:color w:val="auto"/>
          <w:sz w:val="24"/>
          <w:highlight w:val="none"/>
          <w:lang w:eastAsia="zh-CN"/>
        </w:rPr>
        <w:t>，</w:t>
      </w:r>
      <w:r>
        <w:rPr>
          <w:rFonts w:hint="eastAsia" w:ascii="宋体" w:hAnsi="宋体" w:eastAsia="宋体" w:cs="宋体"/>
          <w:b/>
          <w:color w:val="auto"/>
          <w:sz w:val="24"/>
          <w:highlight w:val="none"/>
          <w:lang w:val="en-US" w:eastAsia="zh-CN"/>
        </w:rPr>
        <w:t>格式自拟</w:t>
      </w:r>
      <w:r>
        <w:rPr>
          <w:rFonts w:hint="eastAsia" w:ascii="宋体" w:hAnsi="宋体" w:eastAsia="宋体" w:cs="宋体"/>
          <w:b/>
          <w:color w:val="auto"/>
          <w:sz w:val="24"/>
          <w:highlight w:val="none"/>
        </w:rPr>
        <w:t>）</w:t>
      </w:r>
    </w:p>
    <w:p w14:paraId="47CCBF33">
      <w:pPr>
        <w:pStyle w:val="4"/>
        <w:spacing w:before="156" w:line="360" w:lineRule="auto"/>
        <w:ind w:firstLine="48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★组网架构及前后端设备的IP地址应保持原状态不变，线路不得中断（提供承诺函</w:t>
      </w:r>
      <w:r>
        <w:rPr>
          <w:rFonts w:hint="eastAsia" w:ascii="宋体" w:hAnsi="宋体" w:eastAsia="宋体" w:cs="宋体"/>
          <w:b/>
          <w:color w:val="auto"/>
          <w:sz w:val="24"/>
          <w:highlight w:val="none"/>
          <w:lang w:eastAsia="zh-CN"/>
        </w:rPr>
        <w:t>，</w:t>
      </w:r>
      <w:r>
        <w:rPr>
          <w:rFonts w:hint="eastAsia" w:ascii="宋体" w:hAnsi="宋体" w:eastAsia="宋体" w:cs="宋体"/>
          <w:b/>
          <w:color w:val="auto"/>
          <w:sz w:val="24"/>
          <w:highlight w:val="none"/>
          <w:lang w:val="en-US" w:eastAsia="zh-CN"/>
        </w:rPr>
        <w:t>格式自拟</w:t>
      </w:r>
      <w:r>
        <w:rPr>
          <w:rFonts w:hint="eastAsia" w:ascii="宋体" w:hAnsi="宋体" w:eastAsia="宋体" w:cs="宋体"/>
          <w:b/>
          <w:color w:val="auto"/>
          <w:sz w:val="24"/>
          <w:highlight w:val="none"/>
        </w:rPr>
        <w:t>）如因线路中断造成点位离线，招标人有权追究中标人责任；</w:t>
      </w:r>
    </w:p>
    <w:p w14:paraId="3DC35A2A">
      <w:pPr>
        <w:pStyle w:val="4"/>
        <w:spacing w:before="156" w:line="360" w:lineRule="auto"/>
        <w:ind w:firstLine="48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★投标人必须保证接到《中标通知书》后24小时内立即派遣专业人员进驻现场交接工作，保障现有系统正常运转，因延误造成的损失由中标人承担。（提供承诺函</w:t>
      </w:r>
      <w:r>
        <w:rPr>
          <w:rFonts w:hint="eastAsia" w:ascii="宋体" w:hAnsi="宋体" w:eastAsia="宋体" w:cs="宋体"/>
          <w:b/>
          <w:color w:val="auto"/>
          <w:sz w:val="24"/>
          <w:highlight w:val="none"/>
          <w:lang w:eastAsia="zh-CN"/>
        </w:rPr>
        <w:t>，</w:t>
      </w:r>
      <w:r>
        <w:rPr>
          <w:rFonts w:hint="eastAsia" w:ascii="宋体" w:hAnsi="宋体" w:eastAsia="宋体" w:cs="宋体"/>
          <w:b/>
          <w:color w:val="auto"/>
          <w:sz w:val="24"/>
          <w:highlight w:val="none"/>
          <w:lang w:val="en-US" w:eastAsia="zh-CN"/>
        </w:rPr>
        <w:t>格式自拟</w:t>
      </w:r>
      <w:r>
        <w:rPr>
          <w:rFonts w:hint="eastAsia" w:ascii="宋体" w:hAnsi="宋体" w:eastAsia="宋体" w:cs="宋体"/>
          <w:b/>
          <w:color w:val="auto"/>
          <w:sz w:val="24"/>
          <w:highlight w:val="none"/>
        </w:rPr>
        <w:t>）</w:t>
      </w:r>
    </w:p>
    <w:p w14:paraId="5DC47D10">
      <w:pPr>
        <w:pStyle w:val="4"/>
        <w:spacing w:before="156"/>
        <w:ind w:firstLine="480"/>
        <w:rPr>
          <w:rFonts w:hint="eastAsia" w:ascii="宋体" w:hAnsi="宋体" w:eastAsia="宋体" w:cs="宋体"/>
          <w:color w:val="000000"/>
          <w:sz w:val="24"/>
        </w:rPr>
      </w:pPr>
    </w:p>
    <w:p w14:paraId="7CD08709">
      <w:pPr>
        <w:pStyle w:val="4"/>
        <w:spacing w:line="360" w:lineRule="auto"/>
        <w:rPr>
          <w:rFonts w:hint="eastAsia" w:ascii="宋体" w:hAnsi="宋体" w:eastAsia="宋体" w:cs="宋体"/>
          <w:b/>
          <w:bCs/>
          <w:color w:val="000000"/>
          <w:sz w:val="24"/>
        </w:rPr>
      </w:pPr>
      <w:r>
        <w:rPr>
          <w:rFonts w:hint="eastAsia" w:ascii="宋体" w:hAnsi="宋体" w:eastAsia="宋体" w:cs="宋体"/>
          <w:b/>
          <w:bCs/>
          <w:color w:val="000000"/>
          <w:sz w:val="24"/>
        </w:rPr>
        <w:t>六、运行</w:t>
      </w:r>
      <w:r>
        <w:rPr>
          <w:rFonts w:hint="eastAsia" w:ascii="宋体" w:hAnsi="宋体" w:eastAsia="宋体" w:cs="宋体"/>
          <w:b/>
          <w:bCs/>
          <w:color w:val="000000"/>
          <w:sz w:val="24"/>
          <w:lang w:val="en-US" w:eastAsia="zh-CN"/>
        </w:rPr>
        <w:t>保障</w:t>
      </w:r>
      <w:r>
        <w:rPr>
          <w:rFonts w:hint="eastAsia" w:ascii="宋体" w:hAnsi="宋体" w:eastAsia="宋体" w:cs="宋体"/>
          <w:b/>
          <w:bCs/>
          <w:color w:val="000000"/>
          <w:sz w:val="24"/>
        </w:rPr>
        <w:t>要求</w:t>
      </w:r>
    </w:p>
    <w:p w14:paraId="5C0A7C94">
      <w:pPr>
        <w:pStyle w:val="4"/>
        <w:spacing w:line="360" w:lineRule="auto"/>
        <w:ind w:firstLine="470"/>
        <w:rPr>
          <w:rFonts w:hint="eastAsia" w:ascii="宋体" w:hAnsi="宋体" w:eastAsia="宋体" w:cs="宋体"/>
          <w:b/>
          <w:bCs/>
          <w:color w:val="000000"/>
          <w:sz w:val="24"/>
        </w:rPr>
      </w:pPr>
      <w:r>
        <w:rPr>
          <w:rFonts w:hint="eastAsia" w:ascii="宋体" w:hAnsi="宋体" w:eastAsia="宋体" w:cs="宋体"/>
          <w:b/>
          <w:bCs/>
          <w:color w:val="000000"/>
          <w:sz w:val="24"/>
        </w:rPr>
        <w:t>本次招标活动的中标人应根据甲方需求完成前端点位电表的开户、接入工作，并负责后期的用电</w:t>
      </w:r>
      <w:r>
        <w:rPr>
          <w:rFonts w:hint="eastAsia" w:ascii="宋体" w:hAnsi="宋体" w:eastAsia="宋体" w:cs="宋体"/>
          <w:b/>
          <w:bCs/>
          <w:color w:val="000000"/>
          <w:sz w:val="24"/>
          <w:lang w:val="en-US" w:eastAsia="zh-CN"/>
        </w:rPr>
        <w:t>保障</w:t>
      </w:r>
      <w:r>
        <w:rPr>
          <w:rFonts w:hint="eastAsia" w:ascii="宋体" w:hAnsi="宋体" w:eastAsia="宋体" w:cs="宋体"/>
          <w:b/>
          <w:bCs/>
          <w:color w:val="000000"/>
          <w:sz w:val="24"/>
        </w:rPr>
        <w:t>。</w:t>
      </w:r>
    </w:p>
    <w:p w14:paraId="36171C56">
      <w:pPr>
        <w:pStyle w:val="4"/>
        <w:spacing w:line="360" w:lineRule="auto"/>
        <w:rPr>
          <w:rFonts w:hint="eastAsia" w:ascii="宋体" w:hAnsi="宋体" w:eastAsia="宋体" w:cs="宋体"/>
          <w:b/>
          <w:bCs/>
          <w:color w:val="000000"/>
          <w:sz w:val="24"/>
        </w:rPr>
      </w:pPr>
      <w:r>
        <w:rPr>
          <w:rFonts w:hint="eastAsia" w:ascii="宋体" w:hAnsi="宋体" w:eastAsia="宋体" w:cs="宋体"/>
          <w:b/>
          <w:bCs/>
          <w:color w:val="000000"/>
          <w:sz w:val="24"/>
        </w:rPr>
        <w:t>七、售后服务及应急服务要求</w:t>
      </w:r>
    </w:p>
    <w:p w14:paraId="69450326">
      <w:pPr>
        <w:pStyle w:val="4"/>
        <w:spacing w:line="360" w:lineRule="auto"/>
        <w:ind w:firstLine="470"/>
        <w:rPr>
          <w:rFonts w:hint="eastAsia" w:ascii="宋体" w:hAnsi="宋体" w:eastAsia="宋体" w:cs="宋体"/>
          <w:color w:val="000000"/>
          <w:sz w:val="24"/>
        </w:rPr>
      </w:pPr>
      <w:r>
        <w:rPr>
          <w:rFonts w:hint="eastAsia" w:ascii="宋体" w:hAnsi="宋体" w:eastAsia="宋体" w:cs="宋体"/>
          <w:color w:val="000000"/>
          <w:sz w:val="24"/>
        </w:rPr>
        <w:t>签订合同前，成交供应商必须向采购人提交其响应文件中所有复印件的原件，采购人核查无误后，签订合同。如成交供应商不能在采购人规定的时间内向采购人提供原件，将被采购人认定为具有《中华人民共和国政府采购法》第七十七条所规定的“提供虚假材料谋取中标、成交的”情形，并承担相应的法律责任。特别要求的除外。</w:t>
      </w:r>
    </w:p>
    <w:p w14:paraId="0AE56633">
      <w:pPr>
        <w:pStyle w:val="4"/>
        <w:spacing w:line="360" w:lineRule="auto"/>
        <w:ind w:firstLine="470"/>
        <w:rPr>
          <w:rFonts w:hint="eastAsia" w:ascii="宋体" w:hAnsi="宋体" w:eastAsia="宋体" w:cs="宋体"/>
          <w:color w:val="000000"/>
          <w:sz w:val="24"/>
        </w:rPr>
      </w:pPr>
      <w:r>
        <w:rPr>
          <w:rFonts w:hint="eastAsia" w:ascii="宋体" w:hAnsi="宋体" w:eastAsia="宋体" w:cs="宋体"/>
          <w:color w:val="000000"/>
          <w:sz w:val="24"/>
        </w:rPr>
        <w:t>为确保本项目范围内的服务能够得到有交效保障，中标人必须在徐州市拥有售后服务机构，有能力在徐州市提供长期服务，并提供相关承诺及服务计划。本条为实质性响应条款，中标人承担由此产生的一切责任。</w:t>
      </w:r>
    </w:p>
    <w:p w14:paraId="49E98C08">
      <w:pPr>
        <w:pStyle w:val="4"/>
        <w:spacing w:line="360" w:lineRule="auto"/>
        <w:ind w:firstLine="470"/>
        <w:rPr>
          <w:rFonts w:hint="eastAsia" w:ascii="宋体" w:hAnsi="宋体" w:eastAsia="宋体" w:cs="宋体"/>
          <w:color w:val="000000"/>
          <w:sz w:val="24"/>
        </w:rPr>
      </w:pPr>
      <w:r>
        <w:rPr>
          <w:rFonts w:hint="eastAsia" w:ascii="宋体" w:hAnsi="宋体" w:eastAsia="宋体" w:cs="宋体"/>
          <w:color w:val="000000"/>
          <w:sz w:val="24"/>
        </w:rPr>
        <w:t>维保期内，接到采购人认为与本项目实施、应用、维护、故障解决等相关的服务请求电话后，中标人应1小时内响应。否则，采购人将自行采取必要的措施，由此产生的风险和费用应由中标人承担。中标人提供7*24小时报修服务电话，保证24小时开通。</w:t>
      </w:r>
    </w:p>
    <w:p w14:paraId="1D232AB4">
      <w:pPr>
        <w:pStyle w:val="4"/>
        <w:spacing w:line="360" w:lineRule="auto"/>
        <w:ind w:firstLine="472"/>
        <w:rPr>
          <w:rFonts w:hint="eastAsia" w:ascii="宋体" w:hAnsi="宋体" w:eastAsia="宋体" w:cs="宋体"/>
          <w:b/>
          <w:bCs/>
          <w:color w:val="000000"/>
          <w:sz w:val="24"/>
        </w:rPr>
      </w:pPr>
      <w:r>
        <w:rPr>
          <w:rFonts w:hint="eastAsia" w:ascii="宋体" w:hAnsi="宋体" w:eastAsia="宋体" w:cs="宋体"/>
          <w:b/>
          <w:bCs/>
          <w:color w:val="000000"/>
          <w:sz w:val="24"/>
        </w:rPr>
        <w:t>项目实施以后提供2名专业技术人员1年</w:t>
      </w:r>
      <w:r>
        <w:rPr>
          <w:rFonts w:hint="eastAsia" w:ascii="宋体" w:hAnsi="宋体" w:eastAsia="宋体" w:cs="宋体"/>
          <w:b/>
          <w:bCs/>
          <w:color w:val="000000"/>
          <w:sz w:val="24"/>
          <w:lang w:val="en-US" w:eastAsia="zh-CN"/>
        </w:rPr>
        <w:t>内场运维</w:t>
      </w:r>
      <w:r>
        <w:rPr>
          <w:rFonts w:hint="eastAsia" w:ascii="宋体" w:hAnsi="宋体" w:eastAsia="宋体" w:cs="宋体"/>
          <w:b/>
          <w:bCs/>
          <w:color w:val="000000"/>
          <w:sz w:val="24"/>
        </w:rPr>
        <w:t>服务。</w:t>
      </w:r>
    </w:p>
    <w:p w14:paraId="004F6830">
      <w:pPr>
        <w:pStyle w:val="4"/>
        <w:spacing w:line="360" w:lineRule="auto"/>
        <w:ind w:firstLine="470"/>
        <w:rPr>
          <w:rFonts w:hint="eastAsia" w:ascii="宋体" w:hAnsi="宋体" w:eastAsia="宋体" w:cs="宋体"/>
          <w:color w:val="000000"/>
          <w:sz w:val="24"/>
        </w:rPr>
      </w:pPr>
      <w:r>
        <w:rPr>
          <w:rFonts w:hint="eastAsia" w:ascii="宋体" w:hAnsi="宋体" w:eastAsia="宋体" w:cs="宋体"/>
          <w:color w:val="000000"/>
          <w:sz w:val="24"/>
        </w:rPr>
        <w:t>在特殊应用情况下，需中标人提供产品及相关的现场技术保障，采购人提前两天通过电话或者书面通知，由中标人提供不低于连续24小时的现场技术服务。</w:t>
      </w:r>
    </w:p>
    <w:p w14:paraId="07EA5311">
      <w:pPr>
        <w:pStyle w:val="4"/>
        <w:spacing w:line="360" w:lineRule="auto"/>
        <w:ind w:firstLine="470"/>
        <w:rPr>
          <w:rFonts w:hint="eastAsia" w:ascii="宋体" w:hAnsi="宋体" w:eastAsia="宋体" w:cs="宋体"/>
          <w:color w:val="000000"/>
          <w:sz w:val="24"/>
        </w:rPr>
      </w:pPr>
      <w:r>
        <w:rPr>
          <w:rFonts w:hint="eastAsia" w:ascii="宋体" w:hAnsi="宋体" w:eastAsia="宋体" w:cs="宋体"/>
          <w:color w:val="000000"/>
          <w:sz w:val="24"/>
        </w:rPr>
        <w:t>中标人必须保证投标所涉及的软件不涉及版权问题，否则一切后果由中标人承担。</w:t>
      </w:r>
    </w:p>
    <w:p w14:paraId="3C61D863">
      <w:pPr>
        <w:pStyle w:val="4"/>
        <w:spacing w:line="360" w:lineRule="auto"/>
        <w:ind w:firstLine="470"/>
        <w:rPr>
          <w:rFonts w:hint="eastAsia" w:ascii="宋体" w:hAnsi="宋体" w:eastAsia="宋体" w:cs="宋体"/>
          <w:color w:val="000000"/>
          <w:sz w:val="24"/>
        </w:rPr>
      </w:pPr>
      <w:r>
        <w:rPr>
          <w:rFonts w:hint="eastAsia" w:ascii="宋体" w:hAnsi="宋体" w:eastAsia="宋体" w:cs="宋体"/>
          <w:color w:val="000000"/>
          <w:sz w:val="24"/>
        </w:rPr>
        <w:t>重要保障请求，包括重大节假日、国家军事、政治活动、雷雨天气等期间的服务保障工作。因工作特点需要，在重点通讯保障期间，根据采购人要求，投标人需指定技术支持工程师到现场实施通讯保障服务。此服务按照现场服务标准，投标人不再另行收取费用。</w:t>
      </w:r>
    </w:p>
    <w:p w14:paraId="738093B8">
      <w:pPr>
        <w:pStyle w:val="9"/>
        <w:spacing w:line="360" w:lineRule="auto"/>
        <w:rPr>
          <w:rFonts w:hint="eastAsia" w:ascii="宋体" w:hAnsi="宋体" w:eastAsia="宋体" w:cs="宋体"/>
          <w:b/>
          <w:bCs/>
          <w:color w:val="000000"/>
          <w:sz w:val="24"/>
        </w:rPr>
      </w:pPr>
      <w:r>
        <w:rPr>
          <w:rFonts w:hint="eastAsia" w:ascii="宋体" w:hAnsi="宋体" w:eastAsia="宋体" w:cs="宋体"/>
          <w:b/>
          <w:bCs/>
          <w:color w:val="000000"/>
          <w:sz w:val="24"/>
        </w:rPr>
        <w:t>投标人自行拟定《应急服务方案》。</w:t>
      </w:r>
    </w:p>
    <w:p w14:paraId="4FB82A4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p w14:paraId="1E16475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p w14:paraId="49A0AAF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p w14:paraId="05D4989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rPr>
      </w:pPr>
      <w:r>
        <w:rPr>
          <w:rFonts w:hint="eastAsia" w:ascii="宋体" w:hAnsi="宋体" w:eastAsia="宋体" w:cs="宋体"/>
          <w:b/>
          <w:bCs/>
          <w:sz w:val="24"/>
          <w:szCs w:val="24"/>
        </w:rPr>
        <w:t>根据项目需求，结合行业标准及维保服务特性，制定考核标准如下：</w:t>
      </w:r>
    </w:p>
    <w:p w14:paraId="0C471FB9">
      <w:pPr>
        <w:pStyle w:val="4"/>
        <w:spacing w:line="360" w:lineRule="auto"/>
        <w:ind w:firstLine="470"/>
        <w:rPr>
          <w:rFonts w:hint="eastAsia" w:ascii="宋体" w:hAnsi="宋体" w:eastAsia="宋体" w:cs="宋体"/>
          <w:b/>
          <w:bCs/>
          <w:color w:val="000000"/>
          <w:sz w:val="24"/>
        </w:rPr>
      </w:pPr>
      <w:r>
        <w:rPr>
          <w:rFonts w:hint="eastAsia" w:ascii="宋体" w:hAnsi="宋体" w:eastAsia="宋体" w:cs="宋体"/>
          <w:b/>
          <w:bCs/>
          <w:color w:val="000000"/>
          <w:sz w:val="24"/>
        </w:rPr>
        <w:t>一、核心效能指标</w:t>
      </w:r>
    </w:p>
    <w:p w14:paraId="7D1D2AA9">
      <w:pPr>
        <w:pStyle w:val="4"/>
        <w:spacing w:line="360" w:lineRule="auto"/>
        <w:ind w:firstLine="470"/>
        <w:rPr>
          <w:rFonts w:hint="eastAsia" w:ascii="宋体" w:hAnsi="宋体" w:eastAsia="宋体" w:cs="宋体"/>
          <w:color w:val="000000"/>
          <w:sz w:val="24"/>
        </w:rPr>
      </w:pPr>
      <w:r>
        <w:rPr>
          <w:rFonts w:hint="eastAsia" w:ascii="宋体" w:hAnsi="宋体" w:eastAsia="宋体" w:cs="宋体"/>
          <w:color w:val="000000"/>
          <w:sz w:val="24"/>
        </w:rPr>
        <w:t>设备在线率‌</w:t>
      </w:r>
    </w:p>
    <w:p w14:paraId="509CF87F">
      <w:pPr>
        <w:pStyle w:val="4"/>
        <w:spacing w:line="360" w:lineRule="auto"/>
        <w:ind w:firstLine="470"/>
        <w:rPr>
          <w:rFonts w:hint="eastAsia" w:ascii="宋体" w:hAnsi="宋体" w:eastAsia="宋体" w:cs="宋体"/>
          <w:color w:val="000000"/>
          <w:sz w:val="24"/>
        </w:rPr>
      </w:pPr>
      <w:r>
        <w:rPr>
          <w:rFonts w:hint="eastAsia" w:ascii="宋体" w:hAnsi="宋体" w:eastAsia="宋体" w:cs="宋体"/>
          <w:color w:val="000000"/>
          <w:sz w:val="24"/>
        </w:rPr>
        <w:t>考核要求：月均在线率≥95%</w:t>
      </w:r>
    </w:p>
    <w:p w14:paraId="73B52BF7">
      <w:pPr>
        <w:pStyle w:val="4"/>
        <w:spacing w:line="360" w:lineRule="auto"/>
        <w:ind w:firstLine="470"/>
        <w:rPr>
          <w:rFonts w:hint="eastAsia" w:ascii="宋体" w:hAnsi="宋体" w:eastAsia="宋体" w:cs="宋体"/>
          <w:color w:val="000000"/>
          <w:sz w:val="24"/>
        </w:rPr>
      </w:pPr>
      <w:r>
        <w:rPr>
          <w:rFonts w:hint="eastAsia" w:ascii="宋体" w:hAnsi="宋体" w:eastAsia="宋体" w:cs="宋体"/>
          <w:color w:val="000000"/>
          <w:sz w:val="24"/>
        </w:rPr>
        <w:t>考核方式：每月随机抽查监控点，统计72小时连续在线数据</w:t>
      </w:r>
    </w:p>
    <w:p w14:paraId="3AC7CE6E">
      <w:pPr>
        <w:pStyle w:val="4"/>
        <w:spacing w:line="360" w:lineRule="auto"/>
        <w:ind w:firstLine="470"/>
        <w:rPr>
          <w:rFonts w:hint="eastAsia" w:ascii="宋体" w:hAnsi="宋体" w:eastAsia="宋体" w:cs="宋体"/>
          <w:color w:val="000000"/>
          <w:sz w:val="24"/>
        </w:rPr>
      </w:pPr>
      <w:r>
        <w:rPr>
          <w:rFonts w:hint="eastAsia" w:ascii="宋体" w:hAnsi="宋体" w:eastAsia="宋体" w:cs="宋体"/>
          <w:color w:val="000000"/>
          <w:sz w:val="24"/>
        </w:rPr>
        <w:t>惩罚机制：每低于目标值1%，扣减</w:t>
      </w:r>
      <w:r>
        <w:rPr>
          <w:rFonts w:hint="eastAsia" w:ascii="宋体" w:hAnsi="宋体" w:eastAsia="宋体" w:cs="宋体"/>
          <w:color w:val="000000"/>
          <w:sz w:val="24"/>
          <w:lang w:val="en-US" w:eastAsia="zh-CN"/>
        </w:rPr>
        <w:t>2000元</w:t>
      </w:r>
      <w:r>
        <w:rPr>
          <w:rFonts w:hint="eastAsia" w:ascii="宋体" w:hAnsi="宋体" w:eastAsia="宋体" w:cs="宋体"/>
          <w:color w:val="000000"/>
          <w:sz w:val="24"/>
        </w:rPr>
        <w:t>；</w:t>
      </w:r>
    </w:p>
    <w:p w14:paraId="29F10B74">
      <w:pPr>
        <w:pStyle w:val="4"/>
        <w:spacing w:line="360" w:lineRule="auto"/>
        <w:ind w:firstLine="470"/>
        <w:rPr>
          <w:rFonts w:hint="eastAsia" w:ascii="宋体" w:hAnsi="宋体" w:eastAsia="宋体" w:cs="宋体"/>
          <w:color w:val="000000"/>
          <w:sz w:val="24"/>
        </w:rPr>
      </w:pPr>
      <w:r>
        <w:rPr>
          <w:rFonts w:hint="eastAsia" w:ascii="宋体" w:hAnsi="宋体" w:eastAsia="宋体" w:cs="宋体"/>
          <w:color w:val="000000"/>
          <w:sz w:val="24"/>
        </w:rPr>
        <w:t>分级响应标准‌：</w:t>
      </w:r>
    </w:p>
    <w:p w14:paraId="667B2B15">
      <w:pPr>
        <w:pStyle w:val="4"/>
        <w:spacing w:line="360" w:lineRule="auto"/>
        <w:ind w:firstLine="470"/>
        <w:rPr>
          <w:rFonts w:hint="eastAsia" w:ascii="宋体" w:hAnsi="宋体" w:eastAsia="宋体" w:cs="宋体"/>
          <w:color w:val="000000"/>
          <w:sz w:val="24"/>
          <w:lang w:eastAsia="zh-CN"/>
        </w:rPr>
      </w:pPr>
      <w:r>
        <w:rPr>
          <w:rFonts w:hint="eastAsia" w:ascii="宋体" w:hAnsi="宋体" w:eastAsia="宋体" w:cs="宋体"/>
          <w:color w:val="000000"/>
          <w:sz w:val="24"/>
        </w:rPr>
        <w:t xml:space="preserve"> </w:t>
      </w:r>
      <w:r>
        <w:rPr>
          <w:rFonts w:hint="eastAsia" w:ascii="宋体" w:hAnsi="宋体" w:eastAsia="宋体" w:cs="宋体"/>
          <w:color w:val="000000"/>
          <w:sz w:val="24"/>
          <w:lang w:val="en-US" w:eastAsia="zh-CN"/>
        </w:rPr>
        <w:t>1、</w:t>
      </w:r>
      <w:r>
        <w:rPr>
          <w:rFonts w:hint="eastAsia" w:ascii="宋体" w:hAnsi="宋体" w:eastAsia="宋体" w:cs="宋体"/>
          <w:color w:val="000000"/>
          <w:sz w:val="24"/>
        </w:rPr>
        <w:t>普通故障（单点失效</w:t>
      </w:r>
      <w:r>
        <w:rPr>
          <w:rFonts w:hint="eastAsia" w:ascii="宋体" w:hAnsi="宋体" w:eastAsia="宋体" w:cs="宋体"/>
          <w:color w:val="000000"/>
          <w:sz w:val="24"/>
          <w:lang w:eastAsia="zh-CN"/>
        </w:rPr>
        <w:t>、</w:t>
      </w:r>
      <w:r>
        <w:rPr>
          <w:rFonts w:hint="eastAsia" w:ascii="宋体" w:hAnsi="宋体" w:eastAsia="宋体" w:cs="宋体"/>
          <w:color w:val="000000"/>
          <w:sz w:val="24"/>
          <w:lang w:val="en-US" w:eastAsia="zh-CN"/>
        </w:rPr>
        <w:t>前端视频遮挡、模糊、位置不对、链路不通等</w:t>
      </w:r>
      <w:r>
        <w:rPr>
          <w:rFonts w:hint="eastAsia" w:ascii="宋体" w:hAnsi="宋体" w:eastAsia="宋体" w:cs="宋体"/>
          <w:color w:val="000000"/>
          <w:sz w:val="24"/>
        </w:rPr>
        <w:t>）：</w:t>
      </w:r>
      <w:r>
        <w:rPr>
          <w:rFonts w:hint="eastAsia" w:ascii="宋体" w:hAnsi="宋体" w:eastAsia="宋体" w:cs="宋体"/>
          <w:color w:val="000000"/>
          <w:sz w:val="24"/>
          <w:lang w:val="en-US" w:eastAsia="zh-CN"/>
        </w:rPr>
        <w:t>1</w:t>
      </w:r>
      <w:r>
        <w:rPr>
          <w:rFonts w:hint="eastAsia" w:ascii="宋体" w:hAnsi="宋体" w:eastAsia="宋体" w:cs="宋体"/>
          <w:color w:val="000000"/>
          <w:sz w:val="24"/>
        </w:rPr>
        <w:t>小时内</w:t>
      </w:r>
      <w:r>
        <w:rPr>
          <w:rFonts w:hint="eastAsia" w:ascii="宋体" w:hAnsi="宋体" w:eastAsia="宋体" w:cs="宋体"/>
          <w:color w:val="000000"/>
          <w:sz w:val="24"/>
          <w:lang w:val="en-US" w:eastAsia="zh-CN"/>
        </w:rPr>
        <w:t>响应</w:t>
      </w:r>
      <w:r>
        <w:rPr>
          <w:rFonts w:hint="eastAsia" w:ascii="宋体" w:hAnsi="宋体" w:eastAsia="宋体" w:cs="宋体"/>
          <w:color w:val="000000"/>
          <w:sz w:val="24"/>
        </w:rPr>
        <w:t>，</w:t>
      </w:r>
      <w:r>
        <w:rPr>
          <w:rFonts w:hint="eastAsia" w:ascii="宋体" w:hAnsi="宋体" w:eastAsia="宋体" w:cs="宋体"/>
          <w:color w:val="000000"/>
          <w:sz w:val="24"/>
          <w:lang w:val="en-US" w:eastAsia="zh-CN"/>
        </w:rPr>
        <w:t>24</w:t>
      </w:r>
      <w:r>
        <w:rPr>
          <w:rFonts w:hint="eastAsia" w:ascii="宋体" w:hAnsi="宋体" w:eastAsia="宋体" w:cs="宋体"/>
          <w:color w:val="000000"/>
          <w:sz w:val="24"/>
        </w:rPr>
        <w:t>小时内修复</w:t>
      </w:r>
    </w:p>
    <w:p w14:paraId="49760E2C">
      <w:pPr>
        <w:pStyle w:val="4"/>
        <w:spacing w:line="360" w:lineRule="auto"/>
        <w:ind w:firstLine="470"/>
        <w:rPr>
          <w:rFonts w:hint="eastAsia" w:ascii="宋体" w:hAnsi="宋体" w:eastAsia="宋体" w:cs="宋体"/>
          <w:color w:val="000000"/>
          <w:sz w:val="24"/>
          <w:lang w:eastAsia="zh-CN"/>
        </w:rPr>
      </w:pPr>
      <w:r>
        <w:rPr>
          <w:rFonts w:hint="eastAsia" w:ascii="宋体" w:hAnsi="宋体" w:eastAsia="宋体" w:cs="宋体"/>
          <w:color w:val="000000"/>
          <w:sz w:val="24"/>
        </w:rPr>
        <w:t xml:space="preserve"> </w:t>
      </w:r>
      <w:r>
        <w:rPr>
          <w:rFonts w:hint="eastAsia" w:ascii="宋体" w:hAnsi="宋体" w:eastAsia="宋体" w:cs="宋体"/>
          <w:color w:val="000000"/>
          <w:sz w:val="24"/>
          <w:lang w:val="en-US" w:eastAsia="zh-CN"/>
        </w:rPr>
        <w:t>2、</w:t>
      </w:r>
      <w:r>
        <w:rPr>
          <w:rFonts w:hint="eastAsia" w:ascii="宋体" w:hAnsi="宋体" w:eastAsia="宋体" w:cs="宋体"/>
          <w:color w:val="000000"/>
          <w:sz w:val="24"/>
        </w:rPr>
        <w:t>重要故障（区域瘫痪</w:t>
      </w:r>
      <w:r>
        <w:rPr>
          <w:rFonts w:hint="eastAsia" w:ascii="宋体" w:hAnsi="宋体" w:eastAsia="宋体" w:cs="宋体"/>
          <w:color w:val="000000"/>
          <w:sz w:val="24"/>
          <w:lang w:eastAsia="zh-CN"/>
        </w:rPr>
        <w:t>、</w:t>
      </w:r>
      <w:r>
        <w:rPr>
          <w:rFonts w:hint="eastAsia" w:ascii="宋体" w:hAnsi="宋体" w:eastAsia="宋体" w:cs="宋体"/>
          <w:color w:val="000000"/>
          <w:sz w:val="24"/>
        </w:rPr>
        <w:t>平台宕机</w:t>
      </w:r>
      <w:r>
        <w:rPr>
          <w:rFonts w:hint="eastAsia" w:ascii="宋体" w:hAnsi="宋体" w:eastAsia="宋体" w:cs="宋体"/>
          <w:color w:val="000000"/>
          <w:sz w:val="24"/>
          <w:lang w:eastAsia="zh-CN"/>
        </w:rPr>
        <w:t>、</w:t>
      </w:r>
      <w:r>
        <w:rPr>
          <w:rFonts w:hint="eastAsia" w:ascii="宋体" w:hAnsi="宋体" w:eastAsia="宋体" w:cs="宋体"/>
          <w:color w:val="000000"/>
          <w:sz w:val="24"/>
          <w:lang w:val="en-US" w:eastAsia="zh-CN"/>
        </w:rPr>
        <w:t>存储故障、上级部门考核重点点位保障不力</w:t>
      </w:r>
      <w:r>
        <w:rPr>
          <w:rFonts w:hint="eastAsia" w:ascii="宋体" w:hAnsi="宋体" w:eastAsia="宋体" w:cs="宋体"/>
          <w:color w:val="000000"/>
          <w:sz w:val="24"/>
        </w:rPr>
        <w:t>）：30分钟内响应，1小时内到场处置</w:t>
      </w:r>
    </w:p>
    <w:p w14:paraId="7A880FC4">
      <w:pPr>
        <w:pStyle w:val="4"/>
        <w:spacing w:line="360" w:lineRule="auto"/>
        <w:ind w:firstLine="470"/>
        <w:rPr>
          <w:rFonts w:hint="eastAsia" w:ascii="宋体" w:hAnsi="宋体" w:eastAsia="宋体" w:cs="宋体"/>
          <w:color w:val="000000"/>
          <w:sz w:val="24"/>
          <w:lang w:eastAsia="zh-CN"/>
        </w:rPr>
      </w:pPr>
      <w:r>
        <w:rPr>
          <w:rFonts w:hint="eastAsia" w:ascii="宋体" w:hAnsi="宋体" w:eastAsia="宋体" w:cs="宋体"/>
          <w:color w:val="000000"/>
          <w:sz w:val="24"/>
        </w:rPr>
        <w:t xml:space="preserve"> </w:t>
      </w:r>
      <w:r>
        <w:rPr>
          <w:rFonts w:hint="eastAsia" w:ascii="宋体" w:hAnsi="宋体" w:eastAsia="宋体" w:cs="宋体"/>
          <w:color w:val="000000"/>
          <w:sz w:val="24"/>
          <w:lang w:val="en-US" w:eastAsia="zh-CN"/>
        </w:rPr>
        <w:t>3、</w:t>
      </w:r>
      <w:r>
        <w:rPr>
          <w:rFonts w:hint="eastAsia" w:ascii="宋体" w:hAnsi="宋体" w:eastAsia="宋体" w:cs="宋体"/>
          <w:color w:val="000000"/>
          <w:sz w:val="24"/>
        </w:rPr>
        <w:t>特殊故障（电力/光缆中断）：2小时内提交书面解决方案</w:t>
      </w:r>
    </w:p>
    <w:p w14:paraId="561CAC07">
      <w:pPr>
        <w:pStyle w:val="4"/>
        <w:spacing w:line="360" w:lineRule="auto"/>
        <w:ind w:firstLine="470"/>
        <w:rPr>
          <w:rFonts w:hint="eastAsia" w:ascii="宋体" w:hAnsi="宋体" w:eastAsia="宋体" w:cs="宋体"/>
          <w:b/>
          <w:bCs/>
          <w:color w:val="auto"/>
          <w:sz w:val="24"/>
          <w:lang w:val="en-US" w:eastAsia="zh-CN"/>
        </w:rPr>
      </w:pPr>
      <w:r>
        <w:rPr>
          <w:rFonts w:hint="eastAsia" w:ascii="宋体" w:hAnsi="宋体" w:eastAsia="宋体" w:cs="宋体"/>
          <w:b/>
          <w:bCs/>
          <w:color w:val="auto"/>
          <w:sz w:val="24"/>
          <w:lang w:val="en-US" w:eastAsia="zh-CN"/>
        </w:rPr>
        <w:t>注：普通故障未及时响应每次扣减50元，重要故障未及时响应每次扣减200元。</w:t>
      </w:r>
    </w:p>
    <w:p w14:paraId="37B06CC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二、资源保障核查</w:t>
      </w:r>
    </w:p>
    <w:p w14:paraId="6D71B4C5">
      <w:pPr>
        <w:pStyle w:val="4"/>
        <w:spacing w:line="360" w:lineRule="auto"/>
        <w:ind w:firstLine="470"/>
        <w:rPr>
          <w:rFonts w:hint="eastAsia" w:ascii="宋体" w:hAnsi="宋体" w:eastAsia="宋体" w:cs="宋体"/>
          <w:color w:val="auto"/>
          <w:sz w:val="24"/>
        </w:rPr>
      </w:pPr>
      <w:r>
        <w:rPr>
          <w:rFonts w:hint="eastAsia" w:ascii="宋体" w:hAnsi="宋体" w:eastAsia="宋体" w:cs="宋体"/>
          <w:color w:val="auto"/>
          <w:sz w:val="24"/>
        </w:rPr>
        <w:t>人力配置‌</w:t>
      </w:r>
    </w:p>
    <w:p w14:paraId="7078E401">
      <w:pPr>
        <w:pStyle w:val="4"/>
        <w:spacing w:line="360" w:lineRule="auto"/>
        <w:ind w:firstLine="470"/>
        <w:rPr>
          <w:rFonts w:hint="eastAsia" w:ascii="宋体" w:hAnsi="宋体" w:eastAsia="宋体" w:cs="宋体"/>
          <w:color w:val="auto"/>
          <w:sz w:val="24"/>
        </w:rPr>
      </w:pPr>
      <w:r>
        <w:rPr>
          <w:rFonts w:hint="eastAsia" w:ascii="宋体" w:hAnsi="宋体" w:eastAsia="宋体" w:cs="宋体"/>
          <w:color w:val="auto"/>
          <w:sz w:val="24"/>
        </w:rPr>
        <w:t>每月核查维护人员出勤记录，专职人员≥10人（需提供社保缴纳证明）</w:t>
      </w:r>
    </w:p>
    <w:p w14:paraId="6CDE6B57">
      <w:pPr>
        <w:pStyle w:val="4"/>
        <w:shd w:val="clear" w:color="auto" w:fill="auto"/>
        <w:spacing w:line="360" w:lineRule="auto"/>
        <w:ind w:firstLine="470"/>
        <w:rPr>
          <w:rFonts w:hint="eastAsia" w:ascii="宋体" w:hAnsi="宋体" w:eastAsia="宋体" w:cs="宋体"/>
          <w:b w:val="0"/>
          <w:bCs w:val="0"/>
          <w:color w:val="auto"/>
          <w:sz w:val="24"/>
          <w:highlight w:val="none"/>
        </w:rPr>
      </w:pPr>
    </w:p>
    <w:p w14:paraId="7C7929A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Arial"/>
    <w:panose1 w:val="020B0604020202020204"/>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B4525B"/>
    <w:multiLevelType w:val="singleLevel"/>
    <w:tmpl w:val="87B4525B"/>
    <w:lvl w:ilvl="0" w:tentative="0">
      <w:start w:val="5"/>
      <w:numFmt w:val="chineseCounting"/>
      <w:suff w:val="nothing"/>
      <w:lvlText w:val="%1、"/>
      <w:lvlJc w:val="left"/>
      <w:rPr>
        <w:rFonts w:hint="eastAsia"/>
      </w:rPr>
    </w:lvl>
  </w:abstractNum>
  <w:abstractNum w:abstractNumId="1">
    <w:nsid w:val="C4D94246"/>
    <w:multiLevelType w:val="singleLevel"/>
    <w:tmpl w:val="C4D94246"/>
    <w:lvl w:ilvl="0" w:tentative="0">
      <w:start w:val="9"/>
      <w:numFmt w:val="decimal"/>
      <w:suff w:val="nothing"/>
      <w:lvlText w:val="%1、"/>
      <w:lvlJc w:val="left"/>
    </w:lvl>
  </w:abstractNum>
  <w:abstractNum w:abstractNumId="2">
    <w:nsid w:val="C50E5F50"/>
    <w:multiLevelType w:val="singleLevel"/>
    <w:tmpl w:val="C50E5F50"/>
    <w:lvl w:ilvl="0" w:tentative="0">
      <w:start w:val="7"/>
      <w:numFmt w:val="decimal"/>
      <w:suff w:val="nothing"/>
      <w:lvlText w:val="%1、"/>
      <w:lvlJc w:val="left"/>
    </w:lvl>
  </w:abstractNum>
  <w:abstractNum w:abstractNumId="3">
    <w:nsid w:val="082C45C2"/>
    <w:multiLevelType w:val="singleLevel"/>
    <w:tmpl w:val="082C45C2"/>
    <w:lvl w:ilvl="0" w:tentative="0">
      <w:start w:val="3"/>
      <w:numFmt w:val="chineseCounting"/>
      <w:suff w:val="nothing"/>
      <w:lvlText w:val="%1、"/>
      <w:lvlJc w:val="left"/>
      <w:rPr>
        <w:rFonts w:hint="eastAsia"/>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B25F55"/>
    <w:rsid w:val="21A214CB"/>
    <w:rsid w:val="600A5A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hint="default" w:ascii="Times New Roman" w:hAnsi="Times New Roman" w:eastAsia="宋体" w:cs="Times New Roman"/>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正文1111"/>
    <w:next w:val="5"/>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5">
    <w:name w:val="文本块11"/>
    <w:basedOn w:val="6"/>
    <w:qFormat/>
    <w:uiPriority w:val="0"/>
    <w:pPr>
      <w:spacing w:after="120"/>
      <w:ind w:left="1440" w:right="1440"/>
    </w:pPr>
  </w:style>
  <w:style w:type="paragraph" w:customStyle="1" w:styleId="6">
    <w:name w:val="正文12"/>
    <w:next w:val="7"/>
    <w:qFormat/>
    <w:uiPriority w:val="0"/>
    <w:rPr>
      <w:rFonts w:hint="default" w:ascii="Times New Roman" w:hAnsi="Times New Roman" w:eastAsia="Arial" w:cs="Times New Roman"/>
      <w:sz w:val="22"/>
      <w:szCs w:val="22"/>
      <w:lang w:val="en-US" w:eastAsia="zh-CN" w:bidi="ar-SA"/>
    </w:rPr>
  </w:style>
  <w:style w:type="paragraph" w:customStyle="1" w:styleId="7">
    <w:name w:val="无间隔1"/>
    <w:qFormat/>
    <w:uiPriority w:val="0"/>
    <w:rPr>
      <w:rFonts w:hint="default" w:ascii="Calibri" w:hAnsi="Calibri" w:eastAsia="宋体" w:cs="Times New Roman"/>
      <w:lang w:val="en-US" w:eastAsia="zh-CN" w:bidi="ar-SA"/>
    </w:rPr>
  </w:style>
  <w:style w:type="paragraph" w:customStyle="1" w:styleId="8">
    <w:name w:val="正文 A"/>
    <w:qFormat/>
    <w:uiPriority w:val="0"/>
    <w:pPr>
      <w:widowControl w:val="0"/>
      <w:jc w:val="both"/>
    </w:pPr>
    <w:rPr>
      <w:rFonts w:hint="default" w:ascii="Times New Roman" w:hAnsi="Arial Unicode MS" w:eastAsia="Arial Unicode MS" w:cs="Times New Roman"/>
      <w:color w:val="000000"/>
      <w:sz w:val="21"/>
      <w:szCs w:val="21"/>
      <w:lang w:val="en-US" w:eastAsia="zh-CN" w:bidi="ar-SA"/>
    </w:rPr>
  </w:style>
  <w:style w:type="paragraph" w:customStyle="1" w:styleId="9">
    <w:name w:val="正文文本缩进11"/>
    <w:basedOn w:val="4"/>
    <w:next w:val="10"/>
    <w:qFormat/>
    <w:uiPriority w:val="0"/>
    <w:pPr>
      <w:spacing w:after="120"/>
      <w:ind w:left="420"/>
    </w:pPr>
    <w:rPr>
      <w:rFonts w:ascii="Calibri" w:hAnsi="Calibri"/>
    </w:rPr>
  </w:style>
  <w:style w:type="paragraph" w:customStyle="1" w:styleId="10">
    <w:name w:val="寄信人地址11"/>
    <w:basedOn w:val="4"/>
    <w:qFormat/>
    <w:uiPriority w:val="0"/>
    <w:rPr>
      <w:rFonts w:ascii="Arial" w:hAnsi="Arial"/>
    </w:rPr>
  </w:style>
  <w:style w:type="table" w:customStyle="1" w:styleId="11">
    <w:name w:val="网格型1"/>
    <w:basedOn w:val="12"/>
    <w:qFormat/>
    <w:uiPriority w:val="0"/>
  </w:style>
  <w:style w:type="table" w:customStyle="1" w:styleId="12">
    <w:name w:val="普通表格1"/>
    <w:qFormat/>
    <w:uiPriority w:val="0"/>
    <w:tblPr>
      <w:tblCellMar>
        <w:top w:w="0" w:type="dxa"/>
        <w:left w:w="0" w:type="dxa"/>
        <w:bottom w:w="0" w:type="dxa"/>
        <w:right w:w="0" w:type="dxa"/>
      </w:tblCellMar>
    </w:tblPr>
  </w:style>
  <w:style w:type="paragraph" w:customStyle="1" w:styleId="13">
    <w:name w:val="标题 51"/>
    <w:basedOn w:val="4"/>
    <w:next w:val="4"/>
    <w:qFormat/>
    <w:uiPriority w:val="0"/>
    <w:pPr>
      <w:keepNext/>
      <w:keepLines/>
      <w:spacing w:before="320" w:after="200"/>
      <w:outlineLvl w:val="4"/>
    </w:pPr>
    <w:rPr>
      <w:rFonts w:ascii="Arial" w:hAnsi="Arial" w:eastAsia="Arial"/>
      <w:b/>
      <w:bCs/>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709</Words>
  <Characters>816</Characters>
  <Lines>0</Lines>
  <Paragraphs>0</Paragraphs>
  <TotalTime>3</TotalTime>
  <ScaleCrop>false</ScaleCrop>
  <LinksUpToDate>false</LinksUpToDate>
  <CharactersWithSpaces>819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2026-08-01T13:46:00Z</dcterms:created>
  <dc:creator>Administrator</dc:creator>
  <cp:lastModifiedBy>落雪飞花</cp:lastModifiedBy>
  <cp:lastPrinted>2026-08-01T13:47:00Z</cp:lastPrinted>
  <dcterms:modified xsi:type="dcterms:W3CDTF">2026-08-04T01:36:06Z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eyJoZGlkIjoiZDdkYjEyZDkzNWNmN2QwZGU4YWU1NjZlYzZjYzNmNzMiLCJ1c2VySWQiOiI0MDI0OTQyNzcifQ==</vt:lpwstr>
  </property>
  <property fmtid="{D5CDD505-2E9C-101B-9397-08002B2CF9AE}" pid="4" name="ICV">
    <vt:lpwstr>E63B976916BF424FB1D6274FFC28D372_12</vt:lpwstr>
  </property>
</Properties>
</file>