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jc w:val="center"/>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pStyle w:val="949"/>
        <w:ind w:firstLine="0"/>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pStyle w:val="949"/>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jc w:val="center"/>
        <w:rPr>
          <w:rFonts w:hint="eastAsia" w:ascii="宋体" w:hAnsi="宋体" w:eastAsia="宋体" w:cs="宋体"/>
          <w:b/>
          <w:spacing w:val="76"/>
          <w:sz w:val="156"/>
          <w:highlight w:val="none"/>
        </w:rPr>
      </w:pPr>
      <w:r>
        <w:rPr>
          <w:rFonts w:hint="eastAsia" w:ascii="宋体" w:hAnsi="宋体" w:eastAsia="宋体" w:cs="宋体"/>
          <w:b/>
          <w:spacing w:val="76"/>
          <w:sz w:val="156"/>
          <w:highlight w:val="none"/>
        </w:rPr>
        <w:t xml:space="preserve">招标文件</w:t>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jc w:val="center"/>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49"/>
        <w:ind w:firstLine="0"/>
        <w:rPr>
          <w:rFonts w:hint="eastAsia" w:ascii="宋体" w:hAnsi="宋体" w:eastAsia="宋体" w:cs="宋体"/>
          <w:sz w:val="32"/>
          <w:highlight w:val="none"/>
        </w:rPr>
      </w:pPr>
      <w:r>
        <w:rPr>
          <w:rFonts w:hint="eastAsia" w:ascii="宋体" w:hAnsi="宋体" w:eastAsia="宋体" w:cs="宋体"/>
          <w:sz w:val="32"/>
          <w:highlight w:val="none"/>
        </w:rPr>
      </w:r>
      <w:r/>
    </w:p>
    <w:p>
      <w:pPr>
        <w:ind w:firstLine="320"/>
        <w:spacing w:line="600" w:lineRule="exact"/>
        <w:rPr>
          <w:rFonts w:hint="eastAsia" w:ascii="宋体" w:hAnsi="宋体" w:eastAsia="宋体" w:cs="宋体"/>
          <w:sz w:val="32"/>
          <w:highlight w:val="none"/>
          <w:lang w:eastAsia="zh-CN"/>
        </w:rPr>
      </w:pPr>
      <w:r>
        <w:rPr>
          <w:rFonts w:hint="eastAsia" w:ascii="宋体" w:hAnsi="宋体" w:eastAsia="宋体" w:cs="宋体"/>
          <w:sz w:val="32"/>
          <w:highlight w:val="none"/>
        </w:rPr>
        <w:t xml:space="preserve">项目编号：</w:t>
      </w:r>
      <w:r>
        <w:rPr>
          <w:rFonts w:hint="eastAsia" w:ascii="宋体" w:hAnsi="宋体" w:cs="宋体"/>
          <w:sz w:val="32"/>
          <w:highlight w:val="none"/>
          <w:lang w:eastAsia="zh-CN"/>
        </w:rPr>
        <w:t xml:space="preserve">JSZC-320324-HWZX-G2026-0454</w:t>
      </w:r>
      <w:r/>
    </w:p>
    <w:p>
      <w:pPr>
        <w:ind w:firstLine="960"/>
        <w:spacing w:line="600" w:lineRule="exact"/>
        <w:rPr>
          <w:rFonts w:hint="eastAsia" w:ascii="宋体" w:hAnsi="宋体" w:eastAsia="宋体" w:cs="宋体"/>
          <w:sz w:val="32"/>
          <w:highlight w:val="none"/>
        </w:rPr>
      </w:pPr>
      <w:r>
        <w:rPr>
          <w:rFonts w:hint="eastAsia" w:ascii="宋体" w:hAnsi="宋体" w:eastAsia="宋体" w:cs="宋体"/>
          <w:sz w:val="32"/>
          <w:highlight w:val="none"/>
        </w:rPr>
      </w:r>
      <w:r/>
    </w:p>
    <w:p>
      <w:pPr>
        <w:ind w:firstLine="320"/>
        <w:spacing w:line="600" w:lineRule="exact"/>
        <w:rPr>
          <w:rFonts w:hint="eastAsia" w:ascii="宋体" w:hAnsi="宋体" w:eastAsia="宋体" w:cs="宋体"/>
          <w:sz w:val="32"/>
          <w:highlight w:val="none"/>
          <w:lang w:eastAsia="zh-CN"/>
        </w:rPr>
      </w:pPr>
      <w:r>
        <w:rPr>
          <w:rFonts w:hint="eastAsia" w:ascii="宋体" w:hAnsi="宋体" w:eastAsia="宋体" w:cs="宋体"/>
          <w:sz w:val="32"/>
          <w:highlight w:val="none"/>
        </w:rPr>
        <w:t xml:space="preserve">项目名称：</w:t>
      </w:r>
      <w:r>
        <w:rPr>
          <w:rFonts w:hint="eastAsia" w:ascii="宋体" w:hAnsi="宋体" w:cs="宋体"/>
          <w:sz w:val="32"/>
          <w:highlight w:val="none"/>
          <w:lang w:eastAsia="zh-CN"/>
        </w:rPr>
        <w:t xml:space="preserve">睢宁县行政办公中心及商务中心能源费用托管服务项目</w:t>
      </w:r>
      <w:r/>
    </w:p>
    <w:p>
      <w:pPr>
        <w:ind w:firstLine="960"/>
        <w:spacing w:line="600" w:lineRule="exact"/>
        <w:rPr>
          <w:rFonts w:hint="eastAsia" w:ascii="宋体" w:hAnsi="宋体" w:eastAsia="宋体" w:cs="宋体"/>
          <w:sz w:val="32"/>
          <w:highlight w:val="none"/>
        </w:rPr>
      </w:pPr>
      <w:r>
        <w:rPr>
          <w:rFonts w:hint="eastAsia" w:ascii="宋体" w:hAnsi="宋体" w:eastAsia="宋体" w:cs="宋体"/>
          <w:sz w:val="32"/>
          <w:highlight w:val="none"/>
        </w:rPr>
      </w:r>
      <w:r/>
    </w:p>
    <w:p>
      <w:pPr>
        <w:ind w:firstLine="320"/>
        <w:spacing w:line="600" w:lineRule="exact"/>
        <w:rPr>
          <w:rFonts w:hint="eastAsia" w:ascii="宋体" w:hAnsi="宋体" w:eastAsia="宋体" w:cs="宋体"/>
          <w:sz w:val="32"/>
          <w:highlight w:val="none"/>
          <w:lang w:eastAsia="zh-CN"/>
        </w:rPr>
      </w:pPr>
      <w:r>
        <w:rPr>
          <w:rFonts w:hint="eastAsia" w:ascii="宋体" w:hAnsi="宋体" w:eastAsia="宋体" w:cs="宋体"/>
          <w:sz w:val="32"/>
          <w:highlight w:val="none"/>
        </w:rPr>
        <w:t xml:space="preserve">采 购 人：</w:t>
      </w:r>
      <w:r>
        <w:rPr>
          <w:rFonts w:hint="eastAsia" w:ascii="宋体" w:hAnsi="宋体" w:cs="宋体"/>
          <w:sz w:val="32"/>
          <w:highlight w:val="none"/>
          <w:lang w:eastAsia="zh-CN"/>
        </w:rPr>
        <w:t xml:space="preserve">睢宁县机关事务管理中心</w:t>
      </w:r>
      <w:r/>
    </w:p>
    <w:p>
      <w:pPr>
        <w:ind w:right="-159" w:firstLine="2112"/>
        <w:spacing w:line="300" w:lineRule="auto"/>
        <w:rPr>
          <w:rFonts w:hint="eastAsia" w:ascii="宋体" w:hAnsi="宋体" w:eastAsia="宋体" w:cs="宋体"/>
          <w:sz w:val="44"/>
          <w:highlight w:val="none"/>
        </w:rPr>
      </w:pPr>
      <w:r>
        <w:rPr>
          <w:rFonts w:hint="eastAsia" w:ascii="宋体" w:hAnsi="宋体" w:eastAsia="宋体" w:cs="宋体"/>
          <w:sz w:val="44"/>
          <w:highlight w:val="none"/>
        </w:rPr>
      </w:r>
      <w:r/>
    </w:p>
    <w:p>
      <w:pPr>
        <w:ind w:right="-159"/>
        <w:jc w:val="center"/>
        <w:spacing w:line="300" w:lineRule="auto"/>
        <w:rPr>
          <w:rFonts w:hint="eastAsia" w:ascii="Times New Roman" w:hAnsi="Times New Roman" w:eastAsia="宋体"/>
          <w:color w:val="auto"/>
          <w:sz w:val="44"/>
          <w:highlight w:val="none"/>
          <w:lang w:eastAsia="zh-CN"/>
        </w:rPr>
      </w:pPr>
      <w:r>
        <w:rPr>
          <w:rFonts w:hint="eastAsia" w:ascii="Times New Roman" w:hAnsi="Times New Roman" w:eastAsia="宋体"/>
          <w:color w:val="auto"/>
          <w:sz w:val="44"/>
          <w:highlight w:val="none"/>
          <w:lang w:eastAsia="zh-CN"/>
        </w:rPr>
      </w:r>
      <w:r/>
    </w:p>
    <w:p>
      <w:pPr>
        <w:ind w:right="-159"/>
        <w:jc w:val="center"/>
        <w:spacing w:line="300" w:lineRule="auto"/>
        <w:rPr>
          <w:rFonts w:hint="eastAsia" w:ascii="Times New Roman" w:hAnsi="Times New Roman" w:eastAsia="宋体"/>
          <w:color w:val="auto"/>
          <w:sz w:val="44"/>
          <w:highlight w:val="none"/>
          <w:lang w:eastAsia="zh-CN"/>
        </w:rPr>
      </w:pPr>
      <w:r>
        <w:rPr>
          <w:rFonts w:hint="eastAsia" w:ascii="Times New Roman" w:hAnsi="Times New Roman" w:eastAsia="宋体"/>
          <w:color w:val="auto"/>
          <w:sz w:val="44"/>
          <w:highlight w:val="none"/>
          <w:lang w:eastAsia="zh-CN"/>
        </w:rPr>
        <mc:AlternateContent>
          <mc:Choice Requires="wpg">
            <w:drawing>
              <wp:inline xmlns:wp="http://schemas.openxmlformats.org/drawingml/2006/wordprocessingDrawing" distT="0" distB="0" distL="0" distR="0">
                <wp:extent cx="1511935" cy="1033780"/>
                <wp:effectExtent l="0" t="0" r="12065" b="13970"/>
                <wp:docPr id="3" name="图片 1"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蓝色透明底PNG"/>
                        <pic:cNvPicPr>
                          <a:picLocks noChangeAspect="1"/>
                        </pic:cNvPicPr>
                        <pic:nvPr/>
                      </pic:nvPicPr>
                      <pic:blipFill>
                        <a:blip r:embed="rId16"/>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9.0pt;height:81.4pt;mso-wrap-distance-left:0.0pt;mso-wrap-distance-top:0.0pt;mso-wrap-distance-right:0.0pt;mso-wrap-distance-bottom:0.0pt;" stroked="f">
                <v:path textboxrect="0,0,0,0"/>
                <v:imagedata r:id="rId16" o:title=""/>
              </v:shape>
            </w:pict>
          </mc:Fallback>
        </mc:AlternateContent>
      </w:r>
      <w:r/>
    </w:p>
    <w:p>
      <w:pPr>
        <w:ind w:right="-159"/>
        <w:jc w:val="center"/>
        <w:spacing w:line="300" w:lineRule="auto"/>
        <w:rPr>
          <w:rFonts w:hint="eastAsia" w:ascii="Times New Roman" w:hAnsi="Times New Roman" w:eastAsia="宋体"/>
          <w:color w:val="auto"/>
          <w:sz w:val="44"/>
          <w:highlight w:val="none"/>
          <w:lang w:eastAsia="zh-CN"/>
        </w:rPr>
      </w:pPr>
      <w:r>
        <w:rPr>
          <w:rFonts w:hint="eastAsia" w:ascii="Times New Roman" w:hAnsi="Times New Roman" w:eastAsia="宋体"/>
          <w:color w:val="auto"/>
          <w:sz w:val="44"/>
          <w:highlight w:val="none"/>
          <w:lang w:eastAsia="zh-CN"/>
        </w:rPr>
      </w:r>
      <w:r/>
    </w:p>
    <w:p>
      <w:pPr>
        <w:jc w:val="center"/>
        <w:spacing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采购代理机构：江苏海外集团国际工程咨询有限公司</w:t>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bCs/>
          <w:sz w:val="30"/>
          <w:highlight w:val="none"/>
        </w:rPr>
        <w:t xml:space="preserve">二〇二</w:t>
      </w:r>
      <w:r>
        <w:rPr>
          <w:rFonts w:hint="eastAsia" w:ascii="宋体" w:hAnsi="宋体" w:cs="宋体"/>
          <w:bCs/>
          <w:sz w:val="30"/>
          <w:highlight w:val="none"/>
          <w:lang w:val="en-US" w:eastAsia="zh-CN"/>
        </w:rPr>
        <w:t xml:space="preserve">六</w:t>
      </w:r>
      <w:r>
        <w:rPr>
          <w:rFonts w:hint="eastAsia" w:ascii="宋体" w:hAnsi="宋体" w:eastAsia="宋体" w:cs="宋体"/>
          <w:bCs/>
          <w:sz w:val="30"/>
          <w:highlight w:val="none"/>
        </w:rPr>
        <w:t xml:space="preserve">年</w:t>
      </w:r>
      <w:r>
        <w:rPr>
          <w:rFonts w:hint="eastAsia" w:ascii="宋体" w:hAnsi="宋体" w:cs="宋体"/>
          <w:bCs/>
          <w:sz w:val="30"/>
          <w:highlight w:val="none"/>
          <w:lang w:val="en-US" w:eastAsia="zh-CN"/>
        </w:rPr>
        <w:t xml:space="preserve">八</w:t>
      </w:r>
      <w:r>
        <w:rPr>
          <w:rFonts w:hint="eastAsia" w:ascii="宋体" w:hAnsi="宋体" w:eastAsia="宋体" w:cs="宋体"/>
          <w:bCs/>
          <w:sz w:val="30"/>
          <w:highlight w:val="none"/>
        </w:rPr>
        <w:t xml:space="preserve">月</w:t>
      </w:r>
      <w:r/>
    </w:p>
    <w:p>
      <w:pPr>
        <w:rPr>
          <w:rFonts w:hint="eastAsia" w:ascii="宋体" w:hAnsi="宋体" w:eastAsia="宋体" w:cs="宋体"/>
          <w:b/>
          <w:sz w:val="44"/>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624" w:gutter="0"/>
          <w:pgNumType w:start="1"/>
          <w:cols w:num="1" w:sep="0" w:space="1701" w:equalWidth="1"/>
          <w:docGrid w:linePitch="360"/>
        </w:sectPr>
      </w:pPr>
      <w:r>
        <w:rPr>
          <w:rFonts w:hint="eastAsia" w:ascii="宋体" w:hAnsi="宋体" w:eastAsia="宋体" w:cs="宋体"/>
          <w:b/>
          <w:sz w:val="44"/>
          <w:highlight w:val="none"/>
        </w:rPr>
      </w:r>
      <w:r/>
    </w:p>
    <w:p>
      <w:pPr>
        <w:jc w:val="cente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t xml:space="preserve">目 录</w:t>
      </w:r>
      <w:r/>
    </w:p>
    <w:p>
      <w:pPr>
        <w:jc w:val="center"/>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21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highlight w:val="none"/>
        </w:rPr>
        <w:fldChar w:fldCharType="separate"/>
      </w:r>
      <w:r>
        <w:rPr>
          <w:rStyle w:val="909"/>
          <w:rFonts w:hint="eastAsia" w:ascii="宋体" w:hAnsi="宋体" w:eastAsia="宋体" w:cs="宋体"/>
          <w:color w:val="auto"/>
          <w:sz w:val="30"/>
          <w:highlight w:val="none"/>
          <w:u w:val="none"/>
        </w:rPr>
        <w:t xml:space="preserve">第一章  投标邀请</w:t>
      </w:r>
      <w:r>
        <w:rPr>
          <w:rStyle w:val="909"/>
          <w:rFonts w:hint="eastAsia" w:ascii="宋体" w:hAnsi="宋体" w:eastAsia="宋体" w:cs="宋体"/>
          <w:color w:val="auto"/>
          <w:sz w:val="30"/>
          <w:highlight w:val="none"/>
          <w:u w:val="none"/>
        </w:rPr>
        <w:fldChar w:fldCharType="end"/>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21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highlight w:val="none"/>
        </w:rPr>
        <w:fldChar w:fldCharType="separate"/>
      </w:r>
      <w:r>
        <w:rPr>
          <w:rStyle w:val="909"/>
          <w:rFonts w:hint="eastAsia" w:ascii="宋体" w:hAnsi="宋体" w:eastAsia="宋体" w:cs="宋体"/>
          <w:color w:val="auto"/>
          <w:sz w:val="30"/>
          <w:highlight w:val="none"/>
          <w:u w:val="none"/>
        </w:rPr>
        <w:t xml:space="preserve">第二章  投标人须知</w:t>
      </w:r>
      <w:r>
        <w:rPr>
          <w:rStyle w:val="909"/>
          <w:rFonts w:hint="eastAsia" w:ascii="宋体" w:hAnsi="宋体" w:eastAsia="宋体" w:cs="宋体"/>
          <w:color w:val="auto"/>
          <w:sz w:val="30"/>
          <w:highlight w:val="none"/>
          <w:u w:val="none"/>
        </w:rPr>
        <w:fldChar w:fldCharType="end"/>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21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highlight w:val="none"/>
        </w:rPr>
        <w:fldChar w:fldCharType="separate"/>
      </w:r>
      <w:r>
        <w:rPr>
          <w:rStyle w:val="909"/>
          <w:rFonts w:hint="eastAsia" w:ascii="宋体" w:hAnsi="宋体" w:eastAsia="宋体" w:cs="宋体"/>
          <w:color w:val="auto"/>
          <w:sz w:val="30"/>
          <w:highlight w:val="none"/>
          <w:u w:val="none"/>
        </w:rPr>
        <w:t xml:space="preserve">第三章  投标资料表</w:t>
      </w:r>
      <w:r>
        <w:rPr>
          <w:rStyle w:val="909"/>
          <w:rFonts w:hint="eastAsia" w:ascii="宋体" w:hAnsi="宋体" w:eastAsia="宋体" w:cs="宋体"/>
          <w:color w:val="auto"/>
          <w:sz w:val="30"/>
          <w:highlight w:val="none"/>
          <w:u w:val="none"/>
        </w:rPr>
        <w:fldChar w:fldCharType="end"/>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21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highlight w:val="none"/>
        </w:rPr>
        <w:fldChar w:fldCharType="separate"/>
      </w:r>
      <w:r>
        <w:rPr>
          <w:rStyle w:val="909"/>
          <w:rFonts w:hint="eastAsia" w:ascii="宋体" w:hAnsi="宋体" w:eastAsia="宋体" w:cs="宋体"/>
          <w:color w:val="auto"/>
          <w:sz w:val="30"/>
          <w:highlight w:val="none"/>
          <w:u w:val="none"/>
        </w:rPr>
        <w:t xml:space="preserve">第四章  评标标准</w:t>
      </w:r>
      <w:r>
        <w:rPr>
          <w:rStyle w:val="909"/>
          <w:rFonts w:hint="eastAsia" w:ascii="宋体" w:hAnsi="宋体" w:eastAsia="宋体" w:cs="宋体"/>
          <w:color w:val="auto"/>
          <w:sz w:val="30"/>
          <w:highlight w:val="none"/>
          <w:u w:val="none"/>
        </w:rPr>
        <w:fldChar w:fldCharType="end"/>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21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highlight w:val="none"/>
        </w:rPr>
        <w:fldChar w:fldCharType="separate"/>
      </w:r>
      <w:r>
        <w:rPr>
          <w:rStyle w:val="909"/>
          <w:rFonts w:hint="eastAsia" w:ascii="宋体" w:hAnsi="宋体" w:eastAsia="宋体" w:cs="宋体"/>
          <w:color w:val="auto"/>
          <w:sz w:val="30"/>
          <w:highlight w:val="none"/>
          <w:u w:val="none"/>
        </w:rPr>
        <w:t xml:space="preserve">第五章  拟签订的合同文本</w:t>
      </w:r>
      <w:r>
        <w:rPr>
          <w:rStyle w:val="909"/>
          <w:rFonts w:hint="eastAsia" w:ascii="宋体" w:hAnsi="宋体" w:eastAsia="宋体" w:cs="宋体"/>
          <w:color w:val="auto"/>
          <w:sz w:val="30"/>
          <w:highlight w:val="none"/>
          <w:u w:val="none"/>
        </w:rPr>
        <w:fldChar w:fldCharType="end"/>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21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highlight w:val="none"/>
        </w:rPr>
        <w:fldChar w:fldCharType="separate"/>
      </w:r>
      <w:r>
        <w:rPr>
          <w:rStyle w:val="909"/>
          <w:rFonts w:hint="eastAsia" w:ascii="宋体" w:hAnsi="宋体" w:eastAsia="宋体" w:cs="宋体"/>
          <w:color w:val="auto"/>
          <w:sz w:val="30"/>
          <w:highlight w:val="none"/>
          <w:u w:val="none"/>
        </w:rPr>
        <w:t xml:space="preserve">第六章  采购需求</w:t>
      </w:r>
      <w:r>
        <w:rPr>
          <w:rStyle w:val="909"/>
          <w:rFonts w:hint="eastAsia" w:ascii="宋体" w:hAnsi="宋体" w:eastAsia="宋体" w:cs="宋体"/>
          <w:color w:val="auto"/>
          <w:sz w:val="30"/>
          <w:highlight w:val="none"/>
          <w:u w:val="none"/>
        </w:rPr>
        <w:fldChar w:fldCharType="end"/>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21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highlight w:val="none"/>
        </w:rPr>
        <w:fldChar w:fldCharType="separate"/>
      </w:r>
      <w:r>
        <w:rPr>
          <w:rStyle w:val="909"/>
          <w:rFonts w:hint="eastAsia" w:ascii="宋体" w:hAnsi="宋体" w:eastAsia="宋体" w:cs="宋体"/>
          <w:color w:val="auto"/>
          <w:sz w:val="30"/>
          <w:highlight w:val="none"/>
          <w:u w:val="none"/>
        </w:rPr>
        <w:t xml:space="preserve">第七章  投标文件相关格式</w:t>
      </w:r>
      <w:r>
        <w:rPr>
          <w:rStyle w:val="909"/>
          <w:rFonts w:hint="eastAsia" w:ascii="宋体" w:hAnsi="宋体" w:eastAsia="宋体" w:cs="宋体"/>
          <w:color w:val="auto"/>
          <w:sz w:val="30"/>
          <w:highlight w:val="none"/>
          <w:u w:val="none"/>
        </w:rPr>
        <w:fldChar w:fldCharType="end"/>
      </w:r>
      <w:r/>
    </w:p>
    <w:p>
      <w:pPr>
        <w:jc w:val="center"/>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519" w:lineRule="atLeast"/>
        <w:rPr>
          <w:rFonts w:hint="eastAsia" w:ascii="宋体" w:hAnsi="宋体" w:eastAsia="宋体" w:cs="宋体"/>
          <w:b/>
          <w:sz w:val="44"/>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680" w:gutter="0"/>
          <w:pgNumType w:start="1"/>
          <w:cols w:num="1" w:sep="0" w:space="1701" w:equalWidth="1"/>
          <w:docGrid w:linePitch="360"/>
        </w:sectPr>
      </w:pPr>
      <w:r>
        <w:rPr>
          <w:rFonts w:hint="eastAsia" w:ascii="宋体" w:hAnsi="宋体" w:eastAsia="宋体" w:cs="宋体"/>
          <w:b/>
          <w:sz w:val="44"/>
          <w:highlight w:val="none"/>
        </w:rPr>
      </w:r>
      <w:r/>
    </w:p>
    <w:p>
      <w:pPr>
        <w:jc w:val="center"/>
        <w:spacing w:line="519" w:lineRule="atLeast"/>
        <w:rPr>
          <w:rFonts w:hint="eastAsia" w:ascii="宋体" w:hAnsi="宋体" w:eastAsia="宋体" w:cs="宋体"/>
          <w:b/>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highlight w:val="none"/>
          <w:lang w:eastAsia="zh-CN"/>
        </w:rPr>
        <w:t xml:space="preserve">睢宁县机关事务管理中心</w:t>
      </w:r>
      <w:r/>
    </w:p>
    <w:p>
      <w:pPr>
        <w:jc w:val="center"/>
        <w:spacing w:line="519" w:lineRule="atLeast"/>
        <w:rPr>
          <w:rFonts w:hint="eastAsia" w:ascii="宋体" w:hAnsi="宋体" w:eastAsia="宋体" w:cs="宋体"/>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highlight w:val="none"/>
        </w:rPr>
        <w:t xml:space="preserve">《</w:t>
      </w:r>
      <w:r>
        <w:rPr>
          <w:rFonts w:hint="eastAsia" w:ascii="宋体" w:hAnsi="宋体" w:cs="宋体"/>
          <w:b/>
          <w:sz w:val="36"/>
          <w:szCs w:val="36"/>
          <w:highlight w:val="none"/>
          <w:lang w:eastAsia="zh-CN"/>
        </w:rPr>
        <w:t xml:space="preserve">睢宁县行政办公中心及商务中心能源费用托管服务项目</w:t>
      </w:r>
      <w:r>
        <w:rPr>
          <w:rFonts w:hint="eastAsia" w:ascii="宋体" w:hAnsi="宋体" w:eastAsia="宋体" w:cs="宋体"/>
          <w:b/>
          <w:sz w:val="36"/>
          <w:szCs w:val="36"/>
          <w:highlight w:val="none"/>
        </w:rPr>
        <w:t xml:space="preserve">》</w:t>
      </w:r>
      <w:r/>
    </w:p>
    <w:p>
      <w:pPr>
        <w:jc w:val="center"/>
        <w:spacing w:line="519" w:lineRule="atLeast"/>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21"/>
          <w:highlight w:val="none"/>
        </w:rPr>
        <w:t xml:space="preserve">招标文件</w:t>
      </w:r>
      <w:r/>
    </w:p>
    <w:p>
      <w:pPr>
        <w:ind w:firstLine="600"/>
        <w:spacing w:line="519" w:lineRule="atLeast"/>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 </w:t>
      </w:r>
      <w:r/>
    </w:p>
    <w:p>
      <w:pPr>
        <w:jc w:val="center"/>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szCs w:val="21"/>
          <w:highlight w:val="none"/>
        </w:rPr>
        <w:t xml:space="preserve">第一章  投标邀请</w:t>
      </w:r>
      <w:r/>
    </w:p>
    <w:p>
      <w:pPr>
        <w:ind w:firstLine="600"/>
        <w:spacing w:line="519" w:lineRule="atLeast"/>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u w:val="single"/>
        </w:rPr>
        <w:t xml:space="preserve">江苏海外集团国际工程咨询有限公司</w:t>
      </w:r>
      <w:r>
        <w:rPr>
          <w:rFonts w:hint="eastAsia" w:ascii="宋体" w:hAnsi="宋体" w:eastAsia="宋体" w:cs="宋体"/>
          <w:sz w:val="24"/>
          <w:szCs w:val="21"/>
          <w:highlight w:val="none"/>
        </w:rPr>
        <w:t xml:space="preserve">对</w:t>
      </w:r>
      <w:r>
        <w:rPr>
          <w:rFonts w:hint="eastAsia" w:ascii="宋体" w:hAnsi="宋体" w:cs="宋体"/>
          <w:sz w:val="24"/>
          <w:szCs w:val="21"/>
          <w:highlight w:val="none"/>
          <w:u w:val="single"/>
          <w:lang w:eastAsia="zh-CN"/>
        </w:rPr>
        <w:t xml:space="preserve">睢宁县行政办公中心及商务中心能源费用托管服务项目</w:t>
      </w:r>
      <w:r>
        <w:rPr>
          <w:rFonts w:hint="eastAsia" w:ascii="宋体" w:hAnsi="宋体" w:eastAsia="宋体" w:cs="宋体"/>
          <w:sz w:val="24"/>
          <w:szCs w:val="21"/>
          <w:highlight w:val="none"/>
        </w:rPr>
        <w:t xml:space="preserve">项目进行公开招标采购，现邀请符合相关条件的投标人投标。</w:t>
      </w:r>
      <w:r/>
    </w:p>
    <w:p>
      <w:pPr>
        <w:ind w:firstLine="300"/>
        <w:spacing w:line="519" w:lineRule="atLeast"/>
        <w:rPr>
          <w:rFonts w:hint="eastAsia" w:ascii="宋体" w:hAnsi="宋体" w:eastAsia="宋体" w:cs="宋体"/>
          <w:b/>
          <w:bCs/>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highlight w:val="none"/>
        </w:rPr>
        <w:t xml:space="preserve">一、项目名称和项目编号</w:t>
      </w:r>
      <w:r/>
    </w:p>
    <w:p>
      <w:pPr>
        <w:ind w:firstLine="300"/>
        <w:spacing w:line="519" w:lineRule="atLeast"/>
        <w:rPr>
          <w:rFonts w:hint="eastAsia" w:ascii="宋体" w:hAnsi="宋体" w:eastAsia="宋体" w:cs="宋体"/>
          <w:sz w:val="18"/>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(一)项目名称：</w:t>
      </w:r>
      <w:r>
        <w:rPr>
          <w:rFonts w:hint="eastAsia" w:ascii="宋体" w:hAnsi="宋体" w:cs="宋体"/>
          <w:sz w:val="24"/>
          <w:szCs w:val="21"/>
          <w:highlight w:val="none"/>
          <w:lang w:eastAsia="zh-CN"/>
        </w:rPr>
        <w:t xml:space="preserve">睢宁县行政办公中心及商务中心能源费用托管服务项目</w:t>
      </w:r>
      <w:r/>
    </w:p>
    <w:p>
      <w:pPr>
        <w:ind w:firstLine="300"/>
        <w:spacing w:line="519" w:lineRule="atLeast"/>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(二)项目编号：</w:t>
      </w:r>
      <w:r>
        <w:rPr>
          <w:rFonts w:hint="eastAsia" w:ascii="宋体" w:hAnsi="宋体" w:cs="宋体"/>
          <w:sz w:val="24"/>
          <w:szCs w:val="21"/>
          <w:highlight w:val="none"/>
          <w:lang w:eastAsia="zh-CN"/>
        </w:rPr>
        <w:t xml:space="preserve">JSZC-320324-HWZX-G2026-0454</w:t>
      </w:r>
      <w:r/>
    </w:p>
    <w:p>
      <w:pPr>
        <w:ind w:firstLine="300"/>
        <w:spacing w:line="519" w:lineRule="atLeast"/>
        <w:rPr>
          <w:rFonts w:hint="eastAsia" w:ascii="宋体" w:hAnsi="宋体" w:eastAsia="宋体" w:cs="宋体"/>
          <w:b/>
          <w:bCs/>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highlight w:val="none"/>
        </w:rPr>
        <w:t xml:space="preserve">二、对投标人的资格要求</w:t>
      </w:r>
      <w:r/>
    </w:p>
    <w:p>
      <w:pPr>
        <w:ind w:firstLine="300"/>
        <w:spacing w:line="519" w:lineRule="atLeast"/>
        <w:rPr>
          <w:rFonts w:hint="eastAsia" w:ascii="宋体" w:hAnsi="宋体"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详见本项目公开招标公告。</w:t>
      </w:r>
      <w:r/>
    </w:p>
    <w:p>
      <w:pPr>
        <w:ind w:firstLine="301"/>
        <w:spacing w:line="519" w:lineRule="atLeast"/>
        <w:rPr>
          <w:rFonts w:hint="eastAsia" w:ascii="宋体" w:hAnsi="宋体" w:eastAsia="宋体" w:cs="宋体"/>
          <w:b/>
          <w:bCs/>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highlight w:val="none"/>
        </w:rPr>
        <w:t xml:space="preserve">三、获取招标文件</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（3）“CA数字证书”的获取：</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sz w:val="24"/>
          <w:szCs w:val="24"/>
          <w:lang w:val="en-US" w:eastAsia="zh-CN"/>
        </w:rPr>
        <w:t xml:space="preserve">办事指南</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资料下载</w:t>
      </w:r>
      <w:r>
        <w:rPr>
          <w:rFonts w:hint="eastAsia" w:ascii="宋体" w:hAnsi="宋体" w:cs="宋体"/>
          <w:color w:val="000000"/>
          <w:sz w:val="24"/>
          <w:szCs w:val="24"/>
        </w:rPr>
        <w:t xml:space="preserve">”中的《“苏采云”系统政务CA办理材料、操作手册及控件下载》。</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（三）售价：免费。</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四、投标有关信息</w:t>
      </w:r>
      <w:r/>
    </w:p>
    <w:p>
      <w:pPr>
        <w:ind w:firstLine="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（一）投标截止时间：</w:t>
      </w:r>
      <w:r>
        <w:rPr>
          <w:rFonts w:hint="eastAsia" w:ascii="宋体" w:hAnsi="宋体" w:eastAsia="宋体" w:cs="宋体"/>
          <w:b/>
          <w:sz w:val="24"/>
          <w:szCs w:val="21"/>
          <w:highlight w:val="none"/>
        </w:rPr>
        <w:t xml:space="preserve">202</w:t>
      </w:r>
      <w:r>
        <w:rPr>
          <w:rFonts w:hint="eastAsia" w:ascii="宋体" w:hAnsi="宋体" w:cs="宋体"/>
          <w:b/>
          <w:sz w:val="24"/>
          <w:szCs w:val="21"/>
          <w:highlight w:val="none"/>
          <w:lang w:val="en-US" w:eastAsia="zh-CN"/>
        </w:rPr>
        <w:t xml:space="preserve">6</w:t>
      </w:r>
      <w:r>
        <w:rPr>
          <w:rFonts w:hint="eastAsia" w:ascii="宋体" w:hAnsi="宋体" w:eastAsia="宋体" w:cs="宋体"/>
          <w:b/>
          <w:sz w:val="24"/>
          <w:szCs w:val="21"/>
          <w:highlight w:val="none"/>
        </w:rPr>
        <w:t xml:space="preserve">年</w:t>
      </w:r>
      <w:r>
        <w:rPr>
          <w:rFonts w:hint="eastAsia" w:ascii="宋体" w:hAnsi="宋体" w:eastAsia="宋体" w:cs="宋体"/>
          <w:b/>
          <w:sz w:val="24"/>
          <w:szCs w:val="21"/>
          <w:highlight w:val="none"/>
          <w:u w:val="single"/>
        </w:rPr>
        <w:t xml:space="preserve"> </w:t>
      </w:r>
      <w:r>
        <w:rPr>
          <w:rFonts w:hint="eastAsia" w:ascii="宋体" w:hAnsi="宋体" w:cs="宋体"/>
          <w:b/>
          <w:sz w:val="24"/>
          <w:szCs w:val="21"/>
          <w:highlight w:val="none"/>
          <w:u w:val="single"/>
          <w:lang w:val="en-US" w:eastAsia="zh-CN"/>
        </w:rPr>
        <w:t xml:space="preserve">9</w:t>
      </w:r>
      <w:r>
        <w:rPr>
          <w:rFonts w:hint="eastAsia" w:ascii="宋体" w:hAnsi="宋体" w:eastAsia="宋体" w:cs="宋体"/>
          <w:b/>
          <w:sz w:val="24"/>
          <w:szCs w:val="21"/>
          <w:highlight w:val="none"/>
          <w:u w:val="single"/>
        </w:rPr>
        <w:t xml:space="preserve"> </w:t>
      </w:r>
      <w:r>
        <w:rPr>
          <w:rFonts w:hint="eastAsia" w:ascii="宋体" w:hAnsi="宋体" w:eastAsia="宋体" w:cs="宋体"/>
          <w:b/>
          <w:sz w:val="24"/>
          <w:szCs w:val="21"/>
          <w:highlight w:val="none"/>
        </w:rPr>
        <w:t xml:space="preserve">月</w:t>
      </w:r>
      <w:r>
        <w:rPr>
          <w:rFonts w:hint="eastAsia" w:ascii="宋体" w:hAnsi="宋体" w:eastAsia="宋体" w:cs="宋体"/>
          <w:b/>
          <w:sz w:val="24"/>
          <w:szCs w:val="21"/>
          <w:highlight w:val="none"/>
          <w:u w:val="single"/>
        </w:rPr>
        <w:t xml:space="preserve"> 14</w:t>
      </w:r>
      <w:r>
        <w:rPr>
          <w:rFonts w:hint="eastAsia" w:ascii="宋体" w:hAnsi="宋体" w:eastAsia="宋体" w:cs="宋体"/>
          <w:b/>
          <w:sz w:val="24"/>
          <w:szCs w:val="21"/>
          <w:highlight w:val="none"/>
          <w:u w:val="single"/>
        </w:rPr>
        <w:t xml:space="preserve"> </w:t>
      </w:r>
      <w:r>
        <w:rPr>
          <w:rFonts w:hint="eastAsia" w:ascii="宋体" w:hAnsi="宋体" w:eastAsia="宋体" w:cs="宋体"/>
          <w:b/>
          <w:sz w:val="24"/>
          <w:szCs w:val="21"/>
          <w:highlight w:val="none"/>
        </w:rPr>
        <w:t xml:space="preserve">日北京时间09：00</w:t>
      </w:r>
      <w:r>
        <w:rPr>
          <w:rFonts w:hint="eastAsia" w:ascii="宋体" w:hAnsi="宋体" w:eastAsia="宋体" w:cs="宋体"/>
          <w:sz w:val="24"/>
          <w:szCs w:val="21"/>
          <w:highlight w:val="none"/>
        </w:rPr>
        <w:t xml:space="preserve">。</w:t>
      </w:r>
      <w:r/>
    </w:p>
    <w:p>
      <w:pPr>
        <w:ind w:firstLine="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（二）开标时间：</w:t>
      </w:r>
      <w:r>
        <w:rPr>
          <w:rFonts w:hint="eastAsia" w:ascii="宋体" w:hAnsi="宋体" w:eastAsia="宋体" w:cs="宋体"/>
          <w:b/>
          <w:sz w:val="24"/>
          <w:szCs w:val="21"/>
          <w:highlight w:val="none"/>
        </w:rPr>
        <w:t xml:space="preserve">202</w:t>
      </w:r>
      <w:r>
        <w:rPr>
          <w:rFonts w:hint="eastAsia" w:ascii="宋体" w:hAnsi="宋体" w:cs="宋体"/>
          <w:b/>
          <w:sz w:val="24"/>
          <w:szCs w:val="21"/>
          <w:highlight w:val="none"/>
          <w:lang w:val="en-US" w:eastAsia="zh-CN"/>
        </w:rPr>
        <w:t xml:space="preserve">6</w:t>
      </w:r>
      <w:r>
        <w:rPr>
          <w:rFonts w:hint="eastAsia" w:ascii="宋体" w:hAnsi="宋体" w:eastAsia="宋体" w:cs="宋体"/>
          <w:b/>
          <w:sz w:val="24"/>
          <w:szCs w:val="21"/>
          <w:highlight w:val="none"/>
        </w:rPr>
        <w:t xml:space="preserve">年</w:t>
      </w:r>
      <w:r>
        <w:rPr>
          <w:rFonts w:hint="eastAsia" w:ascii="宋体" w:hAnsi="宋体" w:eastAsia="宋体" w:cs="宋体"/>
          <w:b/>
          <w:sz w:val="24"/>
          <w:szCs w:val="21"/>
          <w:highlight w:val="none"/>
          <w:u w:val="single"/>
        </w:rPr>
        <w:t xml:space="preserve"> </w:t>
      </w:r>
      <w:r>
        <w:rPr>
          <w:rFonts w:hint="eastAsia" w:ascii="宋体" w:hAnsi="宋体" w:cs="宋体"/>
          <w:b/>
          <w:sz w:val="24"/>
          <w:szCs w:val="21"/>
          <w:highlight w:val="none"/>
          <w:u w:val="single"/>
          <w:lang w:val="en-US" w:eastAsia="zh-CN"/>
        </w:rPr>
        <w:t xml:space="preserve">9</w:t>
      </w:r>
      <w:r>
        <w:rPr>
          <w:rFonts w:hint="eastAsia" w:ascii="宋体" w:hAnsi="宋体" w:eastAsia="宋体" w:cs="宋体"/>
          <w:b/>
          <w:sz w:val="24"/>
          <w:szCs w:val="21"/>
          <w:highlight w:val="none"/>
          <w:u w:val="single"/>
        </w:rPr>
        <w:t xml:space="preserve"> </w:t>
      </w:r>
      <w:r>
        <w:rPr>
          <w:rFonts w:hint="eastAsia" w:ascii="宋体" w:hAnsi="宋体" w:eastAsia="宋体" w:cs="宋体"/>
          <w:b/>
          <w:sz w:val="24"/>
          <w:szCs w:val="21"/>
          <w:highlight w:val="none"/>
        </w:rPr>
        <w:t xml:space="preserve">月</w:t>
      </w:r>
      <w:r>
        <w:rPr>
          <w:rFonts w:hint="eastAsia" w:ascii="宋体" w:hAnsi="宋体" w:eastAsia="宋体" w:cs="宋体"/>
          <w:b/>
          <w:sz w:val="24"/>
          <w:szCs w:val="21"/>
          <w:highlight w:val="none"/>
          <w:u w:val="single"/>
        </w:rPr>
        <w:t xml:space="preserve"> 14</w:t>
      </w:r>
      <w:r>
        <w:rPr>
          <w:rFonts w:hint="eastAsia" w:ascii="宋体" w:hAnsi="宋体" w:eastAsia="宋体" w:cs="宋体"/>
          <w:b/>
          <w:sz w:val="24"/>
          <w:szCs w:val="21"/>
          <w:highlight w:val="none"/>
          <w:u w:val="single"/>
        </w:rPr>
        <w:t xml:space="preserve"> </w:t>
      </w:r>
      <w:r>
        <w:rPr>
          <w:rFonts w:hint="eastAsia" w:ascii="宋体" w:hAnsi="宋体" w:eastAsia="宋体" w:cs="宋体"/>
          <w:b/>
          <w:sz w:val="24"/>
          <w:szCs w:val="21"/>
          <w:highlight w:val="none"/>
        </w:rPr>
        <w:t xml:space="preserve">日北京时间09：00</w:t>
      </w:r>
      <w:r>
        <w:rPr>
          <w:rFonts w:hint="eastAsia" w:ascii="宋体" w:hAnsi="宋体" w:eastAsia="宋体" w:cs="宋体"/>
          <w:sz w:val="24"/>
          <w:szCs w:val="21"/>
          <w:highlight w:val="none"/>
        </w:rPr>
        <w:t xml:space="preserve">。</w:t>
      </w:r>
      <w:r/>
    </w:p>
    <w:p>
      <w:pPr>
        <w:ind w:firstLine="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（三）开标地点：“苏采云”系统“开标大厅”或进入徐州政府采购网--业务工作--用户登录，点击“苏采云”进入系统“开标大厅”。</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五、采购人</w:t>
      </w:r>
      <w:r/>
    </w:p>
    <w:p>
      <w:pPr>
        <w:ind w:firstLine="300"/>
        <w:keepLines w:val="0"/>
        <w:keepNext w:val="0"/>
        <w:pageBreakBefore w:val="0"/>
        <w:spacing w:line="360" w:lineRule="auto"/>
        <w:widowControl w:val="off"/>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（一）名称：</w:t>
      </w:r>
      <w:r>
        <w:rPr>
          <w:rFonts w:hint="eastAsia" w:ascii="宋体" w:hAnsi="宋体" w:cs="宋体"/>
          <w:sz w:val="24"/>
          <w:szCs w:val="21"/>
          <w:highlight w:val="none"/>
          <w:lang w:eastAsia="zh-CN"/>
        </w:rPr>
        <w:t xml:space="preserve">睢宁县机关事务管理中心</w:t>
      </w:r>
      <w:r/>
    </w:p>
    <w:p>
      <w:pPr>
        <w:ind w:firstLine="300"/>
        <w:keepLines w:val="0"/>
        <w:keepNext w:val="0"/>
        <w:pageBreakBefore w:val="0"/>
        <w:spacing w:line="360" w:lineRule="auto"/>
        <w:widowControl w:val="off"/>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（二）地址：</w:t>
      </w:r>
      <w:r>
        <w:rPr>
          <w:rFonts w:hint="eastAsia" w:ascii="宋体" w:hAnsi="宋体" w:cs="宋体"/>
          <w:sz w:val="24"/>
          <w:szCs w:val="21"/>
          <w:highlight w:val="none"/>
          <w:lang w:eastAsia="zh-CN"/>
        </w:rPr>
        <w:t xml:space="preserve">睢宁县永康路1号行政办公中心</w:t>
      </w:r>
      <w:r/>
    </w:p>
    <w:p>
      <w:pPr>
        <w:ind w:firstLine="300"/>
        <w:keepLines w:val="0"/>
        <w:keepNext w:val="0"/>
        <w:pageBreakBefore w:val="0"/>
        <w:spacing w:line="360" w:lineRule="auto"/>
        <w:widowControl w:val="off"/>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（三）采购项目联系人：</w:t>
      </w:r>
      <w:r>
        <w:rPr>
          <w:rFonts w:hint="eastAsia" w:ascii="宋体" w:hAnsi="宋体" w:cs="宋体"/>
          <w:sz w:val="24"/>
          <w:szCs w:val="21"/>
          <w:highlight w:val="none"/>
          <w:lang w:eastAsia="zh-CN"/>
        </w:rPr>
        <w:t xml:space="preserve">王女士</w:t>
      </w:r>
      <w:r/>
    </w:p>
    <w:p>
      <w:pPr>
        <w:ind w:firstLine="300"/>
        <w:keepLines w:val="0"/>
        <w:keepNext w:val="0"/>
        <w:pageBreakBefore w:val="0"/>
        <w:spacing w:line="360" w:lineRule="auto"/>
        <w:widowControl w:val="off"/>
        <w:rPr>
          <w:rFonts w:hint="eastAsia" w:ascii="宋体" w:hAnsi="宋体" w:eastAsia="宋体" w:cs="宋体"/>
          <w:sz w:val="18"/>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（四）联系方式：</w:t>
      </w:r>
      <w:r>
        <w:rPr>
          <w:rFonts w:hint="eastAsia" w:ascii="宋体" w:hAnsi="宋体" w:cs="宋体"/>
          <w:sz w:val="24"/>
          <w:szCs w:val="21"/>
          <w:highlight w:val="none"/>
          <w:lang w:val="en-US" w:eastAsia="zh-CN"/>
        </w:rPr>
        <w:t xml:space="preserve">0516-</w:t>
      </w:r>
      <w:r>
        <w:rPr>
          <w:rFonts w:hint="eastAsia" w:ascii="宋体" w:hAnsi="宋体" w:cs="宋体"/>
          <w:sz w:val="24"/>
          <w:szCs w:val="21"/>
          <w:highlight w:val="none"/>
          <w:lang w:eastAsia="zh-CN"/>
        </w:rPr>
        <w:t xml:space="preserve">68062819</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六、采购代理机构</w:t>
      </w:r>
      <w:r/>
    </w:p>
    <w:p>
      <w:pPr>
        <w:ind w:firstLine="3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（一）名称：江苏海外集团国际工程咨询有限公司</w:t>
      </w:r>
      <w:r/>
    </w:p>
    <w:p>
      <w:pPr>
        <w:ind w:firstLine="3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（二）地址：江苏省徐州市泉山区金山东路北侧徐州软件园C-11号楼1011室</w:t>
      </w:r>
      <w:r/>
    </w:p>
    <w:p>
      <w:pPr>
        <w:ind w:firstLine="300"/>
        <w:keepLines w:val="0"/>
        <w:keepNext w:val="0"/>
        <w:pageBreakBefore w:val="0"/>
        <w:spacing w:line="360" w:lineRule="auto"/>
        <w:widowControl w:val="off"/>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（三）采购项目联系人：</w:t>
      </w:r>
      <w:r>
        <w:rPr>
          <w:rFonts w:hint="eastAsia" w:ascii="宋体" w:hAnsi="宋体" w:cs="宋体"/>
          <w:sz w:val="24"/>
          <w:szCs w:val="21"/>
          <w:highlight w:val="none"/>
          <w:lang w:eastAsia="zh-CN"/>
        </w:rPr>
        <w:t xml:space="preserve">韦飞、李文宇</w:t>
      </w:r>
      <w:r/>
    </w:p>
    <w:p>
      <w:pPr>
        <w:ind w:firstLine="300"/>
        <w:keepLines w:val="0"/>
        <w:keepNext w:val="0"/>
        <w:pageBreakBefore w:val="0"/>
        <w:spacing w:line="360" w:lineRule="auto"/>
        <w:widowControl w:val="off"/>
        <w:rPr>
          <w:rFonts w:hint="eastAsia" w:ascii="宋体" w:hAnsi="宋体" w:eastAsia="宋体" w:cs="宋体"/>
          <w:sz w:val="18"/>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（四）联系方式：</w:t>
      </w:r>
      <w:r>
        <w:rPr>
          <w:rFonts w:hint="eastAsia" w:ascii="宋体" w:hAnsi="宋体" w:cs="宋体"/>
          <w:sz w:val="24"/>
          <w:szCs w:val="21"/>
          <w:highlight w:val="none"/>
          <w:lang w:eastAsia="zh-CN"/>
        </w:rPr>
        <w:t xml:space="preserve">0516-83999505</w:t>
      </w:r>
      <w:r/>
    </w:p>
    <w:p>
      <w:pPr>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第二章 投标人须知</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一、总则</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（一）采购人。采购人即指依法进行政府采购的国家机关、事业单位和团体组织。</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（二）政府招标采购方式。政府采购货物或服务（以下简称“货物服务”）的招标方式，分为公开招标和邀请招标。</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（五）采购人委托采购代理机构代理招标的，采购代理机构必须在采购人委托的范围内依法开展采购活动。</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（六）投标人的资格条件：</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1.参加“政府采购货物服务投标活动”的投标人（以下简称投标人），应当是能够提供本国货物服务的本国投标人，但法律、行政法规规定的外国投标人可以参加货物服务招标投标活动的除外。</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投标人是指响应招标、参加投标竞争的法人、其他组织或者自然人。</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2.投标人授权代表系指法定代表人或受法人委托的受托人。</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（七）投标费用：投标人应承担所有与准备和参加投标有关的费用。无论投标的结果如何，采购代理机构对上述费用不承担任何责任和义务。</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二、招标</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（八）招标文件应包括以下内容：</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第一章，投标邀请；</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第二章，投标人须知；</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第三章，投标资料表；</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第四章，评标标准；</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第五章，拟签订的合同文本；</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第六章，采购需求；</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第七章，投标文件相关格式。</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（九）招标文件澄清或者修改：</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澄清或者修改的内容可能影响投标文件编制的，采购代理机构应当在投标截止时间</w:t>
      </w:r>
      <w:r>
        <w:rPr>
          <w:rFonts w:hint="eastAsia" w:ascii="宋体" w:hAnsi="宋体" w:eastAsia="宋体" w:cs="宋体"/>
          <w:sz w:val="24"/>
          <w:szCs w:val="21"/>
          <w:highlight w:val="none"/>
          <w:lang w:eastAsia="zh-CN"/>
        </w:rPr>
        <w:t xml:space="preserve">不少于</w:t>
      </w:r>
      <w:r>
        <w:rPr>
          <w:rFonts w:hint="eastAsia" w:ascii="宋体" w:hAnsi="宋体" w:eastAsia="宋体" w:cs="宋体"/>
          <w:sz w:val="24"/>
          <w:szCs w:val="21"/>
          <w:highlight w:val="none"/>
        </w:rPr>
        <w:t xml:space="preserve">15日前，以书面形式通知所有获取招标文件的潜在投标人；不足15日的，采购代理机构应当顺延提交投标文件的截止时间。</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2.现场考察以本文件第三章《投标资料表》中的要求为准。</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3.开标前答疑会以本文件第三章《投标资料表》中的要求为准。</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三、投标</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（十）投标人应当按照招标文件的要求编制投标文件。投标文件应对招标文件提出的要求和条件作出实质性响应。</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（十二）投标文件的构成：</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1.投标文件的构成以本文件第三章《投标资料表》中的要求为准。</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2.投标人应当提交的资格、资信证明文件，以本文件第三章《投标资料表》中的所提要求为准。</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（十三）投标函和价格表、商务条件、交货和提供服务的时间：</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1.投标函和价格表的要求见本章（十二）、（十三），格式见本文件第七章《投标文件相关格式》中《投标函》和《开标一览表》。</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2.商务条件以本文件第三章《投标资料表》中的要求为准。</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3.交货和提供服务的时间，以本文件第三章《投标资料表》中所提要求为准。</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（十四）投标报价要求：</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1.投标人应按照招标文件的要求报出分项价格和总价。</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2.投标人应按照招标文件的要求进行报价，如投标人作出偏离，应在《偏离表》中列出。</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3.采购人不支付报价以外的任何费用。</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5.投标人只能提交一个投标价格，投标人提交多个价格的投标文件，在资格性、符合性检查时按照无效投标处理。</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（十五）投标货币。以本文件第三章《投标资料表》中所提要求为准。</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（十六）投标有效期：</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1.投标有效期为开标之日后90天。采购人可以要求对投标有效期延长一次，但该延长期最长不得超过30天。</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（十七）投标文件的编制要求和签署要求：</w:t>
      </w:r>
      <w:r/>
    </w:p>
    <w:p>
      <w:pPr>
        <w:ind w:firstLine="482"/>
        <w:keepLines w:val="0"/>
        <w:keepNext w:val="0"/>
        <w:pageBreakBefore w:val="0"/>
        <w:spacing w:line="360" w:lineRule="auto"/>
        <w:widowControl w:val="off"/>
        <w:rPr>
          <w:rFonts w:hint="eastAsia" w:ascii="宋体" w:hAnsi="宋体"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2"/>
        <w:keepLines w:val="0"/>
        <w:keepNext w:val="0"/>
        <w:pageBreakBefore w:val="0"/>
        <w:spacing w:line="360" w:lineRule="auto"/>
        <w:widowControl w:val="off"/>
        <w:rPr>
          <w:rFonts w:hint="eastAsia" w:ascii="宋体" w:hAnsi="宋体"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（2）投标人应对 CA 证书妥善保管，如被他人盗用投标，因此带来的结果均由投标人自行承担。</w:t>
      </w:r>
      <w:r/>
    </w:p>
    <w:p>
      <w:pPr>
        <w:ind w:firstLine="482"/>
        <w:keepLines w:val="0"/>
        <w:keepNext w:val="0"/>
        <w:pageBreakBefore w:val="0"/>
        <w:spacing w:line="360" w:lineRule="auto"/>
        <w:widowControl w:val="off"/>
        <w:rPr>
          <w:rFonts w:hint="eastAsia" w:ascii="宋体" w:hAnsi="宋体"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（3）投标人应当对招标文件提出的要求和条件作出实质性响应，并在电子投标系统逐条应答。</w:t>
      </w:r>
      <w:r/>
    </w:p>
    <w:p>
      <w:pPr>
        <w:ind w:firstLine="482"/>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360" w:lineRule="auto"/>
        <w:widowControl w:val="off"/>
        <w:rPr>
          <w:rFonts w:hint="eastAsia" w:ascii="宋体" w:hAnsi="宋体"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（十八）投标文件的盖章要求</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1.投标文件的盖章要求以招标文件第三章《投标资料表》中的要求为准。</w:t>
      </w:r>
      <w:r/>
    </w:p>
    <w:p>
      <w:pPr>
        <w:ind w:firstLine="600"/>
        <w:keepLines w:val="0"/>
        <w:keepNext w:val="0"/>
        <w:pageBreakBefore w:val="0"/>
        <w:spacing w:line="360" w:lineRule="auto"/>
        <w:widowControl w:val="off"/>
        <w:rPr>
          <w:rFonts w:hint="eastAsia" w:ascii="宋体" w:hAnsi="宋体"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360" w:lineRule="auto"/>
        <w:widowControl w:val="off"/>
        <w:rPr>
          <w:rFonts w:hint="eastAsia" w:ascii="宋体" w:hAnsi="宋体"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（二十二）本项目不允许分包。</w:t>
      </w:r>
      <w:r/>
    </w:p>
    <w:p>
      <w:pPr>
        <w:ind w:firstLine="600"/>
        <w:keepLines w:val="0"/>
        <w:keepNext w:val="0"/>
        <w:pageBreakBefore w:val="0"/>
        <w:spacing w:line="360" w:lineRule="auto"/>
        <w:shd w:val="clear" w:color="ffffff" w:fill="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360" w:lineRule="auto"/>
        <w:shd w:val="clear" w:color="ffffff" w:fill="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在评标过程中发现投标人有上述情形的，评标委员会应当认定其投标无效，并书面报告本级财政部门。</w:t>
      </w:r>
      <w:r/>
    </w:p>
    <w:p>
      <w:pPr>
        <w:ind w:firstLine="600"/>
        <w:keepLines w:val="0"/>
        <w:keepNext w:val="0"/>
        <w:pageBreakBefore w:val="0"/>
        <w:spacing w:line="360" w:lineRule="auto"/>
        <w:shd w:val="clear" w:color="ffffff" w:fill="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（二十四）有下列情形之一的，其投标无效。</w:t>
      </w:r>
      <w:r/>
    </w:p>
    <w:p>
      <w:pPr>
        <w:ind w:firstLine="600"/>
        <w:keepLines w:val="0"/>
        <w:keepNext w:val="0"/>
        <w:pageBreakBefore w:val="0"/>
        <w:spacing w:line="360" w:lineRule="auto"/>
        <w:shd w:val="clear" w:color="ffffff" w:fill="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1.不同投标人的投标文件，由同一单位或者个人编制；</w:t>
      </w:r>
      <w:r/>
    </w:p>
    <w:p>
      <w:pPr>
        <w:ind w:firstLine="600"/>
        <w:keepLines w:val="0"/>
        <w:keepNext w:val="0"/>
        <w:pageBreakBefore w:val="0"/>
        <w:spacing w:line="360" w:lineRule="auto"/>
        <w:shd w:val="clear" w:color="ffffff" w:fill="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2.不同投标人委托同一单位或者个人办理投标事宜；</w:t>
      </w:r>
      <w:r/>
    </w:p>
    <w:p>
      <w:pPr>
        <w:ind w:firstLine="600"/>
        <w:keepLines w:val="0"/>
        <w:keepNext w:val="0"/>
        <w:pageBreakBefore w:val="0"/>
        <w:spacing w:line="360" w:lineRule="auto"/>
        <w:shd w:val="clear" w:color="ffffff" w:fill="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3.不同投标人的投标文件中，所载明的项目管理成员或联系人为同一人；</w:t>
      </w:r>
      <w:r/>
    </w:p>
    <w:p>
      <w:pPr>
        <w:ind w:firstLine="600"/>
        <w:keepLines w:val="0"/>
        <w:keepNext w:val="0"/>
        <w:pageBreakBefore w:val="0"/>
        <w:spacing w:line="360" w:lineRule="auto"/>
        <w:shd w:val="clear" w:color="ffffff" w:fill="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4.不同投标人的投标文件，异常一致或者投标报价呈规律性差异；</w:t>
      </w:r>
      <w:r/>
    </w:p>
    <w:p>
      <w:pPr>
        <w:ind w:firstLine="600"/>
        <w:keepLines w:val="0"/>
        <w:keepNext w:val="0"/>
        <w:pageBreakBefore w:val="0"/>
        <w:spacing w:line="360" w:lineRule="auto"/>
        <w:shd w:val="clear" w:color="ffffff" w:fill="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5.不同投标人的投标文件相互混装；</w:t>
      </w:r>
      <w:r/>
    </w:p>
    <w:p>
      <w:pPr>
        <w:ind w:firstLine="600"/>
        <w:keepLines w:val="0"/>
        <w:keepNext w:val="0"/>
        <w:pageBreakBefore w:val="0"/>
        <w:spacing w:line="360" w:lineRule="auto"/>
        <w:shd w:val="clear" w:color="ffffff" w:fill="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360" w:lineRule="auto"/>
        <w:shd w:val="clear" w:color="ffffff" w:fill="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7.电子投标文件未按规定期限投标的；</w:t>
      </w:r>
      <w:r/>
    </w:p>
    <w:p>
      <w:pPr>
        <w:ind w:firstLine="600"/>
        <w:keepLines w:val="0"/>
        <w:keepNext w:val="0"/>
        <w:pageBreakBefore w:val="0"/>
        <w:spacing w:line="360" w:lineRule="auto"/>
        <w:shd w:val="clear" w:color="ffffff" w:fill="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8.电子投标文件未按招标文件要求签章的；</w:t>
      </w:r>
      <w:r/>
    </w:p>
    <w:p>
      <w:pPr>
        <w:ind w:firstLine="600"/>
        <w:keepLines w:val="0"/>
        <w:keepNext w:val="0"/>
        <w:pageBreakBefore w:val="0"/>
        <w:spacing w:line="360" w:lineRule="auto"/>
        <w:shd w:val="clear" w:color="ffffff" w:fill="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9.投标人未在规定时间内解密电子投标文件的；</w:t>
      </w:r>
      <w:r/>
    </w:p>
    <w:p>
      <w:pPr>
        <w:ind w:firstLine="600"/>
        <w:keepLines w:val="0"/>
        <w:keepNext w:val="0"/>
        <w:pageBreakBefore w:val="0"/>
        <w:spacing w:line="360" w:lineRule="auto"/>
        <w:shd w:val="clear" w:color="ffffff" w:fill="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10.投标文件未按招标文件规定的内容和要求填写的；没有在投标系统指定位置上传对应文件、材料的。</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11.纸质投标文件未按招标文件要求签署、盖章的；</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12.不具备招标文件中规定的资格要求的；</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13.报价超过招标文件中规定的预算金额或者最高限价的；</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14.投标文件含有采购人不能接受的附加条件的；</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15.</w:t>
      </w:r>
      <w:r>
        <w:rPr>
          <w:rFonts w:hint="eastAsia" w:ascii="宋体" w:hAnsi="宋体" w:eastAsia="宋体" w:cs="宋体"/>
          <w:sz w:val="24"/>
          <w:szCs w:val="21"/>
          <w:highlight w:val="none"/>
          <w:lang w:eastAsia="zh-CN"/>
        </w:rPr>
        <w:t xml:space="preserve">法律法规</w:t>
      </w:r>
      <w:r>
        <w:rPr>
          <w:rFonts w:hint="eastAsia" w:ascii="宋体" w:hAnsi="宋体" w:eastAsia="宋体" w:cs="宋体"/>
          <w:sz w:val="24"/>
          <w:szCs w:val="21"/>
          <w:highlight w:val="none"/>
        </w:rPr>
        <w:t xml:space="preserve">和招标文件规定的其他无效情形。</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四、开标</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（二十五）开标：</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2.投标人不足3家的，不得开标。</w:t>
      </w:r>
      <w:r/>
    </w:p>
    <w:p>
      <w:pPr>
        <w:ind w:firstLine="600"/>
        <w:keepLines w:val="0"/>
        <w:keepNext w:val="0"/>
        <w:pageBreakBefore w:val="0"/>
        <w:spacing w:line="360" w:lineRule="auto"/>
        <w:widowControl w:val="off"/>
        <w:rPr>
          <w:rFonts w:hint="eastAsia" w:ascii="宋体" w:hAnsi="宋体"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3.开标过程由采购代理机构负责记录。</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360" w:lineRule="auto"/>
        <w:shd w:val="clear" w:color="ffffff" w:fill="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5.投标人未参加开标的，视同认可开标结果。</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五、评标</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（二十六）公开招标采购项目开标结束后，采购人依法对投标人的资格进行审查。合格投标人不足3家的，不得评标。</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1.评标工作由采购代理机构负责组织，并履行下列职责：</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（2）宣布评标纪律；</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（3）公布投标人名单，告知评审专家应当回避的情形；</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（4）组织评标委员会推选评标组长（采购人代表不得担任组长）；</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（5）在评标期间采取必要的通讯管理措施，保证评标活动不受外界干扰；</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（6）根据评标委员会的要求介绍政府采购相关政策法规、招标文件；</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（8）核对评标结果，对有《</w:t>
      </w:r>
      <w:r>
        <w:rPr>
          <w:rFonts w:hint="eastAsia" w:ascii="宋体" w:hAnsi="宋体" w:eastAsia="宋体" w:cs="宋体"/>
          <w:sz w:val="18"/>
          <w:szCs w:val="21"/>
          <w:highlight w:val="none"/>
        </w:rPr>
        <w:fldChar w:fldCharType="begin"/>
      </w:r>
      <w:r>
        <w:rPr>
          <w:rFonts w:hint="eastAsia" w:ascii="宋体" w:hAnsi="宋体" w:eastAsia="宋体" w:cs="宋体"/>
          <w:sz w:val="18"/>
          <w:szCs w:val="21"/>
          <w:highlight w:val="none"/>
        </w:rPr>
        <w:instrText xml:space="preserve"> HYPERLINK "http://www.caigou2003.com/" \o "http://www.caigou2003.com/" </w:instrText>
      </w:r>
      <w:r>
        <w:rPr>
          <w:rFonts w:hint="eastAsia" w:ascii="宋体" w:hAnsi="宋体" w:eastAsia="宋体" w:cs="宋体"/>
          <w:sz w:val="18"/>
          <w:szCs w:val="21"/>
          <w:highlight w:val="none"/>
        </w:rPr>
        <w:fldChar w:fldCharType="separate"/>
      </w:r>
      <w:r>
        <w:rPr>
          <w:rStyle w:val="909"/>
          <w:rFonts w:hint="eastAsia" w:ascii="宋体" w:hAnsi="宋体" w:eastAsia="宋体" w:cs="宋体"/>
          <w:color w:val="000000"/>
          <w:sz w:val="24"/>
          <w:szCs w:val="21"/>
          <w:highlight w:val="none"/>
          <w:u w:val="none"/>
        </w:rPr>
        <w:t xml:space="preserve">政府采购</w:t>
      </w:r>
      <w:r>
        <w:rPr>
          <w:rFonts w:hint="eastAsia" w:ascii="宋体" w:hAnsi="宋体" w:eastAsia="宋体" w:cs="宋体"/>
          <w:sz w:val="24"/>
          <w:szCs w:val="21"/>
          <w:highlight w:val="none"/>
        </w:rPr>
        <w:fldChar w:fldCharType="end"/>
      </w:r>
      <w:r>
        <w:rPr>
          <w:rFonts w:hint="eastAsia" w:ascii="宋体" w:hAnsi="宋体" w:eastAsia="宋体" w:cs="宋体"/>
          <w:sz w:val="24"/>
          <w:szCs w:val="21"/>
          <w:highlight w:val="none"/>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（10）处理与评标有关的其他事项。</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2.评标委员会负责具体评标事务，并独立履行下列职责：</w:t>
      </w:r>
      <w:r/>
    </w:p>
    <w:p>
      <w:pPr>
        <w:ind w:firstLine="45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（1）审查、评价投标文件是否符合招标文件的商务、技术等实质性要求；</w:t>
      </w:r>
      <w:r/>
    </w:p>
    <w:p>
      <w:pPr>
        <w:ind w:firstLine="45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（2）要求投标人对投标文件有关事项作出澄清或者说明；</w:t>
      </w:r>
      <w:r/>
    </w:p>
    <w:p>
      <w:pPr>
        <w:ind w:firstLine="45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（3）对投标文件进行比较和评价；</w:t>
      </w:r>
      <w:r/>
    </w:p>
    <w:p>
      <w:pPr>
        <w:ind w:firstLine="45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（4）确定中标候选人名单，以及根据采购人委托直接确定中标投标人；</w:t>
      </w:r>
      <w:r/>
    </w:p>
    <w:p>
      <w:pPr>
        <w:ind w:firstLine="45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（5）向采购人、采购代理机构或有关部门报告评标中发现的违法行为。</w:t>
      </w:r>
      <w:r/>
    </w:p>
    <w:p>
      <w:pPr>
        <w:ind w:firstLine="45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（二十七）评标方法分为最低评标价法和综合评分法。</w:t>
      </w:r>
      <w:r/>
    </w:p>
    <w:p>
      <w:pPr>
        <w:ind w:firstLine="45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（二十八）评标</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1.评标工作程序：</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（1）投标文件初审。</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①资格审查。</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②符合性审查。</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（2）澄清有关问题。</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（3）比较与评价。</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（4）推荐中标候选投标人名单。</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（5）编写评审报告（评标报告）。</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360" w:lineRule="auto"/>
        <w:shd w:val="clear" w:color="ffffff" w:fill="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3.采用</w:t>
      </w:r>
      <w:r>
        <w:rPr>
          <w:rFonts w:hint="eastAsia" w:ascii="宋体" w:hAnsi="宋体" w:eastAsia="宋体" w:cs="宋体"/>
          <w:sz w:val="18"/>
          <w:szCs w:val="21"/>
          <w:highlight w:val="none"/>
        </w:rPr>
        <w:fldChar w:fldCharType="begin"/>
      </w:r>
      <w:r>
        <w:rPr>
          <w:rFonts w:hint="eastAsia" w:ascii="宋体" w:hAnsi="宋体" w:eastAsia="宋体" w:cs="宋体"/>
          <w:sz w:val="18"/>
          <w:szCs w:val="21"/>
          <w:highlight w:val="none"/>
        </w:rPr>
        <w:instrText xml:space="preserve"> HYPERLINK "http://lilun.caigou2003.com/recijiedu/2365668.html" \o "http://lilun.caigou2003.com/recijiedu/2365668.html" </w:instrText>
      </w:r>
      <w:r>
        <w:rPr>
          <w:rFonts w:hint="eastAsia" w:ascii="宋体" w:hAnsi="宋体" w:eastAsia="宋体" w:cs="宋体"/>
          <w:sz w:val="18"/>
          <w:szCs w:val="21"/>
          <w:highlight w:val="none"/>
        </w:rPr>
        <w:fldChar w:fldCharType="separate"/>
      </w:r>
      <w:r>
        <w:rPr>
          <w:rStyle w:val="909"/>
          <w:rFonts w:hint="eastAsia" w:ascii="宋体" w:hAnsi="宋体" w:eastAsia="宋体" w:cs="宋体"/>
          <w:color w:val="000000"/>
          <w:sz w:val="24"/>
          <w:szCs w:val="21"/>
          <w:highlight w:val="none"/>
          <w:u w:val="none"/>
        </w:rPr>
        <w:t xml:space="preserve">最低评标价法</w:t>
      </w:r>
      <w:r>
        <w:rPr>
          <w:rFonts w:hint="eastAsia" w:ascii="宋体" w:hAnsi="宋体" w:eastAsia="宋体" w:cs="宋体"/>
          <w:sz w:val="24"/>
          <w:szCs w:val="21"/>
          <w:highlight w:val="none"/>
        </w:rPr>
        <w:fldChar w:fldCharType="end"/>
      </w:r>
      <w:r>
        <w:rPr>
          <w:rFonts w:hint="eastAsia" w:ascii="宋体" w:hAnsi="宋体" w:eastAsia="宋体" w:cs="宋体"/>
          <w:sz w:val="24"/>
          <w:szCs w:val="21"/>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360" w:lineRule="auto"/>
        <w:shd w:val="clear" w:color="ffffff" w:fill="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采用</w:t>
      </w:r>
      <w:r>
        <w:rPr>
          <w:rFonts w:hint="eastAsia" w:ascii="宋体" w:hAnsi="宋体" w:eastAsia="宋体" w:cs="宋体"/>
          <w:sz w:val="18"/>
          <w:szCs w:val="21"/>
          <w:highlight w:val="none"/>
        </w:rPr>
        <w:fldChar w:fldCharType="begin"/>
      </w:r>
      <w:r>
        <w:rPr>
          <w:rFonts w:hint="eastAsia" w:ascii="宋体" w:hAnsi="宋体" w:eastAsia="宋体" w:cs="宋体"/>
          <w:sz w:val="18"/>
          <w:szCs w:val="21"/>
          <w:highlight w:val="none"/>
        </w:rPr>
        <w:instrText xml:space="preserve"> HYPERLINK "http://lilun.caigou2003.com/recijiedu/2365667.html" \o "http://lilun.caigou2003.com/recijiedu/2365667.html" </w:instrText>
      </w:r>
      <w:r>
        <w:rPr>
          <w:rFonts w:hint="eastAsia" w:ascii="宋体" w:hAnsi="宋体" w:eastAsia="宋体" w:cs="宋体"/>
          <w:sz w:val="18"/>
          <w:szCs w:val="21"/>
          <w:highlight w:val="none"/>
        </w:rPr>
        <w:fldChar w:fldCharType="separate"/>
      </w:r>
      <w:r>
        <w:rPr>
          <w:rStyle w:val="909"/>
          <w:rFonts w:hint="eastAsia" w:ascii="宋体" w:hAnsi="宋体" w:eastAsia="宋体" w:cs="宋体"/>
          <w:color w:val="000000"/>
          <w:sz w:val="24"/>
          <w:szCs w:val="21"/>
          <w:highlight w:val="none"/>
          <w:u w:val="none"/>
        </w:rPr>
        <w:t xml:space="preserve">综合评分法</w:t>
      </w:r>
      <w:r>
        <w:rPr>
          <w:rStyle w:val="909"/>
          <w:rFonts w:hint="eastAsia" w:ascii="宋体" w:hAnsi="宋体" w:eastAsia="宋体" w:cs="宋体"/>
          <w:color w:val="000000"/>
          <w:sz w:val="24"/>
          <w:szCs w:val="21"/>
          <w:highlight w:val="none"/>
          <w:u w:val="none"/>
        </w:rPr>
        <w:fldChar w:fldCharType="end"/>
      </w:r>
      <w:r>
        <w:rPr>
          <w:rFonts w:hint="eastAsia" w:ascii="宋体" w:hAnsi="宋体" w:eastAsia="宋体" w:cs="宋体"/>
          <w:sz w:val="24"/>
          <w:szCs w:val="21"/>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360" w:lineRule="auto"/>
        <w:shd w:val="clear" w:color="ffffff" w:fill="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非单一产品采购项目，多家投标人提供的核心产品品牌相同的，按前两款规定处理。</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（二十九）投标文件报价出现前后不一致的，按照下列规定修正：</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1.投标文件中开标一览表（报价表）内容与投标文件中相应内容不一致的，以开标一览表（报价表）为准；</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2.大写金额和小写金额不一致的，以大写金额为准；</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3.单价金额小数点或者百分比有明显错位的，以开标一览表的总价为准，并修改单价；</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4.总价金额与按单价合计金额不一致的，以单价金额计算结果为准。</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1.投标（响应）报价低于全部通过符合性审查供应商投标（响应）报价平均值</w:t>
      </w:r>
      <w:r>
        <w:rPr>
          <w:rFonts w:hint="eastAsia" w:ascii="宋体" w:hAnsi="宋体" w:eastAsia="宋体" w:cs="宋体"/>
          <w:b/>
          <w:bCs/>
          <w:color w:val="000000"/>
          <w:sz w:val="24"/>
          <w:szCs w:val="24"/>
          <w:highlight w:val="none"/>
        </w:rPr>
        <w:t xml:space="preserve">50%的</w:t>
      </w:r>
      <w:r>
        <w:rPr>
          <w:rFonts w:hint="eastAsia" w:ascii="宋体" w:hAnsi="宋体" w:eastAsia="宋体" w:cs="宋体"/>
          <w:color w:val="000000"/>
          <w:sz w:val="24"/>
          <w:szCs w:val="24"/>
          <w:highlight w:val="none"/>
        </w:rPr>
        <w:t xml:space="preserve">，即投标（响应）报价&lt;全部通过符合性审查供应商投标（响应）报价平均值</w:t>
      </w:r>
      <w:r>
        <w:rPr>
          <w:rFonts w:hint="eastAsia" w:ascii="宋体" w:hAnsi="宋体" w:eastAsia="宋体" w:cs="宋体"/>
          <w:b/>
          <w:bCs/>
          <w:color w:val="000000"/>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2.投标（响应）报价低于通过符合性审查的次低报价供应商投标（响应）报价</w:t>
      </w:r>
      <w:r>
        <w:rPr>
          <w:rFonts w:hint="eastAsia" w:ascii="宋体" w:hAnsi="宋体" w:eastAsia="宋体" w:cs="宋体"/>
          <w:b/>
          <w:bCs/>
          <w:color w:val="000000"/>
          <w:sz w:val="24"/>
          <w:szCs w:val="24"/>
          <w:highlight w:val="none"/>
        </w:rPr>
        <w:t xml:space="preserve">50%的</w:t>
      </w:r>
      <w:r>
        <w:rPr>
          <w:rFonts w:hint="eastAsia" w:ascii="宋体" w:hAnsi="宋体" w:eastAsia="宋体" w:cs="宋体"/>
          <w:color w:val="000000"/>
          <w:sz w:val="24"/>
          <w:szCs w:val="24"/>
          <w:highlight w:val="none"/>
        </w:rPr>
        <w:t xml:space="preserve">，即投标（响应）报价&lt;通过符合性审查的次低报价供应商投标（响应）报价</w:t>
      </w:r>
      <w:r>
        <w:rPr>
          <w:rFonts w:hint="eastAsia" w:ascii="宋体" w:hAnsi="宋体" w:eastAsia="宋体" w:cs="宋体"/>
          <w:b/>
          <w:bCs/>
          <w:color w:val="000000"/>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3.投标（响应）报价低于采购项目最高限价（未设定最高限价的采购项目，以采购项目预算金额作为最高限价）</w:t>
      </w:r>
      <w:r>
        <w:rPr>
          <w:rFonts w:hint="eastAsia" w:ascii="宋体" w:hAnsi="宋体" w:eastAsia="宋体" w:cs="宋体"/>
          <w:b/>
          <w:bCs/>
          <w:color w:val="000000"/>
          <w:sz w:val="24"/>
          <w:szCs w:val="24"/>
          <w:highlight w:val="none"/>
        </w:rPr>
        <w:t xml:space="preserve">45%的，</w:t>
      </w:r>
      <w:r>
        <w:rPr>
          <w:rFonts w:hint="eastAsia" w:ascii="宋体" w:hAnsi="宋体" w:eastAsia="宋体" w:cs="宋体"/>
          <w:color w:val="000000"/>
          <w:sz w:val="24"/>
          <w:szCs w:val="24"/>
          <w:highlight w:val="none"/>
        </w:rPr>
        <w:t xml:space="preserve">即投标（响应）报价&lt;采购项目最高限价</w:t>
      </w:r>
      <w:r>
        <w:rPr>
          <w:rFonts w:hint="eastAsia" w:ascii="宋体" w:hAnsi="宋体" w:eastAsia="宋体" w:cs="宋体"/>
          <w:b/>
          <w:bCs/>
          <w:color w:val="000000"/>
          <w:sz w:val="24"/>
          <w:szCs w:val="24"/>
          <w:highlight w:val="none"/>
        </w:rPr>
        <w:t xml:space="preserve">×45%；</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szCs w:val="24"/>
          <w:highlight w:val="none"/>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（三十二）废标条款：</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出现下列情形之一的，应予废标。</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1.符合专业条件的投标人或者对招标文件作实质响应的投标人不足三家的；</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2.出现影响采购公正的违法、违规行为的；</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3.投标人的报价均超过了采购预算，采购人不能支付的；</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4.因重大变故，采购任务取消的。</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六、定标</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（三十三）采购代理机构应当在评标结束后2个工作日内将评标报告送采购人。</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（三十四）采购人应当自收到评标报告之日起5个工作日内，在评标报告确定的中标候选人名单中按顺序确定中标人。</w:t>
      </w:r>
      <w:r/>
    </w:p>
    <w:p>
      <w:pPr>
        <w:ind w:firstLine="600"/>
        <w:keepLines w:val="0"/>
        <w:keepNext w:val="0"/>
        <w:pageBreakBefore w:val="0"/>
        <w:spacing w:line="360" w:lineRule="auto"/>
        <w:widowControl w:val="off"/>
        <w:rPr>
          <w:rFonts w:hint="eastAsia" w:ascii="宋体" w:hAnsi="宋体"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七、政府采购合同</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（三十六）签订政府采购合同（合同签订方式）：</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采购人不得向中标人提出任何不合理的要求作为签订合同的条件。</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2.中标人拒绝与采购人签订合同的，采购人可以按照评审报告推荐的中标或者成交候选人名单排序，确定下一个候选人为中标人，也可以重新开展政府采购活动。</w:t>
      </w:r>
      <w:r/>
    </w:p>
    <w:p>
      <w:pPr>
        <w:ind w:firstLine="600"/>
        <w:keepLines w:val="0"/>
        <w:keepNext w:val="0"/>
        <w:pageBreakBefore w:val="0"/>
        <w:spacing w:line="360" w:lineRule="auto"/>
        <w:shd w:val="clear" w:color="ffffff" w:fill="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360" w:lineRule="auto"/>
        <w:shd w:val="clear" w:color="ffffff" w:fill="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（三十八）履约保证金：详见《第三章 投标资料表》。</w:t>
      </w:r>
      <w:r/>
    </w:p>
    <w:p>
      <w:pPr>
        <w:ind w:firstLine="600"/>
        <w:keepLines w:val="0"/>
        <w:keepNext w:val="0"/>
        <w:pageBreakBefore w:val="0"/>
        <w:spacing w:line="360" w:lineRule="auto"/>
        <w:shd w:val="clear" w:color="ffffff" w:fill="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（三十九）腐败和欺诈行为：</w:t>
      </w:r>
      <w:r/>
    </w:p>
    <w:p>
      <w:pPr>
        <w:ind w:firstLine="600"/>
        <w:keepLines w:val="0"/>
        <w:keepNext w:val="0"/>
        <w:pageBreakBefore w:val="0"/>
        <w:spacing w:line="360" w:lineRule="auto"/>
        <w:shd w:val="clear" w:color="ffffff" w:fill="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1.采购代理机构、采购人、投标人等参与招投标的各方，均应在招标、采购、合同执行等过程中保持廉洁和最高的道德水准。</w:t>
      </w:r>
      <w:r/>
    </w:p>
    <w:p>
      <w:pPr>
        <w:ind w:firstLine="600"/>
        <w:keepLines w:val="0"/>
        <w:keepNext w:val="0"/>
        <w:pageBreakBefore w:val="0"/>
        <w:spacing w:line="360" w:lineRule="auto"/>
        <w:shd w:val="clear" w:color="ffffff" w:fill="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（1）腐败和欺诈行为的含义：</w:t>
      </w:r>
      <w:r/>
    </w:p>
    <w:p>
      <w:pPr>
        <w:ind w:firstLine="600"/>
        <w:keepLines w:val="0"/>
        <w:keepNext w:val="0"/>
        <w:pageBreakBefore w:val="0"/>
        <w:spacing w:line="360" w:lineRule="auto"/>
        <w:shd w:val="clear" w:color="ffffff" w:fill="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360" w:lineRule="auto"/>
        <w:shd w:val="clear" w:color="ffffff" w:fill="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②“欺诈行为”系指为了影响招标、采购和合同执行等过程，隐瞒事实真相，给买方、卖方、采购代理机构及他人造成损害的行为，其中包括投标人之间的串通行为。</w:t>
      </w:r>
      <w:r/>
    </w:p>
    <w:p>
      <w:pPr>
        <w:ind w:firstLine="600"/>
        <w:keepLines w:val="0"/>
        <w:keepNext w:val="0"/>
        <w:pageBreakBefore w:val="0"/>
        <w:spacing w:line="360" w:lineRule="auto"/>
        <w:shd w:val="clear" w:color="ffffff" w:fill="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（2）如果被推荐的中标人有腐败和欺诈行为，将取消其中标资格。</w:t>
      </w:r>
      <w:r/>
    </w:p>
    <w:p>
      <w:pPr>
        <w:ind w:firstLine="600"/>
        <w:keepLines w:val="0"/>
        <w:keepNext w:val="0"/>
        <w:pageBreakBefore w:val="0"/>
        <w:spacing w:line="360" w:lineRule="auto"/>
        <w:shd w:val="clear" w:color="ffffff" w:fill="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（3）如果投标人在任何时候，被法院及政府有关管理部门认定为有腐败和欺诈行为，采购代理机构有权拒绝其投标、取消其中标资格和撤销其已签署的合同。</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八、询问和质疑</w:t>
      </w:r>
      <w:r/>
    </w:p>
    <w:p>
      <w:pPr>
        <w:ind w:firstLine="600"/>
        <w:keepLines w:val="0"/>
        <w:keepNext w:val="0"/>
        <w:pageBreakBefore w:val="0"/>
        <w:spacing w:line="360" w:lineRule="auto"/>
        <w:widowControl w:val="off"/>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（四十）询问和质疑</w:t>
      </w:r>
      <w:r/>
    </w:p>
    <w:p>
      <w:pPr>
        <w:ind w:firstLine="600"/>
        <w:keepLines w:val="0"/>
        <w:keepNext w:val="0"/>
        <w:pageBreakBefore w:val="0"/>
        <w:spacing w:line="360" w:lineRule="auto"/>
        <w:widowControl w:val="off"/>
        <w:rPr>
          <w:rFonts w:hint="eastAsia" w:ascii="宋体" w:hAnsi="宋体" w:eastAsia="宋体" w:cs="宋体"/>
          <w:b/>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sz w:val="24"/>
          <w:szCs w:val="21"/>
          <w:highlight w:val="none"/>
        </w:rPr>
        <w:t xml:space="preserve"> </w:t>
      </w:r>
      <w:r/>
    </w:p>
    <w:p>
      <w:pPr>
        <w:ind w:firstLine="600"/>
        <w:keepLines w:val="0"/>
        <w:keepNext w:val="0"/>
        <w:pageBreakBefore w:val="0"/>
        <w:spacing w:line="360" w:lineRule="auto"/>
        <w:widowControl w:val="off"/>
        <w:rPr>
          <w:rFonts w:hint="eastAsia" w:ascii="宋体" w:hAnsi="宋体"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九、电子招标投标交易平台</w:t>
      </w:r>
      <w:r/>
    </w:p>
    <w:p>
      <w:pPr>
        <w:ind w:firstLine="600"/>
        <w:jc w:val="left"/>
        <w:keepLines w:val="0"/>
        <w:keepNext w:val="0"/>
        <w:pageBreakBefore w:val="0"/>
        <w:spacing w:line="360" w:lineRule="auto"/>
        <w:widowControl w:val="off"/>
        <w:rPr>
          <w:rFonts w:hint="eastAsia" w:ascii="宋体" w:hAnsi="宋体"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（四十一）电子招标投标交易平台（即“苏采云”系统，网址：http</w:t>
      </w:r>
      <w:r>
        <w:rPr>
          <w:rFonts w:hint="eastAsia" w:ascii="宋体" w:hAnsi="宋体" w:eastAsia="宋体" w:cs="宋体"/>
          <w:sz w:val="24"/>
          <w:szCs w:val="21"/>
          <w:highlight w:val="none"/>
          <w:lang w:eastAsia="zh-CN"/>
        </w:rPr>
        <w:t xml:space="preserve">：</w:t>
      </w:r>
      <w:r>
        <w:rPr>
          <w:rFonts w:hint="eastAsia" w:ascii="宋体" w:hAnsi="宋体" w:eastAsia="宋体" w:cs="宋体"/>
          <w:sz w:val="24"/>
          <w:szCs w:val="21"/>
          <w:highlight w:val="none"/>
        </w:rPr>
        <w:t xml:space="preserve">//jszfcg.jsczt.cn/）相关要求是本招标文件的组成部分。</w:t>
      </w:r>
      <w:r/>
    </w:p>
    <w:p>
      <w:pPr>
        <w:ind w:firstLine="602"/>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72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rPr>
        <w:br w:type="page" w:clear="all"/>
      </w:r>
      <w:r>
        <w:rPr>
          <w:rFonts w:hint="eastAsia" w:ascii="宋体" w:hAnsi="宋体" w:eastAsia="宋体" w:cs="宋体"/>
          <w:b/>
          <w:sz w:val="30"/>
          <w:highlight w:val="none"/>
        </w:rPr>
        <w:t xml:space="preserve">第三章 投标资料表</w:t>
      </w:r>
      <w:r/>
    </w:p>
    <w:p>
      <w:pP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60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该资料表的条款项号是与《</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须知》的条款项号相对应的，若有增加的条款，是对《</w:t>
      </w:r>
      <w:r>
        <w:rPr>
          <w:rFonts w:hint="eastAsia" w:ascii="宋体" w:hAnsi="宋体" w:eastAsia="宋体" w:cs="宋体"/>
          <w:sz w:val="30"/>
          <w:highlight w:val="none"/>
        </w:rPr>
        <w:t xml:space="preserve">投标人</w:t>
      </w:r>
      <w:r>
        <w:rPr>
          <w:rFonts w:hint="eastAsia" w:ascii="宋体" w:hAnsi="宋体" w:eastAsia="宋体" w:cs="宋体"/>
          <w:sz w:val="28"/>
          <w:szCs w:val="28"/>
          <w:highlight w:val="none"/>
        </w:rPr>
        <w:t xml:space="preserve">须知》的补充、修改和完善，如果因此而造成矛盾时，应以本资料表为准。</w:t>
      </w:r>
      <w:r/>
    </w:p>
    <w:tbl>
      <w:tblPr>
        <w:tblStyle w:val="764"/>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条款项号</w:t>
            </w:r>
            <w:r/>
          </w:p>
        </w:tc>
        <w:tc>
          <w:tcPr>
            <w:tcMar>
              <w:left w:w="108" w:type="dxa"/>
              <w:top w:w="0" w:type="dxa"/>
              <w:right w:w="108" w:type="dxa"/>
              <w:bottom w:w="0" w:type="dxa"/>
            </w:tcMar>
            <w:tcW w:w="8313"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内 容</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w:t>
            </w:r>
            <w:r/>
          </w:p>
        </w:tc>
        <w:tc>
          <w:tcPr>
            <w:tcMar>
              <w:left w:w="108" w:type="dxa"/>
              <w:top w:w="0" w:type="dxa"/>
              <w:right w:w="108" w:type="dxa"/>
              <w:bottom w:w="0" w:type="dxa"/>
            </w:tcMar>
            <w:tcW w:w="83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总则</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w:t>
            </w:r>
            <w:r/>
          </w:p>
        </w:tc>
        <w:tc>
          <w:tcPr>
            <w:tcMar>
              <w:left w:w="108" w:type="dxa"/>
              <w:top w:w="0" w:type="dxa"/>
              <w:right w:w="108" w:type="dxa"/>
              <w:bottom w:w="0" w:type="dxa"/>
            </w:tcMar>
            <w:tcW w:w="8313" w:type="dxa"/>
            <w:textDirection w:val="lrTb"/>
            <w:noWrap w:val="false"/>
          </w:tcPr>
          <w:p>
            <w:pPr>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本项目采购人：</w:t>
            </w:r>
            <w:r>
              <w:rPr>
                <w:rFonts w:hint="eastAsia" w:ascii="宋体" w:hAnsi="宋体" w:cs="宋体"/>
                <w:sz w:val="24"/>
                <w:szCs w:val="24"/>
                <w:highlight w:val="none"/>
                <w:lang w:eastAsia="zh-CN"/>
              </w:rPr>
              <w:t xml:space="preserve">睢宁县机关事务管理中心</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w:t>
            </w:r>
            <w:r/>
          </w:p>
        </w:tc>
        <w:tc>
          <w:tcPr>
            <w:tcMar>
              <w:left w:w="108" w:type="dxa"/>
              <w:top w:w="0" w:type="dxa"/>
              <w:right w:w="108" w:type="dxa"/>
              <w:bottom w:w="0" w:type="dxa"/>
            </w:tcMar>
            <w:tcW w:w="83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(四)</w:t>
            </w:r>
            <w:r/>
          </w:p>
        </w:tc>
        <w:tc>
          <w:tcPr>
            <w:tcMar>
              <w:left w:w="108" w:type="dxa"/>
              <w:top w:w="0" w:type="dxa"/>
              <w:right w:w="108" w:type="dxa"/>
              <w:bottom w:w="0" w:type="dxa"/>
            </w:tcMar>
            <w:tcW w:w="8313" w:type="dxa"/>
            <w:textDirection w:val="lrTb"/>
            <w:noWrap w:val="false"/>
          </w:tcPr>
          <w:p>
            <w:pP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采购人确定的采购项目属性：服务</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w:t>
            </w:r>
            <w:r/>
          </w:p>
        </w:tc>
        <w:tc>
          <w:tcPr>
            <w:tcMar>
              <w:left w:w="108" w:type="dxa"/>
              <w:top w:w="0" w:type="dxa"/>
              <w:right w:w="108" w:type="dxa"/>
              <w:bottom w:w="0" w:type="dxa"/>
            </w:tcMar>
            <w:tcW w:w="83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本项目采购代理机构：江苏海外集团国际工程咨询有限公司</w:t>
            </w:r>
            <w:r/>
          </w:p>
        </w:tc>
      </w:tr>
      <w:tr>
        <w:trPr>
          <w:jc w:val="center"/>
          <w:trHeight w:val="444"/>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w:t>
            </w:r>
            <w:r/>
          </w:p>
        </w:tc>
        <w:tc>
          <w:tcPr>
            <w:tcMar>
              <w:left w:w="108" w:type="dxa"/>
              <w:top w:w="0" w:type="dxa"/>
              <w:right w:w="108" w:type="dxa"/>
              <w:bottom w:w="0" w:type="dxa"/>
            </w:tcMar>
            <w:tcW w:w="83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sz w:val="24"/>
                <w:szCs w:val="24"/>
                <w:highlight w:val="none"/>
              </w:rPr>
              <w:t xml:space="preserve">投标人的</w:t>
            </w:r>
            <w:r>
              <w:rPr>
                <w:rFonts w:hint="eastAsia" w:ascii="宋体" w:hAnsi="宋体" w:eastAsia="宋体" w:cs="宋体"/>
                <w:sz w:val="24"/>
                <w:szCs w:val="24"/>
                <w:highlight w:val="none"/>
              </w:rPr>
              <w:t xml:space="preserve">资格条件：</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一、符合《中华人民共和国政府采购法》第二十二条的规定；</w:t>
            </w:r>
            <w:r/>
          </w:p>
          <w:p>
            <w:pPr>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二、本项目的特定资格要求：</w:t>
            </w:r>
            <w:r/>
          </w:p>
          <w:p>
            <w:pPr>
              <w:ind w:firstLine="480"/>
              <w:rPr>
                <w:rFonts w:hint="eastAsia"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val="0"/>
                <w:sz w:val="24"/>
                <w:szCs w:val="24"/>
                <w:highlight w:val="none"/>
                <w:lang w:eastAsia="zh-CN"/>
              </w:rPr>
              <w:t xml:space="preserve">具有机电工程施工总承包叁级及以上资质或具有建筑机电安装工程专业承包贰级及以上资质，且具有有效的《安全生产许可证》证书，以联合体形式参加投标的，应在联合协议中载明联合体各方承担的工作和义务，其中承担技改及运营工作的一方需满足本项目的特定资格要求即可。</w:t>
            </w:r>
            <w:r/>
          </w:p>
          <w:p>
            <w:pPr>
              <w:ind w:firstLine="480"/>
              <w:rPr>
                <w:rFonts w:hint="eastAsia"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val="0"/>
                <w:sz w:val="24"/>
                <w:szCs w:val="24"/>
                <w:highlight w:val="none"/>
                <w:lang w:eastAsia="zh-CN"/>
              </w:rPr>
            </w:r>
            <w:r>
              <w:rPr>
                <w:rFonts w:hint="eastAsia" w:ascii="宋体" w:hAnsi="宋体" w:eastAsia="宋体" w:cs="宋体"/>
                <w:sz w:val="24"/>
                <w:szCs w:val="24"/>
                <w:highlight w:val="none"/>
              </w:rPr>
              <w:t xml:space="preserve">联合体协议书（如投标人以联合体参加采购活动的，投标文件中须提供《联合体协议》原件的扫描件，格式见《招标文件》第七章 投标文件相关格式十二《联合体协议书（格式）》，如不是联合体，无须提供）。</w:t>
            </w:r>
            <w:r>
              <w:rPr>
                <w:rFonts w:hint="eastAsia" w:ascii="宋体" w:hAnsi="宋体" w:cs="宋体"/>
                <w:bCs w:val="0"/>
                <w:sz w:val="24"/>
                <w:szCs w:val="24"/>
                <w:highlight w:val="none"/>
                <w:lang w:eastAsia="zh-CN"/>
              </w:rPr>
            </w:r>
            <w:r/>
          </w:p>
          <w:p>
            <w:pPr>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三、本项目不属于专门面向中小企业采购的项目。</w:t>
            </w:r>
            <w:r/>
          </w:p>
          <w:p>
            <w:pP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同时明确相关事项如下：</w:t>
            </w:r>
            <w:r/>
          </w:p>
          <w:p>
            <w:pPr>
              <w:ind w:firstLine="2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本项目接受联合体参与采购活动。联合体最多由两家单位组成，必须提供联合体协议，联合体协议中需明确牵头方，载明各方责任，联合体牵头方代表联合体成员承担责任和接受采购人的指令、指示和通知，并且在整个合同实施过程中的全部事宜(包括付款方式)均由联合体牵头方负责。</w:t>
            </w:r>
            <w:r/>
          </w:p>
          <w:p>
            <w:pPr>
              <w:ind w:firstLine="2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联合体投标时，还应符合以下规定要求：</w:t>
            </w:r>
            <w:r/>
          </w:p>
          <w:p>
            <w:pPr>
              <w:ind w:firstLine="2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①以联合体形式进行政府采购的，参加联合体的投标人均应当具备《中华人民共和国政府采购法》第二十二条规定的条件。联合体各成员之间应签订《联合体协议书》见《招标文件》第七章 投标文件相关格式十二《联合体协议书（格式）》，投标人的投标文件及成交后签署的合同，对联合体的每一成员均有法律约束力；</w:t>
            </w:r>
            <w:r/>
          </w:p>
          <w:p>
            <w:pPr>
              <w:ind w:firstLine="2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联合体各方应当共同与采购人签订采购合同，就采购合同约定的事项对采购人承担连带责任；联合体成员因履约争议不能影响对采购人履约，采购人有权直接要求任何一方承担全部合同责任并追偿全部损失，联合体内部分工与采购人无关。</w:t>
            </w:r>
            <w:r/>
          </w:p>
          <w:p>
            <w:pPr>
              <w:ind w:firstLine="2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③联合体各成员之间签订的《联合体协议书》应与投标文件一起递交；</w:t>
            </w:r>
            <w:r/>
          </w:p>
          <w:p>
            <w:pPr>
              <w:ind w:firstLine="2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④参加联合体的各成员不得再以自己名义单独投标，也不得同时参加两个或两个以上的联合体投标。如有违反将取消该联合体及联合体各成员的投标资格。</w:t>
            </w:r>
            <w:r/>
          </w:p>
          <w:p>
            <w:pPr>
              <w:ind w:firstLine="2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⑤</w:t>
            </w:r>
            <w:r>
              <w:rPr>
                <w:rFonts w:hint="eastAsia" w:ascii="宋体" w:hAnsi="宋体" w:eastAsia="宋体" w:cs="宋体"/>
                <w:bCs w:val="0"/>
                <w:sz w:val="24"/>
                <w:szCs w:val="24"/>
                <w:highlight w:val="none"/>
              </w:rPr>
              <w:t xml:space="preserve">联合体中有同类资质的供应商按照联合体分工承担相同工作的，应当按照资质等级较低的供应商确定联合体资质等级。</w:t>
            </w:r>
            <w:r/>
          </w:p>
          <w:p>
            <w:pPr>
              <w:ind w:firstLine="2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2、单位负责人为同一人或者存在直接控股、管理关系的不同投标人，不得参加同一合同项下的政府采购活动(如为联合体，可以作为一个联合体内的不同成员)。</w:t>
            </w:r>
            <w:r/>
          </w:p>
          <w:p>
            <w:pPr>
              <w:ind w:firstLine="2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3、为本采购项目提供整体设计、规范编制或者项目管理、监理、检测等服务的投标人，不得再参加本采购项目的采购活动。</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四、查询及使用投标人信用记录：</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(一)由采购人查询信用信息。</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(二)查询渠道包括：</w:t>
            </w:r>
            <w:r/>
          </w:p>
          <w:p>
            <w:pPr>
              <w:ind w:firstLine="280"/>
              <w:jc w:val="lef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1、“信用中国”网（www.creditchina.gov.cn）；</w:t>
            </w:r>
            <w:r/>
          </w:p>
          <w:p>
            <w:pPr>
              <w:ind w:firstLine="280"/>
              <w:jc w:val="lef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2、中国政府采购网（www.ccgp.gov.cn）；</w:t>
            </w:r>
            <w:r/>
          </w:p>
          <w:p>
            <w:pPr>
              <w:ind w:firstLine="280"/>
              <w:jc w:val="lef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3、“信用江苏”网（http</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//credit.jiangsu.gov.cn/）；</w:t>
            </w:r>
            <w:r/>
          </w:p>
          <w:p>
            <w:pPr>
              <w:ind w:firstLine="280"/>
              <w:jc w:val="lef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4、“信用中国(江苏徐州)”网（http</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//www.xuzhoucredit.gov.cn）；</w:t>
            </w:r>
            <w:r/>
          </w:p>
          <w:p>
            <w:pP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(三)截止时点（查询环节）：开标后资格审查结束前。</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(四)信用信息查询记录和证据留存的具体方式：网页截屏打印，与其他采购文件一并保存。</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(五)信用信息的使用规则：</w:t>
            </w:r>
            <w:r/>
          </w:p>
          <w:p>
            <w:pPr>
              <w:ind w:firstLine="56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招标代理服务费由</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rPr>
              <w:t xml:space="preserve">人支付。按《招标代理服务收费标准》收取（见附件）。</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w:t>
            </w:r>
            <w:r/>
          </w:p>
        </w:tc>
        <w:tc>
          <w:tcPr>
            <w:tcMar>
              <w:left w:w="108" w:type="dxa"/>
              <w:top w:w="0" w:type="dxa"/>
              <w:right w:w="108" w:type="dxa"/>
              <w:bottom w:w="0" w:type="dxa"/>
            </w:tcMar>
            <w:tcW w:w="83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w:t>
            </w:r>
            <w:r/>
          </w:p>
        </w:tc>
      </w:tr>
      <w:tr>
        <w:trPr>
          <w:jc w:val="center"/>
          <w:trHeight w:val="466"/>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(八)1</w:t>
            </w:r>
            <w:r/>
          </w:p>
        </w:tc>
        <w:tc>
          <w:tcPr>
            <w:tcMar>
              <w:left w:w="108" w:type="dxa"/>
              <w:top w:w="0" w:type="dxa"/>
              <w:right w:w="108" w:type="dxa"/>
              <w:bottom w:w="0" w:type="dxa"/>
            </w:tcMar>
            <w:tcW w:w="83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采购代理机构可以对已发出的招标文件进行必要的澄清或修改。对澄清或修改的内容，应以所发布的本项目的“更正公告”的附件的形式通知所有获取招标文件的</w:t>
            </w:r>
            <w:r>
              <w:rPr>
                <w:rFonts w:hint="eastAsia" w:ascii="宋体" w:hAnsi="宋体" w:eastAsia="宋体" w:cs="宋体"/>
                <w:sz w:val="24"/>
                <w:szCs w:val="24"/>
                <w:highlight w:val="none"/>
              </w:rPr>
              <w:t xml:space="preserve">潜在</w:t>
            </w: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rPr>
              <w:t xml:space="preserve">。当发布本项目的“更正公告”之后，采购代理机构便尽到了通知义务，其各潜在</w:t>
            </w:r>
            <w:r>
              <w:rPr>
                <w:rFonts w:hint="eastAsia" w:ascii="宋体" w:hAnsi="宋体" w:eastAsia="宋体" w:cs="宋体"/>
                <w:sz w:val="28"/>
                <w:szCs w:val="22"/>
                <w:highlight w:val="none"/>
              </w:rPr>
              <w:t xml:space="preserve">投标人</w:t>
            </w:r>
            <w:r>
              <w:rPr>
                <w:rFonts w:hint="eastAsia" w:ascii="宋体" w:hAnsi="宋体" w:eastAsia="宋体" w:cs="宋体"/>
                <w:sz w:val="24"/>
                <w:szCs w:val="24"/>
                <w:highlight w:val="none"/>
              </w:rPr>
              <w:t xml:space="preserve">应关注本项目的“更正公告”及附件，否则，将自行承担相应的风险。</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(九)2</w:t>
            </w:r>
            <w:r/>
          </w:p>
        </w:tc>
        <w:tc>
          <w:tcPr>
            <w:tcMar>
              <w:left w:w="108" w:type="dxa"/>
              <w:top w:w="0" w:type="dxa"/>
              <w:right w:w="108" w:type="dxa"/>
              <w:bottom w:w="0" w:type="dxa"/>
            </w:tcMar>
            <w:tcW w:w="8313" w:type="dxa"/>
            <w:textDirection w:val="lrTb"/>
            <w:noWrap w:val="false"/>
          </w:tcPr>
          <w:p>
            <w:pP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自行现场勘察。</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(九)3</w:t>
            </w:r>
            <w:r/>
          </w:p>
        </w:tc>
        <w:tc>
          <w:tcPr>
            <w:tcMar>
              <w:left w:w="108" w:type="dxa"/>
              <w:top w:w="0" w:type="dxa"/>
              <w:right w:w="108" w:type="dxa"/>
              <w:bottom w:w="0" w:type="dxa"/>
            </w:tcMar>
            <w:tcW w:w="83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不安排开标前答疑会。</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w:t>
            </w:r>
            <w:r/>
          </w:p>
        </w:tc>
        <w:tc>
          <w:tcPr>
            <w:tcMar>
              <w:left w:w="108" w:type="dxa"/>
              <w:top w:w="0" w:type="dxa"/>
              <w:right w:w="108" w:type="dxa"/>
              <w:bottom w:w="0" w:type="dxa"/>
            </w:tcMar>
            <w:tcW w:w="83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(十一)</w:t>
            </w:r>
            <w:r/>
          </w:p>
        </w:tc>
        <w:tc>
          <w:tcPr>
            <w:tcMar>
              <w:left w:w="108" w:type="dxa"/>
              <w:top w:w="0" w:type="dxa"/>
              <w:right w:w="108" w:type="dxa"/>
              <w:bottom w:w="0" w:type="dxa"/>
            </w:tcMar>
            <w:tcW w:w="83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(十二)1</w:t>
            </w:r>
            <w:r/>
          </w:p>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(十二)2</w:t>
            </w:r>
            <w:r/>
          </w:p>
        </w:tc>
        <w:tc>
          <w:tcPr>
            <w:tcMar>
              <w:left w:w="108" w:type="dxa"/>
              <w:top w:w="0" w:type="dxa"/>
              <w:right w:w="108" w:type="dxa"/>
              <w:bottom w:w="0" w:type="dxa"/>
            </w:tcMar>
            <w:tcW w:w="8313" w:type="dxa"/>
            <w:textDirection w:val="lrTb"/>
            <w:noWrap w:val="false"/>
          </w:tcPr>
          <w:p>
            <w:pPr>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线上投标文件编制要求：</w:t>
            </w:r>
            <w:r/>
          </w:p>
          <w:p>
            <w:pPr>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请按照以下要求（包括但不限于以下要求）制作：</w:t>
            </w:r>
            <w:r/>
          </w:p>
          <w:p>
            <w:pPr>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一、基本目录</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1、《开标一览表》（加盖电子签章，政府采购客户端工具输入报价自动生成）；</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2、所投产品的环境标志产品认证证书原件的扫描件（如有）。</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（2）环境标志产品认证证书是否符合要求，采购人评标时查询中国政府采购网（www.ccgp.gov.cn）相关内容后确定。</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3、所投产品的节能产品认证证书原件的扫描件（如有）。</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（2）节能产品认证证书是否符合要求，采购人评标时查询中国政府采购网（www.ccgp.gov.cn）相关内容后确定。</w:t>
            </w:r>
            <w:r/>
          </w:p>
          <w:p>
            <w:pPr>
              <w:rPr>
                <w:rFonts w:hint="default"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t xml:space="preserve">4、其它（包含但不限于本国产品的声明函等，如有）。</w:t>
            </w:r>
            <w:r/>
          </w:p>
          <w:p>
            <w:pPr>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二、资格条件（必须提供，否则投标将被拒绝）</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(一)投标人合法有效的法人或者其他组织的营业执照等证明文件，自然人的身份证明，以上证明文件的扫描件；</w:t>
            </w:r>
            <w:r/>
          </w:p>
          <w:p>
            <w:pPr>
              <w:ind w:right="28"/>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(二)财务状况报告（即提供投标人的本项目开标时间前6个月内任何时间的</w:t>
            </w:r>
            <w:r>
              <w:rPr>
                <w:rFonts w:hint="eastAsia" w:ascii="宋体" w:hAnsi="宋体" w:eastAsia="宋体" w:cs="宋体"/>
                <w:b/>
                <w:sz w:val="24"/>
                <w:szCs w:val="24"/>
                <w:highlight w:val="none"/>
              </w:rPr>
              <w:t xml:space="preserve">资产负债表、利润表扫描件各一份</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或</w:t>
            </w:r>
            <w:r>
              <w:rPr>
                <w:rFonts w:hint="eastAsia" w:ascii="宋体" w:hAnsi="宋体" w:eastAsia="宋体" w:cs="宋体"/>
                <w:sz w:val="24"/>
                <w:szCs w:val="24"/>
                <w:highlight w:val="none"/>
              </w:rPr>
              <w:t xml:space="preserve">提</w:t>
            </w:r>
            <w:r>
              <w:rPr>
                <w:rFonts w:hint="eastAsia" w:ascii="宋体" w:hAnsi="宋体" w:eastAsia="宋体" w:cs="宋体"/>
                <w:color w:val="000000"/>
                <w:sz w:val="24"/>
                <w:szCs w:val="24"/>
              </w:rPr>
              <w:t xml:space="preserve">供投标人202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年度经审计的财务报告扫描件一份；或财政部门认可的政府采购专业担保机构出具的有效的投标担保函扫描件一份；或投标人的本项目开标时间前6个月内</w:t>
            </w:r>
            <w:r>
              <w:rPr>
                <w:rFonts w:hint="eastAsia" w:ascii="宋体" w:hAnsi="宋体" w:eastAsia="宋体" w:cs="宋体"/>
                <w:sz w:val="24"/>
                <w:szCs w:val="24"/>
                <w:highlight w:val="none"/>
              </w:rPr>
              <w:t xml:space="preserve">银行出具的</w:t>
            </w:r>
            <w:r>
              <w:rPr>
                <w:rFonts w:hint="eastAsia" w:ascii="宋体" w:hAnsi="宋体" w:eastAsia="宋体" w:cs="宋体"/>
                <w:b/>
                <w:sz w:val="24"/>
                <w:szCs w:val="24"/>
                <w:highlight w:val="none"/>
              </w:rPr>
              <w:t xml:space="preserve">资信证明扫描件</w:t>
            </w:r>
            <w:r>
              <w:rPr>
                <w:rFonts w:hint="eastAsia" w:ascii="宋体" w:hAnsi="宋体" w:eastAsia="宋体" w:cs="宋体"/>
                <w:sz w:val="24"/>
                <w:szCs w:val="24"/>
                <w:highlight w:val="none"/>
              </w:rPr>
              <w:t xml:space="preserve">一份）；</w:t>
            </w:r>
            <w:r/>
          </w:p>
          <w:p>
            <w:pPr>
              <w:ind w:right="28"/>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w:t>
            </w:r>
            <w:r>
              <w:rPr>
                <w:rFonts w:hint="eastAsia" w:ascii="宋体" w:hAnsi="宋体" w:eastAsia="宋体" w:cs="宋体"/>
                <w:color w:val="000000"/>
                <w:sz w:val="24"/>
                <w:szCs w:val="24"/>
              </w:rPr>
              <w:t xml:space="preserve">投标人的本项目开标时间前6个月</w:t>
            </w:r>
            <w:r>
              <w:rPr>
                <w:rFonts w:hint="eastAsia" w:ascii="宋体" w:hAnsi="宋体" w:eastAsia="宋体" w:cs="宋体"/>
                <w:sz w:val="24"/>
                <w:szCs w:val="24"/>
                <w:highlight w:val="none"/>
              </w:rPr>
              <w:t xml:space="preserve">内任何1个月的</w:t>
            </w:r>
            <w:r>
              <w:rPr>
                <w:rFonts w:hint="eastAsia" w:ascii="宋体" w:hAnsi="宋体" w:eastAsia="宋体" w:cs="宋体"/>
                <w:b/>
                <w:sz w:val="24"/>
                <w:szCs w:val="24"/>
                <w:highlight w:val="none"/>
              </w:rPr>
              <w:t xml:space="preserve">依法缴纳税收扫描件和社会保障资金扫描件</w:t>
            </w:r>
            <w:r>
              <w:rPr>
                <w:rFonts w:hint="eastAsia" w:ascii="宋体" w:hAnsi="宋体" w:eastAsia="宋体" w:cs="宋体"/>
                <w:sz w:val="24"/>
                <w:szCs w:val="24"/>
                <w:highlight w:val="none"/>
              </w:rPr>
              <w:t xml:space="preserve">的相关材料</w:t>
            </w:r>
            <w:r>
              <w:rPr>
                <w:rFonts w:hint="eastAsia" w:ascii="宋体" w:hAnsi="宋体" w:eastAsia="宋体" w:cs="宋体"/>
                <w:b/>
                <w:sz w:val="24"/>
                <w:szCs w:val="24"/>
                <w:highlight w:val="none"/>
              </w:rPr>
              <w:t xml:space="preserve">各一份</w:t>
            </w:r>
            <w:r>
              <w:rPr>
                <w:rFonts w:hint="eastAsia" w:ascii="宋体" w:hAnsi="宋体" w:eastAsia="宋体" w:cs="宋体"/>
                <w:sz w:val="24"/>
                <w:szCs w:val="24"/>
                <w:highlight w:val="none"/>
              </w:rPr>
              <w:t xml:space="preserve">（依法免税或不需要缴纳社会保障资金的投标人,提供相应文件扫描件证明其依法免税或不需要缴纳社会保障资金)；</w:t>
            </w:r>
            <w:r/>
          </w:p>
          <w:p>
            <w:pPr>
              <w:ind w:right="28"/>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w:t>
            </w:r>
            <w:r>
              <w:rPr>
                <w:rFonts w:hint="eastAsia" w:ascii="宋体" w:hAnsi="宋体" w:eastAsia="宋体" w:cs="宋体"/>
                <w:b/>
                <w:bCs/>
                <w:sz w:val="24"/>
                <w:szCs w:val="24"/>
                <w:highlight w:val="none"/>
              </w:rPr>
              <w:t xml:space="preserve">具备履行合同所必需的设备和专业技术能力的证明材料。即投标文件中提供《</w:t>
            </w:r>
            <w:bookmarkStart w:id="0" w:name="_Toc515551102"/>
            <w:r>
              <w:rPr>
                <w:rFonts w:hint="eastAsia" w:ascii="宋体" w:hAnsi="宋体" w:eastAsia="宋体" w:cs="宋体"/>
                <w:b/>
                <w:bCs/>
                <w:sz w:val="24"/>
                <w:szCs w:val="24"/>
                <w:highlight w:val="none"/>
              </w:rPr>
              <w:t xml:space="preserve">具备履行合同所必需的设备和专业技术能力的书面声明</w:t>
            </w:r>
            <w:bookmarkEnd w:id="0"/>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（加盖电子签章，格式见招标文件第七章《投标文件相关格式》,所附证明材料可不加盖电子签章）；</w:t>
            </w:r>
            <w:r/>
          </w:p>
          <w:p>
            <w:pPr>
              <w:ind w:right="28"/>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(五)投标人参加政府采购活动前3年内在经营活动中没有重大违法记录的书面声明，加盖</w:t>
            </w:r>
            <w:r>
              <w:rPr>
                <w:rFonts w:hint="eastAsia" w:ascii="宋体" w:hAnsi="宋体" w:eastAsia="宋体" w:cs="宋体"/>
                <w:b/>
                <w:sz w:val="24"/>
                <w:szCs w:val="24"/>
                <w:highlight w:val="none"/>
              </w:rPr>
              <w:t xml:space="preserve">电子签章</w:t>
            </w:r>
            <w:r>
              <w:rPr>
                <w:rFonts w:hint="eastAsia" w:ascii="宋体" w:hAnsi="宋体" w:eastAsia="宋体" w:cs="宋体"/>
                <w:sz w:val="24"/>
                <w:szCs w:val="24"/>
                <w:highlight w:val="none"/>
              </w:rPr>
              <w:t xml:space="preserve">，格式见本文件第七章《投标文件相关格式》；</w:t>
            </w:r>
            <w:r/>
          </w:p>
          <w:p>
            <w:pPr>
              <w:ind w:right="28"/>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(六)特定资格要求：</w:t>
            </w:r>
            <w:r/>
          </w:p>
          <w:p>
            <w:pPr>
              <w:ind w:right="28"/>
              <w:rPr>
                <w:rFonts w:hint="eastAsia" w:ascii="宋体" w:hAnsi="宋体" w:eastAsia="宋体" w:cs="宋体"/>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sz w:val="24"/>
                <w:szCs w:val="24"/>
                <w:highlight w:val="none"/>
              </w:rPr>
              <w:t xml:space="preserve">具有机电工程施工总承包叁级及以上资质或具有建筑机电安装工程专业承包贰级及以上资质，且具有有效的《安全生产许可证》证书，以联合体形式参加投标的，应在联合协议中载明联合体各方承担的工作和义务，其中承担技改及运营工作的一方需满足本项目的特定资格要求即可。</w:t>
            </w:r>
            <w:r/>
          </w:p>
          <w:p>
            <w:pPr>
              <w:ind w:right="28"/>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(七)联合体协议书（如投标人以联合体参加采购活动的，投标文件中须提供《联合体协议》原件的扫描件，格式见《招标文件》第七章 投标文件相关格式十二《联合体协议书（格式）》，如不是联合体，无须提供）。</w:t>
            </w:r>
            <w:r/>
          </w:p>
          <w:p>
            <w:pPr>
              <w:ind w:right="28"/>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三、符合条件（必须提供，否则投标无效）</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(一)报价</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1、《报价符合性审查》。</w:t>
            </w:r>
            <w:r>
              <w:rPr>
                <w:rFonts w:hint="eastAsia" w:ascii="宋体" w:hAnsi="宋体" w:eastAsia="宋体" w:cs="宋体"/>
                <w:b w:val="0"/>
                <w:bCs w:val="0"/>
                <w:color w:val="auto"/>
                <w:sz w:val="24"/>
                <w:szCs w:val="24"/>
                <w:highlight w:val="none"/>
              </w:rPr>
              <w:t xml:space="preserve">属于投标（响应）报价低于采购项目最高限价</w:t>
            </w:r>
            <w:r>
              <w:rPr>
                <w:rFonts w:hint="eastAsia" w:ascii="宋体" w:hAnsi="宋体" w:cs="宋体"/>
                <w:b w:val="0"/>
                <w:bCs w:val="0"/>
                <w:color w:val="auto"/>
                <w:sz w:val="24"/>
                <w:szCs w:val="24"/>
                <w:highlight w:val="none"/>
                <w:lang w:val="en-US" w:eastAsia="zh-CN"/>
              </w:rPr>
              <w:t xml:space="preserve">45</w:t>
            </w:r>
            <w:r>
              <w:rPr>
                <w:rFonts w:hint="eastAsia" w:ascii="宋体" w:hAnsi="宋体" w:eastAsia="宋体" w:cs="宋体"/>
                <w:b w:val="0"/>
                <w:bCs w:val="0"/>
                <w:color w:val="auto"/>
                <w:sz w:val="24"/>
                <w:szCs w:val="24"/>
                <w:highlight w:val="none"/>
              </w:rPr>
              <w:t xml:space="preserve">%的，即投标（响应）报价&lt;采购项目最高限价×</w:t>
            </w:r>
            <w:r>
              <w:rPr>
                <w:rFonts w:hint="eastAsia" w:ascii="宋体" w:hAnsi="宋体" w:cs="宋体"/>
                <w:b w:val="0"/>
                <w:bCs w:val="0"/>
                <w:color w:val="auto"/>
                <w:sz w:val="24"/>
                <w:szCs w:val="24"/>
                <w:highlight w:val="none"/>
                <w:lang w:val="en-US" w:eastAsia="zh-CN"/>
              </w:rPr>
              <w:t xml:space="preserve">45</w:t>
            </w:r>
            <w:r>
              <w:rPr>
                <w:rFonts w:hint="eastAsia" w:ascii="宋体" w:hAnsi="宋体" w:eastAsia="宋体" w:cs="宋体"/>
                <w:b w:val="0"/>
                <w:bCs w:val="0"/>
                <w:color w:val="auto"/>
                <w:sz w:val="24"/>
                <w:szCs w:val="24"/>
                <w:highlight w:val="none"/>
              </w:rPr>
              <w:t xml:space="preserve">%，供应商可随投标（响应）文件一并提交相关书面说明及必要的证明材料。</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、《开标一览表》。</w:t>
            </w:r>
            <w:r>
              <w:rPr>
                <w:rFonts w:hint="eastAsia" w:ascii="宋体" w:hAnsi="宋体" w:cs="宋体"/>
                <w:color w:val="auto"/>
                <w:sz w:val="24"/>
                <w:szCs w:val="24"/>
                <w:highlight w:val="none"/>
              </w:rPr>
              <w:t xml:space="preserve">政府采购客户端工具输入报价自动生成。</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、《分项价格表》。</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（二）商务资信</w:t>
            </w:r>
            <w:r/>
          </w:p>
          <w:p>
            <w:pPr>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rPr>
                <w:rFonts w:hint="eastAsia" w:ascii="宋体" w:hAnsi="宋体" w:eastAsia="宋体" w:cs="宋体"/>
                <w:b/>
                <w:color w:val="auto"/>
                <w:sz w:val="24"/>
                <w:szCs w:val="24"/>
                <w:highlight w:val="none"/>
              </w:rPr>
              <w:t xml:space="preserve">《授权委托书》。</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法律、法规和招标文件规定的</w:t>
            </w:r>
            <w:r>
              <w:rPr>
                <w:rFonts w:hint="eastAsia" w:ascii="宋体" w:hAnsi="宋体" w:cs="宋体"/>
                <w:b/>
                <w:bCs/>
                <w:color w:val="auto"/>
                <w:sz w:val="24"/>
                <w:szCs w:val="24"/>
                <w:highlight w:val="none"/>
                <w:lang w:val="en-US" w:eastAsia="zh-CN"/>
              </w:rPr>
              <w:t xml:space="preserve">其他投标</w:t>
            </w:r>
            <w:r>
              <w:rPr>
                <w:rFonts w:hint="eastAsia" w:ascii="宋体" w:hAnsi="宋体" w:eastAsia="宋体" w:cs="宋体"/>
                <w:b/>
                <w:bCs/>
                <w:color w:val="auto"/>
                <w:sz w:val="24"/>
                <w:szCs w:val="24"/>
                <w:highlight w:val="none"/>
                <w:lang w:val="en-US" w:eastAsia="zh-CN"/>
              </w:rPr>
              <w:t xml:space="preserve">无效情形。</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（三）技术响应</w:t>
            </w:r>
            <w:r/>
          </w:p>
          <w:p>
            <w:pPr>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1、《偏离表》</w:t>
            </w:r>
            <w:r>
              <w:rPr>
                <w:rFonts w:hint="eastAsia" w:ascii="宋体" w:hAnsi="宋体" w:eastAsia="宋体" w:cs="宋体"/>
                <w:b w:val="0"/>
                <w:bCs w:val="0"/>
                <w:color w:val="000000"/>
                <w:sz w:val="24"/>
                <w:szCs w:val="24"/>
                <w:highlight w:val="none"/>
              </w:rPr>
              <w:t xml:space="preserve">（加盖电子签章，格式见招标文件第七章《投标文件相关格式》。）</w:t>
            </w:r>
            <w:r/>
          </w:p>
          <w:p>
            <w:pP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四、综合评审评分项</w:t>
            </w:r>
            <w:r/>
          </w:p>
          <w:p>
            <w:pP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（一）技术部分</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1、现状诊断分析与测算方案</w:t>
            </w:r>
            <w:r>
              <w:rPr>
                <w:rFonts w:hint="eastAsia" w:ascii="宋体" w:hAnsi="宋体" w:eastAsia="宋体" w:cs="宋体"/>
                <w:sz w:val="24"/>
                <w:szCs w:val="24"/>
                <w:highlight w:val="none"/>
              </w:rPr>
              <w:t xml:space="preserve">（要求见招标文件第六章《采购需求》及第四章《评标标准》中《评分细则》）；</w:t>
            </w:r>
            <w:r/>
          </w:p>
          <w:p>
            <w:pP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2、节能改造方案</w:t>
            </w:r>
            <w:r>
              <w:rPr>
                <w:rFonts w:hint="eastAsia" w:ascii="宋体" w:hAnsi="宋体" w:eastAsia="宋体" w:cs="宋体"/>
                <w:sz w:val="24"/>
                <w:szCs w:val="24"/>
                <w:highlight w:val="none"/>
              </w:rPr>
              <w:t xml:space="preserve">（要求见招标文件第六章《采购需求》及第四章《评标标准》中《评分细则》）；</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3、综合能源管理平台建设方案</w:t>
            </w:r>
            <w:r>
              <w:rPr>
                <w:rFonts w:hint="eastAsia" w:ascii="宋体" w:hAnsi="宋体" w:eastAsia="宋体" w:cs="宋体"/>
                <w:sz w:val="24"/>
                <w:szCs w:val="24"/>
                <w:highlight w:val="none"/>
              </w:rPr>
              <w:t xml:space="preserve">（要求见招标文件第六章《采购需求》及第四章《评标标准》中《评分细则》）；</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4、管理方案</w:t>
            </w:r>
            <w:r>
              <w:rPr>
                <w:rFonts w:hint="eastAsia" w:ascii="宋体" w:hAnsi="宋体" w:eastAsia="宋体" w:cs="宋体"/>
                <w:sz w:val="24"/>
                <w:szCs w:val="24"/>
                <w:highlight w:val="none"/>
              </w:rPr>
              <w:t xml:space="preserve">（要求见招标文件第六章《采购需求》及第四章《评标标准》中《评分细则》）；</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安全文明措施</w:t>
            </w:r>
            <w:r>
              <w:rPr>
                <w:rFonts w:hint="eastAsia" w:ascii="宋体" w:hAnsi="宋体" w:eastAsia="宋体" w:cs="宋体"/>
                <w:sz w:val="24"/>
                <w:szCs w:val="24"/>
                <w:highlight w:val="none"/>
              </w:rPr>
              <w:t xml:space="preserve">（要求见招标文件第六章《采购需求》及第四章《评标标准》中《评分细则》）；</w:t>
            </w:r>
            <w:r/>
          </w:p>
          <w:p>
            <w:pP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、精细化运营服务方案</w:t>
            </w:r>
            <w:r>
              <w:rPr>
                <w:rFonts w:hint="eastAsia" w:ascii="宋体" w:hAnsi="宋体" w:eastAsia="宋体" w:cs="宋体"/>
                <w:sz w:val="24"/>
                <w:szCs w:val="24"/>
                <w:highlight w:val="none"/>
              </w:rPr>
              <w:t xml:space="preserve">（要求见招标文件第六章《采购需求》及第四章《评标标准》中《评分细则》）；</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7</w:t>
            </w:r>
            <w:r>
              <w:rPr>
                <w:rFonts w:hint="eastAsia" w:ascii="宋体" w:hAnsi="宋体" w:eastAsia="宋体" w:cs="宋体"/>
                <w:b/>
                <w:bCs/>
                <w:sz w:val="24"/>
                <w:szCs w:val="24"/>
                <w:highlight w:val="none"/>
              </w:rPr>
              <w:t xml:space="preserve">、运营技术支撑手段</w:t>
            </w:r>
            <w:r>
              <w:rPr>
                <w:rFonts w:hint="eastAsia" w:ascii="宋体" w:hAnsi="宋体" w:eastAsia="宋体" w:cs="宋体"/>
                <w:sz w:val="24"/>
                <w:szCs w:val="24"/>
                <w:highlight w:val="none"/>
              </w:rPr>
              <w:t xml:space="preserve">（要求见招标文件第六章《采购需求》及第四章《评标标准》中《评分细则》）；</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8、保密方案</w:t>
            </w:r>
            <w:r>
              <w:rPr>
                <w:rFonts w:hint="eastAsia" w:ascii="宋体" w:hAnsi="宋体" w:eastAsia="宋体" w:cs="宋体"/>
                <w:sz w:val="24"/>
                <w:szCs w:val="24"/>
                <w:highlight w:val="none"/>
              </w:rPr>
              <w:t xml:space="preserve">（要求见招标文件第六章《采购需求》及第四章《评标标准》中《评分细则》）；</w:t>
            </w:r>
            <w:r/>
          </w:p>
          <w:p>
            <w:pP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9</w:t>
            </w:r>
            <w:r>
              <w:rPr>
                <w:rFonts w:hint="eastAsia" w:ascii="宋体" w:hAnsi="宋体" w:eastAsia="宋体" w:cs="宋体"/>
                <w:b/>
                <w:bCs/>
                <w:sz w:val="24"/>
                <w:szCs w:val="24"/>
                <w:highlight w:val="none"/>
              </w:rPr>
              <w:t xml:space="preserve">、评分细则中评分得分需提供的相关证明文件扫描件（如有）。</w:t>
            </w:r>
            <w:r/>
          </w:p>
          <w:p>
            <w:pP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w:t>
            </w:r>
            <w:r>
              <w:rPr>
                <w:rFonts w:hint="eastAsia" w:ascii="宋体" w:hAnsi="宋体" w:eastAsia="宋体" w:cs="宋体"/>
                <w:b/>
                <w:bCs/>
                <w:sz w:val="24"/>
                <w:szCs w:val="24"/>
                <w:highlight w:val="none"/>
              </w:rPr>
              <w:t xml:space="preserve">商务部分</w:t>
            </w:r>
            <w:r/>
          </w:p>
          <w:p>
            <w:pP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1、人员配备</w:t>
            </w:r>
            <w:r>
              <w:rPr>
                <w:rFonts w:hint="eastAsia" w:ascii="宋体" w:hAnsi="宋体" w:eastAsia="宋体" w:cs="宋体"/>
                <w:sz w:val="24"/>
                <w:szCs w:val="24"/>
                <w:highlight w:val="none"/>
              </w:rPr>
              <w:t xml:space="preserve">（要求见招标文件第六章《采购需求》及第四章《评标标准》中《评分细则》）</w:t>
            </w:r>
            <w:r>
              <w:rPr>
                <w:rFonts w:hint="eastAsia" w:ascii="宋体" w:hAnsi="宋体" w:eastAsia="宋体" w:cs="宋体"/>
                <w:b/>
                <w:bCs/>
                <w:sz w:val="24"/>
                <w:szCs w:val="24"/>
                <w:highlight w:val="none"/>
              </w:rPr>
              <w:t xml:space="preserve">；</w:t>
            </w:r>
            <w:r/>
          </w:p>
          <w:p>
            <w:pP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2、综合实力</w:t>
            </w:r>
            <w:r>
              <w:rPr>
                <w:rFonts w:hint="eastAsia" w:ascii="宋体" w:hAnsi="宋体" w:eastAsia="宋体" w:cs="宋体"/>
                <w:sz w:val="24"/>
                <w:szCs w:val="24"/>
                <w:highlight w:val="none"/>
              </w:rPr>
              <w:t xml:space="preserve">（要求见招标文件第六章《采购需求》及第四章《评标标准》中《评分细则》）</w:t>
            </w:r>
            <w:r>
              <w:rPr>
                <w:rFonts w:hint="eastAsia" w:ascii="宋体" w:hAnsi="宋体" w:eastAsia="宋体" w:cs="宋体"/>
                <w:b/>
                <w:bCs/>
                <w:sz w:val="24"/>
                <w:szCs w:val="24"/>
                <w:highlight w:val="none"/>
              </w:rPr>
              <w:t xml:space="preserve">；</w:t>
            </w:r>
            <w:r/>
          </w:p>
          <w:p>
            <w:pP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3、业绩</w:t>
            </w:r>
            <w:r>
              <w:rPr>
                <w:rFonts w:hint="eastAsia" w:ascii="宋体" w:hAnsi="宋体" w:eastAsia="宋体" w:cs="宋体"/>
                <w:sz w:val="24"/>
                <w:szCs w:val="24"/>
                <w:highlight w:val="none"/>
              </w:rPr>
              <w:t xml:space="preserve">（要求见招标文件第六章《采购需求》及第四章《评标标准》中《评分细则》）；</w:t>
            </w:r>
            <w:r/>
          </w:p>
          <w:p>
            <w:pP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4、投标人其他证明文件及材料扫描件（如有）。</w:t>
            </w:r>
            <w:r/>
          </w:p>
          <w:p>
            <w:pP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五、其他部分</w:t>
            </w:r>
            <w:r/>
          </w:p>
          <w:p>
            <w:pPr>
              <w:pStyle w:val="930"/>
              <w:ind w:firstLine="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1、价格折扣文件格式：</w:t>
            </w:r>
            <w:r/>
          </w:p>
          <w:p>
            <w:pP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本项目不属于专门面向中小微企业采购的项目，</w:t>
            </w:r>
            <w:r>
              <w:rPr>
                <w:rFonts w:hint="eastAsia" w:ascii="宋体" w:hAnsi="宋体" w:eastAsia="宋体" w:cs="宋体"/>
                <w:sz w:val="28"/>
                <w:szCs w:val="22"/>
                <w:highlight w:val="none"/>
              </w:rPr>
              <w:t xml:space="preserve">投标人</w:t>
            </w:r>
            <w:r>
              <w:rPr>
                <w:rFonts w:hint="eastAsia" w:ascii="宋体" w:hAnsi="宋体" w:eastAsia="宋体" w:cs="宋体"/>
                <w:b/>
                <w:bCs/>
                <w:sz w:val="24"/>
                <w:szCs w:val="24"/>
                <w:highlight w:val="none"/>
              </w:rPr>
              <w:t xml:space="preserve">如为中小微企业（含中型、小型、微型企业，下同），投标文件中提供《中小企业声明函》（加盖电子签章，填写完整。</w:t>
            </w:r>
            <w:r>
              <w:rPr>
                <w:rFonts w:hint="eastAsia" w:ascii="宋体" w:hAnsi="宋体" w:eastAsia="宋体" w:cs="宋体"/>
                <w:sz w:val="24"/>
                <w:szCs w:val="24"/>
                <w:highlight w:val="none"/>
              </w:rPr>
              <w:t xml:space="preserve">格式见本文件第七章《投标文件相关格式》，如不填写完整或未按要求填写的，视为不满足，非必须提供）。《中小企业声明函》查询渠道用微信搜索“中小企业规模类型自测小程序”。</w:t>
            </w:r>
            <w:r/>
          </w:p>
          <w:p>
            <w:pP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注：</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1、中小企业需满足的条件具体以《政府采购促进中小企业发展管理办法》（财库﹝2020﹞46 号）和《工业和信息化部、国家统计局、国家发展和改革委员会、财政部关于印发中小企业划型标准规定的通知》（工信部联企业</w:t>
            </w:r>
            <w:r>
              <w:rPr>
                <w:rFonts w:hint="eastAsia" w:ascii="宋体" w:hAnsi="宋体" w:eastAsia="宋体" w:cs="宋体"/>
                <w:sz w:val="24"/>
                <w:szCs w:val="24"/>
                <w:highlight w:val="none"/>
                <w:lang w:eastAsia="zh-CN"/>
              </w:rPr>
              <w:t xml:space="preserve">〔2011〕300号</w:t>
            </w:r>
            <w:r>
              <w:rPr>
                <w:rFonts w:hint="eastAsia" w:ascii="宋体" w:hAnsi="宋体" w:eastAsia="宋体" w:cs="宋体"/>
                <w:sz w:val="24"/>
                <w:szCs w:val="24"/>
                <w:highlight w:val="none"/>
              </w:rPr>
              <w:t xml:space="preserve">）的规定为准。</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eastAsia="宋体" w:cs="宋体"/>
                <w:sz w:val="28"/>
                <w:szCs w:val="22"/>
                <w:highlight w:val="none"/>
              </w:rPr>
              <w:t xml:space="preserve">投标人</w:t>
            </w:r>
            <w:r>
              <w:rPr>
                <w:rFonts w:hint="eastAsia" w:ascii="宋体" w:hAnsi="宋体" w:eastAsia="宋体" w:cs="宋体"/>
                <w:sz w:val="24"/>
                <w:szCs w:val="24"/>
                <w:highlight w:val="none"/>
              </w:rPr>
              <w:t xml:space="preserve">为残疾人福利性单位的，视同小微企业，提供《残疾人福利性单位声明函》（加盖电子签章，格式见招标文件第七章《投标文件相关格式》）。具体以《关于促进残疾人就业政府采购政策的通知》（财库〔2017〕141号）的规定为准。</w:t>
            </w:r>
            <w:r/>
          </w:p>
          <w:p>
            <w:pPr>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hint="eastAsia" w:ascii="宋体" w:hAnsi="宋体" w:eastAsia="宋体" w:cs="宋体"/>
                <w:sz w:val="28"/>
                <w:szCs w:val="22"/>
                <w:highlight w:val="none"/>
              </w:rPr>
              <w:t xml:space="preserve">投标人</w:t>
            </w:r>
            <w:r>
              <w:rPr>
                <w:rFonts w:hint="eastAsia" w:ascii="宋体" w:hAnsi="宋体" w:eastAsia="宋体" w:cs="宋体"/>
                <w:sz w:val="24"/>
                <w:szCs w:val="24"/>
                <w:highlight w:val="none"/>
              </w:rPr>
              <w:t xml:space="preserve">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p>
          <w:p>
            <w:pPr>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1、</w:t>
            </w:r>
            <w:r>
              <w:rPr>
                <w:rFonts w:hint="eastAsia" w:ascii="宋体" w:hAnsi="宋体" w:eastAsia="宋体" w:cs="宋体"/>
                <w:sz w:val="28"/>
                <w:szCs w:val="22"/>
                <w:highlight w:val="none"/>
              </w:rPr>
              <w:t xml:space="preserve">投标人</w:t>
            </w:r>
            <w:r>
              <w:rPr>
                <w:rFonts w:hint="eastAsia" w:ascii="宋体" w:hAnsi="宋体" w:eastAsia="宋体" w:cs="宋体"/>
                <w:bCs/>
                <w:sz w:val="24"/>
                <w:szCs w:val="24"/>
                <w:highlight w:val="none"/>
              </w:rPr>
              <w:t xml:space="preserve">应对以上文件的合法性、真实性负责。</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2、签订合同前，中标</w:t>
            </w:r>
            <w:r>
              <w:rPr>
                <w:rFonts w:hint="eastAsia" w:ascii="宋体" w:hAnsi="宋体" w:eastAsia="宋体" w:cs="宋体"/>
                <w:bCs/>
                <w:sz w:val="24"/>
                <w:szCs w:val="24"/>
                <w:highlight w:val="none"/>
                <w:lang w:val="en-US" w:eastAsia="zh-CN"/>
              </w:rPr>
              <w:t xml:space="preserve">供应商</w:t>
            </w:r>
            <w:r>
              <w:rPr>
                <w:rFonts w:hint="eastAsia" w:ascii="宋体" w:hAnsi="宋体" w:eastAsia="宋体" w:cs="宋体"/>
                <w:bCs/>
                <w:sz w:val="24"/>
                <w:szCs w:val="24"/>
                <w:highlight w:val="none"/>
              </w:rPr>
              <w:t xml:space="preserve">必须向采购人提交其投标文件中所有扫描件的原件，采购人核查无误后，签订合同。如中标</w:t>
            </w:r>
            <w:r>
              <w:rPr>
                <w:rFonts w:hint="eastAsia" w:ascii="宋体" w:hAnsi="宋体" w:eastAsia="宋体" w:cs="宋体"/>
                <w:bCs/>
                <w:sz w:val="24"/>
                <w:szCs w:val="24"/>
                <w:highlight w:val="none"/>
                <w:lang w:val="en-US" w:eastAsia="zh-CN"/>
              </w:rPr>
              <w:t xml:space="preserve">供应商</w:t>
            </w:r>
            <w:r>
              <w:rPr>
                <w:rFonts w:hint="eastAsia" w:ascii="宋体" w:hAnsi="宋体" w:eastAsia="宋体" w:cs="宋体"/>
                <w:bCs/>
                <w:sz w:val="24"/>
                <w:szCs w:val="24"/>
                <w:highlight w:val="none"/>
              </w:rPr>
              <w:t xml:space="preserve">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(十三)2</w:t>
            </w:r>
            <w:r/>
          </w:p>
        </w:tc>
        <w:tc>
          <w:tcPr>
            <w:tcMar>
              <w:left w:w="108" w:type="dxa"/>
              <w:top w:w="0" w:type="dxa"/>
              <w:right w:w="108" w:type="dxa"/>
              <w:bottom w:w="0" w:type="dxa"/>
            </w:tcMar>
            <w:tcW w:w="83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商务条件见：</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一、本文件第四章《评标标准》中《评分细则》。</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(十三)3</w:t>
            </w:r>
            <w:r/>
          </w:p>
        </w:tc>
        <w:tc>
          <w:tcPr>
            <w:tcMar>
              <w:left w:w="108" w:type="dxa"/>
              <w:top w:w="0" w:type="dxa"/>
              <w:right w:w="108" w:type="dxa"/>
              <w:bottom w:w="0" w:type="dxa"/>
            </w:tcMar>
            <w:tcW w:w="83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交货和提供服务的时间：见本文件第五章 《拟签订的合同文本》及本文件第六章《采购需求》。</w:t>
            </w:r>
            <w:r/>
          </w:p>
        </w:tc>
      </w:tr>
      <w:tr>
        <w:trPr>
          <w:jc w:val="center"/>
          <w:trHeight w:val="756"/>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(十四)</w:t>
            </w:r>
            <w:r/>
          </w:p>
        </w:tc>
        <w:tc>
          <w:tcPr>
            <w:tcMar>
              <w:left w:w="108" w:type="dxa"/>
              <w:top w:w="0" w:type="dxa"/>
              <w:right w:w="108" w:type="dxa"/>
              <w:bottom w:w="0" w:type="dxa"/>
            </w:tcMar>
            <w:tcW w:w="8313" w:type="dxa"/>
            <w:textDirection w:val="lrTb"/>
            <w:noWrap w:val="false"/>
          </w:tcPr>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本项目预算金额人民币</w:t>
            </w:r>
            <w:r>
              <w:rPr>
                <w:rFonts w:hint="eastAsia" w:ascii="宋体" w:hAnsi="宋体" w:eastAsia="宋体" w:cs="宋体"/>
                <w:b/>
                <w:bCs/>
                <w:sz w:val="24"/>
                <w:szCs w:val="24"/>
                <w:highlight w:val="none"/>
                <w:lang w:eastAsia="zh-CN"/>
              </w:rPr>
              <w:t xml:space="preserve">4415.6</w:t>
            </w:r>
            <w:r>
              <w:rPr>
                <w:rFonts w:hint="eastAsia" w:ascii="宋体" w:hAnsi="宋体" w:eastAsia="宋体" w:cs="宋体"/>
                <w:b/>
                <w:bCs/>
                <w:sz w:val="24"/>
                <w:szCs w:val="24"/>
                <w:highlight w:val="none"/>
              </w:rPr>
              <w:t xml:space="preserve">万元，不接受超过项目预算的投标报价。</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报价包括全部费用，采购人不再支付报价以外的任何费用。</w:t>
            </w:r>
            <w:r/>
          </w:p>
        </w:tc>
      </w:tr>
      <w:tr>
        <w:trPr>
          <w:jc w:val="center"/>
          <w:trHeight w:val="417"/>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(十五)</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以人民币报价。</w:t>
            </w:r>
            <w:r/>
          </w:p>
        </w:tc>
      </w:tr>
      <w:tr>
        <w:trPr>
          <w:jc w:val="center"/>
          <w:trHeight w:val="3027"/>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投标人</w:t>
            </w:r>
            <w:r>
              <w:rPr>
                <w:rFonts w:hint="eastAsia" w:ascii="宋体" w:hAnsi="宋体" w:eastAsia="宋体" w:cs="宋体"/>
                <w:sz w:val="24"/>
                <w:szCs w:val="24"/>
                <w:highlight w:val="none"/>
              </w:rPr>
              <w:t xml:space="preserve">须用政府采购客户端工具导入“苏采云”系统下载的采购文件（后缀）、投标人操作手册及政府采购客户端工具可通过“苏采云”系统（网址：http</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jszfcg.jsczt.cn/）--已报名项目--报名详情页面内相应链接进行下载；投标人操作手册及政府采购客户端工具也可通过徐州政府采购网--业务工作--快速服务--下载专区，点击进入《江苏省政府采购管理交易系统（苏采云）投标人操作手册及政府采购客户端》，进行下载。</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投标人</w:t>
            </w:r>
            <w:r>
              <w:rPr>
                <w:rFonts w:hint="eastAsia" w:ascii="宋体" w:hAnsi="宋体" w:eastAsia="宋体" w:cs="宋体"/>
                <w:sz w:val="24"/>
                <w:szCs w:val="24"/>
                <w:highlight w:val="none"/>
              </w:rPr>
              <w:t xml:space="preserve">应当通过“苏采云”系统提交数据电文形式的投标文件（即电子投标）。</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特别说明：政府采购客户端工具需要导出加密的投标文件（后缀名为</w:t>
            </w:r>
            <w:r>
              <w:rPr>
                <w:rFonts w:hint="eastAsia" w:ascii="宋体" w:hAnsi="宋体" w:eastAsia="宋体" w:cs="宋体"/>
                <w:b/>
                <w:bCs/>
                <w:sz w:val="24"/>
                <w:szCs w:val="24"/>
                <w:highlight w:val="none"/>
              </w:rPr>
              <w:t xml:space="preserve">zip</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投标文件不得超过150M</w:t>
            </w:r>
            <w:r>
              <w:rPr>
                <w:rFonts w:hint="eastAsia" w:ascii="宋体" w:hAnsi="宋体" w:eastAsia="宋体" w:cs="宋体"/>
                <w:sz w:val="24"/>
                <w:szCs w:val="24"/>
                <w:highlight w:val="none"/>
              </w:rPr>
              <w:t xml:space="preserve">！名为“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”）后，离线编制投标文件。采购文件（后缀名为“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w:t>
            </w:r>
            <w:r/>
          </w:p>
        </w:tc>
      </w:tr>
      <w:tr>
        <w:trPr>
          <w:jc w:val="center"/>
          <w:trHeight w:val="525"/>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(十八)</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见本文件第三章《投标资料表》中(十二)1和(十二)2</w:t>
            </w:r>
            <w:r/>
          </w:p>
        </w:tc>
      </w:tr>
      <w:tr>
        <w:trPr>
          <w:jc w:val="center"/>
          <w:trHeight w:val="408"/>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(十九)</w:t>
            </w:r>
            <w:r/>
          </w:p>
        </w:tc>
        <w:tc>
          <w:tcPr>
            <w:tcMar>
              <w:left w:w="108" w:type="dxa"/>
              <w:top w:w="0" w:type="dxa"/>
              <w:right w:w="108" w:type="dxa"/>
              <w:bottom w:w="0" w:type="dxa"/>
            </w:tcMar>
            <w:tcW w:w="8313" w:type="dxa"/>
            <w:vAlign w:val="center"/>
            <w:textDirection w:val="lrTb"/>
            <w:noWrap w:val="false"/>
          </w:tcPr>
          <w:p>
            <w:pPr>
              <w:ind w:left="560" w:hanging="56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投标文件的提交与接收：</w:t>
            </w:r>
            <w:r>
              <w:rPr>
                <w:rFonts w:hint="eastAsia" w:ascii="宋体" w:hAnsi="宋体" w:eastAsia="宋体" w:cs="宋体"/>
                <w:sz w:val="24"/>
                <w:szCs w:val="24"/>
                <w:highlight w:val="none"/>
              </w:rPr>
              <w:t xml:space="preserve"> </w:t>
            </w:r>
            <w:r/>
          </w:p>
          <w:p>
            <w:pP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1、投标文件提交与接收时间：202</w:t>
            </w:r>
            <w:r>
              <w:rPr>
                <w:rFonts w:hint="eastAsia" w:ascii="宋体" w:hAnsi="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u w:val="single"/>
              </w:rPr>
              <w:t xml:space="preserve"> </w:t>
            </w:r>
            <w:r>
              <w:rPr>
                <w:rFonts w:hint="eastAsia" w:ascii="宋体" w:hAnsi="宋体" w:cs="宋体"/>
                <w:b/>
                <w:bCs/>
                <w:sz w:val="24"/>
                <w:szCs w:val="24"/>
                <w:highlight w:val="none"/>
                <w:u w:val="single"/>
                <w:lang w:val="en-US" w:eastAsia="zh-CN"/>
              </w:rPr>
              <w:t xml:space="preserve">9</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u w:val="single"/>
              </w:rPr>
              <w:t xml:space="preserve"> 14</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rPr>
              <w:t xml:space="preserve">日北京时间09：00前。</w:t>
            </w:r>
            <w:r/>
          </w:p>
          <w:p>
            <w:pPr>
              <w:ind w:left="560" w:hanging="56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2、投标文件提交与接收地点： </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投标人</w:t>
            </w:r>
            <w:r>
              <w:rPr>
                <w:rFonts w:hint="eastAsia" w:ascii="宋体" w:hAnsi="宋体" w:eastAsia="宋体" w:cs="宋体"/>
                <w:sz w:val="24"/>
                <w:szCs w:val="24"/>
                <w:highlight w:val="none"/>
              </w:rPr>
              <w:t xml:space="preserve">应当通过“苏采云”系统提交数据电文形式的投标文件（即电子投标），“苏采云”系统自动接收。</w:t>
            </w:r>
            <w:r/>
          </w:p>
        </w:tc>
      </w:tr>
      <w:tr>
        <w:trPr>
          <w:jc w:val="center"/>
          <w:trHeight w:val="90"/>
        </w:trPr>
        <w:tc>
          <w:tcPr>
            <w:tcMar>
              <w:left w:w="108" w:type="dxa"/>
              <w:top w:w="0" w:type="dxa"/>
              <w:right w:w="108" w:type="dxa"/>
              <w:bottom w:w="0" w:type="dxa"/>
            </w:tcMar>
            <w:tcW w:w="1471" w:type="dxa"/>
            <w:vMerge w:val="restart"/>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电子投标文件应由其法定代表人或法定代表人授权代表在规定的网上投标时间内，</w:t>
            </w:r>
            <w:r>
              <w:rPr>
                <w:rFonts w:hint="eastAsia" w:ascii="宋体" w:hAnsi="宋体" w:eastAsia="宋体" w:cs="宋体"/>
                <w:b/>
                <w:color w:val="000000"/>
                <w:sz w:val="24"/>
                <w:szCs w:val="24"/>
              </w:rPr>
              <w:t xml:space="preserve">凭 CA 证书登陆“苏采云”系统在线编制投标文件（电子数据），并在投标截止时间之前上传投标文件。并于开标时凭CA锁进行解密。</w:t>
            </w:r>
            <w:r/>
          </w:p>
        </w:tc>
      </w:tr>
      <w:tr>
        <w:trPr>
          <w:jc w:val="center"/>
          <w:trHeight w:val="1319"/>
        </w:trPr>
        <w:tc>
          <w:tcPr>
            <w:tcMar>
              <w:left w:w="108" w:type="dxa"/>
              <w:top w:w="0" w:type="dxa"/>
              <w:right w:w="108" w:type="dxa"/>
              <w:bottom w:w="0" w:type="dxa"/>
            </w:tcMar>
            <w:tcW w:w="1471" w:type="dxa"/>
            <w:vMerge w:val="continue"/>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8313" w:type="dxa"/>
            <w:vAlign w:val="top"/>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rPr>
              <w:t xml:space="preserve">开标时间后</w:t>
            </w:r>
            <w:r>
              <w:rPr>
                <w:rFonts w:hint="eastAsia" w:ascii="宋体" w:hAnsi="宋体" w:cs="宋体"/>
                <w:color w:val="000000"/>
                <w:sz w:val="24"/>
              </w:rPr>
              <w:t xml:space="preserve">，通过“苏采云”系统（使用“CA数字证书”）解密。解密时限：进入解密环节后，</w:t>
            </w:r>
            <w:r>
              <w:rPr>
                <w:rFonts w:hint="eastAsia" w:ascii="宋体" w:hAnsi="宋体" w:cs="宋体"/>
                <w:b/>
                <w:bCs/>
                <w:color w:val="000000"/>
                <w:sz w:val="24"/>
              </w:rPr>
              <w:t xml:space="preserve">30分钟内。</w:t>
            </w:r>
            <w:r/>
          </w:p>
          <w:p>
            <w:pPr>
              <w:jc w:val="left"/>
              <w:widowControl/>
              <w:rPr>
                <w:rFonts w:ascii="宋体" w:hAnsi="宋体" w:cs="宋体"/>
                <w:color w:val="000000"/>
                <w:sz w:val="24"/>
              </w:rPr>
            </w:pPr>
            <w:r>
              <w:rPr>
                <w:rFonts w:hint="eastAsia" w:ascii="宋体" w:hAnsi="宋体" w:cs="宋体"/>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jc w:val="left"/>
              <w:widowControl/>
              <w:rPr>
                <w:rFonts w:hint="eastAsia" w:ascii="宋体" w:hAnsi="宋体" w:eastAsia="宋体" w:cs="宋体"/>
                <w:sz w:val="24"/>
                <w:szCs w:val="24"/>
                <w:highlight w:val="none"/>
              </w:rPr>
            </w:pPr>
            <w:r>
              <w:rPr>
                <w:rFonts w:hint="eastAsia" w:ascii="宋体" w:hAnsi="宋体" w:cs="宋体"/>
                <w:bCs/>
                <w:color w:val="000000"/>
                <w:sz w:val="24"/>
              </w:rPr>
              <w:t xml:space="preserve">“苏采云”系统生成开标记录并向社会公众公布，但依法应当保密的除外。</w:t>
            </w:r>
            <w:r/>
          </w:p>
        </w:tc>
      </w:tr>
      <w:tr>
        <w:trPr>
          <w:jc w:val="center"/>
          <w:trHeight w:val="90"/>
        </w:trPr>
        <w:tc>
          <w:tcPr>
            <w:tcMar>
              <w:left w:w="108" w:type="dxa"/>
              <w:top w:w="0" w:type="dxa"/>
              <w:right w:w="108" w:type="dxa"/>
              <w:bottom w:w="0" w:type="dxa"/>
            </w:tcMar>
            <w:tcW w:w="1471" w:type="dxa"/>
            <w:vMerge w:val="continue"/>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8313" w:type="dxa"/>
            <w:vAlign w:val="top"/>
            <w:textDirection w:val="lrTb"/>
            <w:noWrap w:val="false"/>
          </w:tcPr>
          <w:p>
            <w:pPr>
              <w:jc w:val="left"/>
              <w:widowControl/>
              <w:rPr>
                <w:rFonts w:hint="eastAsia" w:ascii="宋体" w:hAnsi="宋体" w:eastAsia="宋体" w:cs="宋体"/>
                <w:sz w:val="24"/>
                <w:szCs w:val="24"/>
                <w:highlight w:val="none"/>
              </w:rPr>
            </w:pPr>
            <w:r>
              <w:rPr>
                <w:rFonts w:hint="eastAsia" w:ascii="宋体" w:hAnsi="宋体" w:cs="宋体"/>
                <w:color w:val="000000"/>
                <w:sz w:val="24"/>
              </w:rPr>
              <w:t xml:space="preserve">“苏采云”系统生成开标记录并</w:t>
            </w:r>
            <w:r>
              <w:rPr>
                <w:rFonts w:hint="eastAsia" w:ascii="宋体" w:hAnsi="宋体" w:cs="宋体"/>
                <w:b/>
                <w:bCs/>
                <w:color w:val="000000"/>
                <w:sz w:val="24"/>
              </w:rPr>
              <w:t xml:space="preserve">向社会公众公布后5分钟内</w:t>
            </w:r>
            <w:r>
              <w:rPr>
                <w:rFonts w:hint="eastAsia" w:ascii="宋体" w:hAnsi="宋体" w:cs="宋体"/>
                <w:color w:val="000000"/>
                <w:sz w:val="24"/>
              </w:rPr>
              <w:t xml:space="preserve">，投标人通过“苏采云”系统（使用“CA数字证书”）</w:t>
            </w:r>
            <w:r>
              <w:rPr>
                <w:rFonts w:hint="eastAsia" w:ascii="宋体" w:hAnsi="宋体" w:cs="宋体"/>
                <w:b/>
                <w:bCs/>
                <w:color w:val="000000"/>
                <w:sz w:val="24"/>
              </w:rPr>
              <w:t xml:space="preserve">确认开标过程</w:t>
            </w:r>
            <w:r>
              <w:rPr>
                <w:rFonts w:hint="eastAsia" w:ascii="宋体" w:hAnsi="宋体" w:cs="宋体"/>
                <w:color w:val="000000"/>
                <w:sz w:val="24"/>
              </w:rPr>
              <w:t xml:space="preserve">。在以上时间内投标人没有确认的，视同该投标人认可开标结果。</w:t>
            </w:r>
            <w:r/>
          </w:p>
        </w:tc>
      </w:tr>
      <w:tr>
        <w:trPr>
          <w:jc w:val="center"/>
          <w:trHeight w:val="1319"/>
        </w:trPr>
        <w:tc>
          <w:tcPr>
            <w:tcMar>
              <w:left w:w="108" w:type="dxa"/>
              <w:top w:w="0" w:type="dxa"/>
              <w:right w:w="108" w:type="dxa"/>
              <w:bottom w:w="0" w:type="dxa"/>
            </w:tcMar>
            <w:tcW w:w="1471" w:type="dxa"/>
            <w:vMerge w:val="continue"/>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8313" w:type="dxa"/>
            <w:vAlign w:val="top"/>
            <w:textDirection w:val="lrTb"/>
            <w:noWrap w:val="false"/>
          </w:tcPr>
          <w:p>
            <w:pPr>
              <w:jc w:val="left"/>
              <w:widowControl/>
              <w:rPr>
                <w:rFonts w:hint="eastAsia" w:ascii="宋体" w:hAnsi="宋体" w:eastAsia="宋体" w:cs="宋体"/>
                <w:sz w:val="24"/>
                <w:szCs w:val="24"/>
                <w:highlight w:val="none"/>
              </w:rPr>
            </w:pPr>
            <w:r>
              <w:rPr>
                <w:rFonts w:hint="eastAsia" w:ascii="宋体" w:hAnsi="宋体" w:cs="宋体"/>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380"/>
        </w:trPr>
        <w:tc>
          <w:tcPr>
            <w:tcMar>
              <w:left w:w="108" w:type="dxa"/>
              <w:top w:w="0" w:type="dxa"/>
              <w:right w:w="108" w:type="dxa"/>
              <w:bottom w:w="0" w:type="dxa"/>
            </w:tcMar>
            <w:tcW w:w="1471" w:type="dxa"/>
            <w:vMerge w:val="continue"/>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8313" w:type="dxa"/>
            <w:vAlign w:val="top"/>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color w:val="000000"/>
                <w:sz w:val="24"/>
                <w:szCs w:val="24"/>
                <w:lang w:val="en-US" w:eastAsia="zh-CN" w:bidi="ar-SA"/>
              </w:rPr>
              <w:t xml:space="preserve">投标文件解密失败的补救方案：无。</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w:t>
            </w:r>
            <w:r/>
          </w:p>
        </w:tc>
        <w:tc>
          <w:tcPr>
            <w:tcMar>
              <w:left w:w="108" w:type="dxa"/>
              <w:top w:w="0" w:type="dxa"/>
              <w:right w:w="108" w:type="dxa"/>
              <w:bottom w:w="0" w:type="dxa"/>
            </w:tcMar>
            <w:tcW w:w="83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开标</w:t>
            </w:r>
            <w:r/>
          </w:p>
        </w:tc>
      </w:tr>
      <w:tr>
        <w:trPr>
          <w:jc w:val="center"/>
          <w:trHeight w:val="1923"/>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开标时间及地点：</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1、开标时间：</w:t>
            </w:r>
            <w:r>
              <w:rPr>
                <w:rFonts w:hint="eastAsia" w:ascii="宋体" w:hAnsi="宋体" w:eastAsia="宋体" w:cs="宋体"/>
                <w:b/>
                <w:sz w:val="24"/>
                <w:szCs w:val="24"/>
                <w:highlight w:val="none"/>
              </w:rPr>
              <w:t xml:space="preserve">202</w:t>
            </w:r>
            <w:r>
              <w:rPr>
                <w:rFonts w:hint="eastAsia" w:ascii="宋体" w:hAnsi="宋体" w:cs="宋体"/>
                <w:b/>
                <w:sz w:val="24"/>
                <w:szCs w:val="24"/>
                <w:highlight w:val="none"/>
                <w:lang w:val="en-US" w:eastAsia="zh-CN"/>
              </w:rPr>
              <w:t xml:space="preserve">6</w:t>
            </w:r>
            <w:r>
              <w:rPr>
                <w:rFonts w:hint="eastAsia" w:ascii="宋体" w:hAnsi="宋体" w:eastAsia="宋体" w:cs="宋体"/>
                <w:b/>
                <w:sz w:val="24"/>
                <w:szCs w:val="24"/>
                <w:highlight w:val="none"/>
              </w:rPr>
              <w:t xml:space="preserve">年</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u w:val="single"/>
              </w:rPr>
              <w:t xml:space="preserve">9 </w:t>
            </w:r>
            <w:r>
              <w:rPr>
                <w:rFonts w:hint="eastAsia" w:ascii="宋体" w:hAnsi="宋体" w:eastAsia="宋体" w:cs="宋体"/>
                <w:b/>
                <w:sz w:val="24"/>
                <w:szCs w:val="24"/>
                <w:highlight w:val="none"/>
              </w:rPr>
              <w:t xml:space="preserve">月</w:t>
            </w:r>
            <w:r>
              <w:rPr>
                <w:rFonts w:hint="eastAsia" w:ascii="宋体" w:hAnsi="宋体" w:eastAsia="宋体" w:cs="宋体"/>
                <w:b/>
                <w:sz w:val="24"/>
                <w:szCs w:val="24"/>
                <w:highlight w:val="none"/>
                <w:u w:val="single"/>
              </w:rPr>
              <w:t xml:space="preserve"> 14</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日09：00（北京时间）</w:t>
            </w:r>
            <w:r/>
          </w:p>
          <w:p>
            <w:pP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2、开标地点：</w:t>
            </w:r>
            <w:r/>
          </w:p>
          <w:p>
            <w:pPr>
              <w:jc w:val="lef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“苏采云”系统（网址： http</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//jszfcg.jsczt.cn/）“开标大厅”或进入徐州政府采购网（网址：http</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//czj.xz.gov.cn/Home/HomeIndex）--业务工作--用户登录，点击“苏采云”进入系统“开标大厅”。</w:t>
            </w:r>
            <w:r/>
          </w:p>
        </w:tc>
      </w:tr>
      <w:tr>
        <w:trPr>
          <w:jc w:val="center"/>
          <w:trHeight w:val="669"/>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招标文件规定的需要宣布的内容：宣读</w:t>
            </w:r>
            <w:r>
              <w:rPr>
                <w:rFonts w:hint="eastAsia" w:ascii="宋体" w:hAnsi="宋体" w:eastAsia="宋体" w:cs="宋体"/>
                <w:sz w:val="28"/>
                <w:szCs w:val="22"/>
                <w:highlight w:val="none"/>
              </w:rPr>
              <w:t xml:space="preserve">投标人</w:t>
            </w:r>
            <w:r>
              <w:rPr>
                <w:rFonts w:hint="eastAsia" w:ascii="宋体" w:hAnsi="宋体" w:eastAsia="宋体" w:cs="宋体"/>
                <w:sz w:val="24"/>
                <w:szCs w:val="24"/>
                <w:highlight w:val="none"/>
              </w:rPr>
              <w:t xml:space="preserve">名称、投标价格。</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w:t>
            </w:r>
            <w:r/>
          </w:p>
        </w:tc>
        <w:tc>
          <w:tcPr>
            <w:tcMar>
              <w:left w:w="108" w:type="dxa"/>
              <w:top w:w="0" w:type="dxa"/>
              <w:right w:w="108" w:type="dxa"/>
              <w:bottom w:w="0" w:type="dxa"/>
            </w:tcMar>
            <w:tcW w:w="83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评标</w:t>
            </w:r>
            <w:r/>
          </w:p>
        </w:tc>
      </w:tr>
      <w:tr>
        <w:trPr>
          <w:jc w:val="center"/>
          <w:trHeight w:val="541"/>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(二十七)</w:t>
            </w:r>
            <w:r/>
          </w:p>
        </w:tc>
        <w:tc>
          <w:tcPr>
            <w:tcMar>
              <w:left w:w="108" w:type="dxa"/>
              <w:top w:w="0" w:type="dxa"/>
              <w:right w:w="108" w:type="dxa"/>
              <w:bottom w:w="0" w:type="dxa"/>
            </w:tcMar>
            <w:tcW w:w="83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采用综合评分法。</w:t>
            </w:r>
            <w:r/>
          </w:p>
        </w:tc>
      </w:tr>
      <w:tr>
        <w:trPr>
          <w:jc w:val="center"/>
          <w:trHeight w:val="2609"/>
        </w:trPr>
        <w:tc>
          <w:tcPr>
            <w:tcMar>
              <w:left w:w="108" w:type="dxa"/>
              <w:top w:w="0" w:type="dxa"/>
              <w:right w:w="108" w:type="dxa"/>
              <w:bottom w:w="0" w:type="dxa"/>
            </w:tcMar>
            <w:tcW w:w="1471" w:type="dxa"/>
            <w:textDirection w:val="lrTb"/>
            <w:noWrap w:val="false"/>
          </w:tcPr>
          <w:p>
            <w:pPr>
              <w:jc w:val="lef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(二十八)</w:t>
            </w:r>
            <w:r/>
          </w:p>
        </w:tc>
        <w:tc>
          <w:tcPr>
            <w:tcMar>
              <w:left w:w="108" w:type="dxa"/>
              <w:top w:w="0" w:type="dxa"/>
              <w:right w:w="108" w:type="dxa"/>
              <w:bottom w:w="0" w:type="dxa"/>
            </w:tcMar>
            <w:tcW w:w="83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一、推荐中标候选投标人名单。中标候选投标人数量应当根据采购需要确定，但必须按顺序排列中标候选投标人。</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项目实施方案得分顺序排列。</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三、采购人应当自收到评标报告之日起5个工作日内，在评标报告确定的中标候选人名单中按得分最高顺序确定一名中标人。</w:t>
            </w:r>
            <w:r/>
          </w:p>
        </w:tc>
      </w:tr>
      <w:tr>
        <w:trPr>
          <w:jc w:val="center"/>
          <w:trHeight w:val="3861"/>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二十九</w:t>
            </w:r>
            <w:r/>
          </w:p>
        </w:tc>
        <w:tc>
          <w:tcPr>
            <w:tcMar>
              <w:left w:w="108" w:type="dxa"/>
              <w:top w:w="0" w:type="dxa"/>
              <w:right w:w="108" w:type="dxa"/>
              <w:bottom w:w="0" w:type="dxa"/>
            </w:tcMar>
            <w:tcW w:w="83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138"/>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83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bCs/>
                <w:sz w:val="24"/>
                <w:szCs w:val="24"/>
                <w:highlight w:val="none"/>
              </w:rPr>
              <w:t xml:space="preserve">投标（响应）供应商不能提供书面说明、证明材料，或者提供的书面说明、证明材料不能证明其报价合理性的，评审（评标）委员会应当将其作为无效投标（响应）处理。</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特别说明：“苏采云”系统通过“江苏省政府采购一体化不见面开标大厅”提醒投标人，投标人自行查看。投标人未及时查看或因自身原因导致未收到信息的，责任自负。</w:t>
            </w:r>
            <w:r/>
          </w:p>
        </w:tc>
      </w:tr>
      <w:tr>
        <w:trPr>
          <w:jc w:val="center"/>
          <w:trHeight w:val="3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w:t>
            </w:r>
            <w:r/>
          </w:p>
        </w:tc>
        <w:tc>
          <w:tcPr>
            <w:tcMar>
              <w:left w:w="108" w:type="dxa"/>
              <w:top w:w="0" w:type="dxa"/>
              <w:right w:w="108" w:type="dxa"/>
              <w:bottom w:w="0" w:type="dxa"/>
            </w:tcMar>
            <w:tcW w:w="83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(三十六)</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采购人与中标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人应当在中标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成交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通知书发出之日起30日内，按照</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（三十八）</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履约保证金：无。</w:t>
            </w:r>
            <w:r/>
          </w:p>
        </w:tc>
      </w:tr>
      <w:tr>
        <w:trPr>
          <w:jc w:val="center"/>
          <w:trHeight w:val="2229"/>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w:t>
            </w:r>
            <w:r/>
          </w:p>
        </w:tc>
        <w:tc>
          <w:tcPr>
            <w:tcMar>
              <w:left w:w="108" w:type="dxa"/>
              <w:top w:w="0" w:type="dxa"/>
              <w:right w:w="108" w:type="dxa"/>
              <w:bottom w:w="0" w:type="dxa"/>
            </w:tcMar>
            <w:tcW w:w="83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投标人对同一采购程序环节的质疑应在质疑期内一次性提出。</w:t>
            </w:r>
            <w:r/>
          </w:p>
          <w:p>
            <w:pPr>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质疑接收人：</w:t>
            </w:r>
            <w:r>
              <w:rPr>
                <w:rFonts w:hint="eastAsia" w:ascii="宋体" w:hAnsi="宋体" w:cs="宋体"/>
                <w:sz w:val="24"/>
                <w:szCs w:val="24"/>
                <w:highlight w:val="none"/>
                <w:lang w:eastAsia="zh-CN"/>
              </w:rPr>
              <w:t xml:space="preserve">李文宇</w:t>
            </w:r>
            <w:r>
              <w:rPr>
                <w:rFonts w:hint="eastAsia" w:ascii="宋体" w:hAnsi="宋体" w:eastAsia="宋体" w:cs="宋体"/>
                <w:sz w:val="24"/>
                <w:szCs w:val="24"/>
                <w:highlight w:val="none"/>
              </w:rPr>
              <w:t xml:space="preserve">      联系电话：</w:t>
            </w:r>
            <w:r>
              <w:rPr>
                <w:rFonts w:hint="eastAsia" w:ascii="宋体" w:hAnsi="宋体" w:cs="宋体"/>
                <w:sz w:val="24"/>
                <w:szCs w:val="24"/>
                <w:highlight w:val="none"/>
                <w:lang w:eastAsia="zh-CN"/>
              </w:rPr>
              <w:t xml:space="preserve">0516-83999505</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地址：江苏省徐州市泉山区金山东路北侧徐州软件园C-11号楼1011室</w:t>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附加说明</w:t>
            </w:r>
            <w:r/>
          </w:p>
        </w:tc>
        <w:tc>
          <w:tcPr>
            <w:tcMar>
              <w:left w:w="108" w:type="dxa"/>
              <w:top w:w="0" w:type="dxa"/>
              <w:right w:w="108" w:type="dxa"/>
              <w:bottom w:w="0" w:type="dxa"/>
            </w:tcMar>
            <w:tcW w:w="83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中标</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在收到中标通知书时，须向采购人和采购代理机构提交《开标一览表》和《分项价格表》的数据文件（WORD格式）。</w:t>
            </w:r>
            <w:r/>
          </w:p>
          <w:p>
            <w:pPr>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邮箱：</w:t>
            </w:r>
            <w:r>
              <w:rPr>
                <w:rFonts w:hint="eastAsia" w:ascii="宋体" w:hAnsi="宋体" w:cs="宋体"/>
                <w:sz w:val="24"/>
                <w:szCs w:val="24"/>
                <w:highlight w:val="none"/>
                <w:lang w:eastAsia="zh-CN"/>
              </w:rPr>
              <w:t xml:space="preserve">jocxz02@jocite.com</w:t>
            </w:r>
            <w:r/>
          </w:p>
        </w:tc>
      </w:tr>
      <w:tr>
        <w:trPr>
          <w:jc w:val="center"/>
        </w:trPr>
        <w:tc>
          <w:tcPr>
            <w:tcMar>
              <w:left w:w="108" w:type="dxa"/>
              <w:top w:w="0" w:type="dxa"/>
              <w:right w:w="108" w:type="dxa"/>
              <w:bottom w:w="0" w:type="dxa"/>
            </w:tcMar>
            <w:tcW w:w="1471" w:type="dxa"/>
            <w:vMerge w:val="continue"/>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83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pStyle w:val="777"/>
        <w:ind w:left="0"/>
        <w:rPr>
          <w:rFonts w:hint="eastAsia" w:ascii="宋体" w:hAnsi="宋体" w:eastAsia="宋体" w:cs="宋体"/>
          <w:highlight w:val="none"/>
        </w:rPr>
        <w:sectPr>
          <w:footnotePr/>
          <w:endnotePr/>
          <w:type w:val="nextPage"/>
          <w:pgSz w:w="11906" w:h="16838" w:orient="portrait"/>
          <w:pgMar w:top="1440" w:right="1803" w:bottom="1440" w:left="1803" w:header="851" w:footer="680" w:gutter="0"/>
          <w:cols w:num="1" w:sep="0" w:space="1701" w:equalWidth="1"/>
          <w:docGrid w:linePitch="360"/>
        </w:sectPr>
      </w:pPr>
      <w:r>
        <w:rPr>
          <w:rFonts w:hint="eastAsia" w:ascii="宋体" w:hAnsi="宋体" w:eastAsia="宋体" w:cs="宋体"/>
          <w:highlight w:val="none"/>
        </w:rPr>
      </w:r>
      <w:r/>
    </w:p>
    <w:p>
      <w:pPr>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本章附件：招标代理服务收费标准</w:t>
      </w:r>
      <w:r/>
    </w:p>
    <w:tbl>
      <w:tblPr>
        <w:tblStyle w:val="978"/>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1"/>
      </w:tblGrid>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中标或者成交金额</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费率</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最低收费金额(每个委托项目)</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5000元</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50万元以下(含50万元)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50-400万元(含400万元)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400-1000万元(含1000万元)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1000-5000万元(含5000万元)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0.8%</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5000-1亿元(含1亿元)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0.25%</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1-10亿元(含10亿元)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0.05%</w:t>
            </w:r>
            <w:r/>
          </w:p>
        </w:tc>
      </w:tr>
      <w:tr>
        <w:trPr>
          <w:trHeight w:val="505"/>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10-50亿元(含50亿元)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0.01%</w:t>
            </w:r>
            <w:r/>
          </w:p>
        </w:tc>
      </w:tr>
      <w:tr>
        <w:trPr>
          <w:trHeight w:val="51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50亿元以上</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0.005%</w:t>
            </w:r>
            <w:r/>
          </w:p>
        </w:tc>
      </w:tr>
    </w:tbl>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2、代理服务费按差额定率累进法计算。</w:t>
      </w:r>
      <w:r/>
    </w:p>
    <w:p>
      <w:pPr>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3、代理服务费基准金额（按差额定率累进法计算的）=中标金额（按差额定率累进法计算的）*费率（%）</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4、代理服务费应收取金额=代理服务费基准金额（按差额定率累进法计算的）的合计数。</w:t>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5、定点类等无金额或事先不能计算出价格总额的项目，按中标（成交）金额100万元计算。</w:t>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6、有分包（分标段）项目按</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rPr>
        <w:t xml:space="preserve">收费。</w:t>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7、上该表为自行约定的代理服务费标准。</w:t>
      </w:r>
      <w:r/>
    </w:p>
    <w:p>
      <w:pPr>
        <w:keepLines w:val="0"/>
        <w:keepNext w:val="0"/>
        <w:pageBreakBefore w:val="0"/>
        <w:spacing w:line="400" w:lineRule="exact"/>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8、根据苏财规[2026]1号文件有关规定，本项目代理服务费由</w:t>
      </w:r>
      <w:r>
        <w:rPr>
          <w:rFonts w:hint="eastAsia" w:ascii="宋体" w:hAnsi="宋体" w:cs="宋体"/>
          <w:b w:val="0"/>
          <w:bCs/>
          <w:color w:val="000000"/>
          <w:sz w:val="24"/>
          <w:szCs w:val="24"/>
          <w:highlight w:val="none"/>
          <w:lang w:val="en-US" w:eastAsia="zh-CN"/>
        </w:rPr>
        <w:t xml:space="preserve">采购</w:t>
      </w:r>
      <w:r>
        <w:rPr>
          <w:rFonts w:hint="eastAsia" w:ascii="宋体" w:hAnsi="宋体" w:cs="宋体"/>
          <w:b w:val="0"/>
          <w:bCs/>
          <w:color w:val="000000"/>
          <w:sz w:val="24"/>
          <w:szCs w:val="24"/>
          <w:highlight w:val="none"/>
          <w:lang w:val="en-US" w:eastAsia="zh-CN"/>
        </w:rPr>
        <w:t xml:space="preserve">人支付。</w:t>
      </w:r>
      <w:r/>
    </w:p>
    <w:p>
      <w:pPr>
        <w:keepLines w:val="0"/>
        <w:keepNext w:val="0"/>
        <w:pageBreakBefore w:val="0"/>
        <w:spacing w:line="40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rPr>
        <w:t xml:space="preserve">、账户信息：</w:t>
      </w:r>
      <w:r/>
    </w:p>
    <w:p>
      <w:pPr>
        <w:keepLines w:val="0"/>
        <w:keepNext w:val="0"/>
        <w:pageBreakBefore w:val="0"/>
        <w:spacing w:line="40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账户名：江苏海外集团国际工程咨询有限公司徐州分公司</w:t>
      </w:r>
      <w:r/>
    </w:p>
    <w:p>
      <w:pPr>
        <w:keepLines w:val="0"/>
        <w:keepNext w:val="0"/>
        <w:pageBreakBefore w:val="0"/>
        <w:spacing w:line="40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开户银行：上海浦东发展银行股份有限公司徐州分行</w:t>
      </w:r>
      <w:r/>
    </w:p>
    <w:p>
      <w:pPr>
        <w:keepLines w:val="0"/>
        <w:keepNext w:val="0"/>
        <w:pageBreakBefore w:val="0"/>
        <w:spacing w:line="400" w:lineRule="exact"/>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账号：11110154740005866</w:t>
      </w:r>
      <w:r/>
    </w:p>
    <w:p>
      <w:pPr>
        <w:spacing w:line="400" w:lineRule="exact"/>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8"/>
          <w:szCs w:val="28"/>
        </w:rPr>
      </w:r>
      <w:r/>
    </w:p>
    <w:p>
      <w:pPr>
        <w:jc w:val="center"/>
        <w:spacing w:line="720" w:lineRule="atLeast"/>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highlight w:val="none"/>
        </w:rPr>
        <w:t xml:space="preserve">第四章 评标标准</w:t>
      </w:r>
      <w:r/>
    </w:p>
    <w:tbl>
      <w:tblPr>
        <w:tblStyle w:val="764"/>
        <w:tblW w:w="8918" w:type="dxa"/>
        <w:jc w:val="center"/>
        <w:tblLayout w:type="autofit"/>
        <w:tblCellMar>
          <w:left w:w="108" w:type="dxa"/>
          <w:top w:w="0" w:type="dxa"/>
          <w:right w:w="108" w:type="dxa"/>
          <w:bottom w:w="0" w:type="dxa"/>
        </w:tblCellMar>
        <w:tblLook w:val="04A0" w:firstRow="1" w:lastRow="0" w:firstColumn="1" w:lastColumn="0" w:noHBand="0" w:noVBand="1"/>
      </w:tblPr>
      <w:tblGrid>
        <w:gridCol w:w="1370"/>
        <w:gridCol w:w="1417"/>
        <w:gridCol w:w="6131"/>
      </w:tblGrid>
      <w:tr>
        <w:trPr>
          <w:jc w:val="center"/>
          <w:trHeight w:val="594"/>
        </w:trPr>
        <w:tc>
          <w:tcPr>
            <w:gridSpan w:val="2"/>
            <w:tcBorders>
              <w:top w:val="single" w:color="000000" w:sz="12" w:space="0"/>
              <w:left w:val="single" w:color="000000" w:sz="12" w:space="0"/>
              <w:bottom w:val="single" w:color="000000" w:sz="8" w:space="0"/>
              <w:right w:val="single" w:color="000000" w:sz="8" w:space="0"/>
            </w:tcBorders>
            <w:tcW w:w="2787"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评分项目</w:t>
            </w:r>
            <w:r/>
          </w:p>
        </w:tc>
        <w:tc>
          <w:tcPr>
            <w:tcBorders>
              <w:top w:val="single" w:color="000000" w:sz="12" w:space="0"/>
              <w:left w:val="single" w:color="000000" w:sz="8" w:space="0"/>
              <w:bottom w:val="single" w:color="000000" w:sz="8" w:space="0"/>
              <w:right w:val="single" w:color="000000" w:sz="12" w:space="0"/>
            </w:tcBorders>
            <w:tcW w:w="6131"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评 分 细 则</w:t>
            </w:r>
            <w:r/>
          </w:p>
        </w:tc>
      </w:tr>
      <w:tr>
        <w:trPr>
          <w:jc w:val="center"/>
          <w:trHeight w:val="20"/>
        </w:trPr>
        <w:tc>
          <w:tcPr>
            <w:gridSpan w:val="2"/>
            <w:tcBorders>
              <w:top w:val="single" w:color="000000" w:sz="8" w:space="0"/>
              <w:left w:val="single" w:color="000000" w:sz="12" w:space="0"/>
              <w:bottom w:val="single" w:color="000000" w:sz="8" w:space="0"/>
              <w:right w:val="single" w:color="000000" w:sz="8" w:space="0"/>
            </w:tcBorders>
            <w:tcW w:w="2787"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价格部分</w:t>
            </w:r>
            <w:r>
              <w:rPr>
                <w:rFonts w:hint="eastAsia" w:ascii="宋体" w:hAnsi="宋体" w:cs="宋体"/>
                <w:color w:val="000000"/>
                <w:sz w:val="21"/>
                <w:szCs w:val="21"/>
              </w:rPr>
              <w:br/>
            </w:r>
            <w:r>
              <w:rPr>
                <w:rFonts w:hint="eastAsia" w:ascii="宋体" w:hAnsi="宋体" w:cs="宋体"/>
                <w:color w:val="000000"/>
                <w:sz w:val="21"/>
                <w:szCs w:val="21"/>
              </w:rPr>
              <w:t xml:space="preserve">（10分）</w:t>
            </w:r>
            <w:r/>
          </w:p>
        </w:tc>
        <w:tc>
          <w:tcPr>
            <w:tcBorders>
              <w:top w:val="single" w:color="000000" w:sz="8" w:space="0"/>
              <w:left w:val="single" w:color="000000" w:sz="8" w:space="0"/>
              <w:bottom w:val="single" w:color="000000" w:sz="8" w:space="0"/>
              <w:right w:val="single" w:color="000000" w:sz="12" w:space="0"/>
            </w:tcBorders>
            <w:tcW w:w="6131" w:type="dxa"/>
            <w:vAlign w:val="center"/>
            <w:textDirection w:val="lrTb"/>
            <w:noWrap w:val="false"/>
          </w:tcPr>
          <w:p>
            <w:pPr>
              <w:jc w:val="left"/>
              <w:rPr>
                <w:rFonts w:hint="eastAsia" w:ascii="宋体" w:hAnsi="宋体" w:cs="宋体"/>
                <w:color w:val="000000"/>
                <w:sz w:val="21"/>
                <w:szCs w:val="21"/>
              </w:rPr>
            </w:pPr>
            <w:r>
              <w:rPr>
                <w:rFonts w:hint="eastAsia" w:ascii="宋体" w:hAnsi="宋体" w:cs="宋体"/>
                <w:color w:val="000000"/>
                <w:sz w:val="21"/>
                <w:szCs w:val="21"/>
              </w:rPr>
              <w:t xml:space="preserve">采用低价优先法计算，即满足招标文件要求且投标报价最低的为评标基准价，其价格分为满分。其他投标人的价格分统一按照下列公式计算：</w:t>
            </w:r>
            <w:r>
              <w:rPr>
                <w:rFonts w:hint="eastAsia" w:ascii="宋体" w:hAnsi="宋体" w:cs="宋体"/>
                <w:color w:val="000000"/>
                <w:sz w:val="21"/>
                <w:szCs w:val="21"/>
              </w:rPr>
              <w:br/>
            </w:r>
            <w:r>
              <w:rPr>
                <w:rFonts w:hint="eastAsia" w:ascii="宋体" w:hAnsi="宋体" w:cs="宋体"/>
                <w:color w:val="000000"/>
                <w:sz w:val="21"/>
                <w:szCs w:val="21"/>
              </w:rPr>
              <w:t xml:space="preserve">投标人价格得分=最低报价（评标基准价）÷投标人报价×10。得分四舍五入保留小数点后2 位。</w:t>
            </w:r>
            <w:r>
              <w:rPr>
                <w:rFonts w:hint="eastAsia" w:ascii="宋体" w:hAnsi="宋体" w:cs="宋体"/>
                <w:color w:val="000000"/>
                <w:sz w:val="21"/>
                <w:szCs w:val="21"/>
              </w:rPr>
              <w:br/>
            </w:r>
            <w:r>
              <w:rPr>
                <w:rFonts w:hint="eastAsia" w:ascii="宋体" w:hAnsi="宋体" w:cs="宋体"/>
                <w:color w:val="000000"/>
                <w:sz w:val="21"/>
                <w:szCs w:val="21"/>
              </w:rPr>
              <w:t xml:space="preserve">注：1、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w:t>
            </w:r>
            <w:r>
              <w:rPr>
                <w:rFonts w:hint="eastAsia" w:ascii="宋体" w:hAnsi="宋体" w:cs="宋体"/>
                <w:color w:val="000000"/>
                <w:sz w:val="21"/>
                <w:szCs w:val="21"/>
              </w:rPr>
              <w:br/>
            </w:r>
            <w:r>
              <w:rPr>
                <w:rFonts w:hint="eastAsia" w:ascii="宋体" w:hAnsi="宋体" w:cs="宋体"/>
                <w:color w:val="000000"/>
                <w:sz w:val="21"/>
                <w:szCs w:val="21"/>
              </w:rPr>
              <w:t xml:space="preserve">2、大中型企业与小微企业组成联合体,对联合协议约定小微企业合同份额占到合同总金额30%以上的，采购人、采购代理机构要对联合体或者大中型企业的报价给予4%的扣除。（以投标文件中提供的《联合体协议书》、《联合体中的小微企业声明函》）为准），用扣除后的价格参加评审。</w:t>
            </w:r>
            <w:r/>
          </w:p>
        </w:tc>
      </w:tr>
      <w:tr>
        <w:trPr>
          <w:jc w:val="center"/>
          <w:trHeight w:val="20"/>
        </w:trPr>
        <w:tc>
          <w:tcPr>
            <w:tcBorders>
              <w:top w:val="single" w:color="000000" w:sz="8" w:space="0"/>
              <w:left w:val="single" w:color="000000" w:sz="12" w:space="0"/>
              <w:bottom w:val="single" w:color="000000" w:sz="8" w:space="0"/>
              <w:right w:val="single" w:color="000000" w:sz="8" w:space="0"/>
            </w:tcBorders>
            <w:tcW w:w="1370" w:type="dxa"/>
            <w:vAlign w:val="center"/>
            <w:vMerge w:val="restart"/>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商务部分</w:t>
            </w:r>
            <w:r>
              <w:rPr>
                <w:rFonts w:hint="eastAsia" w:ascii="宋体" w:hAnsi="宋体" w:cs="宋体"/>
                <w:color w:val="000000"/>
                <w:sz w:val="21"/>
                <w:szCs w:val="21"/>
              </w:rPr>
              <w:br/>
            </w:r>
            <w:r>
              <w:rPr>
                <w:rFonts w:hint="eastAsia" w:ascii="宋体" w:hAnsi="宋体" w:cs="宋体"/>
                <w:color w:val="000000"/>
                <w:sz w:val="21"/>
                <w:szCs w:val="21"/>
              </w:rPr>
              <w:t xml:space="preserve">（22分）</w:t>
            </w:r>
            <w:r/>
          </w:p>
        </w:tc>
        <w:tc>
          <w:tcPr>
            <w:tcBorders>
              <w:top w:val="single" w:color="000000" w:sz="8" w:space="0"/>
              <w:left w:val="single" w:color="000000" w:sz="8" w:space="0"/>
              <w:bottom w:val="single" w:color="000000" w:sz="8" w:space="0"/>
              <w:right w:val="single" w:color="000000" w:sz="8" w:space="0"/>
            </w:tcBorders>
            <w:tcW w:w="1417"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人员配备</w:t>
            </w:r>
            <w:r>
              <w:rPr>
                <w:rFonts w:hint="eastAsia" w:ascii="宋体" w:hAnsi="宋体" w:cs="宋体"/>
                <w:color w:val="000000"/>
                <w:sz w:val="21"/>
                <w:szCs w:val="21"/>
              </w:rPr>
              <w:br/>
            </w:r>
            <w:r>
              <w:rPr>
                <w:rFonts w:hint="eastAsia" w:ascii="宋体" w:hAnsi="宋体" w:cs="宋体"/>
                <w:color w:val="000000"/>
                <w:sz w:val="21"/>
                <w:szCs w:val="21"/>
              </w:rPr>
              <w:t xml:space="preserve">（10分）</w:t>
            </w:r>
            <w:r/>
          </w:p>
        </w:tc>
        <w:tc>
          <w:tcPr>
            <w:tcBorders>
              <w:top w:val="single" w:color="000000" w:sz="8" w:space="0"/>
              <w:left w:val="single" w:color="000000" w:sz="8" w:space="0"/>
              <w:bottom w:val="single" w:color="000000" w:sz="8" w:space="0"/>
              <w:right w:val="single" w:color="000000" w:sz="12" w:space="0"/>
            </w:tcBorders>
            <w:tcW w:w="6131" w:type="dxa"/>
            <w:vAlign w:val="center"/>
            <w:textDirection w:val="lrTb"/>
            <w:noWrap w:val="false"/>
          </w:tcPr>
          <w:p>
            <w:pPr>
              <w:jc w:val="left"/>
              <w:shd w:val="clear" w:color="auto"/>
              <w:rPr>
                <w:rFonts w:ascii="宋体" w:hAnsi="宋体" w:cs="宋体"/>
                <w:color w:val="auto"/>
                <w:sz w:val="21"/>
                <w:szCs w:val="21"/>
                <w:highlight w:val="none"/>
              </w:rPr>
            </w:pPr>
            <w:r>
              <w:rPr>
                <w:rFonts w:hint="eastAsia" w:ascii="宋体" w:hAnsi="宋体" w:cs="宋体"/>
                <w:color w:val="000000"/>
                <w:sz w:val="21"/>
                <w:szCs w:val="21"/>
                <w:highlight w:val="none"/>
              </w:rPr>
              <w:t xml:space="preserve">1.投标人所拟派的项目负责人提供一级注册建造工程师（机电工程专业）且具有相</w:t>
            </w:r>
            <w:r>
              <w:rPr>
                <w:rFonts w:hint="eastAsia" w:ascii="宋体" w:hAnsi="宋体" w:cs="宋体"/>
                <w:color w:val="auto"/>
                <w:sz w:val="21"/>
                <w:szCs w:val="21"/>
                <w:highlight w:val="none"/>
              </w:rPr>
              <w:t xml:space="preserve">应的安全生产知识考核合格证书得2分；同时提供工程师及以上证书的得2分。本项最高得4分；</w:t>
            </w:r>
            <w:r/>
          </w:p>
          <w:p>
            <w:pPr>
              <w:jc w:val="left"/>
              <w:shd w:val="clear" w:color="auto"/>
              <w:rPr>
                <w:rFonts w:hint="eastAsia" w:ascii="宋体" w:hAnsi="宋体" w:cs="宋体"/>
                <w:color w:val="000000"/>
                <w:sz w:val="21"/>
                <w:szCs w:val="21"/>
                <w:highlight w:val="none"/>
              </w:rPr>
            </w:pPr>
            <w:r>
              <w:rPr>
                <w:rFonts w:hint="eastAsia" w:ascii="宋体" w:hAnsi="宋体" w:cs="宋体"/>
                <w:color w:val="auto"/>
                <w:sz w:val="21"/>
                <w:szCs w:val="21"/>
                <w:highlight w:val="none"/>
              </w:rPr>
              <w:t xml:space="preserve">2.投标人提供的项目技术负责人（除项目负责人外）具有高级工程师职称或一级注册建造工程师（机电工程专业）的得2分；提供工程师及以下职称或二级注册建造工程师（机电工程专业）的得1分，本项最高得2分；</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3.投标人提供的项目成员（除项目负责人和项目技术负责人外）：</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（1）团队成员中具有能源管理师证书、安全工程师、安全生产考核合格证书（C证）、网络安全管理员，每有1人具有其中一个不同类别证书的得0.5分，本项最高得2分；</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2）团队成员中具有中华人民共和国特种作业操作证，操作项目：“低压电工作业”、“高压电工作业”、“熔化焊接与热切割作业”、“高处安装、维护、拆除作业”，每有1人具有其中一个不同类别证书的得0.5分，本最高得2分；</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未提供不得分。本项最高得10分，最低得0分。</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注：第3项中的同一个人具有上述多种证书的只计算一次，不重复得分；投标人提供（若为联合体，提供联合体任何一方或联合体双方）以上人员身份证、近6个月内任一个月投标单</w:t>
            </w:r>
            <w:r>
              <w:rPr>
                <w:rFonts w:hint="eastAsia" w:ascii="宋体" w:hAnsi="宋体" w:cs="宋体"/>
                <w:color w:val="000000"/>
                <w:sz w:val="21"/>
                <w:szCs w:val="21"/>
                <w:highlight w:val="none"/>
              </w:rPr>
              <w:t xml:space="preserve">位为其缴纳的社保证明资料及证书原件扫描件，不提供不得分。</w:t>
            </w:r>
            <w:r/>
          </w:p>
        </w:tc>
      </w:tr>
      <w:tr>
        <w:trPr>
          <w:jc w:val="center"/>
          <w:trHeight w:val="20"/>
        </w:trPr>
        <w:tc>
          <w:tcPr>
            <w:tcBorders>
              <w:top w:val="single" w:color="000000" w:sz="8" w:space="0"/>
              <w:left w:val="single" w:color="000000" w:sz="12" w:space="0"/>
              <w:bottom w:val="single" w:color="000000" w:sz="8" w:space="0"/>
              <w:right w:val="single" w:color="000000" w:sz="8" w:space="0"/>
            </w:tcBorders>
            <w:tcW w:w="1370" w:type="dxa"/>
            <w:vAlign w:val="center"/>
            <w:vMerge w:val="continue"/>
            <w:textDirection w:val="lrTb"/>
            <w:noWrap w:val="false"/>
          </w:tcPr>
          <w:p>
            <w:pP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417"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综合实力</w:t>
            </w:r>
            <w:r>
              <w:rPr>
                <w:rFonts w:hint="eastAsia" w:ascii="宋体" w:hAnsi="宋体" w:cs="宋体"/>
                <w:color w:val="000000"/>
                <w:sz w:val="21"/>
                <w:szCs w:val="21"/>
              </w:rPr>
              <w:br/>
            </w:r>
            <w:r>
              <w:rPr>
                <w:rFonts w:hint="eastAsia" w:ascii="宋体" w:hAnsi="宋体" w:cs="宋体"/>
                <w:color w:val="000000"/>
                <w:sz w:val="21"/>
                <w:szCs w:val="21"/>
              </w:rPr>
              <w:t xml:space="preserve">（8分）</w:t>
            </w:r>
            <w:r/>
          </w:p>
        </w:tc>
        <w:tc>
          <w:tcPr>
            <w:tcBorders>
              <w:top w:val="single" w:color="000000" w:sz="8" w:space="0"/>
              <w:left w:val="single" w:color="000000" w:sz="8" w:space="0"/>
              <w:bottom w:val="single" w:color="000000" w:sz="8" w:space="0"/>
              <w:right w:val="single" w:color="000000" w:sz="12" w:space="0"/>
            </w:tcBorders>
            <w:tcW w:w="6131" w:type="dxa"/>
            <w:vAlign w:val="center"/>
            <w:textDirection w:val="lrTb"/>
            <w:noWrap w:val="false"/>
          </w:tcPr>
          <w:p>
            <w:pPr>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1.投标人具有有效期内的综合能源服务认证、信息安全管理体系认证、合同节水服务认证证书、</w:t>
            </w:r>
            <w:r>
              <w:rPr>
                <w:rFonts w:ascii="宋体" w:hAnsi="宋体" w:cs="宋体"/>
                <w:color w:val="000000"/>
                <w:sz w:val="21"/>
                <w:szCs w:val="21"/>
                <w:highlight w:val="none"/>
              </w:rPr>
              <w:t xml:space="preserve">环境管理体系认证证书</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质量管理体系认证证书</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职业健康安全管理体系认证证书</w:t>
            </w:r>
            <w:r>
              <w:rPr>
                <w:rFonts w:hint="eastAsia" w:ascii="宋体" w:hAnsi="宋体" w:cs="宋体"/>
                <w:color w:val="000000"/>
                <w:sz w:val="21"/>
                <w:szCs w:val="21"/>
                <w:highlight w:val="none"/>
              </w:rPr>
              <w:t xml:space="preserve">，认证范围须包含与本项目所涉及的相关活动内容。每提供其中一个认证证书的得1.5分，本项最高得6分。</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2.投标人自2023年1月1日以来（以发证日期为准），在本项目相关行业领域（能源托管或节能领域等）相关技术取得科学技术成果的得2分，本项最高得2分。</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未提供不得分。本项最高得8分，最低得0分。</w:t>
            </w:r>
            <w:r>
              <w:rPr>
                <w:rFonts w:hint="eastAsia" w:ascii="宋体" w:hAnsi="宋体" w:cs="宋体"/>
                <w:color w:val="000000"/>
                <w:sz w:val="21"/>
                <w:szCs w:val="21"/>
                <w:highlight w:val="none"/>
              </w:rPr>
              <w:br/>
            </w:r>
            <w:r>
              <w:rPr>
                <w:rFonts w:hint="eastAsia" w:ascii="宋体" w:hAnsi="宋体" w:cs="宋体"/>
                <w:color w:val="000000"/>
                <w:sz w:val="21"/>
                <w:szCs w:val="21"/>
                <w:highlight w:val="none"/>
              </w:rPr>
              <w:t xml:space="preserve">注：第1项投标人提供以上证书（若为联合体，提供联合体任何一方或联合体双方）原件扫描件以及全国认证认可信息公共服务平台（cx.cnca.cn）认证信息查询截图（截图需显示证书状态为有效），加盖电子签章，否则不得分；第2项投标人提供政府相关部门或其事业单位颁发的科技成果登记证书（若为联合体，提供联合体任何一方或联合体双方），加盖电子签章，否则不得分。</w:t>
            </w:r>
            <w:r/>
          </w:p>
        </w:tc>
      </w:tr>
      <w:tr>
        <w:trPr>
          <w:jc w:val="center"/>
          <w:trHeight w:val="20"/>
        </w:trPr>
        <w:tc>
          <w:tcPr>
            <w:tcBorders>
              <w:top w:val="single" w:color="000000" w:sz="8" w:space="0"/>
              <w:left w:val="single" w:color="000000" w:sz="12" w:space="0"/>
              <w:bottom w:val="single" w:color="000000" w:sz="8" w:space="0"/>
              <w:right w:val="single" w:color="000000" w:sz="8" w:space="0"/>
            </w:tcBorders>
            <w:tcW w:w="1370" w:type="dxa"/>
            <w:vAlign w:val="center"/>
            <w:vMerge w:val="continue"/>
            <w:textDirection w:val="lrTb"/>
            <w:noWrap w:val="false"/>
          </w:tcPr>
          <w:p>
            <w:pP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41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业绩</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（4分）</w:t>
            </w:r>
            <w:r/>
          </w:p>
        </w:tc>
        <w:tc>
          <w:tcPr>
            <w:tcBorders>
              <w:top w:val="single" w:color="000000" w:sz="8" w:space="0"/>
              <w:left w:val="single" w:color="000000" w:sz="8" w:space="0"/>
              <w:bottom w:val="single" w:color="000000" w:sz="8" w:space="0"/>
              <w:right w:val="single" w:color="000000" w:sz="12" w:space="0"/>
            </w:tcBorders>
            <w:tcW w:w="6131" w:type="dxa"/>
            <w:vAlign w:val="center"/>
            <w:textDirection w:val="lrTb"/>
            <w:noWrap w:val="false"/>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投标人自2023年1月1日以来（以合同签订时间为准），承担过</w:t>
            </w:r>
            <w:r>
              <w:rPr>
                <w:rFonts w:hint="eastAsia" w:ascii="宋体" w:hAnsi="宋体" w:cs="宋体"/>
                <w:color w:val="auto"/>
                <w:sz w:val="21"/>
                <w:szCs w:val="21"/>
                <w:highlight w:val="none"/>
                <w:lang w:val="en-US" w:eastAsia="zh-CN"/>
              </w:rPr>
              <w:t xml:space="preserve">类似</w:t>
            </w:r>
            <w:r>
              <w:rPr>
                <w:rFonts w:hint="eastAsia" w:ascii="宋体" w:hAnsi="宋体" w:cs="宋体"/>
                <w:color w:val="auto"/>
                <w:sz w:val="21"/>
                <w:szCs w:val="21"/>
                <w:highlight w:val="none"/>
              </w:rPr>
              <w:t xml:space="preserve">能源托管或能源管理服务类项目业绩，每提供一个项目业绩的得2分，本项最高得4分。</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注：投标人提供（若为联合体，提供联合体任何一方或联合体双方）中标通知书、合同原件相关页以及技改验收报告扫描件并加盖电子签章，合同标的须体现评审相关服务内容，未提供或提供不符要求的不得分。</w:t>
            </w:r>
            <w:r/>
          </w:p>
        </w:tc>
      </w:tr>
      <w:tr>
        <w:trPr>
          <w:jc w:val="center"/>
          <w:trHeight w:val="20"/>
        </w:trPr>
        <w:tc>
          <w:tcPr>
            <w:tcBorders>
              <w:top w:val="single" w:color="000000" w:sz="8" w:space="0"/>
              <w:left w:val="single" w:color="000000" w:sz="12" w:space="0"/>
              <w:bottom w:val="single" w:color="000000" w:sz="8" w:space="0"/>
              <w:right w:val="single" w:color="000000" w:sz="8" w:space="0"/>
            </w:tcBorders>
            <w:tcW w:w="1370" w:type="dxa"/>
            <w:vAlign w:val="center"/>
            <w:vMerge w:val="restart"/>
            <w:textDirection w:val="lrTb"/>
            <w:noWrap w:val="false"/>
          </w:tcPr>
          <w:p>
            <w:pPr>
              <w:jc w:val="center"/>
              <w:rPr>
                <w:rFonts w:hint="eastAsia" w:ascii="宋体" w:hAnsi="宋体" w:cs="宋体"/>
                <w:color w:val="000000"/>
                <w:sz w:val="21"/>
                <w:szCs w:val="21"/>
              </w:rPr>
            </w:pPr>
            <w:r>
              <w:rPr>
                <w:rFonts w:ascii="宋体" w:hAnsi="宋体" w:cs="宋体"/>
                <w:color w:val="000000"/>
                <w:sz w:val="21"/>
                <w:szCs w:val="21"/>
              </w:rPr>
              <w:t xml:space="preserve">技术部分</w:t>
            </w:r>
            <w:r>
              <w:rPr>
                <w:rFonts w:hint="eastAsia" w:ascii="宋体" w:hAnsi="宋体" w:cs="宋体"/>
                <w:color w:val="000000"/>
                <w:sz w:val="21"/>
                <w:szCs w:val="21"/>
              </w:rPr>
              <w:br/>
            </w:r>
            <w:r>
              <w:rPr>
                <w:rFonts w:ascii="宋体" w:hAnsi="宋体" w:cs="宋体"/>
                <w:color w:val="000000"/>
                <w:sz w:val="21"/>
                <w:szCs w:val="21"/>
              </w:rPr>
              <w:t xml:space="preserve">（</w:t>
            </w:r>
            <w:r>
              <w:rPr>
                <w:rFonts w:hint="eastAsia" w:ascii="宋体" w:hAnsi="宋体" w:cs="宋体"/>
                <w:color w:val="000000"/>
                <w:sz w:val="21"/>
                <w:szCs w:val="21"/>
              </w:rPr>
              <w:t xml:space="preserve">68</w:t>
            </w:r>
            <w:r>
              <w:rPr>
                <w:rFonts w:ascii="宋体" w:hAnsi="宋体" w:cs="宋体"/>
                <w:color w:val="000000"/>
                <w:sz w:val="21"/>
                <w:szCs w:val="21"/>
              </w:rPr>
              <w:t xml:space="preserve">分）</w:t>
            </w:r>
            <w:r/>
          </w:p>
        </w:tc>
        <w:tc>
          <w:tcPr>
            <w:tcBorders>
              <w:top w:val="single" w:color="000000" w:sz="8" w:space="0"/>
              <w:left w:val="single" w:color="000000" w:sz="8" w:space="0"/>
              <w:bottom w:val="single" w:color="000000" w:sz="8" w:space="0"/>
              <w:right w:val="single" w:color="000000" w:sz="8" w:space="0"/>
            </w:tcBorders>
            <w:tcW w:w="1417"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现状诊断分析与测算方案</w:t>
            </w:r>
            <w:r>
              <w:rPr>
                <w:rFonts w:hint="eastAsia" w:ascii="宋体" w:hAnsi="宋体" w:cs="宋体"/>
                <w:color w:val="000000"/>
                <w:sz w:val="21"/>
                <w:szCs w:val="21"/>
              </w:rPr>
              <w:br/>
            </w:r>
            <w:r>
              <w:rPr>
                <w:rFonts w:hint="eastAsia" w:ascii="宋体" w:hAnsi="宋体" w:cs="宋体"/>
                <w:color w:val="000000"/>
                <w:sz w:val="21"/>
                <w:szCs w:val="21"/>
              </w:rPr>
              <w:t xml:space="preserve">（8分）</w:t>
            </w:r>
            <w:r/>
          </w:p>
        </w:tc>
        <w:tc>
          <w:tcPr>
            <w:tcBorders>
              <w:top w:val="single" w:color="000000" w:sz="8" w:space="0"/>
              <w:left w:val="single" w:color="000000" w:sz="8" w:space="0"/>
              <w:bottom w:val="single" w:color="000000" w:sz="8" w:space="0"/>
              <w:right w:val="single" w:color="000000" w:sz="12" w:space="0"/>
            </w:tcBorders>
            <w:tcW w:w="6131" w:type="dxa"/>
            <w:vAlign w:val="center"/>
            <w:textDirection w:val="lrTb"/>
            <w:noWrap w:val="false"/>
          </w:tcPr>
          <w:p>
            <w:pPr>
              <w:jc w:val="left"/>
              <w:rPr>
                <w:rFonts w:hint="eastAsia" w:ascii="宋体" w:hAnsi="宋体" w:cs="宋体"/>
                <w:color w:val="000000"/>
                <w:sz w:val="21"/>
                <w:szCs w:val="21"/>
              </w:rPr>
            </w:pPr>
            <w:r>
              <w:rPr>
                <w:rFonts w:hint="eastAsia" w:ascii="宋体" w:hAnsi="宋体" w:cs="宋体"/>
                <w:color w:val="000000"/>
                <w:sz w:val="21"/>
                <w:szCs w:val="21"/>
              </w:rPr>
              <w:t xml:space="preserve">对投标人根据招标需求和项目实际情况提供的现状诊断分析及测算方案进行比较：</w:t>
            </w:r>
            <w:r>
              <w:rPr>
                <w:rFonts w:hint="eastAsia" w:ascii="宋体" w:hAnsi="宋体" w:cs="宋体"/>
                <w:color w:val="000000"/>
                <w:sz w:val="21"/>
                <w:szCs w:val="21"/>
              </w:rPr>
              <w:br/>
            </w:r>
            <w:r>
              <w:rPr>
                <w:rFonts w:hint="eastAsia" w:ascii="宋体" w:hAnsi="宋体" w:cs="宋体"/>
                <w:color w:val="000000"/>
                <w:sz w:val="21"/>
                <w:szCs w:val="21"/>
              </w:rPr>
              <w:t xml:space="preserve">对项目现状的分析和判断精准合理，节能效益测算方法及过程科学准确，可行性强的得8分；</w:t>
            </w:r>
            <w:r>
              <w:rPr>
                <w:rFonts w:hint="eastAsia" w:ascii="宋体" w:hAnsi="宋体" w:cs="宋体"/>
                <w:color w:val="000000"/>
                <w:sz w:val="21"/>
                <w:szCs w:val="21"/>
              </w:rPr>
              <w:br/>
            </w:r>
            <w:r>
              <w:rPr>
                <w:rFonts w:hint="eastAsia" w:ascii="宋体" w:hAnsi="宋体" w:cs="宋体"/>
                <w:color w:val="000000"/>
                <w:sz w:val="21"/>
                <w:szCs w:val="21"/>
              </w:rPr>
              <w:t xml:space="preserve">对项目现状的分析和判断较精准合理，节能效益测算方法及过程较科学准确，可行性较强的得6分；</w:t>
            </w:r>
            <w:r>
              <w:rPr>
                <w:rFonts w:hint="eastAsia" w:ascii="宋体" w:hAnsi="宋体" w:cs="宋体"/>
                <w:color w:val="000000"/>
                <w:sz w:val="21"/>
                <w:szCs w:val="21"/>
              </w:rPr>
              <w:br/>
            </w:r>
            <w:r>
              <w:rPr>
                <w:rFonts w:hint="eastAsia" w:ascii="宋体" w:hAnsi="宋体" w:cs="宋体"/>
                <w:color w:val="000000"/>
                <w:sz w:val="21"/>
                <w:szCs w:val="21"/>
              </w:rPr>
              <w:t xml:space="preserve">对项目现状的分析和判断一般，节能效益测算方法及过程一般，可行性一般的得4分；</w:t>
            </w:r>
            <w:r>
              <w:rPr>
                <w:rFonts w:hint="eastAsia" w:ascii="宋体" w:hAnsi="宋体" w:cs="宋体"/>
                <w:color w:val="000000"/>
                <w:sz w:val="21"/>
                <w:szCs w:val="21"/>
              </w:rPr>
              <w:br/>
            </w:r>
            <w:r>
              <w:rPr>
                <w:rFonts w:hint="eastAsia" w:ascii="宋体" w:hAnsi="宋体" w:cs="宋体"/>
                <w:color w:val="000000"/>
                <w:sz w:val="21"/>
                <w:szCs w:val="21"/>
              </w:rPr>
              <w:t xml:space="preserve">对项目现状的分析和判断一般，节能效益测算方法及过程较差，可行性较差的得2分；</w:t>
            </w:r>
            <w:r>
              <w:rPr>
                <w:rFonts w:hint="eastAsia" w:ascii="宋体" w:hAnsi="宋体" w:cs="宋体"/>
                <w:color w:val="000000"/>
                <w:sz w:val="21"/>
                <w:szCs w:val="21"/>
              </w:rPr>
              <w:br/>
            </w:r>
            <w:r>
              <w:rPr>
                <w:rFonts w:hint="eastAsia" w:ascii="宋体" w:hAnsi="宋体" w:cs="宋体"/>
                <w:color w:val="000000"/>
                <w:sz w:val="21"/>
                <w:szCs w:val="21"/>
              </w:rPr>
              <w:t xml:space="preserve">对项目现状的分析和判断有偏差，节能效益测算方法及过程较差，可行性差的得1分；</w:t>
            </w:r>
            <w:r>
              <w:rPr>
                <w:rFonts w:hint="eastAsia" w:ascii="宋体" w:hAnsi="宋体" w:cs="宋体"/>
                <w:color w:val="000000"/>
                <w:sz w:val="21"/>
                <w:szCs w:val="21"/>
              </w:rPr>
              <w:br/>
            </w:r>
            <w:r>
              <w:rPr>
                <w:rFonts w:hint="eastAsia" w:ascii="宋体" w:hAnsi="宋体" w:cs="宋体"/>
                <w:color w:val="000000"/>
                <w:sz w:val="21"/>
                <w:szCs w:val="21"/>
              </w:rPr>
              <w:t xml:space="preserve">未提供不得分。本项最高得8分，最低得0分。</w:t>
            </w:r>
            <w:r/>
          </w:p>
        </w:tc>
      </w:tr>
      <w:tr>
        <w:trPr>
          <w:jc w:val="center"/>
          <w:trHeight w:val="20"/>
        </w:trPr>
        <w:tc>
          <w:tcPr>
            <w:tcBorders>
              <w:top w:val="single" w:color="000000" w:sz="8" w:space="0"/>
              <w:left w:val="single" w:color="000000" w:sz="12" w:space="0"/>
              <w:bottom w:val="single" w:color="000000" w:sz="8" w:space="0"/>
              <w:right w:val="single" w:color="000000" w:sz="8" w:space="0"/>
            </w:tcBorders>
            <w:tcW w:w="1370" w:type="dxa"/>
            <w:vAlign w:val="center"/>
            <w:vMerge w:val="continue"/>
            <w:textDirection w:val="lrTb"/>
            <w:noWrap w:val="false"/>
          </w:tcPr>
          <w:p>
            <w:pP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417"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节能改造方案</w:t>
            </w:r>
            <w:r>
              <w:rPr>
                <w:rFonts w:hint="eastAsia" w:ascii="宋体" w:hAnsi="宋体" w:cs="宋体"/>
                <w:color w:val="000000"/>
                <w:sz w:val="21"/>
                <w:szCs w:val="21"/>
              </w:rPr>
              <w:br/>
            </w:r>
            <w:r>
              <w:rPr>
                <w:rFonts w:hint="eastAsia" w:ascii="宋体" w:hAnsi="宋体" w:cs="宋体"/>
                <w:color w:val="000000"/>
                <w:sz w:val="21"/>
                <w:szCs w:val="21"/>
              </w:rPr>
              <w:t xml:space="preserve">（12分）</w:t>
            </w:r>
            <w:r/>
          </w:p>
        </w:tc>
        <w:tc>
          <w:tcPr>
            <w:tcBorders>
              <w:top w:val="single" w:color="000000" w:sz="8" w:space="0"/>
              <w:left w:val="single" w:color="000000" w:sz="8" w:space="0"/>
              <w:bottom w:val="single" w:color="000000" w:sz="8" w:space="0"/>
              <w:right w:val="single" w:color="000000" w:sz="12" w:space="0"/>
            </w:tcBorders>
            <w:tcW w:w="6131" w:type="dxa"/>
            <w:vAlign w:val="center"/>
            <w:textDirection w:val="lrTb"/>
            <w:noWrap w:val="false"/>
          </w:tcPr>
          <w:p>
            <w:pPr>
              <w:jc w:val="left"/>
              <w:rPr>
                <w:rFonts w:hint="eastAsia" w:ascii="宋体" w:hAnsi="宋体" w:cs="宋体"/>
                <w:color w:val="000000"/>
                <w:sz w:val="21"/>
                <w:szCs w:val="21"/>
              </w:rPr>
            </w:pPr>
            <w:r>
              <w:rPr>
                <w:rFonts w:hint="eastAsia" w:ascii="宋体" w:hAnsi="宋体" w:cs="宋体"/>
                <w:color w:val="000000"/>
                <w:sz w:val="21"/>
                <w:szCs w:val="21"/>
              </w:rPr>
              <w:t xml:space="preserve">对投标人根据招标需求和项目实际情况提供的节能改造方案进行比较，包括但不限于：节能改造措施、主要工序施工工艺、主要设施设备性能、主要设施设备调试接入方法等方面：</w:t>
            </w:r>
            <w:r>
              <w:rPr>
                <w:rFonts w:hint="eastAsia" w:ascii="宋体" w:hAnsi="宋体" w:cs="宋体"/>
                <w:color w:val="000000"/>
                <w:sz w:val="21"/>
                <w:szCs w:val="21"/>
              </w:rPr>
              <w:br/>
            </w:r>
            <w:r>
              <w:rPr>
                <w:rFonts w:hint="eastAsia" w:ascii="宋体" w:hAnsi="宋体" w:cs="宋体"/>
                <w:color w:val="000000"/>
                <w:sz w:val="21"/>
                <w:szCs w:val="21"/>
              </w:rPr>
              <w:t xml:space="preserve">改造方案内容详细，提出具体、有效、成熟的解决措施，优于采购需求的，得12分；</w:t>
            </w:r>
            <w:r>
              <w:rPr>
                <w:rFonts w:hint="eastAsia" w:ascii="宋体" w:hAnsi="宋体" w:cs="宋体"/>
                <w:color w:val="000000"/>
                <w:sz w:val="21"/>
                <w:szCs w:val="21"/>
              </w:rPr>
              <w:br/>
            </w:r>
            <w:r>
              <w:rPr>
                <w:rFonts w:hint="eastAsia" w:ascii="宋体" w:hAnsi="宋体" w:cs="宋体"/>
                <w:color w:val="000000"/>
                <w:sz w:val="21"/>
                <w:szCs w:val="21"/>
              </w:rPr>
              <w:t xml:space="preserve">改造方案内容较详细，提出的措施等能够符合项目需求的，得10分；</w:t>
            </w:r>
            <w:r>
              <w:rPr>
                <w:rFonts w:hint="eastAsia" w:ascii="宋体" w:hAnsi="宋体" w:cs="宋体"/>
                <w:color w:val="000000"/>
                <w:sz w:val="21"/>
                <w:szCs w:val="21"/>
              </w:rPr>
              <w:br/>
            </w:r>
            <w:r>
              <w:rPr>
                <w:rFonts w:hint="eastAsia" w:ascii="宋体" w:hAnsi="宋体" w:cs="宋体"/>
                <w:color w:val="000000"/>
                <w:sz w:val="21"/>
                <w:szCs w:val="21"/>
              </w:rPr>
              <w:t xml:space="preserve">改造方案内容一般，得8分；</w:t>
            </w:r>
            <w:r>
              <w:rPr>
                <w:rFonts w:hint="eastAsia" w:ascii="宋体" w:hAnsi="宋体" w:cs="宋体"/>
                <w:color w:val="000000"/>
                <w:sz w:val="21"/>
                <w:szCs w:val="21"/>
              </w:rPr>
              <w:br/>
            </w:r>
            <w:r>
              <w:rPr>
                <w:rFonts w:hint="eastAsia" w:ascii="宋体" w:hAnsi="宋体" w:cs="宋体"/>
                <w:color w:val="000000"/>
                <w:sz w:val="21"/>
                <w:szCs w:val="21"/>
              </w:rPr>
              <w:t xml:space="preserve">内容仅简单提及的，得6分；</w:t>
            </w:r>
            <w:r>
              <w:rPr>
                <w:rFonts w:hint="eastAsia" w:ascii="宋体" w:hAnsi="宋体" w:cs="宋体"/>
                <w:color w:val="000000"/>
                <w:sz w:val="21"/>
                <w:szCs w:val="21"/>
              </w:rPr>
              <w:br/>
            </w:r>
            <w:r>
              <w:rPr>
                <w:rFonts w:hint="eastAsia" w:ascii="宋体" w:hAnsi="宋体" w:cs="宋体"/>
                <w:color w:val="000000"/>
                <w:sz w:val="21"/>
                <w:szCs w:val="21"/>
              </w:rPr>
              <w:t xml:space="preserve">改造方案内容较差的，得4分；</w:t>
            </w:r>
            <w:r>
              <w:rPr>
                <w:rFonts w:hint="eastAsia" w:ascii="宋体" w:hAnsi="宋体" w:cs="宋体"/>
                <w:color w:val="000000"/>
                <w:sz w:val="21"/>
                <w:szCs w:val="21"/>
              </w:rPr>
              <w:br/>
            </w:r>
            <w:r>
              <w:rPr>
                <w:rFonts w:hint="eastAsia" w:ascii="宋体" w:hAnsi="宋体" w:cs="宋体"/>
                <w:color w:val="000000"/>
                <w:sz w:val="21"/>
                <w:szCs w:val="21"/>
              </w:rPr>
              <w:t xml:space="preserve">改造方案内容不合理，基本不可行的得2分；</w:t>
            </w:r>
            <w:r>
              <w:rPr>
                <w:rFonts w:hint="eastAsia" w:ascii="宋体" w:hAnsi="宋体" w:cs="宋体"/>
                <w:color w:val="000000"/>
                <w:sz w:val="21"/>
                <w:szCs w:val="21"/>
              </w:rPr>
              <w:br/>
            </w:r>
            <w:r>
              <w:rPr>
                <w:rFonts w:hint="eastAsia" w:ascii="宋体" w:hAnsi="宋体" w:cs="宋体"/>
                <w:color w:val="000000"/>
                <w:sz w:val="21"/>
                <w:szCs w:val="21"/>
              </w:rPr>
              <w:t xml:space="preserve">未提供不得分。本项最高得12分，最低得0分。</w:t>
            </w:r>
            <w:r/>
          </w:p>
        </w:tc>
      </w:tr>
      <w:tr>
        <w:trPr>
          <w:jc w:val="center"/>
          <w:trHeight w:val="20"/>
        </w:trPr>
        <w:tc>
          <w:tcPr>
            <w:tcBorders>
              <w:top w:val="single" w:color="000000" w:sz="8" w:space="0"/>
              <w:left w:val="single" w:color="000000" w:sz="12" w:space="0"/>
              <w:bottom w:val="single" w:color="000000" w:sz="8" w:space="0"/>
              <w:right w:val="single" w:color="000000" w:sz="8" w:space="0"/>
            </w:tcBorders>
            <w:tcW w:w="1370" w:type="dxa"/>
            <w:vAlign w:val="center"/>
            <w:vMerge w:val="continue"/>
            <w:textDirection w:val="lrTb"/>
            <w:noWrap w:val="false"/>
          </w:tcPr>
          <w:p>
            <w:pP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417"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综合能源管理平台建设方案（</w:t>
            </w: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rPr>
              <w:t xml:space="preserve">分）</w:t>
            </w:r>
            <w:r/>
          </w:p>
        </w:tc>
        <w:tc>
          <w:tcPr>
            <w:tcBorders>
              <w:top w:val="single" w:color="000000" w:sz="8" w:space="0"/>
              <w:left w:val="single" w:color="000000" w:sz="8" w:space="0"/>
              <w:bottom w:val="single" w:color="000000" w:sz="8" w:space="0"/>
              <w:right w:val="single" w:color="000000" w:sz="12" w:space="0"/>
            </w:tcBorders>
            <w:tcW w:w="6131" w:type="dxa"/>
            <w:vAlign w:val="center"/>
            <w:textDirection w:val="lrTb"/>
            <w:noWrap w:val="false"/>
          </w:tcPr>
          <w:p>
            <w:pPr>
              <w:jc w:val="left"/>
              <w:rPr>
                <w:rFonts w:hint="eastAsia"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对投标人根据招标需求和项目实际情况提供的综合能源监管平台建设方案进行比较，提供详细的软件功能描述，包括：系统架构、系统部署、软件功能项实现等。</w:t>
            </w:r>
            <w:r/>
          </w:p>
          <w:p>
            <w:pPr>
              <w:jc w:val="left"/>
              <w:rPr>
                <w:rFonts w:hint="eastAsia"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功能实用，描述清晰，图文并茂，功能截图能够佐证满足技术要求，完全符合本项目需求的，得10分；</w:t>
            </w:r>
            <w:r/>
          </w:p>
          <w:p>
            <w:pPr>
              <w:jc w:val="left"/>
              <w:rPr>
                <w:rFonts w:hint="eastAsia"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功能较实用，描述较清晰，有部分功能截图，能够符合本项目需求的，得8分；</w:t>
            </w:r>
            <w:r/>
          </w:p>
          <w:p>
            <w:pPr>
              <w:jc w:val="left"/>
              <w:rPr>
                <w:rFonts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功能一般，描述较清晰，有部分功能截图，能够较符合本项目需求的，得6分；</w:t>
            </w:r>
            <w:r/>
          </w:p>
          <w:p>
            <w:pPr>
              <w:jc w:val="left"/>
              <w:rPr>
                <w:rFonts w:hint="eastAsia"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功能一般，描述一般，有部分功能截图，能够基本符合本项目需求的，得4分；</w:t>
            </w:r>
            <w:r/>
          </w:p>
          <w:p>
            <w:pPr>
              <w:jc w:val="left"/>
              <w:rPr>
                <w:rFonts w:hint="eastAsia" w:ascii="宋体" w:hAnsi="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rPr>
              <w:t xml:space="preserve">功能一般，描述模糊，无功能截图，不太符合本项目需求的，得2分</w:t>
            </w:r>
            <w:r/>
          </w:p>
          <w:p>
            <w:pPr>
              <w:jc w:val="left"/>
              <w:rPr>
                <w:rFonts w:hint="eastAsia" w:ascii="宋体" w:hAnsi="宋体" w:cs="宋体"/>
                <w:color w:val="000000"/>
                <w:sz w:val="21"/>
                <w:szCs w:val="21"/>
              </w:rPr>
            </w:pPr>
            <w:r>
              <w:rPr>
                <w:rFonts w:hint="eastAsia" w:ascii="宋体" w:hAnsi="宋体" w:cs="宋体"/>
                <w:color w:val="000000"/>
                <w:sz w:val="21"/>
                <w:szCs w:val="21"/>
              </w:rPr>
              <w:t xml:space="preserve">未提供不得分。本项最高得10分，最低得0分。</w:t>
            </w:r>
            <w:r/>
          </w:p>
        </w:tc>
      </w:tr>
      <w:tr>
        <w:trPr>
          <w:jc w:val="center"/>
          <w:trHeight w:val="20"/>
        </w:trPr>
        <w:tc>
          <w:tcPr>
            <w:tcBorders>
              <w:top w:val="single" w:color="000000" w:sz="8" w:space="0"/>
              <w:left w:val="single" w:color="000000" w:sz="12" w:space="0"/>
              <w:bottom w:val="single" w:color="000000" w:sz="8" w:space="0"/>
              <w:right w:val="single" w:color="000000" w:sz="8" w:space="0"/>
            </w:tcBorders>
            <w:tcW w:w="1370" w:type="dxa"/>
            <w:vAlign w:val="center"/>
            <w:vMerge w:val="continue"/>
            <w:textDirection w:val="lrTb"/>
            <w:noWrap w:val="false"/>
          </w:tcPr>
          <w:p>
            <w:pP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417"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管理方案</w:t>
            </w:r>
            <w:r>
              <w:rPr>
                <w:rFonts w:hint="eastAsia" w:ascii="宋体" w:hAnsi="宋体" w:cs="宋体"/>
                <w:color w:val="000000"/>
                <w:sz w:val="21"/>
                <w:szCs w:val="21"/>
              </w:rPr>
              <w:br/>
            </w:r>
            <w:r>
              <w:rPr>
                <w:rFonts w:hint="eastAsia" w:ascii="宋体" w:hAnsi="宋体" w:cs="宋体"/>
                <w:color w:val="000000"/>
                <w:sz w:val="21"/>
                <w:szCs w:val="21"/>
              </w:rPr>
              <w:t xml:space="preserve">（8分）</w:t>
            </w:r>
            <w:r/>
          </w:p>
        </w:tc>
        <w:tc>
          <w:tcPr>
            <w:tcBorders>
              <w:top w:val="single" w:color="000000" w:sz="8" w:space="0"/>
              <w:left w:val="single" w:color="000000" w:sz="8" w:space="0"/>
              <w:bottom w:val="single" w:color="000000" w:sz="8" w:space="0"/>
              <w:right w:val="single" w:color="000000" w:sz="12" w:space="0"/>
            </w:tcBorders>
            <w:tcW w:w="6131" w:type="dxa"/>
            <w:vAlign w:val="center"/>
            <w:textDirection w:val="lrTb"/>
            <w:noWrap w:val="false"/>
          </w:tcPr>
          <w:p>
            <w:pPr>
              <w:jc w:val="left"/>
              <w:rPr>
                <w:rFonts w:hint="eastAsia" w:ascii="宋体" w:hAnsi="宋体" w:cs="宋体"/>
                <w:color w:val="000000"/>
                <w:sz w:val="21"/>
                <w:szCs w:val="21"/>
              </w:rPr>
            </w:pPr>
            <w:r>
              <w:rPr>
                <w:rFonts w:hint="eastAsia" w:ascii="宋体" w:hAnsi="宋体" w:cs="宋体"/>
                <w:color w:val="000000"/>
                <w:sz w:val="21"/>
                <w:szCs w:val="21"/>
              </w:rPr>
              <w:t xml:space="preserve">对投标人根据招标需求和项目实际情况提供的管理方案进行比较，包括但不限于进度管理、质量管理、人员组织管理等内容：</w:t>
            </w:r>
            <w:r>
              <w:rPr>
                <w:rFonts w:hint="eastAsia" w:ascii="宋体" w:hAnsi="宋体" w:cs="宋体"/>
                <w:color w:val="000000"/>
                <w:sz w:val="21"/>
                <w:szCs w:val="21"/>
              </w:rPr>
              <w:br/>
            </w:r>
            <w:r>
              <w:rPr>
                <w:rFonts w:hint="eastAsia" w:ascii="宋体" w:hAnsi="宋体" w:cs="宋体"/>
                <w:color w:val="000000"/>
                <w:sz w:val="21"/>
                <w:szCs w:val="21"/>
              </w:rPr>
              <w:t xml:space="preserve">内容描述详细到位、完整清晰、可操作性强的得8分；</w:t>
            </w:r>
            <w:r>
              <w:rPr>
                <w:rFonts w:hint="eastAsia" w:ascii="宋体" w:hAnsi="宋体" w:cs="宋体"/>
                <w:color w:val="000000"/>
                <w:sz w:val="21"/>
                <w:szCs w:val="21"/>
              </w:rPr>
              <w:br/>
            </w:r>
            <w:r>
              <w:rPr>
                <w:rFonts w:hint="eastAsia" w:ascii="宋体" w:hAnsi="宋体" w:cs="宋体"/>
                <w:color w:val="000000"/>
                <w:sz w:val="21"/>
                <w:szCs w:val="21"/>
              </w:rPr>
              <w:t xml:space="preserve">内容描述较详细、较完整清晰、可操作性较强的得6分；</w:t>
            </w:r>
            <w:r>
              <w:rPr>
                <w:rFonts w:hint="eastAsia" w:ascii="宋体" w:hAnsi="宋体" w:cs="宋体"/>
                <w:color w:val="000000"/>
                <w:sz w:val="21"/>
                <w:szCs w:val="21"/>
              </w:rPr>
              <w:br/>
            </w:r>
            <w:r>
              <w:rPr>
                <w:rFonts w:hint="eastAsia" w:ascii="宋体" w:hAnsi="宋体" w:cs="宋体"/>
                <w:color w:val="000000"/>
                <w:sz w:val="21"/>
                <w:szCs w:val="21"/>
              </w:rPr>
              <w:t xml:space="preserve">内容描述一般、可操作性一般的得4分；</w:t>
            </w:r>
            <w:r>
              <w:rPr>
                <w:rFonts w:hint="eastAsia" w:ascii="宋体" w:hAnsi="宋体" w:cs="宋体"/>
                <w:color w:val="000000"/>
                <w:sz w:val="21"/>
                <w:szCs w:val="21"/>
              </w:rPr>
              <w:br/>
            </w:r>
            <w:r>
              <w:rPr>
                <w:rFonts w:hint="eastAsia" w:ascii="宋体" w:hAnsi="宋体" w:cs="宋体"/>
                <w:color w:val="000000"/>
                <w:sz w:val="21"/>
                <w:szCs w:val="21"/>
              </w:rPr>
              <w:t xml:space="preserve">内容简单提及的得2分；</w:t>
            </w:r>
            <w:r>
              <w:rPr>
                <w:rFonts w:hint="eastAsia" w:ascii="宋体" w:hAnsi="宋体" w:cs="宋体"/>
                <w:color w:val="000000"/>
                <w:sz w:val="21"/>
                <w:szCs w:val="21"/>
              </w:rPr>
              <w:br/>
            </w:r>
            <w:r>
              <w:rPr>
                <w:rFonts w:hint="eastAsia" w:ascii="宋体" w:hAnsi="宋体" w:cs="宋体"/>
                <w:color w:val="000000"/>
                <w:sz w:val="21"/>
                <w:szCs w:val="21"/>
              </w:rPr>
              <w:t xml:space="preserve">未提供不得分。本项最高得8分，最低得0分。</w:t>
            </w:r>
            <w:r/>
          </w:p>
        </w:tc>
      </w:tr>
      <w:tr>
        <w:trPr>
          <w:jc w:val="center"/>
          <w:trHeight w:val="20"/>
        </w:trPr>
        <w:tc>
          <w:tcPr>
            <w:tcBorders>
              <w:top w:val="single" w:color="000000" w:sz="8" w:space="0"/>
              <w:left w:val="single" w:color="000000" w:sz="12" w:space="0"/>
              <w:bottom w:val="single" w:color="000000" w:sz="8" w:space="0"/>
              <w:right w:val="single" w:color="000000" w:sz="8" w:space="0"/>
            </w:tcBorders>
            <w:tcW w:w="1370" w:type="dxa"/>
            <w:vAlign w:val="center"/>
            <w:vMerge w:val="continue"/>
            <w:textDirection w:val="lrTb"/>
            <w:noWrap w:val="false"/>
          </w:tcPr>
          <w:p>
            <w:pP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417"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安全文明措施</w:t>
            </w:r>
            <w:r>
              <w:rPr>
                <w:rFonts w:hint="eastAsia" w:ascii="宋体" w:hAnsi="宋体" w:cs="宋体"/>
                <w:color w:val="000000"/>
                <w:sz w:val="21"/>
                <w:szCs w:val="21"/>
              </w:rPr>
              <w:br/>
            </w:r>
            <w:r>
              <w:rPr>
                <w:rFonts w:hint="eastAsia" w:ascii="宋体" w:hAnsi="宋体" w:cs="宋体"/>
                <w:color w:val="000000"/>
                <w:sz w:val="21"/>
                <w:szCs w:val="21"/>
              </w:rPr>
              <w:t xml:space="preserve">（8分）</w:t>
            </w:r>
            <w:r/>
          </w:p>
        </w:tc>
        <w:tc>
          <w:tcPr>
            <w:tcBorders>
              <w:top w:val="single" w:color="000000" w:sz="8" w:space="0"/>
              <w:left w:val="single" w:color="000000" w:sz="8" w:space="0"/>
              <w:bottom w:val="single" w:color="000000" w:sz="8" w:space="0"/>
              <w:right w:val="single" w:color="000000" w:sz="12" w:space="0"/>
            </w:tcBorders>
            <w:tcW w:w="6131" w:type="dxa"/>
            <w:vAlign w:val="center"/>
            <w:textDirection w:val="lrTb"/>
            <w:noWrap w:val="false"/>
          </w:tcPr>
          <w:p>
            <w:pPr>
              <w:jc w:val="left"/>
              <w:rPr>
                <w:rFonts w:hint="eastAsia" w:ascii="宋体" w:hAnsi="宋体" w:cs="宋体"/>
                <w:color w:val="000000"/>
                <w:sz w:val="21"/>
                <w:szCs w:val="21"/>
              </w:rPr>
            </w:pPr>
            <w:r>
              <w:rPr>
                <w:rFonts w:hint="eastAsia" w:ascii="宋体" w:hAnsi="宋体" w:cs="宋体"/>
                <w:color w:val="000000"/>
                <w:sz w:val="21"/>
                <w:szCs w:val="21"/>
              </w:rPr>
              <w:t xml:space="preserve">对投标人根据招标需求和项目实际情况提供的安全文明措施进行比较，包括但不限于安全文明体系、应急预案等内容：</w:t>
            </w:r>
            <w:r>
              <w:rPr>
                <w:rFonts w:hint="eastAsia" w:ascii="宋体" w:hAnsi="宋体" w:cs="宋体"/>
                <w:color w:val="000000"/>
                <w:sz w:val="21"/>
                <w:szCs w:val="21"/>
              </w:rPr>
              <w:br/>
            </w:r>
            <w:r>
              <w:rPr>
                <w:rFonts w:hint="eastAsia" w:ascii="宋体" w:hAnsi="宋体" w:cs="宋体"/>
                <w:color w:val="000000"/>
                <w:sz w:val="21"/>
                <w:szCs w:val="21"/>
              </w:rPr>
              <w:t xml:space="preserve">内容描述详细到位、完整清晰、可操作性强的得8分；</w:t>
            </w:r>
            <w:r>
              <w:rPr>
                <w:rFonts w:hint="eastAsia" w:ascii="宋体" w:hAnsi="宋体" w:cs="宋体"/>
                <w:color w:val="000000"/>
                <w:sz w:val="21"/>
                <w:szCs w:val="21"/>
              </w:rPr>
              <w:br/>
            </w:r>
            <w:r>
              <w:rPr>
                <w:rFonts w:hint="eastAsia" w:ascii="宋体" w:hAnsi="宋体" w:cs="宋体"/>
                <w:color w:val="000000"/>
                <w:sz w:val="21"/>
                <w:szCs w:val="21"/>
              </w:rPr>
              <w:t xml:space="preserve">内容描述较详细、较完整清晰、可操作性较强的得6分；</w:t>
            </w:r>
            <w:r>
              <w:rPr>
                <w:rFonts w:hint="eastAsia" w:ascii="宋体" w:hAnsi="宋体" w:cs="宋体"/>
                <w:color w:val="000000"/>
                <w:sz w:val="21"/>
                <w:szCs w:val="21"/>
              </w:rPr>
              <w:br/>
            </w:r>
            <w:r>
              <w:rPr>
                <w:rFonts w:hint="eastAsia" w:ascii="宋体" w:hAnsi="宋体" w:cs="宋体"/>
                <w:color w:val="000000"/>
                <w:sz w:val="21"/>
                <w:szCs w:val="21"/>
              </w:rPr>
              <w:t xml:space="preserve">内容描述一般、可操作性一般的得4分；</w:t>
            </w:r>
            <w:r>
              <w:rPr>
                <w:rFonts w:hint="eastAsia" w:ascii="宋体" w:hAnsi="宋体" w:cs="宋体"/>
                <w:color w:val="000000"/>
                <w:sz w:val="21"/>
                <w:szCs w:val="21"/>
              </w:rPr>
              <w:br/>
            </w:r>
            <w:r>
              <w:rPr>
                <w:rFonts w:hint="eastAsia" w:ascii="宋体" w:hAnsi="宋体" w:cs="宋体"/>
                <w:color w:val="000000"/>
                <w:sz w:val="21"/>
                <w:szCs w:val="21"/>
              </w:rPr>
              <w:t xml:space="preserve">内容简单提及的得2分；</w:t>
            </w:r>
            <w:r>
              <w:rPr>
                <w:rFonts w:hint="eastAsia" w:ascii="宋体" w:hAnsi="宋体" w:cs="宋体"/>
                <w:color w:val="000000"/>
                <w:sz w:val="21"/>
                <w:szCs w:val="21"/>
              </w:rPr>
              <w:br/>
            </w:r>
            <w:r>
              <w:rPr>
                <w:rFonts w:hint="eastAsia" w:ascii="宋体" w:hAnsi="宋体" w:cs="宋体"/>
                <w:color w:val="000000"/>
                <w:sz w:val="21"/>
                <w:szCs w:val="21"/>
              </w:rPr>
              <w:t xml:space="preserve">未提供不得分。本项最高得8分，最低得0分。</w:t>
            </w:r>
            <w:r/>
          </w:p>
        </w:tc>
      </w:tr>
      <w:tr>
        <w:trPr>
          <w:jc w:val="center"/>
          <w:trHeight w:val="20"/>
        </w:trPr>
        <w:tc>
          <w:tcPr>
            <w:tcBorders>
              <w:top w:val="single" w:color="000000" w:sz="8" w:space="0"/>
              <w:left w:val="single" w:color="000000" w:sz="12" w:space="0"/>
              <w:bottom w:val="single" w:color="000000" w:sz="8" w:space="0"/>
              <w:right w:val="single" w:color="000000" w:sz="8" w:space="0"/>
            </w:tcBorders>
            <w:tcW w:w="1370" w:type="dxa"/>
            <w:vAlign w:val="center"/>
            <w:vMerge w:val="continue"/>
            <w:textDirection w:val="lrTb"/>
            <w:noWrap w:val="false"/>
          </w:tcPr>
          <w:p>
            <w:pP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417"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精细化运营服务方案（</w:t>
            </w: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rPr>
              <w:t xml:space="preserve">分）</w:t>
            </w:r>
            <w:r/>
          </w:p>
        </w:tc>
        <w:tc>
          <w:tcPr>
            <w:tcBorders>
              <w:top w:val="single" w:color="000000" w:sz="8" w:space="0"/>
              <w:left w:val="single" w:color="000000" w:sz="8" w:space="0"/>
              <w:bottom w:val="single" w:color="000000" w:sz="8" w:space="0"/>
              <w:right w:val="single" w:color="000000" w:sz="12" w:space="0"/>
            </w:tcBorders>
            <w:tcW w:w="6131" w:type="dxa"/>
            <w:vAlign w:val="center"/>
            <w:textDirection w:val="lrTb"/>
            <w:noWrap w:val="false"/>
          </w:tcPr>
          <w:p>
            <w:pPr>
              <w:jc w:val="left"/>
              <w:rPr>
                <w:rFonts w:hint="eastAsia" w:ascii="宋体" w:hAnsi="宋体" w:cs="宋体"/>
                <w:color w:val="000000"/>
                <w:sz w:val="21"/>
                <w:szCs w:val="21"/>
              </w:rPr>
            </w:pPr>
            <w:r>
              <w:rPr>
                <w:rFonts w:hint="eastAsia" w:ascii="宋体" w:hAnsi="宋体" w:cs="宋体"/>
                <w:color w:val="000000"/>
                <w:sz w:val="21"/>
                <w:szCs w:val="21"/>
              </w:rPr>
              <w:t xml:space="preserve">对投标人根据招标需求和项目实际情况提供的精细化运营服务方案进行比较，包括但不限于运营阶段的人员配备、运营服务内容、运营服务措施、定期培训方案、节能宣传策划等内容：</w:t>
            </w:r>
            <w:r>
              <w:rPr>
                <w:rFonts w:hint="eastAsia" w:ascii="宋体" w:hAnsi="宋体" w:cs="宋体"/>
                <w:color w:val="000000"/>
                <w:sz w:val="21"/>
                <w:szCs w:val="21"/>
              </w:rPr>
              <w:br/>
            </w:r>
            <w:r>
              <w:rPr>
                <w:rFonts w:hint="eastAsia" w:ascii="宋体" w:hAnsi="宋体" w:cs="宋体"/>
                <w:color w:val="000000"/>
                <w:sz w:val="21"/>
                <w:szCs w:val="21"/>
              </w:rPr>
              <w:t xml:space="preserve">内容描述详细到位、完整清晰、可操作性强的得</w:t>
            </w: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rPr>
              <w:t xml:space="preserve">分；</w:t>
            </w:r>
            <w:r>
              <w:rPr>
                <w:rFonts w:hint="eastAsia" w:ascii="宋体" w:hAnsi="宋体" w:cs="宋体"/>
                <w:color w:val="000000"/>
                <w:sz w:val="21"/>
                <w:szCs w:val="21"/>
              </w:rPr>
              <w:br/>
            </w:r>
            <w:r>
              <w:rPr>
                <w:rFonts w:hint="eastAsia" w:ascii="宋体" w:hAnsi="宋体" w:cs="宋体"/>
                <w:color w:val="000000"/>
                <w:sz w:val="21"/>
                <w:szCs w:val="21"/>
              </w:rPr>
              <w:t xml:space="preserve">内容描述较详细、较完整清晰、可操作性较强的得</w:t>
            </w:r>
            <w:r>
              <w:rPr>
                <w:rFonts w:hint="eastAsia" w:ascii="宋体" w:hAnsi="宋体" w:cs="宋体"/>
                <w:color w:val="000000"/>
                <w:sz w:val="21"/>
                <w:szCs w:val="21"/>
                <w:lang w:val="en-US" w:eastAsia="zh-CN"/>
              </w:rPr>
              <w:t xml:space="preserve">7</w:t>
            </w:r>
            <w:r>
              <w:rPr>
                <w:rFonts w:hint="eastAsia" w:ascii="宋体" w:hAnsi="宋体" w:cs="宋体"/>
                <w:color w:val="000000"/>
                <w:sz w:val="21"/>
                <w:szCs w:val="21"/>
              </w:rPr>
              <w:t xml:space="preserve">分；</w:t>
            </w:r>
            <w:r>
              <w:rPr>
                <w:rFonts w:hint="eastAsia" w:ascii="宋体" w:hAnsi="宋体" w:cs="宋体"/>
                <w:color w:val="000000"/>
                <w:sz w:val="21"/>
                <w:szCs w:val="21"/>
              </w:rPr>
              <w:br/>
            </w:r>
            <w:r>
              <w:rPr>
                <w:rFonts w:hint="eastAsia" w:ascii="宋体" w:hAnsi="宋体" w:cs="宋体"/>
                <w:color w:val="000000"/>
                <w:sz w:val="21"/>
                <w:szCs w:val="21"/>
              </w:rPr>
              <w:t xml:space="preserve">内容描述较详细、完整性一般、可操作性较强的得</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w:t>
            </w:r>
            <w:r>
              <w:rPr>
                <w:rFonts w:hint="eastAsia" w:ascii="宋体" w:hAnsi="宋体" w:cs="宋体"/>
                <w:color w:val="000000"/>
                <w:sz w:val="21"/>
                <w:szCs w:val="21"/>
              </w:rPr>
              <w:br/>
            </w:r>
            <w:r>
              <w:rPr>
                <w:rFonts w:hint="eastAsia" w:ascii="宋体" w:hAnsi="宋体" w:cs="宋体"/>
                <w:color w:val="000000"/>
                <w:sz w:val="21"/>
                <w:szCs w:val="21"/>
              </w:rPr>
              <w:t xml:space="preserve">内容描述一般、可操作性一般的得</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分；</w:t>
            </w:r>
            <w:r>
              <w:rPr>
                <w:rFonts w:hint="eastAsia" w:ascii="宋体" w:hAnsi="宋体" w:cs="宋体"/>
                <w:color w:val="000000"/>
                <w:sz w:val="21"/>
                <w:szCs w:val="21"/>
              </w:rPr>
              <w:br/>
            </w:r>
            <w:r>
              <w:rPr>
                <w:rFonts w:hint="eastAsia" w:ascii="宋体" w:hAnsi="宋体" w:cs="宋体"/>
                <w:color w:val="000000"/>
                <w:sz w:val="21"/>
                <w:szCs w:val="21"/>
              </w:rPr>
              <w:t xml:space="preserve">未提供不得分。本项最高得</w:t>
            </w: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rPr>
              <w:t xml:space="preserve">分，最低得0分。</w:t>
            </w:r>
            <w:r/>
          </w:p>
        </w:tc>
      </w:tr>
      <w:tr>
        <w:trPr>
          <w:jc w:val="center"/>
          <w:trHeight w:val="20"/>
        </w:trPr>
        <w:tc>
          <w:tcPr>
            <w:tcBorders>
              <w:top w:val="single" w:color="000000" w:sz="8" w:space="0"/>
              <w:left w:val="single" w:color="000000" w:sz="12" w:space="0"/>
              <w:bottom w:val="single" w:color="000000" w:sz="8" w:space="0"/>
              <w:right w:val="single" w:color="000000" w:sz="8" w:space="0"/>
            </w:tcBorders>
            <w:tcW w:w="1370" w:type="dxa"/>
            <w:vAlign w:val="center"/>
            <w:vMerge w:val="continue"/>
            <w:textDirection w:val="lrTb"/>
            <w:noWrap w:val="false"/>
          </w:tcPr>
          <w:p>
            <w:pP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417"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运营技术支撑手段</w:t>
            </w:r>
            <w:r>
              <w:rPr>
                <w:rFonts w:hint="eastAsia" w:ascii="宋体" w:hAnsi="宋体" w:cs="宋体"/>
                <w:color w:val="000000"/>
                <w:sz w:val="21"/>
                <w:szCs w:val="21"/>
              </w:rPr>
              <w:br/>
            </w:r>
            <w:r>
              <w:rPr>
                <w:rFonts w:hint="eastAsia" w:ascii="宋体" w:hAnsi="宋体" w:cs="宋体"/>
                <w:color w:val="000000"/>
                <w:sz w:val="21"/>
                <w:szCs w:val="21"/>
              </w:rPr>
              <w:t xml:space="preserve">（5分）</w:t>
            </w:r>
            <w:r/>
          </w:p>
        </w:tc>
        <w:tc>
          <w:tcPr>
            <w:tcBorders>
              <w:top w:val="single" w:color="000000" w:sz="8" w:space="0"/>
              <w:left w:val="single" w:color="000000" w:sz="8" w:space="0"/>
              <w:bottom w:val="single" w:color="000000" w:sz="8" w:space="0"/>
              <w:right w:val="single" w:color="000000" w:sz="12" w:space="0"/>
            </w:tcBorders>
            <w:tcW w:w="6131" w:type="dxa"/>
            <w:vAlign w:val="center"/>
            <w:textDirection w:val="lrTb"/>
            <w:noWrap w:val="false"/>
          </w:tcPr>
          <w:p>
            <w:pPr>
              <w:jc w:val="left"/>
              <w:rPr>
                <w:rFonts w:hint="eastAsia" w:ascii="宋体" w:hAnsi="宋体" w:cs="宋体"/>
                <w:color w:val="000000"/>
                <w:sz w:val="21"/>
                <w:szCs w:val="21"/>
              </w:rPr>
            </w:pPr>
            <w:r>
              <w:rPr>
                <w:rFonts w:hint="eastAsia" w:ascii="宋体" w:hAnsi="宋体" w:cs="宋体"/>
                <w:color w:val="000000"/>
                <w:sz w:val="21"/>
                <w:szCs w:val="21"/>
              </w:rPr>
              <w:t xml:space="preserve">对投标人具有与本项目托管贴合的运营技术支撑手段进行比较，是否能够针对客户方进行内部高效协调沟通、维保人员工作计划安排展示、高能耗设备的维护、用户习惯挖掘分析和设备应用场景区域属性分组择优保障，以提高整体工作效能进行评审：</w:t>
            </w:r>
            <w:r>
              <w:rPr>
                <w:rFonts w:hint="eastAsia" w:ascii="宋体" w:hAnsi="宋体" w:cs="宋体"/>
                <w:color w:val="000000"/>
                <w:sz w:val="21"/>
                <w:szCs w:val="21"/>
              </w:rPr>
              <w:br/>
            </w:r>
            <w:r>
              <w:rPr>
                <w:rFonts w:hint="eastAsia" w:ascii="宋体" w:hAnsi="宋体" w:cs="宋体"/>
                <w:color w:val="000000"/>
                <w:sz w:val="21"/>
                <w:szCs w:val="21"/>
              </w:rPr>
              <w:t xml:space="preserve">（1）具有用于采购人的客户管理系统软件，以助力采购人实现内部规范化协调沟通管理的技术支撑手段；</w:t>
            </w:r>
            <w:r>
              <w:rPr>
                <w:rFonts w:hint="eastAsia" w:ascii="宋体" w:hAnsi="宋体" w:cs="宋体"/>
                <w:color w:val="000000"/>
                <w:sz w:val="21"/>
                <w:szCs w:val="21"/>
              </w:rPr>
              <w:br/>
            </w:r>
            <w:r>
              <w:rPr>
                <w:rFonts w:hint="eastAsia" w:ascii="宋体" w:hAnsi="宋体" w:cs="宋体"/>
                <w:color w:val="000000"/>
                <w:sz w:val="21"/>
                <w:szCs w:val="21"/>
              </w:rPr>
              <w:t xml:space="preserve">（2）具有人员计划任务管理软件，以用于提升设备维保人员工作计划执行效率的技术支撑手段；</w:t>
            </w:r>
            <w:r>
              <w:rPr>
                <w:rFonts w:hint="eastAsia" w:ascii="宋体" w:hAnsi="宋体" w:cs="宋体"/>
                <w:color w:val="000000"/>
                <w:sz w:val="21"/>
                <w:szCs w:val="21"/>
              </w:rPr>
              <w:br/>
            </w:r>
            <w:r>
              <w:rPr>
                <w:rFonts w:hint="eastAsia" w:ascii="宋体" w:hAnsi="宋体" w:cs="宋体"/>
                <w:color w:val="000000"/>
                <w:sz w:val="21"/>
                <w:szCs w:val="21"/>
              </w:rPr>
              <w:t xml:space="preserve">（3）具有水机（冷水机组）或氟机（多联机或分体机）高能耗设备维修诊断系统软件，以用于提升智能化维修诊断的技术支撑手段；</w:t>
            </w:r>
            <w:r>
              <w:rPr>
                <w:rFonts w:hint="eastAsia" w:ascii="宋体" w:hAnsi="宋体" w:cs="宋体"/>
                <w:color w:val="000000"/>
                <w:sz w:val="21"/>
                <w:szCs w:val="21"/>
              </w:rPr>
              <w:br/>
            </w:r>
            <w:r>
              <w:rPr>
                <w:rFonts w:hint="eastAsia" w:ascii="宋体" w:hAnsi="宋体" w:cs="宋体"/>
                <w:color w:val="000000"/>
                <w:sz w:val="21"/>
                <w:szCs w:val="21"/>
              </w:rPr>
              <w:t xml:space="preserve">（4）具有水机（冷水机组）或氟机（多联机或分体机）高能耗设备用户习惯分析软件，以通过挖掘用户使用模式、能耗特征及场景需求，为采购人提供精细化运营策略、能耗优化方案及差异化服务保障的技术支撑手段。</w:t>
            </w:r>
            <w:r>
              <w:rPr>
                <w:rFonts w:hint="eastAsia" w:ascii="宋体" w:hAnsi="宋体" w:cs="宋体"/>
                <w:color w:val="000000"/>
                <w:sz w:val="21"/>
                <w:szCs w:val="21"/>
              </w:rPr>
              <w:br/>
            </w:r>
            <w:r>
              <w:rPr>
                <w:rFonts w:hint="eastAsia" w:ascii="宋体" w:hAnsi="宋体" w:cs="宋体"/>
                <w:color w:val="000000"/>
                <w:sz w:val="21"/>
                <w:szCs w:val="21"/>
              </w:rPr>
              <w:t xml:space="preserve">（5）具有水机（冷水机组）或氟机（多联机或分体机）高能耗设备分组策略管理软件，以用于高能耗设备应用场景或区域属性的分组重要保障区管理的技术支撑手段。</w:t>
            </w:r>
            <w:r>
              <w:rPr>
                <w:rFonts w:hint="eastAsia" w:ascii="宋体" w:hAnsi="宋体" w:cs="宋体"/>
                <w:color w:val="000000"/>
                <w:sz w:val="21"/>
                <w:szCs w:val="21"/>
              </w:rPr>
              <w:br/>
            </w:r>
            <w:r>
              <w:rPr>
                <w:rFonts w:hint="eastAsia" w:ascii="宋体" w:hAnsi="宋体" w:cs="宋体"/>
                <w:color w:val="000000"/>
                <w:sz w:val="21"/>
                <w:szCs w:val="21"/>
              </w:rPr>
              <w:t xml:space="preserve">每提供上述其中1项运营技术支撑手段的得1分，未提供不得分。本项最高得5分，最低得0分。</w:t>
            </w:r>
            <w:r>
              <w:rPr>
                <w:rFonts w:hint="eastAsia" w:ascii="宋体" w:hAnsi="宋体" w:cs="宋体"/>
                <w:color w:val="000000"/>
                <w:sz w:val="21"/>
                <w:szCs w:val="21"/>
              </w:rPr>
              <w:br/>
            </w:r>
            <w:r>
              <w:rPr>
                <w:rFonts w:hint="eastAsia" w:ascii="宋体" w:hAnsi="宋体" w:cs="宋体"/>
                <w:color w:val="000000"/>
                <w:sz w:val="21"/>
                <w:szCs w:val="21"/>
              </w:rPr>
              <w:t xml:space="preserve">注：提供（若为联合体，提供联合体任何一方或联合体双方）由国家版权局颁发的软件著作证书证明资料扫描件。</w:t>
            </w:r>
            <w:r/>
          </w:p>
        </w:tc>
      </w:tr>
      <w:tr>
        <w:trPr>
          <w:jc w:val="center"/>
          <w:trHeight w:val="20"/>
        </w:trPr>
        <w:tc>
          <w:tcPr>
            <w:tcBorders>
              <w:top w:val="single" w:color="000000" w:sz="8" w:space="0"/>
              <w:left w:val="single" w:color="000000" w:sz="12" w:space="0"/>
              <w:bottom w:val="single" w:color="000000" w:sz="8" w:space="0"/>
              <w:right w:val="single" w:color="000000" w:sz="8" w:space="0"/>
            </w:tcBorders>
            <w:tcW w:w="1370" w:type="dxa"/>
            <w:vAlign w:val="center"/>
            <w:vMerge w:val="continue"/>
            <w:textDirection w:val="lrTb"/>
            <w:noWrap w:val="false"/>
          </w:tcPr>
          <w:p>
            <w:pP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8" w:space="0"/>
              <w:left w:val="single" w:color="000000" w:sz="8" w:space="0"/>
              <w:bottom w:val="single" w:color="000000" w:sz="12" w:space="0"/>
              <w:right w:val="single" w:color="000000" w:sz="8" w:space="0"/>
            </w:tcBorders>
            <w:tcW w:w="1417" w:type="dxa"/>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保密方案</w:t>
            </w:r>
            <w:r>
              <w:rPr>
                <w:rFonts w:hint="eastAsia" w:ascii="宋体" w:hAnsi="宋体" w:cs="宋体"/>
                <w:color w:val="000000"/>
                <w:sz w:val="21"/>
                <w:szCs w:val="21"/>
              </w:rPr>
              <w:br/>
            </w: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7</w:t>
            </w:r>
            <w:r>
              <w:rPr>
                <w:rFonts w:hint="eastAsia" w:ascii="宋体" w:hAnsi="宋体" w:cs="宋体"/>
                <w:color w:val="000000"/>
                <w:sz w:val="21"/>
                <w:szCs w:val="21"/>
              </w:rPr>
              <w:t xml:space="preserve">分）</w:t>
            </w:r>
            <w:r/>
          </w:p>
        </w:tc>
        <w:tc>
          <w:tcPr>
            <w:tcBorders>
              <w:top w:val="single" w:color="000000" w:sz="8" w:space="0"/>
              <w:left w:val="single" w:color="000000" w:sz="8" w:space="0"/>
              <w:bottom w:val="single" w:color="000000" w:sz="12" w:space="0"/>
              <w:right w:val="single" w:color="000000" w:sz="12" w:space="0"/>
            </w:tcBorders>
            <w:tcW w:w="6131" w:type="dxa"/>
            <w:vAlign w:val="center"/>
            <w:textDirection w:val="lrTb"/>
            <w:noWrap w:val="false"/>
          </w:tcPr>
          <w:p>
            <w:pPr>
              <w:jc w:val="left"/>
              <w:rPr>
                <w:rFonts w:hint="eastAsia" w:ascii="宋体" w:hAnsi="宋体" w:cs="宋体"/>
                <w:color w:val="000000"/>
                <w:sz w:val="21"/>
                <w:szCs w:val="21"/>
              </w:rPr>
            </w:pPr>
            <w:r>
              <w:rPr>
                <w:rFonts w:hint="eastAsia" w:ascii="宋体" w:hAnsi="宋体" w:cs="宋体"/>
                <w:color w:val="000000"/>
                <w:sz w:val="21"/>
                <w:szCs w:val="21"/>
              </w:rPr>
              <w:t xml:space="preserve">对投标人根据招标需求和项目实际情况提供的数据保密方案进行比较：</w:t>
            </w:r>
            <w:r>
              <w:rPr>
                <w:rFonts w:hint="eastAsia" w:ascii="宋体" w:hAnsi="宋体" w:cs="宋体"/>
                <w:color w:val="000000"/>
                <w:sz w:val="21"/>
                <w:szCs w:val="21"/>
              </w:rPr>
              <w:br/>
            </w:r>
            <w:r>
              <w:rPr>
                <w:rFonts w:hint="eastAsia" w:ascii="宋体" w:hAnsi="宋体" w:cs="宋体"/>
                <w:color w:val="000000"/>
                <w:sz w:val="21"/>
                <w:szCs w:val="21"/>
              </w:rPr>
              <w:t xml:space="preserve">内容描述详细到位、完整清晰、可操作性强的得</w:t>
            </w:r>
            <w:r>
              <w:rPr>
                <w:rFonts w:hint="eastAsia" w:ascii="宋体" w:hAnsi="宋体" w:cs="宋体"/>
                <w:color w:val="000000"/>
                <w:sz w:val="21"/>
                <w:szCs w:val="21"/>
                <w:lang w:val="en-US" w:eastAsia="zh-CN"/>
              </w:rPr>
              <w:t xml:space="preserve">7</w:t>
            </w:r>
            <w:r>
              <w:rPr>
                <w:rFonts w:hint="eastAsia" w:ascii="宋体" w:hAnsi="宋体" w:cs="宋体"/>
                <w:color w:val="000000"/>
                <w:sz w:val="21"/>
                <w:szCs w:val="21"/>
              </w:rPr>
              <w:t xml:space="preserve">分；</w:t>
            </w:r>
            <w:r>
              <w:rPr>
                <w:rFonts w:hint="eastAsia" w:ascii="宋体" w:hAnsi="宋体" w:cs="宋体"/>
                <w:color w:val="000000"/>
                <w:sz w:val="21"/>
                <w:szCs w:val="21"/>
              </w:rPr>
              <w:br/>
            </w:r>
            <w:r>
              <w:rPr>
                <w:rFonts w:hint="eastAsia" w:ascii="宋体" w:hAnsi="宋体" w:cs="宋体"/>
                <w:color w:val="000000"/>
                <w:sz w:val="21"/>
                <w:szCs w:val="21"/>
              </w:rPr>
              <w:t xml:space="preserve">内容描述较详细、较完整清晰、可操作性较强的得</w:t>
            </w: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rPr>
                <w:rFonts w:hint="eastAsia" w:ascii="宋体" w:hAnsi="宋体" w:cs="宋体"/>
                <w:color w:val="000000"/>
                <w:sz w:val="21"/>
                <w:szCs w:val="21"/>
              </w:rPr>
              <w:br/>
            </w:r>
            <w:r>
              <w:rPr>
                <w:rFonts w:hint="eastAsia" w:ascii="宋体" w:hAnsi="宋体" w:cs="宋体"/>
                <w:color w:val="000000"/>
                <w:sz w:val="21"/>
                <w:szCs w:val="21"/>
              </w:rPr>
              <w:t xml:space="preserve">内容描述一般、可操作性一般的得</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分；</w:t>
            </w:r>
            <w:r>
              <w:rPr>
                <w:rFonts w:hint="eastAsia" w:ascii="宋体" w:hAnsi="宋体" w:cs="宋体"/>
                <w:color w:val="000000"/>
                <w:sz w:val="21"/>
                <w:szCs w:val="21"/>
              </w:rPr>
              <w:br/>
            </w:r>
            <w:r>
              <w:rPr>
                <w:rFonts w:hint="eastAsia" w:ascii="宋体" w:hAnsi="宋体" w:cs="宋体"/>
                <w:color w:val="000000"/>
                <w:sz w:val="21"/>
                <w:szCs w:val="21"/>
              </w:rPr>
              <w:t xml:space="preserve">内容简单提及的得1分；</w:t>
            </w:r>
            <w:r>
              <w:rPr>
                <w:rFonts w:hint="eastAsia" w:ascii="宋体" w:hAnsi="宋体" w:cs="宋体"/>
                <w:color w:val="000000"/>
                <w:sz w:val="21"/>
                <w:szCs w:val="21"/>
              </w:rPr>
              <w:br/>
            </w:r>
            <w:r>
              <w:rPr>
                <w:rFonts w:hint="eastAsia" w:ascii="宋体" w:hAnsi="宋体" w:cs="宋体"/>
                <w:color w:val="000000"/>
                <w:sz w:val="21"/>
                <w:szCs w:val="21"/>
              </w:rPr>
              <w:t xml:space="preserve">未提供不得分。本项最高得</w:t>
            </w:r>
            <w:r>
              <w:rPr>
                <w:rFonts w:hint="eastAsia" w:ascii="宋体" w:hAnsi="宋体" w:cs="宋体"/>
                <w:color w:val="000000"/>
                <w:sz w:val="21"/>
                <w:szCs w:val="21"/>
                <w:lang w:val="en-US" w:eastAsia="zh-CN"/>
              </w:rPr>
              <w:t xml:space="preserve">7</w:t>
            </w:r>
            <w:r>
              <w:rPr>
                <w:rFonts w:hint="eastAsia" w:ascii="宋体" w:hAnsi="宋体" w:cs="宋体"/>
                <w:color w:val="000000"/>
                <w:sz w:val="21"/>
                <w:szCs w:val="21"/>
              </w:rPr>
              <w:t xml:space="preserve">分，最低得0分。</w:t>
            </w:r>
            <w:r/>
          </w:p>
        </w:tc>
      </w:tr>
    </w:tbl>
    <w:p>
      <w:pPr>
        <w:jc w:val="left"/>
        <w:spacing w:line="24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本章说明：本项目采用综合评分法。</w:t>
      </w:r>
      <w:r/>
    </w:p>
    <w:p>
      <w:pPr>
        <w:spacing w:line="51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jc w:val="left"/>
        <w:spacing w:line="240" w:lineRule="auto"/>
        <w:rPr>
          <w:rFonts w:hint="eastAsia" w:ascii="宋体" w:hAnsi="宋体" w:eastAsia="宋体" w:cs="宋体"/>
          <w:sz w:val="3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sz w:val="30"/>
          <w:highlight w:val="none"/>
        </w:rPr>
        <w:br w:type="page" w:clear="all"/>
      </w:r>
      <w:r/>
    </w:p>
    <w:p>
      <w:pPr>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第五章 拟签订的合同文本</w:t>
      </w:r>
      <w:r/>
    </w:p>
    <w:p>
      <w:pPr>
        <w:ind w:right="6"/>
        <w:jc w:val="center"/>
        <w:rPr>
          <w:rFonts w:hint="eastAsia" w:ascii="宋体" w:hAnsi="宋体" w:cs="宋体"/>
          <w:b/>
          <w:bCs/>
          <w:sz w:val="44"/>
          <w:szCs w:val="44"/>
        </w:rPr>
      </w:pPr>
      <w:r>
        <w:rPr>
          <w:rFonts w:hint="eastAsia" w:ascii="宋体" w:hAnsi="宋体" w:cs="宋体"/>
          <w:b/>
          <w:bCs/>
          <w:sz w:val="44"/>
          <w:szCs w:val="44"/>
        </w:rPr>
      </w:r>
      <w:r/>
    </w:p>
    <w:p>
      <w:pPr>
        <w:ind w:right="6"/>
        <w:jc w:val="center"/>
        <w:rPr>
          <w:rFonts w:hint="eastAsia" w:ascii="宋体" w:hAnsi="宋体" w:cs="宋体"/>
          <w:b/>
          <w:bCs/>
          <w:sz w:val="44"/>
          <w:szCs w:val="44"/>
        </w:rPr>
      </w:pPr>
      <w:r>
        <w:rPr>
          <w:rFonts w:hint="eastAsia" w:ascii="宋体" w:hAnsi="宋体" w:cs="宋体"/>
          <w:b/>
          <w:bCs/>
          <w:sz w:val="44"/>
          <w:szCs w:val="44"/>
        </w:rPr>
      </w:r>
      <w:r/>
    </w:p>
    <w:p>
      <w:pPr>
        <w:ind w:right="6"/>
        <w:jc w:val="center"/>
        <w:rPr>
          <w:rFonts w:hint="eastAsia" w:ascii="宋体" w:hAnsi="宋体" w:cs="宋体"/>
          <w:b/>
          <w:bCs/>
          <w:sz w:val="44"/>
          <w:szCs w:val="44"/>
        </w:rPr>
      </w:pPr>
      <w:r>
        <w:rPr>
          <w:rFonts w:hint="eastAsia" w:ascii="宋体" w:hAnsi="宋体" w:cs="宋体"/>
          <w:b/>
          <w:bCs/>
          <w:sz w:val="44"/>
          <w:szCs w:val="44"/>
        </w:rPr>
        <w:t xml:space="preserve">政府采购合同</w:t>
      </w:r>
      <w:r/>
    </w:p>
    <w:p>
      <w:pPr>
        <w:ind w:left="256" w:right="6" w:firstLine="560"/>
        <w:rPr>
          <w:rFonts w:hint="eastAsia" w:ascii="宋体" w:hAnsi="宋体" w:cs="宋体"/>
          <w:sz w:val="28"/>
          <w:szCs w:val="28"/>
        </w:rPr>
      </w:pPr>
      <w:r>
        <w:rPr>
          <w:rFonts w:hint="eastAsia" w:ascii="宋体" w:hAnsi="宋体" w:cs="宋体"/>
          <w:sz w:val="28"/>
          <w:szCs w:val="28"/>
        </w:rPr>
      </w:r>
      <w:r/>
    </w:p>
    <w:p>
      <w:pPr>
        <w:spacing w:line="360" w:lineRule="auto"/>
        <w:rPr>
          <w:rFonts w:hint="eastAsia" w:ascii="宋体" w:hAnsi="宋体" w:cs="宋体"/>
          <w:sz w:val="30"/>
          <w:szCs w:val="30"/>
        </w:rPr>
      </w:pPr>
      <w:r>
        <w:rPr>
          <w:rFonts w:hint="eastAsia" w:ascii="宋体" w:hAnsi="宋体" w:cs="宋体"/>
          <w:sz w:val="30"/>
          <w:szCs w:val="30"/>
        </w:rPr>
      </w:r>
      <w:r/>
    </w:p>
    <w:p>
      <w:pPr>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shd w:val="clear" w:color="auto" w:fill="ffffff"/>
          <w:lang w:eastAsia="zh-CN"/>
        </w:rPr>
        <w:t xml:space="preserve">JSZC-320324-HWZX-G2026-0454</w:t>
      </w:r>
      <w:r/>
    </w:p>
    <w:p>
      <w:pPr>
        <w:pStyle w:val="777"/>
        <w:ind w:left="1470" w:right="1470" w:firstLine="600"/>
        <w:rPr>
          <w:rFonts w:hint="eastAsia" w:ascii="宋体" w:hAnsi="宋体" w:eastAsia="宋体"/>
          <w:sz w:val="30"/>
          <w:szCs w:val="30"/>
        </w:rPr>
      </w:pPr>
      <w:r>
        <w:rPr>
          <w:rFonts w:hint="eastAsia" w:ascii="宋体" w:hAnsi="宋体" w:eastAsia="宋体"/>
          <w:sz w:val="30"/>
          <w:szCs w:val="30"/>
        </w:rPr>
      </w:r>
      <w:r/>
    </w:p>
    <w:p>
      <w:pPr>
        <w:spacing w:line="360" w:lineRule="auto"/>
        <w:rPr>
          <w:rFonts w:hint="eastAsia" w:ascii="宋体" w:hAnsi="宋体" w:cs="宋体"/>
          <w:sz w:val="30"/>
          <w:szCs w:val="30"/>
        </w:rPr>
      </w:pPr>
      <w:r>
        <w:rPr>
          <w:rFonts w:hint="eastAsia" w:ascii="宋体" w:hAnsi="宋体" w:cs="宋体"/>
          <w:sz w:val="30"/>
          <w:szCs w:val="30"/>
        </w:rPr>
        <w:t xml:space="preserve">项目名称：徐州市睢宁县行政办公中心及商务中心能源费用托管服务项目</w:t>
      </w:r>
      <w:r/>
    </w:p>
    <w:p>
      <w:pPr>
        <w:ind w:firstLine="600"/>
        <w:spacing w:line="360" w:lineRule="auto"/>
        <w:rPr>
          <w:rFonts w:hint="eastAsia" w:ascii="宋体" w:hAnsi="宋体" w:cs="宋体"/>
          <w:sz w:val="30"/>
          <w:szCs w:val="30"/>
        </w:rPr>
      </w:pPr>
      <w:r>
        <w:rPr>
          <w:rFonts w:hint="eastAsia" w:ascii="宋体" w:hAnsi="宋体" w:cs="宋体"/>
          <w:sz w:val="30"/>
          <w:szCs w:val="30"/>
        </w:rPr>
      </w:r>
      <w:r/>
    </w:p>
    <w:p>
      <w:pPr>
        <w:spacing w:line="360" w:lineRule="auto"/>
        <w:rPr>
          <w:rFonts w:hint="eastAsia" w:ascii="宋体" w:hAnsi="宋体" w:cs="宋体"/>
          <w:sz w:val="30"/>
          <w:szCs w:val="30"/>
        </w:rPr>
      </w:pPr>
      <w:r>
        <w:rPr>
          <w:rFonts w:hint="eastAsia" w:ascii="宋体" w:hAnsi="宋体" w:cs="宋体"/>
          <w:sz w:val="30"/>
          <w:szCs w:val="30"/>
        </w:rPr>
        <w:t xml:space="preserve">采 购 人（甲方）：睢宁县机关事务管理中心</w:t>
      </w:r>
      <w:r/>
    </w:p>
    <w:p>
      <w:pPr>
        <w:ind w:firstLine="600"/>
        <w:spacing w:line="360" w:lineRule="auto"/>
        <w:rPr>
          <w:rFonts w:hint="eastAsia" w:ascii="宋体" w:hAnsi="宋体" w:cs="宋体"/>
          <w:sz w:val="30"/>
          <w:szCs w:val="30"/>
        </w:rPr>
      </w:pPr>
      <w:r>
        <w:rPr>
          <w:rFonts w:hint="eastAsia" w:ascii="宋体" w:hAnsi="宋体" w:cs="宋体"/>
          <w:sz w:val="30"/>
          <w:szCs w:val="30"/>
        </w:rPr>
      </w:r>
      <w:r/>
    </w:p>
    <w:p>
      <w:pPr>
        <w:spacing w:line="360" w:lineRule="auto"/>
        <w:rPr>
          <w:rFonts w:hint="eastAsia" w:ascii="宋体" w:hAnsi="宋体" w:cs="宋体"/>
          <w:sz w:val="30"/>
          <w:szCs w:val="30"/>
        </w:rPr>
      </w:pPr>
      <w:r>
        <w:rPr>
          <w:rFonts w:hint="eastAsia" w:ascii="宋体" w:hAnsi="宋体" w:cs="宋体"/>
          <w:sz w:val="30"/>
          <w:szCs w:val="30"/>
        </w:rPr>
        <w:t xml:space="preserve">中 标 人（乙方）：</w:t>
      </w:r>
      <w:r/>
    </w:p>
    <w:p>
      <w:pPr>
        <w:ind w:firstLine="600"/>
        <w:spacing w:line="360" w:lineRule="auto"/>
        <w:rPr>
          <w:rFonts w:hint="eastAsia" w:ascii="宋体" w:hAnsi="宋体" w:cs="宋体"/>
          <w:sz w:val="30"/>
          <w:szCs w:val="30"/>
        </w:rPr>
      </w:pPr>
      <w:r>
        <w:rPr>
          <w:rFonts w:hint="eastAsia" w:ascii="宋体" w:hAnsi="宋体" w:cs="宋体"/>
          <w:sz w:val="30"/>
          <w:szCs w:val="30"/>
        </w:rPr>
      </w:r>
      <w:r/>
    </w:p>
    <w:p>
      <w:pPr>
        <w:jc w:val="both"/>
        <w:spacing w:line="360" w:lineRule="auto"/>
        <w:rPr>
          <w:rFonts w:hint="eastAsia" w:ascii="宋体" w:hAnsi="宋体" w:cs="宋体"/>
          <w:sz w:val="30"/>
          <w:szCs w:val="30"/>
        </w:rPr>
      </w:pPr>
      <w:r>
        <w:rPr>
          <w:rFonts w:hint="eastAsia" w:ascii="宋体" w:hAnsi="宋体" w:cs="宋体"/>
          <w:sz w:val="30"/>
          <w:szCs w:val="30"/>
        </w:rPr>
        <w:t xml:space="preserve">签订日期：    </w:t>
      </w:r>
      <w:r>
        <w:rPr>
          <w:rFonts w:ascii="宋体" w:hAnsi="宋体" w:cs="宋体"/>
          <w:sz w:val="30"/>
          <w:szCs w:val="30"/>
        </w:rPr>
        <w:t xml:space="preserve">   </w:t>
      </w:r>
      <w:r>
        <w:rPr>
          <w:rFonts w:hint="eastAsia" w:ascii="宋体" w:hAnsi="宋体" w:cs="宋体"/>
          <w:sz w:val="30"/>
          <w:szCs w:val="30"/>
        </w:rPr>
        <w:t xml:space="preserve">年 </w:t>
      </w:r>
      <w:r>
        <w:rPr>
          <w:rFonts w:ascii="宋体" w:hAnsi="宋体" w:cs="宋体"/>
          <w:sz w:val="30"/>
          <w:szCs w:val="30"/>
        </w:rPr>
        <w:t xml:space="preserve">    </w:t>
      </w:r>
      <w:r>
        <w:rPr>
          <w:rFonts w:hint="eastAsia" w:ascii="宋体" w:hAnsi="宋体" w:cs="宋体"/>
          <w:sz w:val="30"/>
          <w:szCs w:val="30"/>
        </w:rPr>
        <w:t xml:space="preserve"> 月 </w:t>
      </w:r>
      <w:r>
        <w:rPr>
          <w:rFonts w:ascii="宋体" w:hAnsi="宋体" w:cs="宋体"/>
          <w:sz w:val="30"/>
          <w:szCs w:val="30"/>
        </w:rPr>
        <w:t xml:space="preserve">   </w:t>
      </w:r>
      <w:r>
        <w:rPr>
          <w:rFonts w:hint="eastAsia" w:ascii="宋体" w:hAnsi="宋体" w:cs="宋体"/>
          <w:sz w:val="30"/>
          <w:szCs w:val="30"/>
        </w:rPr>
        <w:t xml:space="preserve"> 日</w:t>
      </w:r>
      <w:r/>
    </w:p>
    <w:p>
      <w:pPr>
        <w:ind w:firstLine="480"/>
        <w:spacing w:line="579" w:lineRule="exact"/>
        <w:rPr>
          <w:rFonts w:hint="eastAsia" w:ascii="宋体" w:hAnsi="宋体"/>
          <w:sz w:val="24"/>
        </w:rPr>
      </w:pPr>
      <w:r>
        <w:rPr>
          <w:rFonts w:hint="eastAsia" w:ascii="宋体" w:hAnsi="宋体"/>
          <w:sz w:val="24"/>
        </w:rPr>
      </w:r>
      <w:r/>
    </w:p>
    <w:p>
      <w:pPr>
        <w:ind w:firstLine="480"/>
        <w:spacing w:line="579" w:lineRule="exact"/>
        <w:rPr>
          <w:rFonts w:hint="eastAsia" w:ascii="宋体" w:hAnsi="宋体"/>
          <w:sz w:val="24"/>
        </w:rPr>
      </w:pPr>
      <w:r>
        <w:rPr>
          <w:rFonts w:hint="eastAsia" w:ascii="宋体" w:hAnsi="宋体"/>
          <w:sz w:val="24"/>
        </w:rPr>
      </w:r>
      <w:r/>
    </w:p>
    <w:p>
      <w:pPr>
        <w:pStyle w:val="1099"/>
        <w:rPr>
          <w:rFonts w:hint="eastAsia" w:ascii="宋体" w:hAnsi="宋体"/>
          <w:sz w:val="24"/>
        </w:rPr>
      </w:pPr>
      <w:r>
        <w:rPr>
          <w:rFonts w:hint="eastAsia" w:ascii="宋体" w:hAnsi="宋体"/>
          <w:sz w:val="24"/>
        </w:rPr>
      </w:r>
      <w:r/>
    </w:p>
    <w:p>
      <w:pPr>
        <w:pStyle w:val="768"/>
        <w:rPr>
          <w:rFonts w:hint="eastAsia" w:ascii="宋体" w:hAnsi="宋体" w:eastAsia="宋体" w:cs="Arial"/>
          <w:sz w:val="24"/>
          <w:szCs w:val="24"/>
        </w:rPr>
      </w:pPr>
      <w:r>
        <w:rPr>
          <w:rFonts w:hint="eastAsia" w:ascii="宋体" w:hAnsi="宋体" w:eastAsia="宋体" w:cs="Arial"/>
          <w:sz w:val="24"/>
          <w:szCs w:val="24"/>
        </w:rPr>
        <w:t xml:space="preserve">友情提醒：采购人与中标、成交供应商应当在中标、成交通知书发出之日起三十日内，按照采购文件确定的事项签订政府采购合同。</w:t>
      </w:r>
      <w:r/>
    </w:p>
    <w:p>
      <w:pPr>
        <w:rPr>
          <w:rFonts w:hint="eastAsia" w:ascii="宋体" w:hAnsi="宋体"/>
          <w:sz w:val="24"/>
        </w:rPr>
      </w:pPr>
      <w:r>
        <w:rPr>
          <w:rFonts w:hint="eastAsia" w:ascii="宋体" w:hAnsi="宋体" w:cs="Arial"/>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51"/>
        <w:spacing w:line="400" w:lineRule="exact"/>
        <w:rPr>
          <w:rFonts w:hint="eastAsia" w:ascii="宋体" w:hAnsi="宋体" w:cs="宋体"/>
          <w:sz w:val="24"/>
        </w:rPr>
        <w:sectPr>
          <w:headerReference w:type="default" r:id="rId10"/>
          <w:footerReference w:type="default" r:id="rId13"/>
          <w:footnotePr/>
          <w:endnotePr/>
          <w:type w:val="nextPage"/>
          <w:pgSz w:w="11906" w:h="16838" w:orient="portrait"/>
          <w:pgMar w:top="1395" w:right="1418" w:bottom="1474" w:left="1474" w:header="851" w:footer="992" w:gutter="0"/>
          <w:cols w:num="1" w:sep="0" w:space="1701" w:equalWidth="1"/>
          <w:docGrid w:linePitch="360"/>
        </w:sectPr>
      </w:pPr>
      <w:r>
        <w:rPr>
          <w:rFonts w:hint="eastAsia" w:ascii="宋体" w:hAnsi="宋体" w:cs="宋体"/>
          <w:sz w:val="24"/>
        </w:rPr>
      </w:r>
      <w:r/>
    </w:p>
    <w:p>
      <w:pPr>
        <w:jc w:val="center"/>
        <w:rPr>
          <w:rFonts w:hint="eastAsia" w:ascii="宋体" w:hAnsi="宋体"/>
          <w:sz w:val="30"/>
          <w:szCs w:val="30"/>
        </w:rPr>
      </w:pPr>
      <w:r>
        <w:rPr>
          <w:rFonts w:hint="eastAsia" w:ascii="宋体" w:hAnsi="宋体"/>
          <w:sz w:val="30"/>
          <w:szCs w:val="30"/>
        </w:rPr>
        <w:t xml:space="preserve">睢宁县行政办公中心及商务中心能源费用托管服务项目</w:t>
      </w:r>
      <w:r/>
    </w:p>
    <w:p>
      <w:pPr>
        <w:pStyle w:val="771"/>
        <w:tabs>
          <w:tab w:val="center" w:pos="4201" w:leader="none"/>
          <w:tab w:val="right" w:pos="9298" w:leader="dot"/>
        </w:tabs>
        <w:rPr>
          <w:rFonts w:hint="eastAsia" w:hAnsi="宋体"/>
        </w:rPr>
      </w:pPr>
      <w:r>
        <w:rPr>
          <w:rFonts w:hint="eastAsia" w:hAnsi="宋体"/>
        </w:rPr>
      </w:r>
      <w:r/>
    </w:p>
    <w:tbl>
      <w:tblPr>
        <w:tblStyle w:val="7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1956"/>
        <w:gridCol w:w="2509"/>
        <w:gridCol w:w="1422"/>
        <w:gridCol w:w="3019"/>
      </w:tblGrid>
      <w:tr>
        <w:trPr>
          <w:jc w:val="center"/>
        </w:trPr>
        <w:tc>
          <w:tcPr>
            <w:tcW w:w="662" w:type="dxa"/>
            <w:vAlign w:val="center"/>
            <w:vMerge w:val="restart"/>
            <w:textDirection w:val="tbRlV"/>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甲方（公共机构）</w:t>
            </w:r>
            <w:r/>
          </w:p>
        </w:tc>
        <w:tc>
          <w:tcPr>
            <w:tcW w:w="1956"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单位名称</w:t>
            </w:r>
            <w:r/>
          </w:p>
        </w:tc>
        <w:tc>
          <w:tcPr>
            <w:gridSpan w:val="3"/>
            <w:tcW w:w="6950"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r>
      <w:tr>
        <w:trPr>
          <w:jc w:val="center"/>
        </w:trPr>
        <w:tc>
          <w:tcPr>
            <w:tcW w:w="662" w:type="dxa"/>
            <w:vAlign w:val="center"/>
            <w:vMerge w:val="continue"/>
            <w:textDirection w:val="tbRlV"/>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c>
          <w:tcPr>
            <w:tcW w:w="1956"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注册地址</w:t>
            </w:r>
            <w:r/>
          </w:p>
        </w:tc>
        <w:tc>
          <w:tcPr>
            <w:gridSpan w:val="3"/>
            <w:tcW w:w="6950"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r>
      <w:tr>
        <w:trPr>
          <w:jc w:val="center"/>
        </w:trPr>
        <w:tc>
          <w:tcPr>
            <w:tcW w:w="662" w:type="dxa"/>
            <w:vAlign w:val="center"/>
            <w:vMerge w:val="continue"/>
            <w:textDirection w:val="tbRlV"/>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c>
          <w:tcPr>
            <w:tcW w:w="1956"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通讯地址</w:t>
            </w:r>
            <w:r/>
          </w:p>
        </w:tc>
        <w:tc>
          <w:tcPr>
            <w:gridSpan w:val="3"/>
            <w:tcW w:w="6950"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r>
      <w:tr>
        <w:trPr>
          <w:jc w:val="center"/>
        </w:trPr>
        <w:tc>
          <w:tcPr>
            <w:tcW w:w="662" w:type="dxa"/>
            <w:vAlign w:val="center"/>
            <w:vMerge w:val="continue"/>
            <w:textDirection w:val="tbRlV"/>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c>
          <w:tcPr>
            <w:tcW w:w="1956"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统一社会信用代码</w:t>
            </w:r>
            <w:r/>
          </w:p>
        </w:tc>
        <w:tc>
          <w:tcPr>
            <w:gridSpan w:val="3"/>
            <w:tcW w:w="6950"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r>
      <w:tr>
        <w:trPr>
          <w:jc w:val="center"/>
          <w:trHeight w:val="90"/>
        </w:trPr>
        <w:tc>
          <w:tcPr>
            <w:tcW w:w="662" w:type="dxa"/>
            <w:vAlign w:val="center"/>
            <w:vMerge w:val="continue"/>
            <w:textDirection w:val="tbRlV"/>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c>
          <w:tcPr>
            <w:tcW w:w="1956"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法定代表人</w:t>
            </w:r>
            <w:r/>
          </w:p>
        </w:tc>
        <w:tc>
          <w:tcPr>
            <w:tcW w:w="2509"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c>
          <w:tcPr>
            <w:tcW w:w="1422"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委托代理人</w:t>
            </w:r>
            <w:r/>
          </w:p>
        </w:tc>
        <w:tc>
          <w:tcPr>
            <w:tcW w:w="3019"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r>
      <w:tr>
        <w:trPr>
          <w:jc w:val="center"/>
        </w:trPr>
        <w:tc>
          <w:tcPr>
            <w:tcW w:w="662" w:type="dxa"/>
            <w:vAlign w:val="center"/>
            <w:vMerge w:val="continue"/>
            <w:textDirection w:val="tbRlV"/>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c>
          <w:tcPr>
            <w:tcW w:w="1956"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联系人</w:t>
            </w:r>
            <w:r/>
          </w:p>
        </w:tc>
        <w:tc>
          <w:tcPr>
            <w:gridSpan w:val="3"/>
            <w:tcW w:w="6950"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r>
      <w:tr>
        <w:trPr>
          <w:jc w:val="center"/>
        </w:trPr>
        <w:tc>
          <w:tcPr>
            <w:tcW w:w="662" w:type="dxa"/>
            <w:vAlign w:val="center"/>
            <w:vMerge w:val="continue"/>
            <w:textDirection w:val="tbRlV"/>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c>
          <w:tcPr>
            <w:tcW w:w="1956"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电话</w:t>
            </w:r>
            <w:r/>
          </w:p>
        </w:tc>
        <w:tc>
          <w:tcPr>
            <w:tcW w:w="2509"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c>
          <w:tcPr>
            <w:tcW w:w="1422"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传真</w:t>
            </w:r>
            <w:r/>
          </w:p>
        </w:tc>
        <w:tc>
          <w:tcPr>
            <w:tcW w:w="3019"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r>
      <w:tr>
        <w:trPr>
          <w:jc w:val="center"/>
        </w:trPr>
        <w:tc>
          <w:tcPr>
            <w:tcW w:w="662" w:type="dxa"/>
            <w:vAlign w:val="center"/>
            <w:vMerge w:val="continue"/>
            <w:textDirection w:val="tbRlV"/>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c>
          <w:tcPr>
            <w:tcW w:w="1956"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电子邮箱</w:t>
            </w:r>
            <w:r/>
          </w:p>
        </w:tc>
        <w:tc>
          <w:tcPr>
            <w:gridSpan w:val="3"/>
            <w:tcW w:w="6950"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r>
      <w:tr>
        <w:trPr>
          <w:jc w:val="center"/>
        </w:trPr>
        <w:tc>
          <w:tcPr>
            <w:tcW w:w="662" w:type="dxa"/>
            <w:vAlign w:val="center"/>
            <w:vMerge w:val="continue"/>
            <w:textDirection w:val="tbRlV"/>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c>
          <w:tcPr>
            <w:tcW w:w="1956"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开户银行</w:t>
            </w:r>
            <w:r/>
          </w:p>
        </w:tc>
        <w:tc>
          <w:tcPr>
            <w:gridSpan w:val="3"/>
            <w:tcW w:w="6950"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r>
      <w:tr>
        <w:trPr>
          <w:jc w:val="center"/>
        </w:trPr>
        <w:tc>
          <w:tcPr>
            <w:tcW w:w="662" w:type="dxa"/>
            <w:vAlign w:val="center"/>
            <w:vMerge w:val="continue"/>
            <w:textDirection w:val="tbRlV"/>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c>
          <w:tcPr>
            <w:tcW w:w="1956"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帐号</w:t>
            </w:r>
            <w:r/>
          </w:p>
        </w:tc>
        <w:tc>
          <w:tcPr>
            <w:tcW w:w="2509"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c>
          <w:tcPr>
            <w:tcW w:w="1422"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税号</w:t>
            </w:r>
            <w:r/>
          </w:p>
        </w:tc>
        <w:tc>
          <w:tcPr>
            <w:tcW w:w="3019"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r>
      <w:tr>
        <w:trPr>
          <w:jc w:val="center"/>
        </w:trPr>
        <w:tc>
          <w:tcPr>
            <w:tcW w:w="662" w:type="dxa"/>
            <w:vAlign w:val="center"/>
            <w:vMerge w:val="restart"/>
            <w:textDirection w:val="tbRlV"/>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乙方（节能服务公司）</w:t>
            </w:r>
            <w:r/>
          </w:p>
        </w:tc>
        <w:tc>
          <w:tcPr>
            <w:tcW w:w="1956"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单位名称</w:t>
            </w:r>
            <w:r/>
          </w:p>
        </w:tc>
        <w:tc>
          <w:tcPr>
            <w:gridSpan w:val="3"/>
            <w:tcW w:w="6950" w:type="dxa"/>
            <w:vAlign w:val="center"/>
            <w:textDirection w:val="lrTb"/>
            <w:noWrap w:val="false"/>
          </w:tcPr>
          <w:p>
            <w:pPr>
              <w:pStyle w:val="771"/>
              <w:ind w:firstLine="0"/>
              <w:jc w:val="center"/>
              <w:spacing w:line="360" w:lineRule="auto"/>
              <w:widowControl w:val="off"/>
              <w:tabs>
                <w:tab w:val="center" w:pos="4201" w:leader="none"/>
                <w:tab w:val="right" w:pos="9298" w:leader="dot"/>
              </w:tabs>
              <w:rPr>
                <w:rFonts w:hint="eastAsia" w:hAnsi="宋体"/>
                <w:sz w:val="24"/>
                <w:szCs w:val="24"/>
              </w:rPr>
            </w:pPr>
            <w:r>
              <w:rPr>
                <w:rFonts w:hint="eastAsia" w:hAnsi="宋体"/>
                <w:sz w:val="24"/>
                <w:szCs w:val="24"/>
              </w:rPr>
            </w:r>
            <w:r/>
          </w:p>
        </w:tc>
      </w:tr>
      <w:tr>
        <w:trPr>
          <w:jc w:val="center"/>
        </w:trPr>
        <w:tc>
          <w:tcPr>
            <w:tcW w:w="662" w:type="dxa"/>
            <w:vAlign w:val="center"/>
            <w:vMerge w:val="continue"/>
            <w:textDirection w:val="tbRlV"/>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c>
          <w:tcPr>
            <w:tcW w:w="1956"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注册地址</w:t>
            </w:r>
            <w:r/>
          </w:p>
        </w:tc>
        <w:tc>
          <w:tcPr>
            <w:gridSpan w:val="3"/>
            <w:tcW w:w="6950" w:type="dxa"/>
            <w:vAlign w:val="center"/>
            <w:textDirection w:val="lrTb"/>
            <w:noWrap w:val="false"/>
          </w:tcPr>
          <w:p>
            <w:pPr>
              <w:pStyle w:val="771"/>
              <w:ind w:firstLine="0"/>
              <w:jc w:val="center"/>
              <w:spacing w:line="360" w:lineRule="auto"/>
              <w:widowControl w:val="off"/>
              <w:tabs>
                <w:tab w:val="center" w:pos="4201" w:leader="none"/>
                <w:tab w:val="right" w:pos="9298" w:leader="dot"/>
              </w:tabs>
              <w:rPr>
                <w:rFonts w:hint="eastAsia" w:hAnsi="宋体"/>
                <w:sz w:val="24"/>
                <w:szCs w:val="24"/>
              </w:rPr>
            </w:pPr>
            <w:r>
              <w:rPr>
                <w:rFonts w:hint="eastAsia" w:hAnsi="宋体"/>
                <w:sz w:val="24"/>
                <w:szCs w:val="24"/>
              </w:rPr>
            </w:r>
            <w:r/>
          </w:p>
        </w:tc>
      </w:tr>
      <w:tr>
        <w:trPr>
          <w:jc w:val="center"/>
        </w:trPr>
        <w:tc>
          <w:tcPr>
            <w:tcW w:w="662" w:type="dxa"/>
            <w:vAlign w:val="center"/>
            <w:vMerge w:val="continue"/>
            <w:textDirection w:val="tbRlV"/>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c>
          <w:tcPr>
            <w:tcW w:w="1956"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通讯地址</w:t>
            </w:r>
            <w:r/>
          </w:p>
        </w:tc>
        <w:tc>
          <w:tcPr>
            <w:gridSpan w:val="3"/>
            <w:tcW w:w="6950" w:type="dxa"/>
            <w:vAlign w:val="center"/>
            <w:textDirection w:val="lrTb"/>
            <w:noWrap w:val="false"/>
          </w:tcPr>
          <w:p>
            <w:pPr>
              <w:pStyle w:val="771"/>
              <w:ind w:firstLine="0"/>
              <w:jc w:val="center"/>
              <w:spacing w:line="360" w:lineRule="auto"/>
              <w:widowControl w:val="off"/>
              <w:tabs>
                <w:tab w:val="center" w:pos="4201" w:leader="none"/>
                <w:tab w:val="right" w:pos="9298" w:leader="dot"/>
              </w:tabs>
              <w:rPr>
                <w:rFonts w:hint="eastAsia" w:hAnsi="宋体"/>
                <w:sz w:val="24"/>
                <w:szCs w:val="24"/>
              </w:rPr>
            </w:pPr>
            <w:r>
              <w:rPr>
                <w:rFonts w:hint="eastAsia" w:hAnsi="宋体"/>
                <w:sz w:val="24"/>
                <w:szCs w:val="24"/>
              </w:rPr>
            </w:r>
            <w:r/>
          </w:p>
        </w:tc>
      </w:tr>
      <w:tr>
        <w:trPr>
          <w:jc w:val="center"/>
        </w:trPr>
        <w:tc>
          <w:tcPr>
            <w:tcW w:w="662" w:type="dxa"/>
            <w:vAlign w:val="center"/>
            <w:vMerge w:val="continue"/>
            <w:textDirection w:val="tbRlV"/>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c>
          <w:tcPr>
            <w:tcW w:w="1956"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统一社会信用代码</w:t>
            </w:r>
            <w:r/>
          </w:p>
        </w:tc>
        <w:tc>
          <w:tcPr>
            <w:gridSpan w:val="3"/>
            <w:tcW w:w="6950"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r>
      <w:tr>
        <w:trPr>
          <w:jc w:val="center"/>
        </w:trPr>
        <w:tc>
          <w:tcPr>
            <w:tcW w:w="662" w:type="dxa"/>
            <w:vAlign w:val="center"/>
            <w:vMerge w:val="continue"/>
            <w:textDirection w:val="tbRlV"/>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c>
          <w:tcPr>
            <w:tcW w:w="1956"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法定代表人</w:t>
            </w:r>
            <w:r/>
          </w:p>
        </w:tc>
        <w:tc>
          <w:tcPr>
            <w:tcW w:w="2509"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c>
          <w:tcPr>
            <w:tcW w:w="1422"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委托代理人</w:t>
            </w:r>
            <w:r/>
          </w:p>
        </w:tc>
        <w:tc>
          <w:tcPr>
            <w:tcW w:w="3019"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r>
      <w:tr>
        <w:trPr>
          <w:jc w:val="center"/>
        </w:trPr>
        <w:tc>
          <w:tcPr>
            <w:tcW w:w="662" w:type="dxa"/>
            <w:vAlign w:val="center"/>
            <w:vMerge w:val="continue"/>
            <w:textDirection w:val="tbRlV"/>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c>
          <w:tcPr>
            <w:tcW w:w="1956"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联系人</w:t>
            </w:r>
            <w:r/>
          </w:p>
        </w:tc>
        <w:tc>
          <w:tcPr>
            <w:gridSpan w:val="3"/>
            <w:tcW w:w="6950" w:type="dxa"/>
            <w:vAlign w:val="center"/>
            <w:textDirection w:val="lrTb"/>
            <w:noWrap w:val="false"/>
          </w:tcPr>
          <w:p>
            <w:pPr>
              <w:pStyle w:val="771"/>
              <w:ind w:firstLine="0"/>
              <w:jc w:val="center"/>
              <w:spacing w:line="360" w:lineRule="auto"/>
              <w:widowControl w:val="off"/>
              <w:tabs>
                <w:tab w:val="center" w:pos="4201" w:leader="none"/>
                <w:tab w:val="right" w:pos="9298" w:leader="dot"/>
              </w:tabs>
              <w:rPr>
                <w:rFonts w:hint="eastAsia" w:hAnsi="宋体"/>
                <w:sz w:val="24"/>
                <w:szCs w:val="24"/>
              </w:rPr>
            </w:pPr>
            <w:r>
              <w:rPr>
                <w:rFonts w:hint="eastAsia" w:hAnsi="宋体"/>
                <w:sz w:val="24"/>
                <w:szCs w:val="24"/>
              </w:rPr>
            </w:r>
            <w:r/>
          </w:p>
        </w:tc>
      </w:tr>
      <w:tr>
        <w:trPr>
          <w:jc w:val="center"/>
        </w:trPr>
        <w:tc>
          <w:tcPr>
            <w:tcW w:w="662" w:type="dxa"/>
            <w:vAlign w:val="center"/>
            <w:vMerge w:val="continue"/>
            <w:textDirection w:val="tbRlV"/>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c>
          <w:tcPr>
            <w:tcW w:w="1956"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通讯地址</w:t>
            </w:r>
            <w:r/>
          </w:p>
        </w:tc>
        <w:tc>
          <w:tcPr>
            <w:gridSpan w:val="3"/>
            <w:tcW w:w="6950" w:type="dxa"/>
            <w:vAlign w:val="center"/>
            <w:textDirection w:val="lrTb"/>
            <w:noWrap w:val="false"/>
          </w:tcPr>
          <w:p>
            <w:pPr>
              <w:pStyle w:val="771"/>
              <w:ind w:firstLine="0"/>
              <w:jc w:val="center"/>
              <w:spacing w:line="360" w:lineRule="auto"/>
              <w:widowControl w:val="off"/>
              <w:tabs>
                <w:tab w:val="center" w:pos="4201" w:leader="none"/>
                <w:tab w:val="right" w:pos="9298" w:leader="dot"/>
              </w:tabs>
              <w:rPr>
                <w:rFonts w:hint="eastAsia" w:hAnsi="宋体"/>
                <w:sz w:val="24"/>
                <w:szCs w:val="24"/>
              </w:rPr>
            </w:pPr>
            <w:r>
              <w:rPr>
                <w:rFonts w:hint="eastAsia" w:hAnsi="宋体"/>
                <w:sz w:val="24"/>
                <w:szCs w:val="24"/>
              </w:rPr>
            </w:r>
            <w:r/>
          </w:p>
        </w:tc>
      </w:tr>
      <w:tr>
        <w:trPr>
          <w:jc w:val="center"/>
        </w:trPr>
        <w:tc>
          <w:tcPr>
            <w:tcW w:w="662" w:type="dxa"/>
            <w:vAlign w:val="center"/>
            <w:vMerge w:val="continue"/>
            <w:textDirection w:val="tbRlV"/>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c>
          <w:tcPr>
            <w:tcW w:w="1956"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电话</w:t>
            </w:r>
            <w:r/>
          </w:p>
        </w:tc>
        <w:tc>
          <w:tcPr>
            <w:tcW w:w="2509"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c>
          <w:tcPr>
            <w:tcW w:w="1422"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传真</w:t>
            </w:r>
            <w:r/>
          </w:p>
        </w:tc>
        <w:tc>
          <w:tcPr>
            <w:tcW w:w="3019"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r>
      <w:tr>
        <w:trPr>
          <w:jc w:val="center"/>
          <w:trHeight w:val="90"/>
        </w:trPr>
        <w:tc>
          <w:tcPr>
            <w:tcW w:w="662" w:type="dxa"/>
            <w:vAlign w:val="center"/>
            <w:vMerge w:val="continue"/>
            <w:textDirection w:val="tbRlV"/>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c>
          <w:tcPr>
            <w:tcW w:w="1956"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电子邮箱</w:t>
            </w:r>
            <w:r/>
          </w:p>
        </w:tc>
        <w:tc>
          <w:tcPr>
            <w:gridSpan w:val="3"/>
            <w:tcW w:w="6950" w:type="dxa"/>
            <w:vAlign w:val="center"/>
            <w:textDirection w:val="lrTb"/>
            <w:noWrap w:val="false"/>
          </w:tcPr>
          <w:p>
            <w:pPr>
              <w:pStyle w:val="771"/>
              <w:ind w:firstLine="0"/>
              <w:jc w:val="center"/>
              <w:spacing w:line="360" w:lineRule="auto"/>
              <w:widowControl w:val="off"/>
              <w:tabs>
                <w:tab w:val="center" w:pos="4201" w:leader="none"/>
                <w:tab w:val="right" w:pos="9298" w:leader="dot"/>
              </w:tabs>
              <w:rPr>
                <w:rFonts w:hint="eastAsia" w:hAnsi="宋体"/>
                <w:sz w:val="24"/>
                <w:szCs w:val="24"/>
              </w:rPr>
            </w:pPr>
            <w:r>
              <w:rPr>
                <w:rFonts w:hint="eastAsia" w:hAnsi="宋体"/>
                <w:sz w:val="24"/>
                <w:szCs w:val="24"/>
              </w:rPr>
            </w:r>
            <w:r/>
          </w:p>
        </w:tc>
      </w:tr>
      <w:tr>
        <w:trPr>
          <w:jc w:val="center"/>
        </w:trPr>
        <w:tc>
          <w:tcPr>
            <w:tcW w:w="662" w:type="dxa"/>
            <w:vAlign w:val="center"/>
            <w:vMerge w:val="continue"/>
            <w:textDirection w:val="tbRlV"/>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c>
          <w:tcPr>
            <w:tcW w:w="1956"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开户银行</w:t>
            </w:r>
            <w:r/>
          </w:p>
        </w:tc>
        <w:tc>
          <w:tcPr>
            <w:gridSpan w:val="3"/>
            <w:tcW w:w="6950" w:type="dxa"/>
            <w:vAlign w:val="center"/>
            <w:textDirection w:val="lrTb"/>
            <w:noWrap w:val="false"/>
          </w:tcPr>
          <w:p>
            <w:pPr>
              <w:pStyle w:val="771"/>
              <w:ind w:firstLine="2000"/>
              <w:jc w:val="both"/>
              <w:spacing w:line="360" w:lineRule="auto"/>
              <w:widowControl w:val="off"/>
              <w:tabs>
                <w:tab w:val="center" w:pos="4201" w:leader="none"/>
                <w:tab w:val="right" w:pos="9298" w:leader="dot"/>
              </w:tabs>
              <w:rPr>
                <w:rFonts w:hint="eastAsia" w:hAnsi="宋体"/>
                <w:sz w:val="24"/>
                <w:szCs w:val="24"/>
              </w:rPr>
            </w:pPr>
            <w:r>
              <w:rPr>
                <w:rFonts w:hint="eastAsia" w:hAnsi="宋体"/>
                <w:sz w:val="24"/>
                <w:szCs w:val="24"/>
              </w:rPr>
            </w:r>
            <w:r/>
          </w:p>
        </w:tc>
      </w:tr>
      <w:tr>
        <w:trPr>
          <w:jc w:val="center"/>
        </w:trPr>
        <w:tc>
          <w:tcPr>
            <w:tcW w:w="662" w:type="dxa"/>
            <w:vAlign w:val="center"/>
            <w:vMerge w:val="continue"/>
            <w:textDirection w:val="tbRlV"/>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c>
          <w:tcPr>
            <w:tcW w:w="1956"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帐号</w:t>
            </w:r>
            <w:r/>
          </w:p>
        </w:tc>
        <w:tc>
          <w:tcPr>
            <w:tcW w:w="2509"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c>
          <w:tcPr>
            <w:tcW w:w="1422"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Ansi="宋体"/>
                <w:sz w:val="24"/>
                <w:szCs w:val="24"/>
              </w:rPr>
              <w:t xml:space="preserve">税号</w:t>
            </w:r>
            <w:r/>
          </w:p>
        </w:tc>
        <w:tc>
          <w:tcPr>
            <w:tcW w:w="3019" w:type="dxa"/>
            <w:vAlign w:val="center"/>
            <w:textDirection w:val="lrTb"/>
            <w:noWrap w:val="false"/>
          </w:tcPr>
          <w:p>
            <w:pPr>
              <w:pStyle w:val="771"/>
              <w:ind w:firstLine="0"/>
              <w:jc w:val="center"/>
              <w:spacing w:line="360" w:lineRule="auto"/>
              <w:tabs>
                <w:tab w:val="center" w:pos="4201" w:leader="none"/>
                <w:tab w:val="right" w:pos="9298" w:leader="dot"/>
              </w:tabs>
              <w:rPr>
                <w:rFonts w:hint="eastAsia" w:hAnsi="宋体"/>
                <w:sz w:val="24"/>
                <w:szCs w:val="24"/>
              </w:rPr>
            </w:pPr>
            <w:r>
              <w:rPr>
                <w:rFonts w:hint="eastAsia" w:hAnsi="宋体"/>
                <w:sz w:val="24"/>
                <w:szCs w:val="24"/>
              </w:rPr>
            </w:r>
            <w:r/>
          </w:p>
        </w:tc>
      </w:tr>
    </w:tbl>
    <w:p>
      <w:pPr>
        <w:spacing w:line="360" w:lineRule="auto"/>
        <w:rPr>
          <w:rFonts w:hint="eastAsia" w:ascii="宋体" w:hAnsi="宋体"/>
        </w:rPr>
      </w:pPr>
      <w:r>
        <w:rPr>
          <w:rFonts w:hint="eastAsia" w:ascii="宋体" w:hAnsi="宋体"/>
        </w:rPr>
      </w:r>
      <w:r/>
    </w:p>
    <w:p>
      <w:pPr>
        <w:ind w:firstLine="400"/>
        <w:spacing w:line="360" w:lineRule="auto"/>
        <w:rPr>
          <w:rFonts w:hint="eastAsia" w:ascii="宋体" w:hAnsi="宋体" w:cs="宋体"/>
          <w:sz w:val="24"/>
          <w:szCs w:val="24"/>
        </w:rPr>
      </w:pPr>
      <w:r>
        <w:rPr>
          <w:rFonts w:ascii="宋体" w:hAnsi="宋体"/>
        </w:rPr>
        <w:br w:type="page" w:clear="all"/>
      </w:r>
      <w:r/>
    </w:p>
    <w:p>
      <w:pPr>
        <w:spacing w:line="360" w:lineRule="auto"/>
        <w:rPr>
          <w:rFonts w:hint="eastAsia" w:ascii="宋体" w:hAnsi="宋体"/>
          <w:sz w:val="24"/>
          <w:szCs w:val="24"/>
        </w:rPr>
      </w:pPr>
      <w:r>
        <w:rPr>
          <w:rFonts w:hint="eastAsia" w:ascii="宋体" w:hAnsi="宋体"/>
          <w:sz w:val="24"/>
          <w:szCs w:val="24"/>
        </w:rPr>
      </w:r>
      <w:r/>
    </w:p>
    <w:p>
      <w:pPr>
        <w:ind w:right="20" w:firstLine="492"/>
        <w:spacing w:line="360" w:lineRule="auto"/>
        <w:rPr>
          <w:rFonts w:hint="eastAsia" w:ascii="宋体" w:hAnsi="宋体" w:cs="宋体"/>
          <w:sz w:val="24"/>
          <w:szCs w:val="24"/>
        </w:rPr>
      </w:pPr>
      <w:r>
        <w:rPr>
          <w:rFonts w:ascii="宋体" w:hAnsi="宋体" w:cs="宋体"/>
          <w:spacing w:val="3"/>
          <w:sz w:val="24"/>
          <w:szCs w:val="24"/>
        </w:rPr>
        <w:t xml:space="preserve">公共机构</w:t>
      </w:r>
      <w:r>
        <w:rPr>
          <w:rFonts w:ascii="宋体" w:hAnsi="宋体" w:cs="宋体"/>
          <w:spacing w:val="-87"/>
          <w:sz w:val="24"/>
          <w:szCs w:val="24"/>
        </w:rPr>
        <w:t xml:space="preserve"> </w:t>
      </w:r>
      <w:r>
        <w:rPr>
          <w:rFonts w:ascii="宋体" w:hAnsi="宋体" w:cs="宋体"/>
          <w:spacing w:val="3"/>
          <w:sz w:val="24"/>
          <w:szCs w:val="24"/>
          <w:u w:val="single"/>
        </w:rPr>
        <w:t xml:space="preserve">        </w:t>
      </w:r>
      <w:r>
        <w:rPr>
          <w:rFonts w:ascii="宋体" w:hAnsi="宋体" w:cs="宋体"/>
          <w:spacing w:val="3"/>
          <w:sz w:val="24"/>
          <w:szCs w:val="24"/>
        </w:rPr>
        <w:t xml:space="preserve">(以下简称甲方)与节能服务公司</w:t>
      </w:r>
      <w:r>
        <w:rPr>
          <w:rFonts w:ascii="宋体" w:hAnsi="宋体" w:cs="宋体"/>
          <w:spacing w:val="-91"/>
          <w:sz w:val="24"/>
          <w:szCs w:val="24"/>
        </w:rPr>
        <w:t xml:space="preserve"> </w:t>
      </w:r>
      <w:r>
        <w:rPr>
          <w:rFonts w:ascii="宋体" w:hAnsi="宋体" w:cs="宋体"/>
          <w:spacing w:val="3"/>
          <w:sz w:val="24"/>
          <w:szCs w:val="24"/>
          <w:u w:val="single"/>
        </w:rPr>
        <w:t xml:space="preserve">    </w:t>
      </w:r>
      <w:r>
        <w:rPr>
          <w:rFonts w:ascii="宋体" w:hAnsi="宋体" w:cs="宋体"/>
          <w:spacing w:val="2"/>
          <w:sz w:val="24"/>
          <w:szCs w:val="24"/>
          <w:u w:val="single"/>
        </w:rPr>
        <w:t xml:space="preserve">    </w:t>
      </w:r>
      <w:r>
        <w:rPr>
          <w:rFonts w:ascii="宋体" w:hAnsi="宋体" w:cs="宋体"/>
          <w:spacing w:val="2"/>
          <w:sz w:val="24"/>
          <w:szCs w:val="24"/>
        </w:rPr>
        <w:t xml:space="preserve">(以下简称乙方),根据《中华人民共和</w:t>
      </w:r>
      <w:r>
        <w:rPr>
          <w:rFonts w:ascii="宋体" w:hAnsi="宋体" w:cs="宋体"/>
          <w:sz w:val="24"/>
          <w:szCs w:val="24"/>
        </w:rPr>
        <w:t xml:space="preserve"> </w:t>
      </w:r>
      <w:r>
        <w:rPr>
          <w:rFonts w:ascii="宋体" w:hAnsi="宋体" w:cs="宋体"/>
          <w:spacing w:val="-9"/>
          <w:sz w:val="24"/>
          <w:szCs w:val="24"/>
        </w:rPr>
        <w:t xml:space="preserve">国民法典》《中华人民共和国政府采购法》《中华人民共和国招投标法》《公共机构节能条例》及有</w:t>
      </w:r>
      <w:r>
        <w:rPr>
          <w:rFonts w:ascii="宋体" w:hAnsi="宋体" w:cs="宋体"/>
          <w:spacing w:val="-10"/>
          <w:sz w:val="24"/>
          <w:szCs w:val="24"/>
        </w:rPr>
        <w:t xml:space="preserve">关节能、</w:t>
      </w:r>
      <w:r>
        <w:rPr>
          <w:rFonts w:ascii="宋体" w:hAnsi="宋体" w:cs="宋体"/>
          <w:spacing w:val="-3"/>
          <w:sz w:val="24"/>
          <w:szCs w:val="24"/>
        </w:rPr>
        <w:t xml:space="preserve">环保、供热、供电、供水等法律法规，本着平等自愿的原则，就甲方的能源费用及其相应的能源供用系统(以下简称托管项目)按“能源费用托管型合同能源管理”模式进行托管的事宜，经双方协商一致，签</w:t>
      </w:r>
      <w:r>
        <w:rPr>
          <w:rFonts w:ascii="宋体" w:hAnsi="宋体" w:cs="宋体"/>
          <w:spacing w:val="-4"/>
          <w:sz w:val="24"/>
          <w:szCs w:val="24"/>
        </w:rPr>
        <w:t xml:space="preserve">订本</w:t>
      </w:r>
      <w:r>
        <w:rPr>
          <w:rFonts w:ascii="宋体" w:hAnsi="宋体" w:cs="宋体"/>
          <w:spacing w:val="2"/>
          <w:sz w:val="24"/>
          <w:szCs w:val="24"/>
        </w:rPr>
        <w:t xml:space="preserve">合同(以下简称项目合同)。</w:t>
      </w:r>
      <w:r/>
    </w:p>
    <w:p>
      <w:pPr>
        <w:ind w:left="402"/>
        <w:spacing w:line="360" w:lineRule="auto"/>
        <w:rPr>
          <w:rFonts w:hint="eastAsia" w:ascii="宋体" w:hAnsi="宋体" w:cs="黑体"/>
          <w:sz w:val="24"/>
          <w:szCs w:val="24"/>
        </w:rPr>
      </w:pPr>
      <w:r>
        <w:rPr>
          <w:rFonts w:ascii="宋体" w:hAnsi="宋体" w:cs="黑体"/>
          <w:b/>
          <w:bCs/>
          <w:sz w:val="24"/>
          <w:szCs w:val="24"/>
        </w:rPr>
        <w:t xml:space="preserve">第一条</w:t>
      </w:r>
      <w:r>
        <w:rPr>
          <w:rFonts w:ascii="宋体" w:hAnsi="宋体" w:cs="黑体"/>
          <w:spacing w:val="13"/>
          <w:sz w:val="24"/>
          <w:szCs w:val="24"/>
        </w:rPr>
        <w:t xml:space="preserve">  </w:t>
      </w:r>
      <w:r>
        <w:rPr>
          <w:rFonts w:ascii="宋体" w:hAnsi="宋体" w:cs="黑体"/>
          <w:b/>
          <w:bCs/>
          <w:sz w:val="24"/>
          <w:szCs w:val="24"/>
        </w:rPr>
        <w:t xml:space="preserve">名词解释</w:t>
      </w:r>
      <w:r/>
    </w:p>
    <w:p>
      <w:pPr>
        <w:ind w:left="400"/>
        <w:spacing w:line="360" w:lineRule="auto"/>
        <w:rPr>
          <w:rFonts w:hint="eastAsia" w:ascii="宋体" w:hAnsi="宋体" w:cs="宋体"/>
          <w:sz w:val="24"/>
          <w:szCs w:val="24"/>
        </w:rPr>
      </w:pPr>
      <w:r>
        <w:rPr>
          <w:rFonts w:ascii="宋体" w:hAnsi="宋体" w:cs="宋体"/>
          <w:spacing w:val="-3"/>
          <w:sz w:val="24"/>
          <w:szCs w:val="24"/>
        </w:rPr>
        <w:t xml:space="preserve">1.1</w:t>
      </w:r>
      <w:r>
        <w:rPr>
          <w:rFonts w:hint="eastAsia" w:ascii="宋体" w:hAnsi="宋体" w:cs="宋体"/>
          <w:spacing w:val="-3"/>
          <w:sz w:val="24"/>
          <w:szCs w:val="24"/>
        </w:rPr>
        <w:t xml:space="preserve">  </w:t>
      </w:r>
      <w:r>
        <w:rPr>
          <w:rFonts w:ascii="宋体" w:hAnsi="宋体" w:cs="宋体"/>
          <w:spacing w:val="-3"/>
          <w:sz w:val="24"/>
          <w:szCs w:val="24"/>
        </w:rPr>
        <w:t xml:space="preserve">合同能源管理</w:t>
      </w:r>
      <w:r/>
    </w:p>
    <w:p>
      <w:pPr>
        <w:ind w:right="75" w:firstLine="400"/>
        <w:spacing w:line="360" w:lineRule="auto"/>
        <w:rPr>
          <w:rFonts w:hint="eastAsia" w:ascii="宋体" w:hAnsi="宋体" w:cs="宋体"/>
          <w:sz w:val="24"/>
          <w:szCs w:val="24"/>
        </w:rPr>
      </w:pPr>
      <w:r>
        <w:rPr>
          <w:rFonts w:ascii="宋体" w:hAnsi="宋体" w:cs="宋体"/>
          <w:spacing w:val="6"/>
          <w:sz w:val="24"/>
          <w:szCs w:val="24"/>
        </w:rPr>
        <w:t xml:space="preserve">节能服务公司与公共机构以契约形式约定节能项目的节能目标，节能服务公司为实现节能</w:t>
      </w:r>
      <w:r>
        <w:rPr>
          <w:rFonts w:ascii="宋体" w:hAnsi="宋体" w:cs="宋体"/>
          <w:spacing w:val="5"/>
          <w:sz w:val="24"/>
          <w:szCs w:val="24"/>
        </w:rPr>
        <w:t xml:space="preserve">目标向</w:t>
      </w:r>
      <w:r>
        <w:rPr>
          <w:rFonts w:ascii="宋体" w:hAnsi="宋体" w:cs="宋体"/>
          <w:spacing w:val="2"/>
          <w:sz w:val="24"/>
          <w:szCs w:val="24"/>
        </w:rPr>
        <w:t xml:space="preserve">公共机构提供必要的服务，公共机构以节能效益、节能</w:t>
      </w:r>
      <w:r>
        <w:rPr>
          <w:rFonts w:ascii="宋体" w:hAnsi="宋体" w:cs="宋体"/>
          <w:spacing w:val="1"/>
          <w:sz w:val="24"/>
          <w:szCs w:val="24"/>
        </w:rPr>
        <w:t xml:space="preserve">服务费或能源托管费支付节能服务公司的投入及</w:t>
      </w:r>
      <w:r>
        <w:rPr>
          <w:rFonts w:ascii="宋体" w:hAnsi="宋体" w:cs="宋体"/>
          <w:spacing w:val="5"/>
          <w:sz w:val="24"/>
          <w:szCs w:val="24"/>
        </w:rPr>
        <w:t xml:space="preserve">其合理利润的节能服务机制。</w:t>
      </w:r>
      <w:r/>
    </w:p>
    <w:p>
      <w:pPr>
        <w:ind w:left="400"/>
        <w:spacing w:line="360" w:lineRule="auto"/>
        <w:rPr>
          <w:rFonts w:hint="eastAsia" w:ascii="宋体" w:hAnsi="宋体" w:cs="宋体"/>
          <w:spacing w:val="-3"/>
          <w:sz w:val="24"/>
          <w:szCs w:val="24"/>
        </w:rPr>
      </w:pPr>
      <w:r>
        <w:rPr>
          <w:rFonts w:ascii="宋体" w:hAnsi="宋体" w:cs="宋体"/>
          <w:spacing w:val="-3"/>
          <w:sz w:val="24"/>
          <w:szCs w:val="24"/>
        </w:rPr>
        <w:t xml:space="preserve">1.2 </w:t>
      </w:r>
      <w:r>
        <w:rPr>
          <w:rFonts w:hint="eastAsia" w:ascii="宋体" w:hAnsi="宋体" w:cs="宋体"/>
          <w:spacing w:val="-3"/>
          <w:sz w:val="24"/>
          <w:szCs w:val="24"/>
        </w:rPr>
        <w:t xml:space="preserve"> </w:t>
      </w:r>
      <w:r>
        <w:rPr>
          <w:rFonts w:ascii="宋体" w:hAnsi="宋体" w:cs="宋体"/>
          <w:spacing w:val="-3"/>
          <w:sz w:val="24"/>
          <w:szCs w:val="24"/>
        </w:rPr>
        <w:t xml:space="preserve">能源托管</w:t>
      </w:r>
      <w:r/>
    </w:p>
    <w:p>
      <w:pPr>
        <w:ind w:right="85" w:firstLine="400"/>
        <w:spacing w:line="360" w:lineRule="auto"/>
        <w:rPr>
          <w:rFonts w:hint="eastAsia" w:ascii="宋体" w:hAnsi="宋体" w:cs="宋体"/>
          <w:sz w:val="24"/>
          <w:szCs w:val="24"/>
        </w:rPr>
      </w:pPr>
      <w:r>
        <w:rPr>
          <w:rFonts w:ascii="宋体" w:hAnsi="宋体" w:cs="宋体"/>
          <w:spacing w:val="1"/>
          <w:sz w:val="24"/>
          <w:szCs w:val="24"/>
        </w:rPr>
        <w:t xml:space="preserve">合同能源管理的一种形式。由公共机构委托能够提供用能诊断、节能改造、运行管理等服务的专业</w:t>
      </w:r>
      <w:r>
        <w:rPr>
          <w:rFonts w:ascii="宋体" w:hAnsi="宋体" w:cs="宋体"/>
          <w:spacing w:val="-11"/>
          <w:sz w:val="24"/>
          <w:szCs w:val="24"/>
        </w:rPr>
        <w:t xml:space="preserve">化节能服务公司，进行电、气、煤、油、市政热力、水等能源资源系统的运行、管理、维护和改造，公</w:t>
      </w:r>
      <w:r>
        <w:rPr>
          <w:rFonts w:ascii="宋体" w:hAnsi="宋体" w:cs="宋体"/>
          <w:spacing w:val="1"/>
          <w:sz w:val="24"/>
          <w:szCs w:val="24"/>
        </w:rPr>
        <w:t xml:space="preserve">共机构将根据能源基准确定的费用支付节</w:t>
      </w:r>
      <w:r>
        <w:rPr>
          <w:rFonts w:ascii="宋体" w:hAnsi="宋体" w:cs="宋体"/>
          <w:spacing w:val="6"/>
          <w:sz w:val="24"/>
          <w:szCs w:val="24"/>
        </w:rPr>
        <w:t xml:space="preserve">能服务公司作为托管费用，节能服务公司通过科学的</w:t>
      </w:r>
      <w:r>
        <w:rPr>
          <w:rFonts w:ascii="宋体" w:hAnsi="宋体" w:cs="宋体"/>
          <w:spacing w:val="5"/>
          <w:sz w:val="24"/>
          <w:szCs w:val="24"/>
        </w:rPr>
        <w:t xml:space="preserve">管理运行和节</w:t>
      </w:r>
      <w:r>
        <w:rPr>
          <w:rFonts w:ascii="宋体" w:hAnsi="宋体" w:cs="宋体"/>
          <w:sz w:val="24"/>
          <w:szCs w:val="24"/>
        </w:rPr>
        <w:t xml:space="preserve"> </w:t>
      </w:r>
      <w:r>
        <w:rPr>
          <w:rFonts w:ascii="宋体" w:hAnsi="宋体" w:cs="宋体"/>
          <w:spacing w:val="-1"/>
          <w:sz w:val="24"/>
          <w:szCs w:val="24"/>
        </w:rPr>
        <w:t xml:space="preserve">能技术的应用达到节约能源资源、减少费用支出等目</w:t>
      </w:r>
      <w:r>
        <w:rPr>
          <w:rFonts w:ascii="宋体" w:hAnsi="宋体" w:cs="宋体"/>
          <w:spacing w:val="-2"/>
          <w:sz w:val="24"/>
          <w:szCs w:val="24"/>
        </w:rPr>
        <w:t xml:space="preserve">的，获取合理的利润。</w:t>
      </w:r>
      <w:r/>
    </w:p>
    <w:p>
      <w:pPr>
        <w:ind w:left="400"/>
        <w:spacing w:line="360" w:lineRule="auto"/>
        <w:rPr>
          <w:rFonts w:hint="eastAsia" w:ascii="宋体" w:hAnsi="宋体" w:cs="宋体"/>
          <w:spacing w:val="-3"/>
          <w:sz w:val="24"/>
          <w:szCs w:val="24"/>
        </w:rPr>
      </w:pPr>
      <w:r>
        <w:rPr>
          <w:rFonts w:ascii="宋体" w:hAnsi="宋体" w:cs="宋体"/>
          <w:spacing w:val="-3"/>
          <w:sz w:val="24"/>
          <w:szCs w:val="24"/>
        </w:rPr>
        <w:t xml:space="preserve">1.3 </w:t>
      </w:r>
      <w:r>
        <w:rPr>
          <w:rFonts w:hint="eastAsia" w:ascii="宋体" w:hAnsi="宋体" w:cs="宋体"/>
          <w:spacing w:val="-3"/>
          <w:sz w:val="24"/>
          <w:szCs w:val="24"/>
        </w:rPr>
        <w:t xml:space="preserve"> </w:t>
      </w:r>
      <w:r>
        <w:rPr>
          <w:rFonts w:ascii="宋体" w:hAnsi="宋体" w:cs="宋体"/>
          <w:spacing w:val="-3"/>
          <w:sz w:val="24"/>
          <w:szCs w:val="24"/>
        </w:rPr>
        <w:t xml:space="preserve">能源基准</w:t>
      </w:r>
      <w:r/>
    </w:p>
    <w:p>
      <w:pPr>
        <w:ind w:left="400"/>
        <w:spacing w:line="360" w:lineRule="auto"/>
        <w:rPr>
          <w:rFonts w:hint="eastAsia" w:ascii="宋体" w:hAnsi="宋体" w:cs="宋体"/>
          <w:sz w:val="24"/>
          <w:szCs w:val="24"/>
        </w:rPr>
      </w:pPr>
      <w:r>
        <w:rPr>
          <w:rFonts w:ascii="宋体" w:hAnsi="宋体" w:cs="宋体"/>
          <w:spacing w:val="4"/>
          <w:sz w:val="24"/>
          <w:szCs w:val="24"/>
        </w:rPr>
        <w:t xml:space="preserve">用作比较能源绩效的定量参考依据。</w:t>
      </w:r>
      <w:r/>
    </w:p>
    <w:p>
      <w:pPr>
        <w:ind w:left="340"/>
        <w:spacing w:line="360" w:lineRule="auto"/>
        <w:rPr>
          <w:rFonts w:hint="eastAsia" w:ascii="宋体" w:hAnsi="宋体" w:cs="宋体"/>
          <w:sz w:val="24"/>
          <w:szCs w:val="24"/>
        </w:rPr>
      </w:pPr>
      <w:r>
        <w:rPr>
          <w:rFonts w:ascii="宋体" w:hAnsi="宋体" w:cs="黑体"/>
          <w:spacing w:val="-5"/>
          <w:sz w:val="24"/>
          <w:szCs w:val="24"/>
        </w:rPr>
        <w:t xml:space="preserve">注</w:t>
      </w:r>
      <w:r>
        <w:rPr>
          <w:rFonts w:hint="eastAsia" w:ascii="宋体" w:hAnsi="宋体" w:cs="黑体"/>
          <w:spacing w:val="-5"/>
          <w:sz w:val="24"/>
          <w:szCs w:val="24"/>
        </w:rPr>
        <w:t xml:space="preserve">1：</w:t>
      </w:r>
      <w:r>
        <w:rPr>
          <w:rFonts w:ascii="宋体" w:hAnsi="宋体" w:cs="黑体"/>
          <w:spacing w:val="-34"/>
          <w:sz w:val="24"/>
          <w:szCs w:val="24"/>
        </w:rPr>
        <w:t xml:space="preserve"> </w:t>
      </w:r>
      <w:r>
        <w:rPr>
          <w:rFonts w:ascii="宋体" w:hAnsi="宋体" w:cs="黑体"/>
          <w:spacing w:val="-5"/>
          <w:sz w:val="24"/>
          <w:szCs w:val="24"/>
        </w:rPr>
        <w:t xml:space="preserve">能</w:t>
      </w:r>
      <w:r>
        <w:rPr>
          <w:rFonts w:ascii="宋体" w:hAnsi="宋体" w:cs="宋体"/>
          <w:spacing w:val="-5"/>
          <w:sz w:val="24"/>
          <w:szCs w:val="24"/>
        </w:rPr>
        <w:t xml:space="preserve">源基准反映的是特定时间段的能源利用状况。</w:t>
      </w:r>
      <w:r/>
    </w:p>
    <w:p>
      <w:pPr>
        <w:ind w:left="789" w:right="86" w:hanging="449"/>
        <w:spacing w:line="360" w:lineRule="auto"/>
        <w:rPr>
          <w:rFonts w:hint="eastAsia" w:ascii="宋体" w:hAnsi="宋体" w:cs="宋体"/>
          <w:sz w:val="24"/>
          <w:szCs w:val="24"/>
        </w:rPr>
      </w:pPr>
      <w:r>
        <w:rPr>
          <w:rFonts w:ascii="宋体" w:hAnsi="宋体" w:cs="宋体"/>
          <w:spacing w:val="-1"/>
          <w:sz w:val="24"/>
          <w:szCs w:val="24"/>
        </w:rPr>
        <w:t xml:space="preserve">注</w:t>
      </w:r>
      <w:r>
        <w:rPr>
          <w:rFonts w:hint="eastAsia" w:ascii="宋体" w:hAnsi="宋体" w:cs="宋体"/>
          <w:spacing w:val="-1"/>
          <w:sz w:val="24"/>
          <w:szCs w:val="24"/>
        </w:rPr>
        <w:t xml:space="preserve">2：</w:t>
      </w:r>
      <w:r>
        <w:rPr>
          <w:rFonts w:ascii="宋体" w:hAnsi="宋体" w:cs="宋体"/>
          <w:spacing w:val="-1"/>
          <w:sz w:val="24"/>
          <w:szCs w:val="24"/>
        </w:rPr>
        <w:t xml:space="preserve">能源基准可采用建筑能源审计所确定的基准期内、项目边界内建筑或各用能设备(系统)的能源消耗量作</w:t>
      </w:r>
      <w:r>
        <w:rPr>
          <w:rFonts w:ascii="宋体" w:hAnsi="宋体" w:cs="宋体"/>
          <w:spacing w:val="-2"/>
          <w:sz w:val="24"/>
          <w:szCs w:val="24"/>
        </w:rPr>
        <w:t xml:space="preserve">为能</w:t>
      </w:r>
      <w:r>
        <w:rPr>
          <w:rFonts w:ascii="宋体" w:hAnsi="宋体" w:cs="宋体"/>
          <w:spacing w:val="14"/>
          <w:sz w:val="24"/>
          <w:szCs w:val="24"/>
        </w:rPr>
        <w:t xml:space="preserve">源绩效参数。</w:t>
      </w:r>
      <w:r/>
    </w:p>
    <w:p>
      <w:pPr>
        <w:ind w:left="340"/>
        <w:spacing w:line="360" w:lineRule="auto"/>
        <w:rPr>
          <w:rFonts w:hint="eastAsia" w:ascii="宋体" w:hAnsi="宋体" w:cs="宋体"/>
          <w:sz w:val="24"/>
          <w:szCs w:val="24"/>
        </w:rPr>
      </w:pPr>
      <w:r>
        <w:rPr>
          <w:rFonts w:ascii="宋体" w:hAnsi="宋体" w:cs="黑体"/>
          <w:spacing w:val="-4"/>
          <w:sz w:val="24"/>
          <w:szCs w:val="24"/>
        </w:rPr>
        <w:t xml:space="preserve">注</w:t>
      </w:r>
      <w:r>
        <w:rPr>
          <w:rFonts w:hint="eastAsia" w:ascii="宋体" w:hAnsi="宋体" w:cs="黑体"/>
          <w:spacing w:val="-4"/>
          <w:sz w:val="24"/>
          <w:szCs w:val="24"/>
        </w:rPr>
        <w:t xml:space="preserve">3：</w:t>
      </w:r>
      <w:r>
        <w:rPr>
          <w:rFonts w:ascii="宋体" w:hAnsi="宋体" w:cs="黑体"/>
          <w:spacing w:val="-4"/>
          <w:sz w:val="24"/>
          <w:szCs w:val="24"/>
        </w:rPr>
        <w:t xml:space="preserve">能</w:t>
      </w:r>
      <w:r>
        <w:rPr>
          <w:rFonts w:ascii="宋体" w:hAnsi="宋体" w:cs="宋体"/>
          <w:spacing w:val="-4"/>
          <w:sz w:val="24"/>
          <w:szCs w:val="24"/>
        </w:rPr>
        <w:t xml:space="preserve">源基准也可作为能源绩效改进措施实施前后的参照来计算节能量。</w:t>
      </w:r>
      <w:r/>
    </w:p>
    <w:p>
      <w:pPr>
        <w:ind w:left="400"/>
        <w:spacing w:line="360" w:lineRule="auto"/>
        <w:rPr>
          <w:rFonts w:hint="eastAsia" w:ascii="宋体" w:hAnsi="宋体" w:cs="宋体"/>
          <w:spacing w:val="-3"/>
          <w:sz w:val="24"/>
          <w:szCs w:val="24"/>
        </w:rPr>
      </w:pPr>
      <w:r>
        <w:rPr>
          <w:rFonts w:ascii="宋体" w:hAnsi="宋体" w:cs="宋体"/>
          <w:spacing w:val="-3"/>
          <w:sz w:val="24"/>
          <w:szCs w:val="24"/>
        </w:rPr>
        <w:t xml:space="preserve">1.4 </w:t>
      </w:r>
      <w:r>
        <w:rPr>
          <w:rFonts w:hint="eastAsia" w:ascii="宋体" w:hAnsi="宋体" w:cs="宋体"/>
          <w:spacing w:val="-3"/>
          <w:sz w:val="24"/>
          <w:szCs w:val="24"/>
        </w:rPr>
        <w:t xml:space="preserve"> </w:t>
      </w:r>
      <w:r>
        <w:rPr>
          <w:rFonts w:ascii="宋体" w:hAnsi="宋体" w:cs="宋体"/>
          <w:spacing w:val="-3"/>
          <w:sz w:val="24"/>
          <w:szCs w:val="24"/>
        </w:rPr>
        <w:t xml:space="preserve">建筑能源审计</w:t>
      </w:r>
      <w:r/>
    </w:p>
    <w:p>
      <w:pPr>
        <w:ind w:right="82" w:firstLine="400"/>
        <w:spacing w:line="360" w:lineRule="auto"/>
        <w:rPr>
          <w:rFonts w:hint="eastAsia" w:ascii="宋体" w:hAnsi="宋体" w:cs="宋体"/>
          <w:sz w:val="24"/>
          <w:szCs w:val="24"/>
        </w:rPr>
      </w:pPr>
      <w:r>
        <w:rPr>
          <w:rFonts w:ascii="宋体" w:hAnsi="宋体" w:cs="宋体"/>
          <w:spacing w:val="1"/>
          <w:sz w:val="24"/>
          <w:szCs w:val="24"/>
        </w:rPr>
        <w:t xml:space="preserve">通过对建筑能源资源使用情况进行文件审查和现场调研、测试，对被审计建筑能源利用状况相关指</w:t>
      </w:r>
      <w:r>
        <w:rPr>
          <w:rFonts w:ascii="宋体" w:hAnsi="宋体" w:cs="宋体"/>
          <w:spacing w:val="-3"/>
          <w:sz w:val="24"/>
          <w:szCs w:val="24"/>
        </w:rPr>
        <w:t xml:space="preserve">标进行定量分析，对建筑能源利用效率、设备能效水平、运行经济效益和环境效果进行诊断和评价，从而</w:t>
      </w:r>
      <w:r>
        <w:rPr>
          <w:rFonts w:ascii="宋体" w:hAnsi="宋体" w:cs="宋体"/>
          <w:sz w:val="24"/>
          <w:szCs w:val="24"/>
        </w:rPr>
        <w:t xml:space="preserve">发现建筑节能潜力，提出节能运行调适和改造建议。</w:t>
      </w:r>
      <w:r/>
    </w:p>
    <w:p>
      <w:pPr>
        <w:ind w:left="400"/>
        <w:spacing w:line="360" w:lineRule="auto"/>
        <w:rPr>
          <w:rFonts w:hint="eastAsia" w:ascii="宋体" w:hAnsi="宋体" w:cs="宋体"/>
          <w:spacing w:val="-3"/>
          <w:sz w:val="24"/>
          <w:szCs w:val="24"/>
        </w:rPr>
      </w:pPr>
      <w:r>
        <w:rPr>
          <w:rFonts w:ascii="宋体" w:hAnsi="宋体" w:cs="宋体"/>
          <w:spacing w:val="-3"/>
          <w:sz w:val="24"/>
          <w:szCs w:val="24"/>
        </w:rPr>
        <w:t xml:space="preserve">1.5  项目边界</w:t>
      </w:r>
      <w:r/>
    </w:p>
    <w:p>
      <w:pPr>
        <w:ind w:left="400"/>
        <w:spacing w:line="360" w:lineRule="auto"/>
        <w:rPr>
          <w:rFonts w:hint="eastAsia" w:ascii="宋体" w:hAnsi="宋体" w:cs="宋体"/>
          <w:sz w:val="24"/>
          <w:szCs w:val="24"/>
        </w:rPr>
      </w:pPr>
      <w:r>
        <w:rPr>
          <w:rFonts w:ascii="宋体" w:hAnsi="宋体" w:cs="宋体"/>
          <w:spacing w:val="3"/>
          <w:sz w:val="24"/>
          <w:szCs w:val="24"/>
        </w:rPr>
        <w:t xml:space="preserve">实施节能改造措施所影响的建筑或用能设备(系统)的运</w:t>
      </w:r>
      <w:r>
        <w:rPr>
          <w:rFonts w:ascii="宋体" w:hAnsi="宋体" w:cs="宋体"/>
          <w:spacing w:val="2"/>
          <w:sz w:val="24"/>
          <w:szCs w:val="24"/>
        </w:rPr>
        <w:t xml:space="preserve">行时间、范围和地理位置界线。</w:t>
      </w:r>
      <w:r/>
    </w:p>
    <w:p>
      <w:pPr>
        <w:ind w:left="400"/>
        <w:spacing w:line="360" w:lineRule="auto"/>
        <w:rPr>
          <w:rFonts w:hint="eastAsia" w:ascii="宋体" w:hAnsi="宋体" w:cs="宋体"/>
          <w:spacing w:val="-3"/>
          <w:sz w:val="24"/>
          <w:szCs w:val="24"/>
        </w:rPr>
      </w:pPr>
      <w:r>
        <w:rPr>
          <w:rFonts w:ascii="宋体" w:hAnsi="宋体" w:cs="宋体"/>
          <w:spacing w:val="-3"/>
          <w:sz w:val="24"/>
          <w:szCs w:val="24"/>
        </w:rPr>
        <w:t xml:space="preserve">1.6  基准期</w:t>
      </w:r>
      <w:r/>
    </w:p>
    <w:p>
      <w:pPr>
        <w:ind w:left="400"/>
        <w:spacing w:line="360" w:lineRule="auto"/>
        <w:rPr>
          <w:rFonts w:hint="eastAsia" w:ascii="宋体" w:hAnsi="宋体" w:cs="宋体"/>
          <w:sz w:val="24"/>
          <w:szCs w:val="24"/>
        </w:rPr>
      </w:pPr>
      <w:r>
        <w:rPr>
          <w:rFonts w:ascii="宋体" w:hAnsi="宋体" w:cs="宋体"/>
          <w:spacing w:val="3"/>
          <w:sz w:val="24"/>
          <w:szCs w:val="24"/>
        </w:rPr>
        <w:t xml:space="preserve">在建筑合同能源管理项目实施前，能够代表项目边界内用能设备和系统运行</w:t>
      </w:r>
      <w:r>
        <w:rPr>
          <w:rFonts w:ascii="宋体" w:hAnsi="宋体" w:cs="宋体"/>
          <w:spacing w:val="2"/>
          <w:sz w:val="24"/>
          <w:szCs w:val="24"/>
        </w:rPr>
        <w:t xml:space="preserve">规律的时间段。</w:t>
      </w:r>
      <w:r/>
    </w:p>
    <w:p>
      <w:pPr>
        <w:ind w:left="400"/>
        <w:spacing w:line="360" w:lineRule="auto"/>
        <w:rPr>
          <w:rFonts w:hint="eastAsia" w:ascii="宋体" w:hAnsi="宋体" w:cs="宋体"/>
          <w:spacing w:val="-3"/>
          <w:sz w:val="24"/>
          <w:szCs w:val="24"/>
        </w:rPr>
      </w:pPr>
      <w:r>
        <w:rPr>
          <w:rFonts w:ascii="宋体" w:hAnsi="宋体" w:cs="宋体"/>
          <w:spacing w:val="-3"/>
          <w:sz w:val="24"/>
          <w:szCs w:val="24"/>
        </w:rPr>
        <w:t xml:space="preserve">1.7  能源托管费用基数</w:t>
      </w:r>
      <w:r/>
    </w:p>
    <w:p>
      <w:pPr>
        <w:ind w:right="84" w:firstLine="400"/>
        <w:spacing w:line="360" w:lineRule="auto"/>
        <w:rPr>
          <w:rFonts w:hint="eastAsia" w:ascii="宋体" w:hAnsi="宋体" w:cs="宋体"/>
          <w:sz w:val="24"/>
          <w:szCs w:val="24"/>
        </w:rPr>
      </w:pPr>
      <w:r>
        <w:rPr>
          <w:rFonts w:ascii="宋体" w:hAnsi="宋体" w:cs="宋体"/>
          <w:spacing w:val="6"/>
          <w:sz w:val="24"/>
          <w:szCs w:val="24"/>
        </w:rPr>
        <w:t xml:space="preserve">能源托管项目根据能源基准和项目服务范围确定的年度能源</w:t>
      </w:r>
      <w:r>
        <w:rPr>
          <w:rFonts w:ascii="宋体" w:hAnsi="宋体" w:cs="宋体"/>
          <w:spacing w:val="5"/>
          <w:sz w:val="24"/>
          <w:szCs w:val="24"/>
        </w:rPr>
        <w:t xml:space="preserve">托管费用，可包括能源费用基数和运</w:t>
      </w:r>
      <w:r>
        <w:rPr>
          <w:rFonts w:ascii="宋体" w:hAnsi="宋体" w:cs="宋体"/>
          <w:spacing w:val="2"/>
          <w:sz w:val="24"/>
          <w:szCs w:val="24"/>
        </w:rPr>
        <w:t xml:space="preserve">行管理及维护费用基数等。其中，能源费用基数是指公</w:t>
      </w:r>
      <w:r>
        <w:rPr>
          <w:rFonts w:ascii="宋体" w:hAnsi="宋体" w:cs="宋体"/>
          <w:spacing w:val="1"/>
          <w:sz w:val="24"/>
          <w:szCs w:val="24"/>
        </w:rPr>
        <w:t xml:space="preserve">共机构在基准期所花费的能源费用；运行管理及维护费用基数是指根据能源托管范围中所包含的能源系统运行、管理、维护维修范围确定的年度费用。</w:t>
      </w:r>
      <w:r/>
    </w:p>
    <w:p>
      <w:pPr>
        <w:ind w:left="402"/>
        <w:spacing w:line="360" w:lineRule="auto"/>
        <w:rPr>
          <w:rFonts w:hint="eastAsia" w:ascii="宋体" w:hAnsi="宋体" w:cs="黑体"/>
          <w:b/>
          <w:bCs/>
          <w:sz w:val="24"/>
          <w:szCs w:val="24"/>
        </w:rPr>
      </w:pPr>
      <w:r>
        <w:rPr>
          <w:rFonts w:ascii="宋体" w:hAnsi="宋体" w:cs="黑体"/>
          <w:b/>
          <w:bCs/>
          <w:sz w:val="24"/>
          <w:szCs w:val="24"/>
        </w:rPr>
        <w:t xml:space="preserve">第二条  托管项目基本情况</w:t>
      </w:r>
      <w:r/>
    </w:p>
    <w:p>
      <w:pPr>
        <w:ind w:firstLine="400"/>
        <w:spacing w:line="360" w:lineRule="auto"/>
        <w:rPr>
          <w:rFonts w:hint="eastAsia" w:ascii="宋体" w:hAnsi="宋体" w:cs="宋体"/>
          <w:sz w:val="24"/>
          <w:szCs w:val="24"/>
        </w:rPr>
      </w:pPr>
      <w:r>
        <w:rPr>
          <w:rFonts w:ascii="宋体" w:hAnsi="宋体" w:cs="宋体"/>
          <w:spacing w:val="6"/>
          <w:sz w:val="24"/>
          <w:szCs w:val="24"/>
        </w:rPr>
        <w:t xml:space="preserve">2.</w:t>
      </w:r>
      <w:r>
        <w:rPr>
          <w:rFonts w:ascii="宋体" w:hAnsi="宋体" w:cs="宋体"/>
          <w:spacing w:val="-3"/>
          <w:sz w:val="24"/>
          <w:szCs w:val="24"/>
        </w:rPr>
        <w:t xml:space="preserve">1 </w:t>
      </w:r>
      <w:r>
        <w:rPr>
          <w:rFonts w:hint="eastAsia" w:ascii="宋体" w:hAnsi="宋体" w:cs="宋体"/>
          <w:spacing w:val="-3"/>
          <w:sz w:val="24"/>
          <w:szCs w:val="24"/>
        </w:rPr>
        <w:t xml:space="preserve"> </w:t>
      </w:r>
      <w:r>
        <w:rPr>
          <w:rFonts w:ascii="宋体" w:hAnsi="宋体" w:cs="宋体"/>
          <w:spacing w:val="-3"/>
          <w:sz w:val="24"/>
          <w:szCs w:val="24"/>
        </w:rPr>
        <w:t xml:space="preserve">托管项目</w:t>
      </w:r>
      <w:r>
        <w:rPr>
          <w:rFonts w:ascii="宋体" w:hAnsi="宋体" w:cs="宋体"/>
          <w:spacing w:val="6"/>
          <w:sz w:val="24"/>
          <w:szCs w:val="24"/>
        </w:rPr>
        <w:t xml:space="preserve">的房屋建筑设施系甲方的经营办公场所，位于</w:t>
      </w:r>
      <w:r>
        <w:rPr>
          <w:rFonts w:ascii="宋体" w:hAnsi="宋体" w:cs="宋体"/>
          <w:spacing w:val="-76"/>
          <w:sz w:val="24"/>
          <w:szCs w:val="24"/>
        </w:rPr>
        <w:t xml:space="preserve"> </w:t>
      </w:r>
      <w:r>
        <w:rPr>
          <w:rFonts w:ascii="宋体" w:hAnsi="宋体" w:cs="宋体"/>
          <w:spacing w:val="1"/>
          <w:sz w:val="24"/>
          <w:szCs w:val="24"/>
          <w:u w:val="single"/>
        </w:rPr>
        <w:t xml:space="preserve">        </w:t>
      </w:r>
      <w:r>
        <w:rPr>
          <w:rFonts w:ascii="宋体" w:hAnsi="宋体" w:cs="宋体"/>
          <w:spacing w:val="-83"/>
          <w:sz w:val="24"/>
          <w:szCs w:val="24"/>
        </w:rPr>
        <w:t xml:space="preserve"> </w:t>
      </w:r>
      <w:r>
        <w:rPr>
          <w:rFonts w:ascii="宋体" w:hAnsi="宋体" w:cs="宋体"/>
          <w:spacing w:val="6"/>
          <w:sz w:val="24"/>
          <w:szCs w:val="24"/>
        </w:rPr>
        <w:t xml:space="preserve">,</w:t>
      </w:r>
      <w:r>
        <w:rPr>
          <w:rFonts w:ascii="宋体" w:hAnsi="宋体" w:cs="宋体"/>
          <w:spacing w:val="5"/>
          <w:sz w:val="24"/>
          <w:szCs w:val="24"/>
        </w:rPr>
        <w:t xml:space="preserve">相关建设、运营等手续合</w:t>
      </w:r>
      <w:r>
        <w:rPr>
          <w:rFonts w:ascii="宋体" w:hAnsi="宋体" w:cs="宋体"/>
          <w:spacing w:val="-1"/>
          <w:sz w:val="24"/>
          <w:szCs w:val="24"/>
        </w:rPr>
        <w:t xml:space="preserve">法、有效。托管项目区域内的供暖及制冷系统各项申报、批准、验收手续齐全。如果上述手续尚不齐备，</w:t>
      </w:r>
      <w:r>
        <w:rPr>
          <w:rFonts w:ascii="宋体" w:hAnsi="宋体" w:cs="宋体"/>
          <w:spacing w:val="1"/>
          <w:sz w:val="24"/>
          <w:szCs w:val="24"/>
        </w:rPr>
        <w:t xml:space="preserve">由甲方负责完善。</w:t>
      </w:r>
      <w:r/>
    </w:p>
    <w:p>
      <w:pPr>
        <w:ind w:right="58" w:firstLine="400"/>
        <w:spacing w:line="360" w:lineRule="auto"/>
        <w:rPr>
          <w:rFonts w:hint="eastAsia" w:ascii="宋体" w:hAnsi="宋体" w:cs="宋体"/>
          <w:sz w:val="24"/>
          <w:szCs w:val="24"/>
        </w:rPr>
      </w:pPr>
      <w:r>
        <w:rPr>
          <w:rFonts w:ascii="宋体" w:hAnsi="宋体" w:cs="宋体"/>
          <w:spacing w:val="-3"/>
          <w:sz w:val="24"/>
          <w:szCs w:val="24"/>
        </w:rPr>
        <w:t xml:space="preserve">2.2 </w:t>
      </w:r>
      <w:r>
        <w:rPr>
          <w:rFonts w:hint="eastAsia" w:ascii="宋体" w:hAnsi="宋体" w:cs="宋体"/>
          <w:spacing w:val="-3"/>
          <w:sz w:val="24"/>
          <w:szCs w:val="24"/>
        </w:rPr>
        <w:t xml:space="preserve"> </w:t>
      </w:r>
      <w:r>
        <w:rPr>
          <w:rFonts w:ascii="宋体" w:hAnsi="宋体" w:cs="宋体"/>
          <w:spacing w:val="-3"/>
          <w:sz w:val="24"/>
          <w:szCs w:val="24"/>
        </w:rPr>
        <w:t xml:space="preserve">托管项目的用能建筑情况：本项目建筑主要有</w:t>
      </w:r>
      <w:r>
        <w:rPr>
          <w:rFonts w:ascii="宋体" w:hAnsi="宋体" w:cs="宋体"/>
          <w:spacing w:val="12"/>
          <w:sz w:val="24"/>
          <w:szCs w:val="24"/>
          <w:u w:val="single"/>
        </w:rPr>
        <w:t xml:space="preserve">      </w:t>
      </w:r>
      <w:r>
        <w:rPr>
          <w:rFonts w:ascii="宋体" w:hAnsi="宋体" w:cs="宋体"/>
          <w:spacing w:val="-3"/>
          <w:sz w:val="24"/>
          <w:szCs w:val="24"/>
        </w:rPr>
        <w:t xml:space="preserve">栋，</w:t>
      </w:r>
      <w:r>
        <w:rPr>
          <w:rFonts w:ascii="宋体" w:hAnsi="宋体" w:cs="宋体"/>
          <w:spacing w:val="-3"/>
          <w:sz w:val="24"/>
          <w:szCs w:val="24"/>
          <w:u w:val="single"/>
        </w:rPr>
        <w:t xml:space="preserve">     </w:t>
      </w:r>
      <w:r>
        <w:rPr>
          <w:rFonts w:ascii="宋体" w:hAnsi="宋体" w:cs="宋体"/>
          <w:spacing w:val="-70"/>
          <w:sz w:val="24"/>
          <w:szCs w:val="24"/>
        </w:rPr>
        <w:t xml:space="preserve"> </w:t>
      </w:r>
      <w:r>
        <w:rPr>
          <w:rFonts w:ascii="宋体" w:hAnsi="宋体" w:cs="宋体"/>
          <w:spacing w:val="-3"/>
          <w:sz w:val="24"/>
          <w:szCs w:val="24"/>
        </w:rPr>
        <w:t xml:space="preserve">楼栋建筑面积</w:t>
      </w:r>
      <w:r>
        <w:rPr>
          <w:rFonts w:ascii="宋体" w:hAnsi="宋体" w:cs="宋体"/>
          <w:spacing w:val="-87"/>
          <w:sz w:val="24"/>
          <w:szCs w:val="24"/>
        </w:rPr>
        <w:t xml:space="preserve"> </w:t>
      </w:r>
      <w:r>
        <w:rPr>
          <w:rFonts w:ascii="宋体" w:hAnsi="宋体" w:cs="宋体"/>
          <w:spacing w:val="15"/>
          <w:sz w:val="24"/>
          <w:szCs w:val="24"/>
          <w:u w:val="single"/>
        </w:rPr>
        <w:t xml:space="preserve">    </w:t>
      </w:r>
      <w:r>
        <w:rPr>
          <w:rFonts w:ascii="宋体" w:hAnsi="宋体" w:cs="宋体"/>
          <w:spacing w:val="-75"/>
          <w:sz w:val="24"/>
          <w:szCs w:val="24"/>
        </w:rPr>
        <w:t xml:space="preserve"> </w:t>
      </w:r>
      <w:r>
        <w:rPr>
          <w:rFonts w:ascii="宋体" w:hAnsi="宋体"/>
          <w:spacing w:val="-3"/>
          <w:sz w:val="24"/>
          <w:szCs w:val="24"/>
        </w:rPr>
        <w:t xml:space="preserve">m²</w:t>
      </w:r>
      <w:r>
        <w:rPr>
          <w:rFonts w:ascii="宋体" w:hAnsi="宋体" w:cs="宋体"/>
          <w:spacing w:val="-3"/>
          <w:sz w:val="24"/>
          <w:szCs w:val="24"/>
        </w:rPr>
        <w:t xml:space="preserve">。项目总</w:t>
      </w:r>
      <w:r>
        <w:rPr>
          <w:rFonts w:ascii="宋体" w:hAnsi="宋体" w:cs="宋体"/>
          <w:spacing w:val="3"/>
          <w:sz w:val="24"/>
          <w:szCs w:val="24"/>
        </w:rPr>
        <w:t xml:space="preserve">建筑面积</w:t>
      </w:r>
      <w:r>
        <w:rPr>
          <w:rFonts w:ascii="宋体" w:hAnsi="宋体" w:cs="宋体"/>
          <w:spacing w:val="-75"/>
          <w:sz w:val="24"/>
          <w:szCs w:val="24"/>
        </w:rPr>
        <w:t xml:space="preserve"> </w:t>
      </w:r>
      <w:r>
        <w:rPr>
          <w:rFonts w:ascii="宋体" w:hAnsi="宋体" w:cs="宋体"/>
          <w:spacing w:val="15"/>
          <w:sz w:val="24"/>
          <w:szCs w:val="24"/>
          <w:u w:val="single"/>
        </w:rPr>
        <w:t xml:space="preserve"> </w:t>
      </w:r>
      <w:r>
        <w:rPr>
          <w:rFonts w:hint="eastAsia" w:ascii="宋体" w:hAnsi="宋体" w:cs="宋体"/>
          <w:spacing w:val="15"/>
          <w:sz w:val="24"/>
          <w:szCs w:val="24"/>
          <w:u w:val="single"/>
          <w:lang w:val="en-US" w:eastAsia="zh-CN"/>
        </w:rPr>
        <w:t xml:space="preserve">8.6万</w:t>
      </w:r>
      <w:r>
        <w:rPr>
          <w:rFonts w:ascii="宋体" w:hAnsi="宋体" w:cs="宋体"/>
          <w:spacing w:val="15"/>
          <w:sz w:val="24"/>
          <w:szCs w:val="24"/>
          <w:u w:val="single"/>
        </w:rPr>
        <w:t xml:space="preserve">  </w:t>
      </w:r>
      <w:r>
        <w:rPr>
          <w:rFonts w:ascii="宋体" w:hAnsi="宋体" w:cs="宋体"/>
          <w:spacing w:val="-75"/>
          <w:sz w:val="24"/>
          <w:szCs w:val="24"/>
        </w:rPr>
        <w:t xml:space="preserve"> </w:t>
      </w:r>
      <w:r>
        <w:rPr>
          <w:rFonts w:ascii="宋体" w:hAnsi="宋体"/>
          <w:spacing w:val="3"/>
          <w:sz w:val="24"/>
          <w:szCs w:val="24"/>
        </w:rPr>
        <w:t xml:space="preserve">m²,</w:t>
      </w:r>
      <w:r>
        <w:rPr>
          <w:rFonts w:ascii="宋体" w:hAnsi="宋体" w:cs="宋体"/>
          <w:spacing w:val="3"/>
          <w:sz w:val="24"/>
          <w:szCs w:val="24"/>
        </w:rPr>
        <w:t xml:space="preserve">其中需要供暖和供冷的建筑面积</w:t>
      </w:r>
      <w:r>
        <w:rPr>
          <w:rFonts w:ascii="宋体" w:hAnsi="宋体" w:cs="宋体"/>
          <w:spacing w:val="3"/>
          <w:sz w:val="24"/>
          <w:szCs w:val="24"/>
          <w:u w:val="single"/>
        </w:rPr>
        <w:t xml:space="preserve">    </w:t>
      </w:r>
      <w:r>
        <w:rPr>
          <w:rFonts w:ascii="宋体" w:hAnsi="宋体" w:cs="宋体"/>
          <w:spacing w:val="-65"/>
          <w:sz w:val="24"/>
          <w:szCs w:val="24"/>
        </w:rPr>
        <w:t xml:space="preserve"> </w:t>
      </w:r>
      <w:r>
        <w:rPr>
          <w:rFonts w:ascii="宋体" w:hAnsi="宋体" w:cs="宋体"/>
          <w:spacing w:val="3"/>
          <w:sz w:val="24"/>
          <w:szCs w:val="24"/>
        </w:rPr>
        <w:t xml:space="preserve">m²。大楼于</w:t>
      </w:r>
      <w:r>
        <w:rPr>
          <w:rFonts w:ascii="宋体" w:hAnsi="宋体" w:cs="宋体"/>
          <w:spacing w:val="10"/>
          <w:sz w:val="24"/>
          <w:szCs w:val="24"/>
          <w:u w:val="single"/>
        </w:rPr>
        <w:t xml:space="preserve">    </w:t>
      </w:r>
      <w:r>
        <w:rPr>
          <w:rFonts w:ascii="宋体" w:hAnsi="宋体" w:cs="宋体"/>
          <w:spacing w:val="-85"/>
          <w:sz w:val="24"/>
          <w:szCs w:val="24"/>
        </w:rPr>
        <w:t xml:space="preserve"> </w:t>
      </w:r>
      <w:r>
        <w:rPr>
          <w:rFonts w:ascii="宋体" w:hAnsi="宋体" w:cs="宋体"/>
          <w:spacing w:val="3"/>
          <w:sz w:val="24"/>
          <w:szCs w:val="24"/>
        </w:rPr>
        <w:t xml:space="preserve">年竣工并投入使用。</w:t>
      </w:r>
      <w:r/>
    </w:p>
    <w:p>
      <w:pPr>
        <w:ind w:right="74" w:firstLine="400"/>
        <w:spacing w:line="360" w:lineRule="auto"/>
        <w:rPr>
          <w:rFonts w:hint="eastAsia" w:ascii="宋体" w:hAnsi="宋体" w:cs="宋体"/>
          <w:sz w:val="24"/>
          <w:szCs w:val="24"/>
        </w:rPr>
      </w:pPr>
      <w:r>
        <w:rPr>
          <w:rFonts w:ascii="宋体" w:hAnsi="宋体" w:cs="宋体"/>
          <w:spacing w:val="4"/>
          <w:sz w:val="24"/>
          <w:szCs w:val="24"/>
        </w:rPr>
        <w:t xml:space="preserve">2.</w:t>
      </w:r>
      <w:r>
        <w:rPr>
          <w:rFonts w:ascii="宋体" w:hAnsi="宋体" w:cs="宋体"/>
          <w:spacing w:val="-3"/>
          <w:sz w:val="24"/>
          <w:szCs w:val="24"/>
        </w:rPr>
        <w:t xml:space="preserve">3 </w:t>
      </w:r>
      <w:r>
        <w:rPr>
          <w:rFonts w:hint="eastAsia" w:ascii="宋体" w:hAnsi="宋体" w:cs="宋体"/>
          <w:spacing w:val="-3"/>
          <w:sz w:val="24"/>
          <w:szCs w:val="24"/>
        </w:rPr>
        <w:t xml:space="preserve"> </w:t>
      </w:r>
      <w:r>
        <w:rPr>
          <w:rFonts w:ascii="宋体" w:hAnsi="宋体" w:cs="宋体"/>
          <w:spacing w:val="-3"/>
          <w:sz w:val="24"/>
          <w:szCs w:val="24"/>
        </w:rPr>
        <w:t xml:space="preserve">托管项</w:t>
      </w:r>
      <w:r>
        <w:rPr>
          <w:rFonts w:ascii="宋体" w:hAnsi="宋体" w:cs="宋体"/>
          <w:spacing w:val="4"/>
          <w:sz w:val="24"/>
          <w:szCs w:val="24"/>
        </w:rPr>
        <w:t xml:space="preserve">目的能源种类范围：本项目能源托管的</w:t>
      </w:r>
      <w:r>
        <w:rPr>
          <w:rFonts w:ascii="宋体" w:hAnsi="宋体" w:cs="宋体"/>
          <w:spacing w:val="3"/>
          <w:sz w:val="24"/>
          <w:szCs w:val="24"/>
        </w:rPr>
        <w:t xml:space="preserve">范围包括政府自行缴纳费用的</w:t>
      </w:r>
      <w:r>
        <w:rPr>
          <w:rFonts w:ascii="宋体" w:hAnsi="宋体" w:cs="宋体"/>
          <w:spacing w:val="1"/>
          <w:sz w:val="24"/>
          <w:szCs w:val="24"/>
          <w:u w:val="single"/>
        </w:rPr>
        <w:t xml:space="preserve">            </w:t>
      </w:r>
      <w:r>
        <w:rPr>
          <w:rFonts w:ascii="宋体" w:hAnsi="宋体" w:cs="宋体"/>
          <w:spacing w:val="-81"/>
          <w:sz w:val="24"/>
          <w:szCs w:val="24"/>
        </w:rPr>
        <w:t xml:space="preserve"> </w:t>
      </w:r>
      <w:r>
        <w:rPr>
          <w:rFonts w:ascii="宋体" w:hAnsi="宋体" w:cs="宋体"/>
          <w:spacing w:val="3"/>
          <w:sz w:val="24"/>
          <w:szCs w:val="24"/>
        </w:rPr>
        <w:t xml:space="preserve">等</w:t>
      </w:r>
      <w:r>
        <w:rPr>
          <w:rFonts w:ascii="宋体" w:hAnsi="宋体" w:cs="宋体"/>
          <w:sz w:val="24"/>
          <w:szCs w:val="24"/>
        </w:rPr>
        <w:t xml:space="preserve">能源形式，政府其他能源费用不在本次托管范围内。</w:t>
      </w:r>
      <w:r/>
    </w:p>
    <w:p>
      <w:pPr>
        <w:ind w:right="74" w:firstLine="400"/>
        <w:spacing w:line="360" w:lineRule="auto"/>
        <w:rPr>
          <w:rFonts w:hint="eastAsia" w:ascii="宋体" w:hAnsi="宋体" w:cs="宋体"/>
          <w:spacing w:val="4"/>
          <w:sz w:val="24"/>
          <w:szCs w:val="24"/>
        </w:rPr>
      </w:pPr>
      <w:r>
        <w:rPr>
          <w:rFonts w:ascii="宋体" w:hAnsi="宋体" w:cs="宋体"/>
          <w:spacing w:val="4"/>
          <w:sz w:val="24"/>
          <w:szCs w:val="24"/>
        </w:rPr>
        <w:t xml:space="preserve">2.4 </w:t>
      </w:r>
      <w:r>
        <w:rPr>
          <w:rFonts w:hint="eastAsia" w:ascii="宋体" w:hAnsi="宋体" w:cs="宋体"/>
          <w:spacing w:val="4"/>
          <w:sz w:val="24"/>
          <w:szCs w:val="24"/>
        </w:rPr>
        <w:t xml:space="preserve"> </w:t>
      </w:r>
      <w:r>
        <w:rPr>
          <w:rFonts w:ascii="宋体" w:hAnsi="宋体" w:cs="宋体"/>
          <w:spacing w:val="4"/>
          <w:sz w:val="24"/>
          <w:szCs w:val="24"/>
        </w:rPr>
        <w:t xml:space="preserve">托管项目的能源系统设备设施：供能设备包括供暖设备、制冷设备、配电室设备、</w:t>
      </w:r>
      <w:r>
        <w:rPr>
          <w:rFonts w:hint="eastAsia" w:ascii="宋体" w:hAnsi="宋体" w:cs="宋体"/>
          <w:spacing w:val="4"/>
          <w:sz w:val="24"/>
          <w:szCs w:val="24"/>
          <w:u w:val="single"/>
        </w:rPr>
        <w:t xml:space="preserve">      </w:t>
      </w:r>
      <w:r>
        <w:rPr>
          <w:rFonts w:ascii="宋体" w:hAnsi="宋体" w:cs="宋体"/>
          <w:spacing w:val="4"/>
          <w:sz w:val="24"/>
          <w:szCs w:val="24"/>
        </w:rPr>
        <w:t xml:space="preserve">。用能设备包括冬季取暖供热、夏季空调供冷的建筑设施，生活、生产、工作用电等设施。</w:t>
      </w:r>
      <w:r/>
    </w:p>
    <w:p>
      <w:pPr>
        <w:ind w:left="399"/>
        <w:spacing w:line="360" w:lineRule="auto"/>
        <w:rPr>
          <w:rFonts w:hint="eastAsia" w:ascii="宋体" w:hAnsi="宋体" w:cs="宋体"/>
          <w:sz w:val="24"/>
          <w:szCs w:val="24"/>
        </w:rPr>
      </w:pPr>
      <w:r>
        <w:rPr>
          <w:rFonts w:ascii="宋体" w:hAnsi="宋体" w:cs="宋体"/>
          <w:spacing w:val="4"/>
          <w:sz w:val="24"/>
          <w:szCs w:val="24"/>
        </w:rPr>
        <w:t xml:space="preserve">2.5 </w:t>
      </w:r>
      <w:r>
        <w:rPr>
          <w:rFonts w:hint="eastAsia" w:ascii="宋体" w:hAnsi="宋体" w:cs="宋体"/>
          <w:spacing w:val="4"/>
          <w:sz w:val="24"/>
          <w:szCs w:val="24"/>
        </w:rPr>
        <w:t xml:space="preserve"> </w:t>
      </w:r>
      <w:r>
        <w:rPr>
          <w:rFonts w:ascii="宋体" w:hAnsi="宋体" w:cs="宋体"/>
          <w:spacing w:val="4"/>
          <w:sz w:val="24"/>
          <w:szCs w:val="24"/>
        </w:rPr>
        <w:t xml:space="preserve">托管项目的用能时间及要求</w:t>
      </w:r>
      <w:r/>
    </w:p>
    <w:tbl>
      <w:tblPr>
        <w:tblStyle w:val="1090"/>
        <w:tblW w:w="86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52"/>
        <w:gridCol w:w="1678"/>
        <w:gridCol w:w="1708"/>
        <w:gridCol w:w="1678"/>
        <w:gridCol w:w="1703"/>
      </w:tblGrid>
      <w:tr>
        <w:trPr>
          <w:jc w:val="center"/>
          <w:trHeight w:val="324"/>
        </w:trPr>
        <w:tc>
          <w:tcPr>
            <w:tcW w:w="1852" w:type="dxa"/>
            <w:vAlign w:val="center"/>
            <w:textDirection w:val="lrTb"/>
            <w:noWrap w:val="false"/>
          </w:tcPr>
          <w:p>
            <w:pPr>
              <w:pStyle w:val="1089"/>
              <w:jc w:val="center"/>
              <w:spacing w:before="0" w:after="0" w:line="360" w:lineRule="auto"/>
              <w:rPr>
                <w:rFonts w:hint="eastAsia" w:ascii="宋体" w:hAnsi="宋体" w:eastAsia="宋体" w:cs="Times New Roman"/>
                <w:sz w:val="24"/>
                <w:szCs w:val="24"/>
              </w:rPr>
            </w:pPr>
            <w:r>
              <w:rPr>
                <w:rFonts w:ascii="宋体" w:hAnsi="宋体" w:eastAsia="宋体" w:cs="Times New Roman"/>
                <w:spacing w:val="4"/>
                <w:sz w:val="24"/>
                <w:szCs w:val="24"/>
              </w:rPr>
              <w:t xml:space="preserve">供冷时间</w:t>
            </w:r>
            <w:r/>
          </w:p>
        </w:tc>
        <w:tc>
          <w:tcPr>
            <w:gridSpan w:val="4"/>
            <w:tcW w:w="6767"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Height w:val="339"/>
        </w:trPr>
        <w:tc>
          <w:tcPr>
            <w:tcW w:w="1852" w:type="dxa"/>
            <w:vAlign w:val="center"/>
            <w:textDirection w:val="lrTb"/>
            <w:noWrap w:val="false"/>
          </w:tcPr>
          <w:p>
            <w:pPr>
              <w:pStyle w:val="1089"/>
              <w:jc w:val="center"/>
              <w:spacing w:before="0" w:after="0" w:line="360" w:lineRule="auto"/>
              <w:rPr>
                <w:rFonts w:hint="eastAsia" w:ascii="宋体" w:hAnsi="宋体" w:eastAsia="宋体" w:cs="Times New Roman"/>
                <w:sz w:val="24"/>
                <w:szCs w:val="24"/>
              </w:rPr>
            </w:pPr>
            <w:r>
              <w:rPr>
                <w:rFonts w:ascii="宋体" w:hAnsi="宋体" w:eastAsia="宋体" w:cs="Times New Roman"/>
                <w:spacing w:val="-2"/>
                <w:sz w:val="24"/>
                <w:szCs w:val="24"/>
              </w:rPr>
              <w:t xml:space="preserve">供冷条件</w:t>
            </w:r>
            <w:r/>
          </w:p>
        </w:tc>
        <w:tc>
          <w:tcPr>
            <w:gridSpan w:val="4"/>
            <w:tcW w:w="6767"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Height w:val="319"/>
        </w:trPr>
        <w:tc>
          <w:tcPr>
            <w:tcW w:w="1852" w:type="dxa"/>
            <w:vAlign w:val="center"/>
            <w:textDirection w:val="lrTb"/>
            <w:noWrap w:val="false"/>
          </w:tcPr>
          <w:p>
            <w:pPr>
              <w:pStyle w:val="1089"/>
              <w:jc w:val="center"/>
              <w:spacing w:before="0" w:after="0" w:line="360" w:lineRule="auto"/>
              <w:rPr>
                <w:rFonts w:hint="eastAsia" w:ascii="宋体" w:hAnsi="宋体" w:eastAsia="宋体" w:cs="Times New Roman"/>
                <w:sz w:val="24"/>
                <w:szCs w:val="24"/>
              </w:rPr>
            </w:pPr>
            <w:r>
              <w:rPr>
                <w:rFonts w:ascii="宋体" w:hAnsi="宋体" w:eastAsia="宋体" w:cs="Times New Roman"/>
                <w:spacing w:val="4"/>
                <w:sz w:val="24"/>
                <w:szCs w:val="24"/>
              </w:rPr>
              <w:t xml:space="preserve">供热时间</w:t>
            </w:r>
            <w:r/>
          </w:p>
        </w:tc>
        <w:tc>
          <w:tcPr>
            <w:gridSpan w:val="4"/>
            <w:tcW w:w="6767"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Height w:val="329"/>
        </w:trPr>
        <w:tc>
          <w:tcPr>
            <w:tcW w:w="1852" w:type="dxa"/>
            <w:vAlign w:val="center"/>
            <w:textDirection w:val="lrTb"/>
            <w:noWrap w:val="false"/>
          </w:tcPr>
          <w:p>
            <w:pPr>
              <w:pStyle w:val="1089"/>
              <w:jc w:val="center"/>
              <w:spacing w:before="0" w:after="0" w:line="360" w:lineRule="auto"/>
              <w:rPr>
                <w:rFonts w:hint="eastAsia" w:ascii="宋体" w:hAnsi="宋体" w:eastAsia="宋体" w:cs="Times New Roman"/>
                <w:sz w:val="24"/>
                <w:szCs w:val="24"/>
              </w:rPr>
            </w:pPr>
            <w:r>
              <w:rPr>
                <w:rFonts w:ascii="宋体" w:hAnsi="宋体" w:eastAsia="宋体" w:cs="Times New Roman"/>
                <w:spacing w:val="-2"/>
                <w:sz w:val="24"/>
                <w:szCs w:val="24"/>
              </w:rPr>
              <w:t xml:space="preserve">供热条件</w:t>
            </w:r>
            <w:r/>
          </w:p>
        </w:tc>
        <w:tc>
          <w:tcPr>
            <w:gridSpan w:val="4"/>
            <w:tcW w:w="6767"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Height w:val="319"/>
        </w:trPr>
        <w:tc>
          <w:tcPr>
            <w:tcW w:w="1852" w:type="dxa"/>
            <w:vAlign w:val="center"/>
            <w:textDirection w:val="lrTb"/>
            <w:noWrap w:val="false"/>
          </w:tcPr>
          <w:p>
            <w:pPr>
              <w:pStyle w:val="1089"/>
              <w:jc w:val="center"/>
              <w:spacing w:before="0" w:after="0" w:line="360" w:lineRule="auto"/>
              <w:rPr>
                <w:rFonts w:hint="eastAsia" w:ascii="宋体" w:hAnsi="宋体" w:eastAsia="宋体" w:cs="Times New Roman"/>
                <w:sz w:val="24"/>
                <w:szCs w:val="24"/>
              </w:rPr>
            </w:pPr>
            <w:r>
              <w:rPr>
                <w:rFonts w:ascii="宋体" w:hAnsi="宋体" w:eastAsia="宋体" w:cs="Times New Roman"/>
                <w:spacing w:val="-3"/>
                <w:sz w:val="24"/>
                <w:szCs w:val="24"/>
              </w:rPr>
              <w:t xml:space="preserve">空调标准</w:t>
            </w:r>
            <w:r/>
          </w:p>
        </w:tc>
        <w:tc>
          <w:tcPr>
            <w:gridSpan w:val="4"/>
            <w:tcW w:w="6767"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Height w:val="339"/>
        </w:trPr>
        <w:tc>
          <w:tcPr>
            <w:tcW w:w="1852" w:type="dxa"/>
            <w:vAlign w:val="center"/>
            <w:textDirection w:val="lrTb"/>
            <w:noWrap w:val="false"/>
          </w:tcPr>
          <w:p>
            <w:pPr>
              <w:pStyle w:val="1089"/>
              <w:jc w:val="center"/>
              <w:spacing w:before="0" w:after="0" w:line="360" w:lineRule="auto"/>
              <w:rPr>
                <w:rFonts w:hint="eastAsia" w:ascii="宋体" w:hAnsi="宋体" w:eastAsia="宋体" w:cs="Times New Roman"/>
                <w:sz w:val="24"/>
                <w:szCs w:val="24"/>
              </w:rPr>
            </w:pPr>
            <w:r>
              <w:rPr>
                <w:rFonts w:ascii="宋体" w:hAnsi="宋体" w:eastAsia="宋体" w:cs="Times New Roman"/>
                <w:spacing w:val="-2"/>
                <w:sz w:val="24"/>
                <w:szCs w:val="24"/>
              </w:rPr>
              <w:t xml:space="preserve">卫生热水标准</w:t>
            </w:r>
            <w:r/>
          </w:p>
        </w:tc>
        <w:tc>
          <w:tcPr>
            <w:gridSpan w:val="4"/>
            <w:tcW w:w="6767"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Height w:val="319"/>
        </w:trPr>
        <w:tc>
          <w:tcPr>
            <w:tcW w:w="1852" w:type="dxa"/>
            <w:vAlign w:val="center"/>
            <w:textDirection w:val="lrTb"/>
            <w:noWrap w:val="false"/>
          </w:tcPr>
          <w:p>
            <w:pPr>
              <w:pStyle w:val="1089"/>
              <w:jc w:val="center"/>
              <w:spacing w:before="0" w:after="0" w:line="360" w:lineRule="auto"/>
              <w:rPr>
                <w:rFonts w:hint="eastAsia" w:ascii="宋体" w:hAnsi="宋体" w:eastAsia="宋体" w:cs="Times New Roman"/>
                <w:sz w:val="24"/>
                <w:szCs w:val="24"/>
              </w:rPr>
            </w:pPr>
            <w:r>
              <w:rPr>
                <w:rFonts w:ascii="宋体" w:hAnsi="宋体" w:eastAsia="宋体" w:cs="Times New Roman"/>
                <w:spacing w:val="-2"/>
                <w:sz w:val="24"/>
                <w:szCs w:val="24"/>
              </w:rPr>
              <w:t xml:space="preserve">蒸汽标准</w:t>
            </w:r>
            <w:r/>
          </w:p>
        </w:tc>
        <w:tc>
          <w:tcPr>
            <w:gridSpan w:val="4"/>
            <w:tcW w:w="6767"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Height w:val="319"/>
        </w:trPr>
        <w:tc>
          <w:tcPr>
            <w:tcBorders>
              <w:bottom w:val="none" w:color="000000" w:sz="4" w:space="0"/>
            </w:tcBorders>
            <w:tcW w:w="1852" w:type="dxa"/>
            <w:vAlign w:val="center"/>
            <w:vMerge w:val="restart"/>
            <w:textDirection w:val="lrTb"/>
            <w:noWrap w:val="false"/>
          </w:tcPr>
          <w:p>
            <w:pPr>
              <w:pStyle w:val="1089"/>
              <w:jc w:val="center"/>
              <w:spacing w:before="0" w:after="0" w:line="360" w:lineRule="auto"/>
              <w:rPr>
                <w:rFonts w:hint="eastAsia" w:ascii="宋体" w:hAnsi="宋体" w:eastAsia="宋体" w:cs="Times New Roman"/>
                <w:sz w:val="24"/>
                <w:szCs w:val="24"/>
              </w:rPr>
            </w:pPr>
            <w:r>
              <w:rPr>
                <w:rFonts w:ascii="宋体" w:hAnsi="宋体" w:eastAsia="宋体" w:cs="Times New Roman"/>
                <w:spacing w:val="1"/>
                <w:sz w:val="24"/>
                <w:szCs w:val="24"/>
              </w:rPr>
              <w:t xml:space="preserve">日供时段</w:t>
            </w:r>
            <w:r/>
          </w:p>
        </w:tc>
        <w:tc>
          <w:tcPr>
            <w:tcW w:w="1678" w:type="dxa"/>
            <w:vAlign w:val="center"/>
            <w:textDirection w:val="lrTb"/>
            <w:noWrap w:val="false"/>
          </w:tcPr>
          <w:p>
            <w:pPr>
              <w:pStyle w:val="1089"/>
              <w:jc w:val="center"/>
              <w:spacing w:before="0" w:after="0" w:line="360" w:lineRule="auto"/>
              <w:rPr>
                <w:rFonts w:hint="eastAsia" w:ascii="宋体" w:hAnsi="宋体" w:eastAsia="宋体" w:cs="Times New Roman"/>
                <w:sz w:val="24"/>
                <w:szCs w:val="24"/>
              </w:rPr>
            </w:pPr>
            <w:r>
              <w:rPr>
                <w:rFonts w:ascii="宋体" w:hAnsi="宋体" w:eastAsia="宋体" w:cs="Times New Roman"/>
                <w:spacing w:val="-2"/>
                <w:sz w:val="24"/>
                <w:szCs w:val="24"/>
              </w:rPr>
              <w:t xml:space="preserve">供冷</w:t>
            </w:r>
            <w:r/>
          </w:p>
        </w:tc>
        <w:tc>
          <w:tcPr>
            <w:tcW w:w="1708" w:type="dxa"/>
            <w:vAlign w:val="center"/>
            <w:textDirection w:val="lrTb"/>
            <w:noWrap w:val="false"/>
          </w:tcPr>
          <w:p>
            <w:pPr>
              <w:pStyle w:val="1089"/>
              <w:jc w:val="center"/>
              <w:spacing w:before="0" w:after="0" w:line="360" w:lineRule="auto"/>
              <w:rPr>
                <w:rFonts w:hint="eastAsia" w:ascii="宋体" w:hAnsi="宋体" w:eastAsia="宋体" w:cs="Times New Roman"/>
                <w:sz w:val="24"/>
                <w:szCs w:val="24"/>
              </w:rPr>
            </w:pPr>
            <w:r>
              <w:rPr>
                <w:rFonts w:ascii="宋体" w:hAnsi="宋体" w:eastAsia="宋体" w:cs="Times New Roman"/>
                <w:spacing w:val="-2"/>
                <w:sz w:val="24"/>
                <w:szCs w:val="24"/>
              </w:rPr>
              <w:t xml:space="preserve">供热</w:t>
            </w:r>
            <w:r/>
          </w:p>
        </w:tc>
        <w:tc>
          <w:tcPr>
            <w:tcW w:w="1678" w:type="dxa"/>
            <w:vAlign w:val="center"/>
            <w:textDirection w:val="lrTb"/>
            <w:noWrap w:val="false"/>
          </w:tcPr>
          <w:p>
            <w:pPr>
              <w:pStyle w:val="1089"/>
              <w:jc w:val="center"/>
              <w:spacing w:before="0" w:after="0" w:line="360" w:lineRule="auto"/>
              <w:rPr>
                <w:rFonts w:hint="eastAsia" w:ascii="宋体" w:hAnsi="宋体" w:eastAsia="宋体" w:cs="Times New Roman"/>
                <w:sz w:val="24"/>
                <w:szCs w:val="24"/>
              </w:rPr>
            </w:pPr>
            <w:r>
              <w:rPr>
                <w:rFonts w:ascii="宋体" w:hAnsi="宋体" w:eastAsia="宋体" w:cs="Times New Roman"/>
                <w:spacing w:val="-2"/>
                <w:sz w:val="24"/>
                <w:szCs w:val="24"/>
              </w:rPr>
              <w:t xml:space="preserve">卫生热水</w:t>
            </w:r>
            <w:r/>
          </w:p>
        </w:tc>
        <w:tc>
          <w:tcPr>
            <w:tcW w:w="1703" w:type="dxa"/>
            <w:vAlign w:val="center"/>
            <w:textDirection w:val="lrTb"/>
            <w:noWrap w:val="false"/>
          </w:tcPr>
          <w:p>
            <w:pPr>
              <w:pStyle w:val="1089"/>
              <w:jc w:val="center"/>
              <w:spacing w:before="0" w:after="0" w:line="360" w:lineRule="auto"/>
              <w:rPr>
                <w:rFonts w:hint="eastAsia" w:ascii="宋体" w:hAnsi="宋体" w:eastAsia="宋体" w:cs="Times New Roman"/>
                <w:sz w:val="24"/>
                <w:szCs w:val="24"/>
              </w:rPr>
            </w:pPr>
            <w:r>
              <w:rPr>
                <w:rFonts w:ascii="宋体" w:hAnsi="宋体" w:eastAsia="宋体" w:cs="Times New Roman"/>
                <w:spacing w:val="-3"/>
                <w:sz w:val="24"/>
                <w:szCs w:val="24"/>
              </w:rPr>
              <w:t xml:space="preserve">蒸汽</w:t>
            </w:r>
            <w:r/>
          </w:p>
        </w:tc>
      </w:tr>
      <w:tr>
        <w:trPr>
          <w:jc w:val="center"/>
          <w:trHeight w:val="329"/>
        </w:trPr>
        <w:tc>
          <w:tcPr>
            <w:tcBorders>
              <w:top w:val="none" w:color="000000" w:sz="4" w:space="0"/>
            </w:tcBorders>
            <w:tcW w:w="1852" w:type="dxa"/>
            <w:vAlign w:val="center"/>
            <w:vMerge w:val="continue"/>
            <w:textDirection w:val="lrTb"/>
            <w:noWrap w:val="false"/>
          </w:tcPr>
          <w:p>
            <w:pPr>
              <w:jc w:val="center"/>
              <w:spacing w:line="360" w:lineRule="auto"/>
              <w:rPr>
                <w:rFonts w:hint="eastAsia" w:ascii="宋体" w:hAnsi="宋体"/>
                <w:sz w:val="24"/>
                <w:szCs w:val="24"/>
              </w:rPr>
            </w:pPr>
            <w:r>
              <w:rPr>
                <w:rFonts w:hint="eastAsia" w:ascii="宋体" w:hAnsi="宋体"/>
                <w:sz w:val="24"/>
                <w:szCs w:val="24"/>
              </w:rPr>
            </w:r>
            <w:r/>
          </w:p>
        </w:tc>
        <w:tc>
          <w:tcPr>
            <w:tcW w:w="167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70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678"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703"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Height w:val="324"/>
        </w:trPr>
        <w:tc>
          <w:tcPr>
            <w:tcW w:w="1852" w:type="dxa"/>
            <w:vAlign w:val="center"/>
            <w:textDirection w:val="lrTb"/>
            <w:noWrap w:val="false"/>
          </w:tcPr>
          <w:p>
            <w:pPr>
              <w:pStyle w:val="1089"/>
              <w:jc w:val="center"/>
              <w:spacing w:before="0" w:after="0" w:line="360" w:lineRule="auto"/>
              <w:rPr>
                <w:rFonts w:hint="eastAsia" w:ascii="宋体" w:hAnsi="宋体" w:eastAsia="宋体" w:cs="Times New Roman"/>
                <w:sz w:val="24"/>
                <w:szCs w:val="24"/>
              </w:rPr>
            </w:pPr>
            <w:r>
              <w:rPr>
                <w:rFonts w:ascii="宋体" w:hAnsi="宋体" w:eastAsia="宋体" w:cs="Times New Roman"/>
                <w:spacing w:val="-3"/>
                <w:sz w:val="24"/>
                <w:szCs w:val="24"/>
              </w:rPr>
              <w:t xml:space="preserve">照明标准</w:t>
            </w:r>
            <w:r/>
          </w:p>
        </w:tc>
        <w:tc>
          <w:tcPr>
            <w:gridSpan w:val="4"/>
            <w:tcW w:w="6767"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bl>
    <w:p>
      <w:pPr>
        <w:ind w:right="328" w:firstLine="399"/>
        <w:spacing w:line="360" w:lineRule="auto"/>
        <w:rPr>
          <w:rFonts w:hint="eastAsia" w:ascii="宋体" w:hAnsi="宋体"/>
          <w:sz w:val="24"/>
          <w:szCs w:val="24"/>
        </w:rPr>
      </w:pPr>
      <w:r>
        <w:rPr>
          <w:rFonts w:ascii="宋体" w:hAnsi="宋体" w:cs="宋体"/>
          <w:spacing w:val="4"/>
          <w:sz w:val="24"/>
          <w:szCs w:val="24"/>
        </w:rPr>
        <w:t xml:space="preserve">2.6 </w:t>
      </w:r>
      <w:r>
        <w:rPr>
          <w:rFonts w:hint="eastAsia" w:ascii="宋体" w:hAnsi="宋体" w:cs="宋体"/>
          <w:spacing w:val="4"/>
          <w:sz w:val="24"/>
          <w:szCs w:val="24"/>
        </w:rPr>
        <w:t xml:space="preserve"> </w:t>
      </w:r>
      <w:r>
        <w:rPr>
          <w:rFonts w:ascii="宋体" w:hAnsi="宋体" w:cs="宋体"/>
          <w:spacing w:val="4"/>
          <w:sz w:val="24"/>
          <w:szCs w:val="24"/>
        </w:rPr>
        <w:t xml:space="preserve">托管项目的运维管理情况：甲方委托乙方对本项</w:t>
      </w:r>
      <w:r>
        <w:rPr>
          <w:rFonts w:ascii="宋体" w:hAnsi="宋体" w:cs="宋体"/>
          <w:spacing w:val="3"/>
          <w:sz w:val="24"/>
          <w:szCs w:val="24"/>
        </w:rPr>
        <w:t xml:space="preserve">目</w:t>
      </w:r>
      <w:r>
        <w:rPr>
          <w:rFonts w:ascii="宋体" w:hAnsi="宋体" w:cs="宋体"/>
          <w:spacing w:val="3"/>
          <w:sz w:val="24"/>
          <w:szCs w:val="24"/>
          <w:u w:val="single"/>
        </w:rPr>
        <w:t xml:space="preserve">      </w:t>
      </w:r>
      <w:r>
        <w:rPr>
          <w:rFonts w:ascii="宋体" w:hAnsi="宋体" w:cs="宋体"/>
          <w:spacing w:val="3"/>
          <w:sz w:val="24"/>
          <w:szCs w:val="24"/>
        </w:rPr>
        <w:t xml:space="preserve">(用能系统)的设备及系统进行管理</w:t>
      </w:r>
      <w:r>
        <w:rPr>
          <w:rFonts w:ascii="宋体" w:hAnsi="宋体" w:cs="宋体"/>
          <w:spacing w:val="-7"/>
          <w:sz w:val="24"/>
          <w:szCs w:val="24"/>
        </w:rPr>
        <w:t xml:space="preserve">运营，设备开关及控制由</w:t>
      </w:r>
      <w:r>
        <w:rPr>
          <w:rFonts w:ascii="宋体" w:hAnsi="宋体" w:cs="宋体"/>
          <w:spacing w:val="-7"/>
          <w:sz w:val="24"/>
          <w:szCs w:val="24"/>
          <w:u w:val="single"/>
        </w:rPr>
        <w:t xml:space="preserve">       </w:t>
      </w:r>
      <w:r>
        <w:rPr>
          <w:rFonts w:ascii="宋体" w:hAnsi="宋体" w:cs="宋体"/>
          <w:spacing w:val="-7"/>
          <w:sz w:val="24"/>
          <w:szCs w:val="24"/>
        </w:rPr>
        <w:t xml:space="preserve">负责，日常管理/值班人员</w:t>
      </w:r>
      <w:r>
        <w:rPr>
          <w:rFonts w:ascii="宋体" w:hAnsi="宋体" w:cs="宋体"/>
          <w:spacing w:val="12"/>
          <w:sz w:val="24"/>
          <w:szCs w:val="24"/>
          <w:u w:val="single"/>
        </w:rPr>
        <w:t xml:space="preserve">    </w:t>
      </w:r>
      <w:r>
        <w:rPr>
          <w:rFonts w:ascii="宋体" w:hAnsi="宋体" w:cs="宋体"/>
          <w:spacing w:val="-83"/>
          <w:sz w:val="24"/>
          <w:szCs w:val="24"/>
        </w:rPr>
        <w:t xml:space="preserve"> </w:t>
      </w:r>
      <w:r>
        <w:rPr>
          <w:rFonts w:ascii="宋体" w:hAnsi="宋体" w:cs="宋体"/>
          <w:spacing w:val="-7"/>
          <w:sz w:val="24"/>
          <w:szCs w:val="24"/>
        </w:rPr>
        <w:t xml:space="preserve">人次，</w:t>
      </w:r>
      <w:r>
        <w:rPr>
          <w:rFonts w:ascii="宋体" w:hAnsi="宋体" w:cs="宋体"/>
          <w:spacing w:val="3"/>
          <w:sz w:val="24"/>
          <w:szCs w:val="24"/>
        </w:rPr>
        <w:t xml:space="preserve">值班周期为</w:t>
      </w:r>
      <w:r>
        <w:rPr>
          <w:rFonts w:ascii="宋体" w:hAnsi="宋体" w:cs="宋体"/>
          <w:spacing w:val="1"/>
          <w:sz w:val="24"/>
          <w:szCs w:val="24"/>
          <w:u w:val="single"/>
        </w:rPr>
        <w:t xml:space="preserve">        </w:t>
      </w:r>
      <w:r>
        <w:rPr>
          <w:rFonts w:ascii="宋体" w:hAnsi="宋体" w:cs="宋体"/>
          <w:spacing w:val="-73"/>
          <w:sz w:val="24"/>
          <w:szCs w:val="24"/>
        </w:rPr>
        <w:t xml:space="preserve"> </w:t>
      </w:r>
      <w:r>
        <w:rPr>
          <w:rFonts w:ascii="宋体" w:hAnsi="宋体"/>
          <w:iCs/>
          <w:spacing w:val="-7"/>
          <w:sz w:val="24"/>
          <w:szCs w:val="24"/>
        </w:rPr>
        <w:t xml:space="preserve">_。</w:t>
      </w:r>
      <w:r/>
    </w:p>
    <w:p>
      <w:pPr>
        <w:ind w:right="276" w:firstLine="399"/>
        <w:spacing w:line="360" w:lineRule="auto"/>
        <w:rPr>
          <w:rFonts w:hint="eastAsia" w:ascii="宋体" w:hAnsi="宋体" w:cs="宋体"/>
          <w:sz w:val="24"/>
          <w:szCs w:val="24"/>
        </w:rPr>
      </w:pPr>
      <w:r>
        <w:rPr>
          <w:rFonts w:ascii="宋体" w:hAnsi="宋体" w:cs="宋体"/>
          <w:spacing w:val="4"/>
          <w:sz w:val="24"/>
          <w:szCs w:val="24"/>
        </w:rPr>
        <w:t xml:space="preserve">2.7</w:t>
      </w:r>
      <w:r>
        <w:rPr>
          <w:rFonts w:ascii="宋体" w:hAnsi="宋体" w:cs="宋体"/>
          <w:spacing w:val="2"/>
          <w:sz w:val="24"/>
          <w:szCs w:val="24"/>
        </w:rPr>
        <w:t xml:space="preserve">  </w:t>
      </w:r>
      <w:r>
        <w:rPr>
          <w:rFonts w:ascii="宋体" w:hAnsi="宋体" w:cs="宋体"/>
          <w:spacing w:val="4"/>
          <w:sz w:val="24"/>
          <w:szCs w:val="24"/>
        </w:rPr>
        <w:t xml:space="preserve">托管项目区域内的用能建筑情况(2.2)和能源系统设备设施(2.4)、项目运维管理情况</w:t>
      </w:r>
      <w:r>
        <w:rPr>
          <w:rFonts w:ascii="宋体" w:hAnsi="宋体" w:cs="宋体"/>
          <w:spacing w:val="3"/>
          <w:sz w:val="24"/>
          <w:szCs w:val="24"/>
        </w:rPr>
        <w:t xml:space="preserve">(2.6)，</w:t>
      </w:r>
      <w:r>
        <w:rPr>
          <w:rFonts w:ascii="宋体" w:hAnsi="宋体" w:cs="宋体"/>
          <w:spacing w:val="-4"/>
          <w:sz w:val="24"/>
          <w:szCs w:val="24"/>
        </w:rPr>
        <w:t xml:space="preserve">由双方进行逐一登记造册</w:t>
      </w:r>
      <w:r>
        <w:rPr>
          <w:rFonts w:hint="eastAsia" w:ascii="宋体" w:hAnsi="宋体" w:cs="宋体"/>
          <w:spacing w:val="-4"/>
          <w:sz w:val="24"/>
          <w:szCs w:val="24"/>
        </w:rPr>
        <w:t xml:space="preserve">，</w:t>
      </w:r>
      <w:r>
        <w:rPr>
          <w:rFonts w:ascii="宋体" w:hAnsi="宋体" w:cs="宋体"/>
          <w:spacing w:val="-4"/>
          <w:sz w:val="24"/>
          <w:szCs w:val="24"/>
        </w:rPr>
        <w:t xml:space="preserve">形成“项目现有用能情况”作为本合同附件一。</w:t>
      </w:r>
      <w:r/>
    </w:p>
    <w:p>
      <w:pPr>
        <w:ind w:left="399"/>
        <w:spacing w:line="360" w:lineRule="auto"/>
        <w:rPr>
          <w:rFonts w:ascii="宋体" w:hAnsi="宋体" w:cs="宋体"/>
          <w:color w:val="auto"/>
          <w:spacing w:val="-3"/>
          <w:sz w:val="24"/>
          <w:szCs w:val="24"/>
          <w:highlight w:val="none"/>
        </w:rPr>
      </w:pPr>
      <w:r>
        <w:rPr>
          <w:rFonts w:ascii="宋体" w:hAnsi="宋体" w:cs="宋体"/>
          <w:color w:val="auto"/>
          <w:spacing w:val="-3"/>
          <w:sz w:val="24"/>
          <w:szCs w:val="24"/>
          <w:highlight w:val="none"/>
        </w:rPr>
        <w:t xml:space="preserve">2.8</w:t>
      </w:r>
      <w:r>
        <w:rPr>
          <w:rFonts w:ascii="宋体" w:hAnsi="宋体" w:cs="宋体"/>
          <w:color w:val="auto"/>
          <w:spacing w:val="4"/>
          <w:sz w:val="24"/>
          <w:szCs w:val="24"/>
          <w:highlight w:val="none"/>
        </w:rPr>
        <w:t xml:space="preserve"> </w:t>
      </w:r>
      <w:r>
        <w:rPr>
          <w:rFonts w:hint="eastAsia" w:ascii="宋体" w:hAnsi="宋体" w:cs="宋体"/>
          <w:color w:val="auto"/>
          <w:spacing w:val="4"/>
          <w:sz w:val="24"/>
          <w:szCs w:val="24"/>
          <w:highlight w:val="none"/>
        </w:rPr>
        <w:t xml:space="preserve"> </w:t>
      </w:r>
      <w:r>
        <w:rPr>
          <w:rFonts w:ascii="宋体" w:hAnsi="宋体" w:cs="宋体"/>
          <w:color w:val="auto"/>
          <w:spacing w:val="4"/>
          <w:sz w:val="24"/>
          <w:szCs w:val="24"/>
          <w:highlight w:val="none"/>
        </w:rPr>
        <w:t xml:space="preserve">项目</w:t>
      </w:r>
      <w:r>
        <w:rPr>
          <w:rFonts w:ascii="宋体" w:hAnsi="宋体" w:cs="宋体"/>
          <w:color w:val="auto"/>
          <w:spacing w:val="-3"/>
          <w:sz w:val="24"/>
          <w:szCs w:val="24"/>
          <w:highlight w:val="none"/>
        </w:rPr>
        <w:t xml:space="preserve">托管服务范围包括：</w:t>
      </w:r>
      <w:r>
        <w:rPr>
          <w:rFonts w:ascii="宋体" w:hAnsi="宋体" w:cs="宋体"/>
          <w:color w:val="auto"/>
          <w:spacing w:val="2"/>
          <w:sz w:val="24"/>
          <w:szCs w:val="24"/>
          <w:highlight w:val="none"/>
          <w:u w:val="single"/>
        </w:rPr>
        <w:t xml:space="preserve">                  </w:t>
      </w:r>
      <w:r>
        <w:rPr>
          <w:rFonts w:ascii="宋体" w:hAnsi="宋体" w:cs="宋体"/>
          <w:color w:val="auto"/>
          <w:spacing w:val="-81"/>
          <w:sz w:val="24"/>
          <w:szCs w:val="24"/>
          <w:highlight w:val="none"/>
        </w:rPr>
        <w:t xml:space="preserve"> </w:t>
      </w:r>
      <w:r>
        <w:rPr>
          <w:rFonts w:ascii="宋体" w:hAnsi="宋体" w:cs="宋体"/>
          <w:color w:val="auto"/>
          <w:spacing w:val="-3"/>
          <w:sz w:val="24"/>
          <w:szCs w:val="24"/>
          <w:highlight w:val="none"/>
        </w:rPr>
        <w:t xml:space="preserve">_</w:t>
      </w:r>
      <w:r/>
    </w:p>
    <w:p>
      <w:pPr>
        <w:ind w:left="399"/>
        <w:spacing w:line="360" w:lineRule="auto"/>
        <w:rPr>
          <w:rFonts w:hint="default" w:ascii="宋体" w:hAnsi="宋体" w:eastAsia="宋体" w:cs="宋体"/>
          <w:color w:val="auto"/>
          <w:spacing w:val="-3"/>
          <w:sz w:val="24"/>
          <w:szCs w:val="24"/>
          <w:highlight w:val="none"/>
          <w:lang w:val="en-US" w:eastAsia="zh-CN"/>
        </w:rPr>
      </w:pPr>
      <w:r>
        <w:rPr>
          <w:rFonts w:hint="eastAsia" w:ascii="宋体" w:hAnsi="宋体" w:cs="宋体"/>
          <w:color w:val="auto"/>
          <w:spacing w:val="-3"/>
          <w:sz w:val="24"/>
          <w:szCs w:val="24"/>
          <w:highlight w:val="none"/>
          <w:lang w:val="en-US" w:eastAsia="zh-CN"/>
        </w:rPr>
        <w:t xml:space="preserve">2.9  本项目对托管范围内产生的碳资产、碳排放交易权等额外收益归属的约定为：</w:t>
      </w:r>
      <w:r>
        <w:rPr>
          <w:rFonts w:ascii="宋体" w:hAnsi="宋体" w:cs="宋体"/>
          <w:color w:val="auto"/>
          <w:spacing w:val="2"/>
          <w:sz w:val="24"/>
          <w:szCs w:val="24"/>
          <w:highlight w:val="none"/>
          <w:u w:val="single"/>
        </w:rPr>
        <w:t xml:space="preserve"> </w:t>
      </w:r>
      <w:r>
        <w:rPr>
          <w:rFonts w:hint="eastAsia" w:ascii="宋体" w:hAnsi="宋体" w:cs="宋体"/>
          <w:color w:val="auto"/>
          <w:spacing w:val="2"/>
          <w:sz w:val="24"/>
          <w:szCs w:val="24"/>
          <w:highlight w:val="none"/>
          <w:u w:val="single"/>
          <w:lang w:val="en-US" w:eastAsia="zh-CN"/>
        </w:rPr>
        <w:t xml:space="preserve">归属于甲方睢宁县机关事务管理中心</w:t>
      </w:r>
      <w:r>
        <w:rPr>
          <w:rFonts w:ascii="宋体" w:hAnsi="宋体" w:cs="宋体"/>
          <w:color w:val="auto"/>
          <w:spacing w:val="2"/>
          <w:sz w:val="24"/>
          <w:szCs w:val="24"/>
          <w:highlight w:val="none"/>
          <w:u w:val="single"/>
        </w:rPr>
        <w:t xml:space="preserve">       </w:t>
      </w:r>
      <w:r/>
    </w:p>
    <w:p>
      <w:pPr>
        <w:ind w:left="402"/>
        <w:spacing w:line="360" w:lineRule="auto"/>
        <w:rPr>
          <w:rFonts w:hint="eastAsia" w:ascii="宋体" w:hAnsi="宋体" w:cs="黑体"/>
          <w:b/>
          <w:bCs/>
          <w:color w:val="auto"/>
          <w:sz w:val="24"/>
          <w:szCs w:val="24"/>
          <w:highlight w:val="none"/>
        </w:rPr>
      </w:pPr>
      <w:r>
        <w:rPr>
          <w:rFonts w:ascii="宋体" w:hAnsi="宋体" w:cs="黑体"/>
          <w:b/>
          <w:bCs/>
          <w:color w:val="auto"/>
          <w:sz w:val="24"/>
          <w:szCs w:val="24"/>
          <w:highlight w:val="none"/>
        </w:rPr>
        <w:t xml:space="preserve">第三条  能源审计和能源基准</w:t>
      </w:r>
      <w:r/>
    </w:p>
    <w:p>
      <w:pPr>
        <w:ind w:left="399"/>
        <w:spacing w:line="360" w:lineRule="auto"/>
        <w:rPr>
          <w:rFonts w:hint="eastAsia" w:ascii="宋体" w:hAnsi="宋体" w:cs="宋体"/>
          <w:color w:val="auto"/>
          <w:sz w:val="24"/>
          <w:szCs w:val="24"/>
          <w:highlight w:val="none"/>
        </w:rPr>
      </w:pPr>
      <w:r>
        <w:rPr>
          <w:rFonts w:ascii="宋体" w:hAnsi="宋体" w:cs="宋体"/>
          <w:color w:val="auto"/>
          <w:spacing w:val="2"/>
          <w:sz w:val="24"/>
          <w:szCs w:val="24"/>
          <w:highlight w:val="none"/>
        </w:rPr>
        <w:t xml:space="preserve">3.</w:t>
      </w:r>
      <w:r>
        <w:rPr>
          <w:rFonts w:ascii="宋体" w:hAnsi="宋体" w:cs="宋体"/>
          <w:color w:val="auto"/>
          <w:spacing w:val="4"/>
          <w:sz w:val="24"/>
          <w:szCs w:val="24"/>
          <w:highlight w:val="none"/>
        </w:rPr>
        <w:t xml:space="preserve">1 </w:t>
      </w:r>
      <w:r>
        <w:rPr>
          <w:rFonts w:hint="eastAsia" w:ascii="宋体" w:hAnsi="宋体" w:cs="宋体"/>
          <w:color w:val="auto"/>
          <w:spacing w:val="4"/>
          <w:sz w:val="24"/>
          <w:szCs w:val="24"/>
          <w:highlight w:val="none"/>
        </w:rPr>
        <w:t xml:space="preserve"> </w:t>
      </w:r>
      <w:r>
        <w:rPr>
          <w:rFonts w:ascii="宋体" w:hAnsi="宋体" w:cs="宋体"/>
          <w:color w:val="auto"/>
          <w:spacing w:val="4"/>
          <w:sz w:val="24"/>
          <w:szCs w:val="24"/>
          <w:highlight w:val="none"/>
        </w:rPr>
        <w:t xml:space="preserve">能源审计</w:t>
      </w:r>
      <w:r>
        <w:rPr>
          <w:rFonts w:ascii="宋体" w:hAnsi="宋体" w:cs="宋体"/>
          <w:color w:val="auto"/>
          <w:spacing w:val="2"/>
          <w:sz w:val="24"/>
          <w:szCs w:val="24"/>
          <w:highlight w:val="none"/>
        </w:rPr>
        <w:t xml:space="preserve">是甲方能源系统能源消耗状况的依据，能源审计费用由</w:t>
      </w:r>
      <w:r>
        <w:rPr>
          <w:rFonts w:ascii="宋体" w:hAnsi="宋体" w:cs="宋体"/>
          <w:color w:val="auto"/>
          <w:spacing w:val="1"/>
          <w:sz w:val="24"/>
          <w:szCs w:val="24"/>
          <w:highlight w:val="none"/>
          <w:u w:val="single"/>
        </w:rPr>
        <w:t xml:space="preserve">        </w:t>
      </w:r>
      <w:r>
        <w:rPr>
          <w:rFonts w:ascii="宋体" w:hAnsi="宋体" w:cs="宋体"/>
          <w:color w:val="auto"/>
          <w:spacing w:val="2"/>
          <w:sz w:val="24"/>
          <w:szCs w:val="24"/>
          <w:highlight w:val="none"/>
        </w:rPr>
        <w:t xml:space="preserve">承担。</w:t>
      </w:r>
      <w:r/>
    </w:p>
    <w:p>
      <w:pPr>
        <w:ind w:left="10" w:right="264" w:firstLine="389"/>
        <w:spacing w:line="360" w:lineRule="auto"/>
        <w:rPr>
          <w:rFonts w:hint="eastAsia" w:ascii="宋体" w:hAnsi="宋体" w:cs="宋体"/>
          <w:color w:val="auto"/>
          <w:sz w:val="24"/>
          <w:szCs w:val="24"/>
          <w:highlight w:val="none"/>
        </w:rPr>
      </w:pPr>
      <w:r>
        <w:rPr>
          <w:rFonts w:ascii="宋体" w:hAnsi="宋体" w:cs="宋体"/>
          <w:color w:val="auto"/>
          <w:spacing w:val="4"/>
          <w:sz w:val="24"/>
          <w:szCs w:val="24"/>
          <w:highlight w:val="none"/>
        </w:rPr>
        <w:t xml:space="preserve">3.2 </w:t>
      </w:r>
      <w:r>
        <w:rPr>
          <w:rFonts w:hint="eastAsia" w:ascii="宋体" w:hAnsi="宋体" w:cs="宋体"/>
          <w:color w:val="auto"/>
          <w:spacing w:val="4"/>
          <w:sz w:val="24"/>
          <w:szCs w:val="24"/>
          <w:highlight w:val="none"/>
        </w:rPr>
        <w:t xml:space="preserve"> </w:t>
      </w:r>
      <w:r>
        <w:rPr>
          <w:rFonts w:ascii="宋体" w:hAnsi="宋体" w:cs="宋体"/>
          <w:color w:val="auto"/>
          <w:spacing w:val="4"/>
          <w:sz w:val="24"/>
          <w:szCs w:val="24"/>
          <w:highlight w:val="none"/>
        </w:rPr>
        <w:t xml:space="preserve">经过能源审计确定托管项目的能源基准：确定本项目在实施能源托管前，代表项目边界</w:t>
      </w:r>
      <w:r>
        <w:rPr>
          <w:rFonts w:ascii="宋体" w:hAnsi="宋体" w:cs="宋体"/>
          <w:color w:val="auto"/>
          <w:spacing w:val="3"/>
          <w:sz w:val="24"/>
          <w:szCs w:val="24"/>
          <w:highlight w:val="none"/>
        </w:rPr>
        <w:t xml:space="preserve">内用</w:t>
      </w:r>
      <w:r>
        <w:rPr>
          <w:rFonts w:ascii="宋体" w:hAnsi="宋体" w:cs="宋体"/>
          <w:color w:val="auto"/>
          <w:spacing w:val="-4"/>
          <w:sz w:val="24"/>
          <w:szCs w:val="24"/>
          <w:highlight w:val="none"/>
        </w:rPr>
        <w:t xml:space="preserve">能设备和系统运行规律的基准期为</w:t>
      </w:r>
      <w:r>
        <w:rPr>
          <w:rFonts w:hint="eastAsia" w:ascii="宋体" w:hAnsi="宋体" w:cs="宋体"/>
          <w:color w:val="auto"/>
          <w:spacing w:val="-100"/>
          <w:sz w:val="24"/>
          <w:szCs w:val="24"/>
          <w:highlight w:val="none"/>
        </w:rPr>
        <w:t xml:space="preserve">    </w:t>
      </w:r>
      <w:r>
        <w:rPr>
          <w:rFonts w:ascii="宋体" w:hAnsi="宋体" w:cs="宋体"/>
          <w:color w:val="auto"/>
          <w:spacing w:val="-100"/>
          <w:sz w:val="24"/>
          <w:szCs w:val="24"/>
          <w:highlight w:val="none"/>
        </w:rPr>
        <w:t xml:space="preserve"> </w:t>
      </w:r>
      <w:r>
        <w:rPr>
          <w:rFonts w:ascii="宋体" w:hAnsi="宋体" w:cs="宋体"/>
          <w:color w:val="auto"/>
          <w:spacing w:val="-4"/>
          <w:sz w:val="24"/>
          <w:szCs w:val="24"/>
          <w:highlight w:val="none"/>
        </w:rPr>
        <w:t xml:space="preserve">年</w:t>
      </w:r>
      <w:r>
        <w:rPr>
          <w:rFonts w:ascii="宋体" w:hAnsi="宋体" w:cs="宋体"/>
          <w:color w:val="auto"/>
          <w:spacing w:val="-108"/>
          <w:sz w:val="24"/>
          <w:szCs w:val="24"/>
          <w:highlight w:val="none"/>
          <w:u w:val="single"/>
        </w:rPr>
        <w:t xml:space="preserve"> </w:t>
      </w:r>
      <w:r>
        <w:rPr>
          <w:rFonts w:ascii="宋体" w:hAnsi="宋体" w:cs="宋体"/>
          <w:color w:val="auto"/>
          <w:sz w:val="24"/>
          <w:szCs w:val="24"/>
          <w:highlight w:val="none"/>
          <w:u w:val="single"/>
        </w:rPr>
        <w:t xml:space="preserve">  </w:t>
      </w:r>
      <w:r>
        <w:rPr>
          <w:rFonts w:ascii="宋体" w:hAnsi="宋体" w:cs="宋体"/>
          <w:color w:val="auto"/>
          <w:spacing w:val="-94"/>
          <w:sz w:val="24"/>
          <w:szCs w:val="24"/>
          <w:highlight w:val="none"/>
          <w:u w:val="single"/>
        </w:rPr>
        <w:t xml:space="preserve"> </w:t>
      </w:r>
      <w:r>
        <w:rPr>
          <w:rFonts w:ascii="宋体" w:hAnsi="宋体" w:cs="宋体"/>
          <w:color w:val="auto"/>
          <w:spacing w:val="-4"/>
          <w:sz w:val="24"/>
          <w:szCs w:val="24"/>
          <w:highlight w:val="none"/>
        </w:rPr>
        <w:t xml:space="preserve">月</w:t>
      </w:r>
      <w:r>
        <w:rPr>
          <w:rFonts w:ascii="宋体" w:hAnsi="宋体" w:cs="宋体"/>
          <w:color w:val="auto"/>
          <w:spacing w:val="-109"/>
          <w:sz w:val="24"/>
          <w:szCs w:val="24"/>
          <w:highlight w:val="none"/>
          <w:u w:val="single"/>
        </w:rPr>
        <w:t xml:space="preserve"> </w:t>
      </w:r>
      <w:r>
        <w:rPr>
          <w:rFonts w:ascii="宋体" w:hAnsi="宋体" w:cs="宋体"/>
          <w:color w:val="auto"/>
          <w:spacing w:val="1"/>
          <w:sz w:val="24"/>
          <w:szCs w:val="24"/>
          <w:highlight w:val="none"/>
          <w:u w:val="single"/>
        </w:rPr>
        <w:t xml:space="preserve">  </w:t>
      </w:r>
      <w:r>
        <w:rPr>
          <w:rFonts w:ascii="宋体" w:hAnsi="宋体" w:cs="宋体"/>
          <w:color w:val="auto"/>
          <w:spacing w:val="-63"/>
          <w:sz w:val="24"/>
          <w:szCs w:val="24"/>
          <w:highlight w:val="none"/>
        </w:rPr>
        <w:t xml:space="preserve"> </w:t>
      </w:r>
      <w:r>
        <w:rPr>
          <w:rFonts w:ascii="宋体" w:hAnsi="宋体" w:cs="宋体"/>
          <w:color w:val="auto"/>
          <w:spacing w:val="-4"/>
          <w:sz w:val="24"/>
          <w:szCs w:val="24"/>
          <w:highlight w:val="none"/>
        </w:rPr>
        <w:t xml:space="preserve">日至</w:t>
      </w:r>
      <w:r>
        <w:rPr>
          <w:rFonts w:ascii="宋体" w:hAnsi="宋体" w:cs="宋体"/>
          <w:color w:val="auto"/>
          <w:spacing w:val="-108"/>
          <w:sz w:val="24"/>
          <w:szCs w:val="24"/>
          <w:highlight w:val="none"/>
          <w:u w:val="single"/>
        </w:rPr>
        <w:t xml:space="preserve"> </w:t>
      </w:r>
      <w:r>
        <w:rPr>
          <w:rFonts w:ascii="宋体" w:hAnsi="宋体" w:cs="宋体"/>
          <w:color w:val="auto"/>
          <w:sz w:val="24"/>
          <w:szCs w:val="24"/>
          <w:highlight w:val="none"/>
          <w:u w:val="single"/>
        </w:rPr>
        <w:t xml:space="preserve">   </w:t>
      </w:r>
      <w:r>
        <w:rPr>
          <w:rFonts w:ascii="宋体" w:hAnsi="宋体" w:cs="宋体"/>
          <w:color w:val="auto"/>
          <w:spacing w:val="-97"/>
          <w:sz w:val="24"/>
          <w:szCs w:val="24"/>
          <w:highlight w:val="none"/>
          <w:u w:val="single"/>
        </w:rPr>
        <w:t xml:space="preserve"> </w:t>
      </w:r>
      <w:r>
        <w:rPr>
          <w:rFonts w:ascii="宋体" w:hAnsi="宋体" w:cs="宋体"/>
          <w:color w:val="auto"/>
          <w:spacing w:val="-4"/>
          <w:sz w:val="24"/>
          <w:szCs w:val="24"/>
          <w:highlight w:val="none"/>
        </w:rPr>
        <w:t xml:space="preserve">年</w:t>
      </w:r>
      <w:r>
        <w:rPr>
          <w:rFonts w:ascii="宋体" w:hAnsi="宋体" w:cs="宋体"/>
          <w:color w:val="auto"/>
          <w:spacing w:val="-109"/>
          <w:sz w:val="24"/>
          <w:szCs w:val="24"/>
          <w:highlight w:val="none"/>
          <w:u w:val="single"/>
        </w:rPr>
        <w:t xml:space="preserve"> </w:t>
      </w:r>
      <w:r>
        <w:rPr>
          <w:rFonts w:ascii="宋体" w:hAnsi="宋体" w:cs="宋体"/>
          <w:color w:val="auto"/>
          <w:spacing w:val="1"/>
          <w:sz w:val="24"/>
          <w:szCs w:val="24"/>
          <w:highlight w:val="none"/>
          <w:u w:val="single"/>
        </w:rPr>
        <w:t xml:space="preserve">   </w:t>
      </w:r>
      <w:r>
        <w:rPr>
          <w:rFonts w:ascii="宋体" w:hAnsi="宋体" w:cs="宋体"/>
          <w:color w:val="auto"/>
          <w:spacing w:val="-95"/>
          <w:sz w:val="24"/>
          <w:szCs w:val="24"/>
          <w:highlight w:val="none"/>
          <w:u w:val="single"/>
        </w:rPr>
        <w:t xml:space="preserve"> </w:t>
      </w:r>
      <w:r>
        <w:rPr>
          <w:rFonts w:ascii="宋体" w:hAnsi="宋体" w:cs="宋体"/>
          <w:color w:val="auto"/>
          <w:spacing w:val="-4"/>
          <w:sz w:val="24"/>
          <w:szCs w:val="24"/>
          <w:highlight w:val="none"/>
        </w:rPr>
        <w:t xml:space="preserve">月</w:t>
      </w:r>
      <w:r>
        <w:rPr>
          <w:rFonts w:ascii="宋体" w:hAnsi="宋体" w:cs="宋体"/>
          <w:color w:val="auto"/>
          <w:spacing w:val="-4"/>
          <w:sz w:val="24"/>
          <w:szCs w:val="24"/>
          <w:highlight w:val="none"/>
          <w:u w:val="single"/>
        </w:rPr>
        <w:t xml:space="preserve">  </w:t>
      </w:r>
      <w:r>
        <w:rPr>
          <w:rFonts w:ascii="宋体" w:hAnsi="宋体" w:cs="宋体"/>
          <w:color w:val="auto"/>
          <w:spacing w:val="-4"/>
          <w:sz w:val="24"/>
          <w:szCs w:val="24"/>
          <w:highlight w:val="none"/>
        </w:rPr>
        <w:t xml:space="preserve">日；能源基准如下所示：</w:t>
      </w:r>
      <w:r/>
    </w:p>
    <w:tbl>
      <w:tblPr>
        <w:tblStyle w:val="1090"/>
        <w:tblW w:w="86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03"/>
        <w:gridCol w:w="1678"/>
        <w:gridCol w:w="1678"/>
        <w:gridCol w:w="1857"/>
        <w:gridCol w:w="1703"/>
      </w:tblGrid>
      <w:tr>
        <w:trPr>
          <w:jc w:val="center"/>
          <w:trHeight w:val="333"/>
        </w:trPr>
        <w:tc>
          <w:tcPr>
            <w:tcW w:w="1703" w:type="dxa"/>
            <w:vAlign w:val="center"/>
            <w:textDirection w:val="lrTb"/>
            <w:noWrap w:val="false"/>
          </w:tcPr>
          <w:p>
            <w:pPr>
              <w:pStyle w:val="1089"/>
              <w:jc w:val="center"/>
              <w:spacing w:before="0" w:after="0" w:line="360" w:lineRule="auto"/>
              <w:rPr>
                <w:rFonts w:hint="eastAsia" w:ascii="宋体" w:hAnsi="宋体" w:eastAsia="宋体" w:cs="Times New Roman"/>
                <w:color w:val="auto"/>
                <w:sz w:val="24"/>
                <w:szCs w:val="24"/>
                <w:highlight w:val="none"/>
              </w:rPr>
            </w:pPr>
            <w:r>
              <w:rPr>
                <w:rFonts w:ascii="宋体" w:hAnsi="宋体" w:eastAsia="宋体" w:cs="Times New Roman"/>
                <w:color w:val="auto"/>
                <w:spacing w:val="-1"/>
                <w:sz w:val="24"/>
                <w:szCs w:val="24"/>
                <w:highlight w:val="none"/>
              </w:rPr>
              <w:t xml:space="preserve">托管能源类型</w:t>
            </w:r>
            <w:r/>
          </w:p>
        </w:tc>
        <w:tc>
          <w:tcPr>
            <w:tcW w:w="1678" w:type="dxa"/>
            <w:vAlign w:val="center"/>
            <w:textDirection w:val="lrTb"/>
            <w:noWrap w:val="false"/>
          </w:tcPr>
          <w:p>
            <w:pPr>
              <w:pStyle w:val="1089"/>
              <w:jc w:val="center"/>
              <w:spacing w:before="0" w:after="0" w:line="360" w:lineRule="auto"/>
              <w:rPr>
                <w:rFonts w:hint="eastAsia" w:ascii="宋体" w:hAnsi="宋体" w:eastAsia="宋体" w:cs="Times New Roman"/>
                <w:color w:val="auto"/>
                <w:sz w:val="24"/>
                <w:szCs w:val="24"/>
                <w:highlight w:val="none"/>
              </w:rPr>
            </w:pPr>
            <w:r>
              <w:rPr>
                <w:rFonts w:ascii="宋体" w:hAnsi="宋体" w:eastAsia="宋体" w:cs="Times New Roman"/>
                <w:color w:val="auto"/>
                <w:spacing w:val="1"/>
                <w:sz w:val="24"/>
                <w:szCs w:val="24"/>
                <w:highlight w:val="none"/>
              </w:rPr>
              <w:t xml:space="preserve">能源缴费户号</w:t>
            </w:r>
            <w:r/>
          </w:p>
        </w:tc>
        <w:tc>
          <w:tcPr>
            <w:tcW w:w="1678" w:type="dxa"/>
            <w:vAlign w:val="center"/>
            <w:textDirection w:val="lrTb"/>
            <w:noWrap w:val="false"/>
          </w:tcPr>
          <w:p>
            <w:pPr>
              <w:pStyle w:val="1089"/>
              <w:jc w:val="center"/>
              <w:spacing w:before="0" w:after="0" w:line="360" w:lineRule="auto"/>
              <w:rPr>
                <w:rFonts w:hint="eastAsia" w:ascii="宋体" w:hAnsi="宋体" w:eastAsia="宋体" w:cs="Times New Roman"/>
                <w:color w:val="auto"/>
                <w:sz w:val="24"/>
                <w:szCs w:val="24"/>
                <w:highlight w:val="none"/>
              </w:rPr>
            </w:pPr>
            <w:r>
              <w:rPr>
                <w:rFonts w:ascii="宋体" w:hAnsi="宋体" w:eastAsia="宋体" w:cs="Times New Roman"/>
                <w:color w:val="auto"/>
                <w:spacing w:val="-1"/>
                <w:sz w:val="24"/>
                <w:szCs w:val="24"/>
                <w:highlight w:val="none"/>
              </w:rPr>
              <w:t xml:space="preserve">基准期能源用量</w:t>
            </w:r>
            <w:r/>
          </w:p>
        </w:tc>
        <w:tc>
          <w:tcPr>
            <w:tcW w:w="1857" w:type="dxa"/>
            <w:vAlign w:val="center"/>
            <w:textDirection w:val="lrTb"/>
            <w:noWrap w:val="false"/>
          </w:tcPr>
          <w:p>
            <w:pPr>
              <w:pStyle w:val="1089"/>
              <w:jc w:val="center"/>
              <w:spacing w:before="0" w:after="0" w:line="360" w:lineRule="auto"/>
              <w:rPr>
                <w:rFonts w:hint="eastAsia" w:ascii="宋体" w:hAnsi="宋体" w:eastAsia="宋体" w:cs="Times New Roman"/>
                <w:color w:val="auto"/>
                <w:sz w:val="24"/>
                <w:szCs w:val="24"/>
                <w:highlight w:val="none"/>
              </w:rPr>
            </w:pPr>
            <w:r>
              <w:rPr>
                <w:rFonts w:ascii="宋体" w:hAnsi="宋体" w:eastAsia="宋体" w:cs="Times New Roman"/>
                <w:color w:val="auto"/>
                <w:spacing w:val="-1"/>
                <w:sz w:val="24"/>
                <w:szCs w:val="24"/>
                <w:highlight w:val="none"/>
              </w:rPr>
              <w:t xml:space="preserve">基准期能源单价/元</w:t>
            </w:r>
            <w:r/>
          </w:p>
        </w:tc>
        <w:tc>
          <w:tcPr>
            <w:tcW w:w="1703" w:type="dxa"/>
            <w:vAlign w:val="center"/>
            <w:textDirection w:val="lrTb"/>
            <w:noWrap w:val="false"/>
          </w:tcPr>
          <w:p>
            <w:pPr>
              <w:pStyle w:val="1089"/>
              <w:jc w:val="center"/>
              <w:spacing w:before="0" w:after="0" w:line="360" w:lineRule="auto"/>
              <w:rPr>
                <w:rFonts w:hint="eastAsia" w:ascii="宋体" w:hAnsi="宋体" w:eastAsia="宋体" w:cs="Times New Roman"/>
                <w:color w:val="auto"/>
                <w:sz w:val="24"/>
                <w:szCs w:val="24"/>
                <w:highlight w:val="none"/>
              </w:rPr>
            </w:pPr>
            <w:r>
              <w:rPr>
                <w:rFonts w:ascii="宋体" w:hAnsi="宋体" w:eastAsia="宋体" w:cs="Times New Roman"/>
                <w:color w:val="auto"/>
                <w:spacing w:val="-3"/>
                <w:sz w:val="24"/>
                <w:szCs w:val="24"/>
                <w:highlight w:val="none"/>
              </w:rPr>
              <w:t xml:space="preserve">备注</w:t>
            </w:r>
            <w:r/>
          </w:p>
        </w:tc>
      </w:tr>
      <w:tr>
        <w:trPr>
          <w:jc w:val="center"/>
          <w:trHeight w:val="319"/>
        </w:trPr>
        <w:tc>
          <w:tcPr>
            <w:tcW w:w="1703" w:type="dxa"/>
            <w:vAlign w:val="center"/>
            <w:textDirection w:val="lrTb"/>
            <w:noWrap w:val="false"/>
          </w:tcPr>
          <w:p>
            <w:pPr>
              <w:pStyle w:val="1089"/>
              <w:jc w:val="center"/>
              <w:spacing w:before="0" w:after="0" w:line="360" w:lineRule="auto"/>
              <w:rPr>
                <w:rFonts w:hint="eastAsia" w:ascii="宋体" w:hAnsi="宋体" w:eastAsia="宋体" w:cs="Times New Roman"/>
                <w:color w:val="auto"/>
                <w:spacing w:val="-1"/>
                <w:sz w:val="24"/>
                <w:szCs w:val="24"/>
                <w:highlight w:val="none"/>
              </w:rPr>
            </w:pPr>
            <w:r>
              <w:rPr>
                <w:rFonts w:ascii="宋体" w:hAnsi="宋体" w:eastAsia="宋体" w:cs="Times New Roman"/>
                <w:color w:val="auto"/>
                <w:spacing w:val="-1"/>
                <w:sz w:val="24"/>
                <w:szCs w:val="24"/>
                <w:highlight w:val="none"/>
              </w:rPr>
              <w:t xml:space="preserve">电</w:t>
            </w:r>
            <w:r/>
          </w:p>
        </w:tc>
        <w:tc>
          <w:tcPr>
            <w:tcW w:w="1678" w:type="dxa"/>
            <w:vAlign w:val="center"/>
            <w:textDirection w:val="lrTb"/>
            <w:noWrap w:val="false"/>
          </w:tcPr>
          <w:p>
            <w:pPr>
              <w:jc w:val="center"/>
              <w:spacing w:line="360" w:lineRule="auto"/>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r>
            <w:r/>
          </w:p>
        </w:tc>
        <w:tc>
          <w:tcPr>
            <w:tcW w:w="1678" w:type="dxa"/>
            <w:vAlign w:val="center"/>
            <w:textDirection w:val="lrTb"/>
            <w:noWrap w:val="false"/>
          </w:tcPr>
          <w:p>
            <w:pPr>
              <w:pStyle w:val="1089"/>
              <w:jc w:val="center"/>
              <w:spacing w:before="0" w:after="0" w:line="360" w:lineRule="auto"/>
              <w:rPr>
                <w:rFonts w:hint="eastAsia" w:ascii="宋体" w:hAnsi="宋体" w:eastAsia="宋体" w:cs="Times New Roman"/>
                <w:color w:val="auto"/>
                <w:spacing w:val="-1"/>
                <w:sz w:val="24"/>
                <w:szCs w:val="24"/>
                <w:highlight w:val="none"/>
              </w:rPr>
            </w:pPr>
            <w:r>
              <w:rPr>
                <w:rFonts w:ascii="宋体" w:hAnsi="宋体" w:eastAsia="宋体" w:cs="Times New Roman"/>
                <w:color w:val="auto"/>
                <w:spacing w:val="-1"/>
                <w:sz w:val="24"/>
                <w:szCs w:val="24"/>
                <w:highlight w:val="none"/>
              </w:rPr>
              <w:t xml:space="preserve">kW·h</w:t>
            </w:r>
            <w:r/>
          </w:p>
        </w:tc>
        <w:tc>
          <w:tcPr>
            <w:tcW w:w="1857" w:type="dxa"/>
            <w:vAlign w:val="center"/>
            <w:textDirection w:val="lrTb"/>
            <w:noWrap w:val="false"/>
          </w:tcPr>
          <w:p>
            <w:pPr>
              <w:jc w:val="center"/>
              <w:spacing w:line="360" w:lineRule="auto"/>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r>
            <w:r/>
          </w:p>
        </w:tc>
        <w:tc>
          <w:tcPr>
            <w:tcW w:w="1703" w:type="dxa"/>
            <w:vAlign w:val="center"/>
            <w:textDirection w:val="lrTb"/>
            <w:noWrap w:val="false"/>
          </w:tcPr>
          <w:p>
            <w:pPr>
              <w:jc w:val="center"/>
              <w:spacing w:line="360" w:lineRule="auto"/>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r>
            <w:r/>
          </w:p>
        </w:tc>
      </w:tr>
      <w:tr>
        <w:trPr>
          <w:jc w:val="center"/>
          <w:trHeight w:val="338"/>
        </w:trPr>
        <w:tc>
          <w:tcPr>
            <w:tcW w:w="1703" w:type="dxa"/>
            <w:vAlign w:val="center"/>
            <w:textDirection w:val="lrTb"/>
            <w:noWrap w:val="false"/>
          </w:tcPr>
          <w:p>
            <w:pPr>
              <w:pStyle w:val="1089"/>
              <w:jc w:val="center"/>
              <w:spacing w:before="0" w:after="0" w:line="360" w:lineRule="auto"/>
              <w:rPr>
                <w:rFonts w:hint="eastAsia" w:ascii="宋体" w:hAnsi="宋体" w:eastAsia="宋体" w:cs="Times New Roman"/>
                <w:color w:val="auto"/>
                <w:spacing w:val="-1"/>
                <w:sz w:val="24"/>
                <w:szCs w:val="24"/>
                <w:highlight w:val="none"/>
              </w:rPr>
            </w:pPr>
            <w:r>
              <w:rPr>
                <w:rFonts w:ascii="宋体" w:hAnsi="宋体" w:eastAsia="宋体" w:cs="Times New Roman"/>
                <w:color w:val="auto"/>
                <w:spacing w:val="-1"/>
                <w:sz w:val="24"/>
                <w:szCs w:val="24"/>
                <w:highlight w:val="none"/>
              </w:rPr>
              <w:t xml:space="preserve">水</w:t>
            </w:r>
            <w:r/>
          </w:p>
        </w:tc>
        <w:tc>
          <w:tcPr>
            <w:tcW w:w="1678" w:type="dxa"/>
            <w:vAlign w:val="center"/>
            <w:textDirection w:val="lrTb"/>
            <w:noWrap w:val="false"/>
          </w:tcPr>
          <w:p>
            <w:pPr>
              <w:jc w:val="center"/>
              <w:spacing w:line="360" w:lineRule="auto"/>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r>
            <w:r/>
          </w:p>
        </w:tc>
        <w:tc>
          <w:tcPr>
            <w:tcW w:w="1678" w:type="dxa"/>
            <w:vAlign w:val="center"/>
            <w:textDirection w:val="lrTb"/>
            <w:noWrap w:val="false"/>
          </w:tcPr>
          <w:p>
            <w:pPr>
              <w:pStyle w:val="1089"/>
              <w:jc w:val="center"/>
              <w:spacing w:before="0" w:after="0" w:line="360" w:lineRule="auto"/>
              <w:rPr>
                <w:rFonts w:hint="eastAsia" w:ascii="宋体" w:hAnsi="宋体" w:eastAsia="宋体" w:cs="Times New Roman"/>
                <w:color w:val="auto"/>
                <w:spacing w:val="-1"/>
                <w:sz w:val="24"/>
                <w:szCs w:val="24"/>
                <w:highlight w:val="none"/>
              </w:rPr>
            </w:pPr>
            <w:r>
              <w:rPr>
                <w:rFonts w:ascii="宋体" w:hAnsi="宋体" w:eastAsia="宋体" w:cs="Times New Roman"/>
                <w:color w:val="auto"/>
                <w:spacing w:val="-1"/>
                <w:sz w:val="24"/>
                <w:szCs w:val="24"/>
                <w:highlight w:val="none"/>
              </w:rPr>
              <w:t xml:space="preserve">m³</w:t>
            </w:r>
            <w:r/>
          </w:p>
        </w:tc>
        <w:tc>
          <w:tcPr>
            <w:tcW w:w="1857" w:type="dxa"/>
            <w:vAlign w:val="center"/>
            <w:textDirection w:val="lrTb"/>
            <w:noWrap w:val="false"/>
          </w:tcPr>
          <w:p>
            <w:pPr>
              <w:jc w:val="center"/>
              <w:spacing w:line="360" w:lineRule="auto"/>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r>
            <w:r/>
          </w:p>
        </w:tc>
        <w:tc>
          <w:tcPr>
            <w:tcW w:w="1703" w:type="dxa"/>
            <w:vAlign w:val="center"/>
            <w:textDirection w:val="lrTb"/>
            <w:noWrap w:val="false"/>
          </w:tcPr>
          <w:p>
            <w:pPr>
              <w:jc w:val="center"/>
              <w:spacing w:line="360" w:lineRule="auto"/>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r>
            <w:r/>
          </w:p>
        </w:tc>
      </w:tr>
      <w:tr>
        <w:trPr>
          <w:jc w:val="center"/>
          <w:trHeight w:val="319"/>
        </w:trPr>
        <w:tc>
          <w:tcPr>
            <w:tcW w:w="1703" w:type="dxa"/>
            <w:vAlign w:val="center"/>
            <w:textDirection w:val="lrTb"/>
            <w:noWrap w:val="false"/>
          </w:tcPr>
          <w:p>
            <w:pPr>
              <w:pStyle w:val="1089"/>
              <w:jc w:val="center"/>
              <w:spacing w:before="0" w:after="0" w:line="360" w:lineRule="auto"/>
              <w:rPr>
                <w:rFonts w:hint="eastAsia" w:ascii="宋体" w:hAnsi="宋体" w:eastAsia="宋体" w:cs="Times New Roman"/>
                <w:color w:val="auto"/>
                <w:spacing w:val="-1"/>
                <w:sz w:val="24"/>
                <w:szCs w:val="24"/>
                <w:highlight w:val="none"/>
              </w:rPr>
            </w:pPr>
            <w:r>
              <w:rPr>
                <w:rFonts w:ascii="宋体" w:hAnsi="宋体" w:eastAsia="宋体" w:cs="Times New Roman"/>
                <w:color w:val="auto"/>
                <w:spacing w:val="-1"/>
                <w:sz w:val="24"/>
                <w:szCs w:val="24"/>
                <w:highlight w:val="none"/>
              </w:rPr>
              <w:t xml:space="preserve">天然气</w:t>
            </w:r>
            <w:r/>
          </w:p>
        </w:tc>
        <w:tc>
          <w:tcPr>
            <w:tcW w:w="1678" w:type="dxa"/>
            <w:vAlign w:val="center"/>
            <w:textDirection w:val="lrTb"/>
            <w:noWrap w:val="false"/>
          </w:tcPr>
          <w:p>
            <w:pPr>
              <w:jc w:val="center"/>
              <w:spacing w:line="360" w:lineRule="auto"/>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r>
            <w:r/>
          </w:p>
        </w:tc>
        <w:tc>
          <w:tcPr>
            <w:tcW w:w="1678" w:type="dxa"/>
            <w:vAlign w:val="center"/>
            <w:textDirection w:val="lrTb"/>
            <w:noWrap w:val="false"/>
          </w:tcPr>
          <w:p>
            <w:pPr>
              <w:pStyle w:val="1089"/>
              <w:jc w:val="center"/>
              <w:spacing w:before="0" w:after="0" w:line="360" w:lineRule="auto"/>
              <w:rPr>
                <w:rFonts w:hint="eastAsia" w:ascii="宋体" w:hAnsi="宋体" w:eastAsia="宋体" w:cs="Times New Roman"/>
                <w:color w:val="auto"/>
                <w:spacing w:val="-1"/>
                <w:sz w:val="24"/>
                <w:szCs w:val="24"/>
                <w:highlight w:val="none"/>
              </w:rPr>
            </w:pPr>
            <w:r>
              <w:rPr>
                <w:rFonts w:ascii="宋体" w:hAnsi="宋体" w:eastAsia="宋体" w:cs="Times New Roman"/>
                <w:color w:val="auto"/>
                <w:spacing w:val="-1"/>
                <w:sz w:val="24"/>
                <w:szCs w:val="24"/>
                <w:highlight w:val="none"/>
              </w:rPr>
              <w:t xml:space="preserve">m³</w:t>
            </w:r>
            <w:r/>
          </w:p>
        </w:tc>
        <w:tc>
          <w:tcPr>
            <w:tcW w:w="1857" w:type="dxa"/>
            <w:vAlign w:val="center"/>
            <w:textDirection w:val="lrTb"/>
            <w:noWrap w:val="false"/>
          </w:tcPr>
          <w:p>
            <w:pPr>
              <w:jc w:val="center"/>
              <w:spacing w:line="360" w:lineRule="auto"/>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r>
            <w:r/>
          </w:p>
        </w:tc>
        <w:tc>
          <w:tcPr>
            <w:tcW w:w="1703" w:type="dxa"/>
            <w:vAlign w:val="center"/>
            <w:textDirection w:val="lrTb"/>
            <w:noWrap w:val="false"/>
          </w:tcPr>
          <w:p>
            <w:pPr>
              <w:jc w:val="center"/>
              <w:spacing w:line="360" w:lineRule="auto"/>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r>
            <w:r/>
          </w:p>
        </w:tc>
      </w:tr>
      <w:tr>
        <w:trPr>
          <w:jc w:val="center"/>
          <w:trHeight w:val="318"/>
        </w:trPr>
        <w:tc>
          <w:tcPr>
            <w:tcW w:w="1703" w:type="dxa"/>
            <w:vAlign w:val="center"/>
            <w:textDirection w:val="lrTb"/>
            <w:noWrap w:val="false"/>
          </w:tcPr>
          <w:p>
            <w:pPr>
              <w:pStyle w:val="1089"/>
              <w:jc w:val="center"/>
              <w:spacing w:before="0" w:after="0" w:line="360" w:lineRule="auto"/>
              <w:rPr>
                <w:rFonts w:hint="eastAsia" w:ascii="宋体" w:hAnsi="宋体" w:eastAsia="宋体" w:cs="Times New Roman"/>
                <w:color w:val="auto"/>
                <w:spacing w:val="-1"/>
                <w:sz w:val="24"/>
                <w:szCs w:val="24"/>
                <w:highlight w:val="none"/>
              </w:rPr>
            </w:pPr>
            <w:r>
              <w:rPr>
                <w:rFonts w:ascii="宋体" w:hAnsi="宋体" w:eastAsia="宋体" w:cs="Times New Roman"/>
                <w:color w:val="auto"/>
                <w:spacing w:val="-1"/>
                <w:sz w:val="24"/>
                <w:szCs w:val="24"/>
                <w:highlight w:val="none"/>
              </w:rPr>
              <w:t xml:space="preserve">蒸汽</w:t>
            </w:r>
            <w:r/>
          </w:p>
        </w:tc>
        <w:tc>
          <w:tcPr>
            <w:tcW w:w="1678" w:type="dxa"/>
            <w:vAlign w:val="center"/>
            <w:textDirection w:val="lrTb"/>
            <w:noWrap w:val="false"/>
          </w:tcPr>
          <w:p>
            <w:pPr>
              <w:jc w:val="center"/>
              <w:spacing w:line="360" w:lineRule="auto"/>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r>
            <w:r/>
          </w:p>
        </w:tc>
        <w:tc>
          <w:tcPr>
            <w:tcW w:w="1678" w:type="dxa"/>
            <w:vAlign w:val="center"/>
            <w:textDirection w:val="lrTb"/>
            <w:noWrap w:val="false"/>
          </w:tcPr>
          <w:p>
            <w:pPr>
              <w:pStyle w:val="1089"/>
              <w:jc w:val="center"/>
              <w:spacing w:before="0" w:after="0" w:line="360" w:lineRule="auto"/>
              <w:rPr>
                <w:rFonts w:hint="eastAsia" w:ascii="宋体" w:hAnsi="宋体" w:eastAsia="宋体" w:cs="Times New Roman"/>
                <w:color w:val="auto"/>
                <w:spacing w:val="-1"/>
                <w:sz w:val="24"/>
                <w:szCs w:val="24"/>
                <w:highlight w:val="none"/>
              </w:rPr>
            </w:pPr>
            <w:r>
              <w:rPr>
                <w:rFonts w:ascii="宋体" w:hAnsi="宋体" w:eastAsia="宋体" w:cs="Times New Roman"/>
                <w:color w:val="auto"/>
                <w:spacing w:val="-1"/>
                <w:sz w:val="24"/>
                <w:szCs w:val="24"/>
                <w:highlight w:val="none"/>
              </w:rPr>
              <w:t xml:space="preserve">t 或 m ³</w:t>
            </w:r>
            <w:r/>
          </w:p>
        </w:tc>
        <w:tc>
          <w:tcPr>
            <w:tcW w:w="1857" w:type="dxa"/>
            <w:vAlign w:val="center"/>
            <w:textDirection w:val="lrTb"/>
            <w:noWrap w:val="false"/>
          </w:tcPr>
          <w:p>
            <w:pPr>
              <w:jc w:val="center"/>
              <w:spacing w:line="360" w:lineRule="auto"/>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r>
            <w:r/>
          </w:p>
        </w:tc>
        <w:tc>
          <w:tcPr>
            <w:tcW w:w="1703" w:type="dxa"/>
            <w:vAlign w:val="center"/>
            <w:textDirection w:val="lrTb"/>
            <w:noWrap w:val="false"/>
          </w:tcPr>
          <w:p>
            <w:pPr>
              <w:jc w:val="center"/>
              <w:spacing w:line="360" w:lineRule="auto"/>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r>
            <w:r/>
          </w:p>
        </w:tc>
      </w:tr>
      <w:tr>
        <w:trPr>
          <w:jc w:val="center"/>
          <w:trHeight w:val="333"/>
        </w:trPr>
        <w:tc>
          <w:tcPr>
            <w:tcW w:w="1703" w:type="dxa"/>
            <w:vAlign w:val="center"/>
            <w:textDirection w:val="lrTb"/>
            <w:noWrap w:val="false"/>
          </w:tcPr>
          <w:p>
            <w:pPr>
              <w:pStyle w:val="1089"/>
              <w:jc w:val="center"/>
              <w:spacing w:before="0" w:after="0" w:line="360" w:lineRule="auto"/>
              <w:rPr>
                <w:rFonts w:hint="eastAsia" w:ascii="宋体" w:hAnsi="宋体" w:eastAsia="宋体" w:cs="Times New Roman"/>
                <w:color w:val="auto"/>
                <w:spacing w:val="-1"/>
                <w:sz w:val="24"/>
                <w:szCs w:val="24"/>
                <w:highlight w:val="none"/>
              </w:rPr>
            </w:pPr>
            <w:r>
              <w:rPr>
                <w:rFonts w:ascii="宋体" w:hAnsi="宋体" w:eastAsia="宋体" w:cs="Times New Roman"/>
                <w:color w:val="auto"/>
                <w:spacing w:val="-1"/>
                <w:sz w:val="24"/>
                <w:szCs w:val="24"/>
                <w:highlight w:val="none"/>
              </w:rPr>
              <w:t xml:space="preserve">合计</w:t>
            </w:r>
            <w:r/>
          </w:p>
        </w:tc>
        <w:tc>
          <w:tcPr>
            <w:tcW w:w="1678" w:type="dxa"/>
            <w:vAlign w:val="center"/>
            <w:textDirection w:val="lrTb"/>
            <w:noWrap w:val="false"/>
          </w:tcPr>
          <w:p>
            <w:pPr>
              <w:jc w:val="center"/>
              <w:spacing w:line="360" w:lineRule="auto"/>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r>
            <w:r/>
          </w:p>
        </w:tc>
        <w:tc>
          <w:tcPr>
            <w:tcW w:w="1678" w:type="dxa"/>
            <w:vAlign w:val="center"/>
            <w:textDirection w:val="lrTb"/>
            <w:noWrap w:val="false"/>
          </w:tcPr>
          <w:p>
            <w:pPr>
              <w:jc w:val="center"/>
              <w:spacing w:line="360" w:lineRule="auto"/>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r>
            <w:r/>
          </w:p>
        </w:tc>
        <w:tc>
          <w:tcPr>
            <w:tcW w:w="1857" w:type="dxa"/>
            <w:vAlign w:val="center"/>
            <w:textDirection w:val="lrTb"/>
            <w:noWrap w:val="false"/>
          </w:tcPr>
          <w:p>
            <w:pPr>
              <w:jc w:val="center"/>
              <w:spacing w:line="360" w:lineRule="auto"/>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r>
            <w:r/>
          </w:p>
        </w:tc>
        <w:tc>
          <w:tcPr>
            <w:tcW w:w="1703" w:type="dxa"/>
            <w:vAlign w:val="center"/>
            <w:textDirection w:val="lrTb"/>
            <w:noWrap w:val="false"/>
          </w:tcPr>
          <w:p>
            <w:pPr>
              <w:jc w:val="center"/>
              <w:spacing w:line="360" w:lineRule="auto"/>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r>
            <w:r/>
          </w:p>
        </w:tc>
      </w:tr>
    </w:tbl>
    <w:p>
      <w:pPr>
        <w:ind w:left="402"/>
        <w:spacing w:line="360" w:lineRule="auto"/>
        <w:rPr>
          <w:rFonts w:hint="eastAsia" w:ascii="宋体" w:hAnsi="宋体" w:cs="黑体"/>
          <w:b/>
          <w:bCs/>
          <w:color w:val="auto"/>
          <w:sz w:val="24"/>
          <w:szCs w:val="24"/>
          <w:highlight w:val="none"/>
        </w:rPr>
      </w:pPr>
      <w:r>
        <w:rPr>
          <w:rFonts w:ascii="宋体" w:hAnsi="宋体" w:cs="黑体"/>
          <w:b/>
          <w:bCs/>
          <w:color w:val="auto"/>
          <w:sz w:val="24"/>
          <w:szCs w:val="24"/>
          <w:highlight w:val="none"/>
        </w:rPr>
        <w:t xml:space="preserve">第四条  节能目标</w:t>
      </w:r>
      <w:r/>
    </w:p>
    <w:p>
      <w:pPr>
        <w:ind w:right="327" w:firstLine="399"/>
        <w:spacing w:line="360" w:lineRule="auto"/>
        <w:rPr>
          <w:rFonts w:hint="eastAsia" w:ascii="宋体" w:hAnsi="宋体" w:cs="宋体"/>
          <w:sz w:val="24"/>
          <w:szCs w:val="24"/>
        </w:rPr>
      </w:pPr>
      <w:r>
        <w:rPr>
          <w:rFonts w:ascii="宋体" w:hAnsi="宋体" w:cs="宋体"/>
          <w:color w:val="auto"/>
          <w:spacing w:val="4"/>
          <w:sz w:val="24"/>
          <w:szCs w:val="24"/>
          <w:highlight w:val="none"/>
        </w:rPr>
        <w:t xml:space="preserve">4.1</w:t>
      </w:r>
      <w:r>
        <w:rPr>
          <w:rFonts w:hint="eastAsia" w:ascii="宋体" w:hAnsi="宋体" w:cs="宋体"/>
          <w:color w:val="auto"/>
          <w:spacing w:val="4"/>
          <w:sz w:val="24"/>
          <w:szCs w:val="24"/>
          <w:highlight w:val="none"/>
        </w:rPr>
        <w:t xml:space="preserve"> </w:t>
      </w:r>
      <w:r>
        <w:rPr>
          <w:rFonts w:ascii="宋体" w:hAnsi="宋体" w:cs="宋体"/>
          <w:color w:val="auto"/>
          <w:spacing w:val="4"/>
          <w:sz w:val="24"/>
          <w:szCs w:val="24"/>
          <w:highlight w:val="none"/>
        </w:rPr>
        <w:t xml:space="preserve"> 在满足同等需求或达到同等目标的前提下，托管期间的年节能量</w:t>
      </w:r>
      <w:r>
        <w:rPr>
          <w:rFonts w:ascii="宋体" w:hAnsi="宋体" w:cs="宋体"/>
          <w:spacing w:val="4"/>
          <w:sz w:val="24"/>
          <w:szCs w:val="24"/>
        </w:rPr>
        <w:t xml:space="preserve">与基准期能源用量之比应达</w:t>
      </w:r>
      <w:r>
        <w:rPr>
          <w:rFonts w:ascii="宋体" w:hAnsi="宋体" w:cs="宋体"/>
          <w:spacing w:val="9"/>
          <w:sz w:val="24"/>
          <w:szCs w:val="24"/>
        </w:rPr>
        <w:t xml:space="preserve">到</w:t>
      </w:r>
      <w:r>
        <w:rPr>
          <w:rFonts w:ascii="宋体" w:hAnsi="宋体" w:cs="宋体"/>
          <w:spacing w:val="12"/>
          <w:sz w:val="24"/>
          <w:szCs w:val="24"/>
          <w:u w:val="single"/>
        </w:rPr>
        <w:t xml:space="preserve">    </w:t>
      </w:r>
      <w:r>
        <w:rPr>
          <w:rFonts w:ascii="宋体" w:hAnsi="宋体" w:cs="宋体"/>
          <w:spacing w:val="-84"/>
          <w:sz w:val="24"/>
          <w:szCs w:val="24"/>
        </w:rPr>
        <w:t xml:space="preserve"> </w:t>
      </w:r>
      <w:r>
        <w:rPr>
          <w:rFonts w:ascii="宋体" w:hAnsi="宋体" w:cs="宋体"/>
          <w:spacing w:val="9"/>
          <w:sz w:val="24"/>
          <w:szCs w:val="24"/>
        </w:rPr>
        <w:t xml:space="preserve">%(节能率)。</w:t>
      </w:r>
      <w:r/>
    </w:p>
    <w:p>
      <w:pPr>
        <w:ind w:right="239" w:firstLine="399"/>
        <w:spacing w:line="360" w:lineRule="auto"/>
        <w:rPr>
          <w:rFonts w:hint="eastAsia" w:ascii="宋体" w:hAnsi="宋体" w:cs="宋体"/>
          <w:color w:val="auto"/>
          <w:sz w:val="24"/>
          <w:szCs w:val="24"/>
        </w:rPr>
      </w:pPr>
      <w:r>
        <w:rPr>
          <w:rFonts w:ascii="宋体" w:hAnsi="宋体" w:cs="宋体"/>
          <w:spacing w:val="6"/>
          <w:sz w:val="24"/>
          <w:szCs w:val="24"/>
        </w:rPr>
        <w:t xml:space="preserve">4.</w:t>
      </w:r>
      <w:r>
        <w:rPr>
          <w:rFonts w:ascii="宋体" w:hAnsi="宋体" w:cs="宋体"/>
          <w:spacing w:val="4"/>
          <w:sz w:val="24"/>
          <w:szCs w:val="24"/>
        </w:rPr>
        <w:t xml:space="preserve">2 </w:t>
      </w:r>
      <w:r>
        <w:rPr>
          <w:rFonts w:hint="eastAsia" w:ascii="宋体" w:hAnsi="宋体" w:cs="宋体"/>
          <w:spacing w:val="4"/>
          <w:sz w:val="24"/>
          <w:szCs w:val="24"/>
        </w:rPr>
        <w:t xml:space="preserve"> </w:t>
      </w:r>
      <w:r>
        <w:rPr>
          <w:rFonts w:ascii="宋体" w:hAnsi="宋体" w:cs="宋体"/>
          <w:spacing w:val="4"/>
          <w:sz w:val="24"/>
          <w:szCs w:val="24"/>
        </w:rPr>
        <w:t xml:space="preserve">如果在</w:t>
      </w:r>
      <w:r>
        <w:rPr>
          <w:rFonts w:ascii="宋体" w:hAnsi="宋体" w:cs="宋体"/>
          <w:spacing w:val="6"/>
          <w:sz w:val="24"/>
          <w:szCs w:val="24"/>
        </w:rPr>
        <w:t xml:space="preserve">托管期间需要进行中期评估或托管结束时进行节能效果评估</w:t>
      </w:r>
      <w:r>
        <w:rPr>
          <w:rFonts w:ascii="宋体" w:hAnsi="宋体" w:cs="宋体"/>
          <w:color w:val="auto"/>
          <w:spacing w:val="5"/>
          <w:sz w:val="24"/>
          <w:szCs w:val="24"/>
        </w:rPr>
        <w:t xml:space="preserve">，可以委托第三方评估，</w:t>
      </w:r>
      <w:r>
        <w:rPr>
          <w:rFonts w:ascii="宋体" w:hAnsi="宋体" w:cs="宋体"/>
          <w:color w:val="auto"/>
          <w:spacing w:val="3"/>
          <w:sz w:val="24"/>
          <w:szCs w:val="24"/>
        </w:rPr>
        <w:t xml:space="preserve">或双方协商评估。节能效果评估费用由</w:t>
      </w:r>
      <w:r>
        <w:rPr>
          <w:rFonts w:ascii="宋体" w:hAnsi="宋体" w:cs="宋体"/>
          <w:color w:val="auto"/>
          <w:spacing w:val="3"/>
          <w:sz w:val="24"/>
          <w:szCs w:val="24"/>
          <w:u w:val="single"/>
        </w:rPr>
        <w:t xml:space="preserve">    </w:t>
      </w:r>
      <w:r>
        <w:rPr>
          <w:rFonts w:ascii="宋体" w:hAnsi="宋体" w:cs="宋体"/>
          <w:color w:val="auto"/>
          <w:spacing w:val="3"/>
          <w:sz w:val="24"/>
          <w:szCs w:val="24"/>
        </w:rPr>
        <w:t xml:space="preserve">方承担。</w:t>
      </w:r>
      <w:r/>
    </w:p>
    <w:p>
      <w:pPr>
        <w:ind w:left="399"/>
        <w:spacing w:line="360" w:lineRule="auto"/>
        <w:rPr>
          <w:rFonts w:hint="eastAsia" w:ascii="宋体" w:hAnsi="宋体"/>
          <w:color w:val="auto"/>
          <w:sz w:val="24"/>
          <w:szCs w:val="24"/>
        </w:rPr>
      </w:pPr>
      <w:r>
        <w:rPr>
          <w:rFonts w:ascii="宋体" w:hAnsi="宋体" w:cs="宋体"/>
          <w:color w:val="auto"/>
          <w:spacing w:val="4"/>
          <w:sz w:val="24"/>
          <w:szCs w:val="24"/>
        </w:rPr>
        <w:t xml:space="preserve">4.3 </w:t>
      </w:r>
      <w:r>
        <w:rPr>
          <w:rFonts w:hint="eastAsia" w:ascii="宋体" w:hAnsi="宋体" w:cs="宋体"/>
          <w:color w:val="auto"/>
          <w:spacing w:val="4"/>
          <w:sz w:val="24"/>
          <w:szCs w:val="24"/>
        </w:rPr>
        <w:t xml:space="preserve"> </w:t>
      </w:r>
      <w:r>
        <w:rPr>
          <w:rFonts w:ascii="宋体" w:hAnsi="宋体" w:cs="宋体"/>
          <w:color w:val="auto"/>
          <w:spacing w:val="4"/>
          <w:sz w:val="24"/>
          <w:szCs w:val="24"/>
        </w:rPr>
        <w:t xml:space="preserve">节能目标(根据项目实际情况举例)：</w:t>
      </w:r>
      <w:r>
        <w:rPr>
          <w:rFonts w:ascii="宋体" w:hAnsi="宋体" w:cs="宋体"/>
          <w:color w:val="auto"/>
          <w:spacing w:val="4"/>
          <w:sz w:val="24"/>
          <w:szCs w:val="24"/>
          <w:u w:val="single"/>
        </w:rPr>
        <w:t xml:space="preserve"> </w:t>
      </w:r>
      <w:r>
        <w:rPr>
          <w:rFonts w:hint="eastAsia" w:ascii="宋体" w:hAnsi="宋体" w:cs="宋体"/>
          <w:color w:val="auto"/>
          <w:spacing w:val="4"/>
          <w:sz w:val="24"/>
          <w:szCs w:val="24"/>
          <w:u w:val="single"/>
        </w:rPr>
        <w:t xml:space="preserve">年节能率不低于10%</w:t>
      </w:r>
      <w:r>
        <w:rPr>
          <w:rFonts w:ascii="宋体" w:hAnsi="宋体" w:cs="宋体"/>
          <w:color w:val="auto"/>
          <w:spacing w:val="4"/>
          <w:sz w:val="24"/>
          <w:szCs w:val="24"/>
          <w:u w:val="single"/>
        </w:rPr>
        <w:t xml:space="preserve">  </w:t>
      </w:r>
      <w:r>
        <w:rPr>
          <w:rFonts w:ascii="宋体" w:hAnsi="宋体" w:cs="宋体"/>
          <w:color w:val="auto"/>
          <w:spacing w:val="-92"/>
          <w:sz w:val="24"/>
          <w:szCs w:val="24"/>
        </w:rPr>
        <w:t xml:space="preserve"> </w:t>
      </w:r>
      <w:r>
        <w:rPr>
          <w:rFonts w:ascii="宋体" w:hAnsi="宋体"/>
          <w:color w:val="auto"/>
          <w:spacing w:val="4"/>
          <w:sz w:val="24"/>
          <w:szCs w:val="24"/>
        </w:rPr>
        <w:t xml:space="preserve">。</w:t>
      </w:r>
      <w:r/>
    </w:p>
    <w:p>
      <w:pPr>
        <w:ind w:left="399"/>
        <w:spacing w:line="360" w:lineRule="auto"/>
        <w:rPr>
          <w:rFonts w:hint="eastAsia" w:ascii="宋体" w:hAnsi="宋体" w:cs="宋体"/>
          <w:color w:val="000000" w:themeColor="text1"/>
          <w:spacing w:val="4"/>
          <w:sz w:val="24"/>
          <w:szCs w:val="24"/>
          <w:u w:val="single"/>
          <w14:textFill>
            <w14:solidFill>
              <w14:schemeClr w14:val="tx1"/>
            </w14:solidFill>
          </w14:textFill>
        </w:rPr>
      </w:pPr>
      <w:r>
        <w:rPr>
          <w:rFonts w:ascii="宋体" w:hAnsi="宋体" w:cs="宋体"/>
          <w:color w:val="auto"/>
          <w:spacing w:val="4"/>
          <w:sz w:val="24"/>
          <w:szCs w:val="24"/>
        </w:rPr>
        <w:t xml:space="preserve">4.4 达到节能目标的奖励：</w:t>
      </w:r>
      <w:r>
        <w:rPr>
          <w:rFonts w:hint="eastAsia" w:ascii="宋体" w:hAnsi="宋体" w:cs="宋体"/>
          <w:color w:val="auto"/>
          <w:spacing w:val="4"/>
          <w:sz w:val="24"/>
          <w:szCs w:val="24"/>
          <w:u w:val="single"/>
        </w:rPr>
        <w:t xml:space="preserve">以第一次能源审计报告（能耗基准核定报告）中的能源基准为标准、以年节能率10%为基数，托管期间年节能率每减少1%，扣除5万元。费用在次年1月能源费用支付时一次性体现</w:t>
      </w:r>
      <w:r>
        <w:rPr>
          <w:rFonts w:hint="eastAsia" w:ascii="宋体" w:hAnsi="宋体" w:cs="宋体"/>
          <w:color w:val="000000" w:themeColor="text1"/>
          <w:spacing w:val="4"/>
          <w:sz w:val="24"/>
          <w:szCs w:val="24"/>
          <w:u w:val="single"/>
          <w14:textFill>
            <w14:solidFill>
              <w14:schemeClr w14:val="tx1"/>
            </w14:solidFill>
          </w14:textFill>
        </w:rPr>
        <w:t xml:space="preserve">。</w:t>
      </w:r>
      <w:r/>
    </w:p>
    <w:p>
      <w:pPr>
        <w:ind w:left="402"/>
        <w:spacing w:line="360" w:lineRule="auto"/>
        <w:rPr>
          <w:rFonts w:hint="eastAsia" w:ascii="宋体" w:hAnsi="宋体" w:cs="黑体"/>
          <w:b/>
          <w:bCs/>
          <w:sz w:val="24"/>
          <w:szCs w:val="24"/>
        </w:rPr>
      </w:pPr>
      <w:r>
        <w:rPr>
          <w:rFonts w:ascii="宋体" w:hAnsi="宋体" w:cs="黑体"/>
          <w:b/>
          <w:bCs/>
          <w:sz w:val="24"/>
          <w:szCs w:val="24"/>
        </w:rPr>
        <w:t xml:space="preserve">第五条  托管期限</w:t>
      </w:r>
      <w:r/>
    </w:p>
    <w:p>
      <w:pPr>
        <w:ind w:firstLine="399"/>
        <w:spacing w:line="360" w:lineRule="auto"/>
        <w:tabs>
          <w:tab w:val="left" w:pos="429" w:leader="none"/>
        </w:tabs>
        <w:rPr>
          <w:rFonts w:hint="eastAsia" w:ascii="宋体" w:hAnsi="宋体" w:cs="宋体"/>
          <w:spacing w:val="-13"/>
          <w:sz w:val="24"/>
          <w:szCs w:val="24"/>
          <w:u w:val="single"/>
        </w:rPr>
      </w:pPr>
      <w:r>
        <w:rPr>
          <w:rFonts w:ascii="宋体" w:hAnsi="宋体" w:cs="宋体"/>
          <w:spacing w:val="-13"/>
          <w:sz w:val="24"/>
          <w:szCs w:val="24"/>
        </w:rPr>
        <w:t xml:space="preserve">5.</w:t>
      </w:r>
      <w:r>
        <w:rPr>
          <w:rFonts w:ascii="宋体" w:hAnsi="宋体" w:cs="宋体"/>
          <w:spacing w:val="4"/>
          <w:sz w:val="24"/>
          <w:szCs w:val="24"/>
        </w:rPr>
        <w:t xml:space="preserve">1  本项目</w:t>
      </w:r>
      <w:r>
        <w:rPr>
          <w:rFonts w:ascii="宋体" w:hAnsi="宋体" w:cs="宋体"/>
          <w:spacing w:val="-13"/>
          <w:sz w:val="24"/>
          <w:szCs w:val="24"/>
        </w:rPr>
        <w:t xml:space="preserve">的建设期为</w:t>
      </w:r>
      <w:r>
        <w:rPr>
          <w:rFonts w:ascii="宋体" w:hAnsi="宋体" w:cs="宋体"/>
          <w:spacing w:val="-13"/>
          <w:sz w:val="24"/>
          <w:szCs w:val="24"/>
          <w:u w:val="single"/>
        </w:rPr>
        <w:t xml:space="preserve">   </w:t>
      </w:r>
      <w:r>
        <w:rPr>
          <w:rFonts w:ascii="宋体" w:hAnsi="宋体" w:cs="宋体"/>
          <w:spacing w:val="-13"/>
          <w:sz w:val="24"/>
          <w:szCs w:val="24"/>
        </w:rPr>
        <w:t xml:space="preserve">天，自</w:t>
      </w:r>
      <w:r>
        <w:rPr>
          <w:rFonts w:ascii="宋体" w:hAnsi="宋体" w:cs="宋体"/>
          <w:spacing w:val="-13"/>
          <w:sz w:val="24"/>
          <w:szCs w:val="24"/>
          <w:u w:val="single"/>
        </w:rPr>
        <w:t xml:space="preserve"> </w:t>
      </w:r>
      <w:r>
        <w:rPr>
          <w:rFonts w:hint="eastAsia" w:ascii="宋体" w:hAnsi="宋体" w:cs="宋体"/>
          <w:spacing w:val="-13"/>
          <w:sz w:val="24"/>
          <w:szCs w:val="24"/>
          <w:u w:val="single"/>
        </w:rPr>
        <w:t xml:space="preserve"> </w:t>
      </w:r>
      <w:r>
        <w:rPr>
          <w:rFonts w:ascii="宋体" w:hAnsi="宋体" w:cs="宋体"/>
          <w:spacing w:val="-13"/>
          <w:sz w:val="24"/>
          <w:szCs w:val="24"/>
          <w:u w:val="single"/>
        </w:rPr>
        <w:t xml:space="preserve"> </w:t>
      </w:r>
      <w:r>
        <w:rPr>
          <w:rFonts w:ascii="宋体" w:hAnsi="宋体" w:cs="宋体"/>
          <w:spacing w:val="-13"/>
          <w:sz w:val="24"/>
          <w:szCs w:val="24"/>
        </w:rPr>
        <w:t xml:space="preserve">年</w:t>
      </w:r>
      <w:r>
        <w:rPr>
          <w:rFonts w:ascii="宋体" w:hAnsi="宋体" w:cs="宋体"/>
          <w:spacing w:val="-13"/>
          <w:sz w:val="24"/>
          <w:szCs w:val="24"/>
          <w:u w:val="single"/>
        </w:rPr>
        <w:t xml:space="preserve"> </w:t>
      </w:r>
      <w:r>
        <w:rPr>
          <w:rFonts w:hint="eastAsia" w:ascii="宋体" w:hAnsi="宋体" w:cs="宋体"/>
          <w:spacing w:val="-13"/>
          <w:sz w:val="24"/>
          <w:szCs w:val="24"/>
          <w:u w:val="single"/>
        </w:rPr>
        <w:t xml:space="preserve"> </w:t>
      </w:r>
      <w:r>
        <w:rPr>
          <w:rFonts w:ascii="宋体" w:hAnsi="宋体" w:cs="宋体"/>
          <w:spacing w:val="-13"/>
          <w:sz w:val="24"/>
          <w:szCs w:val="24"/>
          <w:u w:val="single"/>
        </w:rPr>
        <w:t xml:space="preserve"> </w:t>
      </w:r>
      <w:r>
        <w:rPr>
          <w:rFonts w:ascii="宋体" w:hAnsi="宋体" w:cs="宋体"/>
          <w:spacing w:val="-13"/>
          <w:sz w:val="24"/>
          <w:szCs w:val="24"/>
        </w:rPr>
        <w:t xml:space="preserve">月</w:t>
      </w:r>
      <w:r>
        <w:rPr>
          <w:rFonts w:ascii="宋体" w:hAnsi="宋体" w:cs="宋体"/>
          <w:spacing w:val="-13"/>
          <w:sz w:val="24"/>
          <w:szCs w:val="24"/>
          <w:u w:val="single"/>
        </w:rPr>
        <w:t xml:space="preserve">   </w:t>
      </w:r>
      <w:r>
        <w:rPr>
          <w:rFonts w:ascii="宋体" w:hAnsi="宋体" w:cs="宋体"/>
          <w:spacing w:val="-13"/>
          <w:sz w:val="24"/>
          <w:szCs w:val="24"/>
        </w:rPr>
        <w:t xml:space="preserve">日(以开工令为准)，至</w:t>
      </w:r>
      <w:r>
        <w:rPr>
          <w:rFonts w:ascii="宋体" w:hAnsi="宋体" w:cs="宋体"/>
          <w:spacing w:val="-13"/>
          <w:sz w:val="24"/>
          <w:szCs w:val="24"/>
          <w:u w:val="single"/>
        </w:rPr>
        <w:t xml:space="preserve">      </w:t>
      </w:r>
      <w:r>
        <w:rPr>
          <w:rFonts w:ascii="宋体" w:hAnsi="宋体" w:cs="宋体"/>
          <w:spacing w:val="-13"/>
          <w:sz w:val="24"/>
          <w:szCs w:val="24"/>
        </w:rPr>
        <w:t xml:space="preserve">年</w:t>
      </w:r>
      <w:r>
        <w:rPr>
          <w:rFonts w:ascii="宋体" w:hAnsi="宋体" w:cs="宋体"/>
          <w:spacing w:val="-82"/>
          <w:sz w:val="24"/>
          <w:szCs w:val="24"/>
        </w:rPr>
        <w:t xml:space="preserve"> </w:t>
      </w:r>
      <w:r>
        <w:rPr>
          <w:rFonts w:ascii="宋体" w:hAnsi="宋体" w:cs="宋体"/>
          <w:spacing w:val="-13"/>
          <w:sz w:val="24"/>
          <w:szCs w:val="24"/>
          <w:u w:val="single"/>
        </w:rPr>
        <w:t xml:space="preserve">     </w:t>
      </w:r>
      <w:r>
        <w:rPr>
          <w:rFonts w:ascii="宋体" w:hAnsi="宋体" w:cs="宋体"/>
          <w:spacing w:val="-13"/>
          <w:sz w:val="24"/>
          <w:szCs w:val="24"/>
        </w:rPr>
        <w:t xml:space="preserve">月</w:t>
      </w:r>
      <w:r>
        <w:rPr>
          <w:rFonts w:ascii="宋体" w:hAnsi="宋体" w:cs="宋体"/>
          <w:spacing w:val="20"/>
          <w:sz w:val="24"/>
          <w:szCs w:val="24"/>
          <w:u w:val="single"/>
        </w:rPr>
        <w:t xml:space="preserve"> </w:t>
      </w:r>
      <w:r>
        <w:rPr>
          <w:rFonts w:ascii="宋体" w:hAnsi="宋体" w:cs="宋体"/>
          <w:spacing w:val="-13"/>
          <w:sz w:val="24"/>
          <w:szCs w:val="24"/>
          <w:u w:val="single"/>
        </w:rPr>
        <w:t xml:space="preserve">   </w:t>
      </w:r>
      <w:r>
        <w:rPr>
          <w:rFonts w:ascii="宋体" w:hAnsi="宋体" w:cs="宋体"/>
          <w:spacing w:val="-13"/>
          <w:sz w:val="24"/>
          <w:szCs w:val="24"/>
        </w:rPr>
        <w:t xml:space="preserve">日。</w:t>
      </w:r>
      <w:r>
        <w:rPr>
          <w:rFonts w:ascii="宋体" w:hAnsi="宋体" w:cs="宋体"/>
          <w:spacing w:val="-8"/>
          <w:sz w:val="24"/>
          <w:szCs w:val="24"/>
        </w:rPr>
        <w:t xml:space="preserve">托管期限为</w:t>
      </w:r>
      <w:r>
        <w:rPr>
          <w:rFonts w:ascii="宋体" w:hAnsi="宋体" w:cs="宋体"/>
          <w:spacing w:val="-65"/>
          <w:sz w:val="24"/>
          <w:szCs w:val="24"/>
        </w:rPr>
        <w:t xml:space="preserve"> </w:t>
      </w:r>
      <w:r>
        <w:rPr>
          <w:rFonts w:ascii="宋体" w:hAnsi="宋体" w:cs="宋体"/>
          <w:spacing w:val="-13"/>
          <w:sz w:val="24"/>
          <w:szCs w:val="24"/>
          <w:u w:val="single"/>
        </w:rPr>
        <w:t xml:space="preserve">   </w:t>
      </w:r>
      <w:r>
        <w:rPr>
          <w:rFonts w:ascii="宋体" w:hAnsi="宋体" w:cs="宋体"/>
          <w:spacing w:val="-8"/>
          <w:sz w:val="24"/>
          <w:szCs w:val="24"/>
        </w:rPr>
        <w:t xml:space="preserve">年，自项目移交之日起至托管期限届满(即</w:t>
      </w:r>
      <w:r>
        <w:rPr>
          <w:rFonts w:ascii="宋体" w:hAnsi="宋体" w:cs="宋体"/>
          <w:spacing w:val="-94"/>
          <w:sz w:val="24"/>
          <w:szCs w:val="24"/>
        </w:rPr>
        <w:t xml:space="preserve"> </w:t>
      </w:r>
      <w:r>
        <w:rPr>
          <w:rFonts w:ascii="宋体" w:hAnsi="宋体" w:cs="宋体"/>
          <w:spacing w:val="-13"/>
          <w:sz w:val="24"/>
          <w:szCs w:val="24"/>
          <w:u w:val="single"/>
        </w:rPr>
        <w:t xml:space="preserve">  </w:t>
      </w:r>
      <w:r>
        <w:rPr>
          <w:rFonts w:hint="eastAsia" w:ascii="宋体" w:hAnsi="宋体" w:cs="宋体"/>
          <w:spacing w:val="-13"/>
          <w:sz w:val="24"/>
          <w:szCs w:val="24"/>
          <w:u w:val="single"/>
        </w:rPr>
        <w:t xml:space="preserve"> </w:t>
      </w:r>
      <w:r>
        <w:rPr>
          <w:rFonts w:ascii="宋体" w:hAnsi="宋体" w:cs="宋体"/>
          <w:spacing w:val="-8"/>
          <w:sz w:val="24"/>
          <w:szCs w:val="24"/>
        </w:rPr>
        <w:t xml:space="preserve">年</w:t>
      </w:r>
      <w:r>
        <w:rPr>
          <w:rFonts w:ascii="宋体" w:hAnsi="宋体" w:cs="宋体"/>
          <w:spacing w:val="-13"/>
          <w:sz w:val="24"/>
          <w:szCs w:val="24"/>
          <w:u w:val="single"/>
        </w:rPr>
        <w:t xml:space="preserve">   </w:t>
      </w:r>
      <w:r>
        <w:rPr>
          <w:rFonts w:ascii="宋体" w:hAnsi="宋体" w:cs="宋体"/>
          <w:spacing w:val="-8"/>
          <w:sz w:val="24"/>
          <w:szCs w:val="24"/>
        </w:rPr>
        <w:t xml:space="preserve">月</w:t>
      </w:r>
      <w:r>
        <w:rPr>
          <w:rFonts w:ascii="宋体" w:hAnsi="宋体" w:cs="宋体"/>
          <w:spacing w:val="-13"/>
          <w:sz w:val="24"/>
          <w:szCs w:val="24"/>
          <w:u w:val="single"/>
        </w:rPr>
        <w:t xml:space="preserve">   </w:t>
      </w:r>
      <w:r>
        <w:rPr>
          <w:rFonts w:ascii="宋体" w:hAnsi="宋体" w:cs="宋体"/>
          <w:spacing w:val="-8"/>
          <w:sz w:val="24"/>
          <w:szCs w:val="24"/>
        </w:rPr>
        <w:t xml:space="preserve">日开始，至</w:t>
      </w:r>
      <w:r>
        <w:rPr>
          <w:rFonts w:ascii="宋体" w:hAnsi="宋体" w:cs="宋体"/>
          <w:spacing w:val="-13"/>
          <w:sz w:val="24"/>
          <w:szCs w:val="24"/>
          <w:u w:val="single"/>
        </w:rPr>
        <w:t xml:space="preserve">   </w:t>
      </w:r>
      <w:r>
        <w:rPr>
          <w:rFonts w:ascii="宋体" w:hAnsi="宋体" w:cs="宋体"/>
          <w:spacing w:val="-9"/>
          <w:sz w:val="24"/>
          <w:szCs w:val="24"/>
        </w:rPr>
        <w:t xml:space="preserve">年</w:t>
      </w:r>
      <w:r>
        <w:rPr>
          <w:rFonts w:ascii="宋体" w:hAnsi="宋体" w:cs="宋体"/>
          <w:spacing w:val="-83"/>
          <w:sz w:val="24"/>
          <w:szCs w:val="24"/>
        </w:rPr>
        <w:t xml:space="preserve"> </w:t>
      </w:r>
      <w:r>
        <w:rPr>
          <w:rFonts w:ascii="宋体" w:hAnsi="宋体" w:cs="宋体"/>
          <w:spacing w:val="-13"/>
          <w:sz w:val="24"/>
          <w:szCs w:val="24"/>
          <w:u w:val="single"/>
        </w:rPr>
        <w:t xml:space="preserve">   </w:t>
      </w:r>
      <w:r>
        <w:rPr>
          <w:rFonts w:ascii="宋体" w:hAnsi="宋体" w:cs="宋体"/>
          <w:spacing w:val="-13"/>
          <w:sz w:val="24"/>
          <w:szCs w:val="24"/>
        </w:rPr>
        <w:t xml:space="preserve">月</w:t>
      </w:r>
      <w:r>
        <w:rPr>
          <w:rFonts w:ascii="宋体" w:hAnsi="宋体" w:cs="宋体"/>
          <w:spacing w:val="-13"/>
          <w:sz w:val="24"/>
          <w:szCs w:val="24"/>
          <w:u w:val="single"/>
        </w:rPr>
        <w:t xml:space="preserve">  </w:t>
      </w:r>
      <w:r>
        <w:rPr>
          <w:rFonts w:ascii="宋体" w:hAnsi="宋体" w:cs="宋体"/>
          <w:spacing w:val="-13"/>
          <w:sz w:val="24"/>
          <w:szCs w:val="24"/>
          <w:u w:val="single"/>
        </w:rPr>
        <w:tab/>
      </w:r>
      <w:r>
        <w:rPr>
          <w:rFonts w:ascii="宋体" w:hAnsi="宋体" w:cs="宋体"/>
          <w:spacing w:val="-13"/>
          <w:sz w:val="24"/>
          <w:szCs w:val="24"/>
          <w:u w:val="single"/>
        </w:rPr>
        <w:t xml:space="preserve"> </w:t>
      </w:r>
      <w:r>
        <w:rPr>
          <w:rFonts w:ascii="宋体" w:hAnsi="宋体" w:cs="宋体"/>
          <w:spacing w:val="-13"/>
          <w:sz w:val="24"/>
          <w:szCs w:val="24"/>
        </w:rPr>
        <w:t xml:space="preserve">日为止)。</w:t>
      </w:r>
      <w:r/>
    </w:p>
    <w:p>
      <w:pPr>
        <w:ind w:left="399"/>
        <w:spacing w:line="360" w:lineRule="auto"/>
        <w:rPr>
          <w:rFonts w:hint="eastAsia" w:ascii="宋体" w:hAnsi="宋体" w:cs="宋体"/>
          <w:sz w:val="24"/>
          <w:szCs w:val="24"/>
        </w:rPr>
      </w:pPr>
      <w:r>
        <w:rPr>
          <w:rFonts w:ascii="宋体" w:hAnsi="宋体" w:cs="宋体"/>
          <w:sz w:val="24"/>
          <w:szCs w:val="24"/>
        </w:rPr>
        <w:t xml:space="preserve">5.</w:t>
      </w:r>
      <w:r>
        <w:rPr>
          <w:rFonts w:ascii="宋体" w:hAnsi="宋体" w:cs="宋体"/>
          <w:spacing w:val="4"/>
          <w:sz w:val="24"/>
          <w:szCs w:val="24"/>
        </w:rPr>
        <w:t xml:space="preserve">2 </w:t>
      </w:r>
      <w:r>
        <w:rPr>
          <w:rFonts w:hint="eastAsia" w:ascii="宋体" w:hAnsi="宋体" w:cs="宋体"/>
          <w:spacing w:val="4"/>
          <w:sz w:val="24"/>
          <w:szCs w:val="24"/>
        </w:rPr>
        <w:t xml:space="preserve"> </w:t>
      </w:r>
      <w:r>
        <w:rPr>
          <w:rFonts w:ascii="宋体" w:hAnsi="宋体" w:cs="宋体"/>
          <w:spacing w:val="4"/>
          <w:sz w:val="24"/>
          <w:szCs w:val="24"/>
        </w:rPr>
        <w:t xml:space="preserve">托管</w:t>
      </w:r>
      <w:r>
        <w:rPr>
          <w:rFonts w:ascii="宋体" w:hAnsi="宋体" w:cs="宋体"/>
          <w:sz w:val="24"/>
          <w:szCs w:val="24"/>
        </w:rPr>
        <w:t xml:space="preserve">期限届满，乙方将托管的能源系统设备、设施移交给甲方或</w:t>
      </w:r>
      <w:r>
        <w:rPr>
          <w:rFonts w:ascii="宋体" w:hAnsi="宋体" w:cs="宋体"/>
          <w:spacing w:val="-1"/>
          <w:sz w:val="24"/>
          <w:szCs w:val="24"/>
        </w:rPr>
        <w:t xml:space="preserve">甲方指定的单位。</w:t>
      </w:r>
      <w:r/>
    </w:p>
    <w:p>
      <w:pPr>
        <w:ind w:firstLine="399"/>
        <w:spacing w:line="360" w:lineRule="auto"/>
        <w:tabs>
          <w:tab w:val="left" w:pos="429" w:leader="none"/>
        </w:tabs>
        <w:rPr>
          <w:rFonts w:hint="eastAsia" w:ascii="宋体" w:hAnsi="宋体" w:cs="宋体"/>
          <w:sz w:val="24"/>
          <w:szCs w:val="24"/>
        </w:rPr>
      </w:pPr>
      <w:r>
        <w:rPr>
          <w:rFonts w:ascii="宋体" w:hAnsi="宋体" w:cs="宋体"/>
          <w:sz w:val="24"/>
          <w:szCs w:val="24"/>
        </w:rPr>
        <w:t xml:space="preserve">5.</w:t>
      </w:r>
      <w:r>
        <w:rPr>
          <w:rFonts w:ascii="宋体" w:hAnsi="宋体" w:cs="宋体"/>
          <w:spacing w:val="4"/>
          <w:sz w:val="24"/>
          <w:szCs w:val="24"/>
        </w:rPr>
        <w:t xml:space="preserve">3</w:t>
      </w:r>
      <w:r>
        <w:rPr>
          <w:rFonts w:hint="eastAsia" w:ascii="宋体" w:hAnsi="宋体" w:cs="宋体"/>
          <w:spacing w:val="4"/>
          <w:sz w:val="24"/>
          <w:szCs w:val="24"/>
        </w:rPr>
        <w:t xml:space="preserve">  </w:t>
      </w:r>
      <w:r>
        <w:rPr>
          <w:rFonts w:ascii="宋体" w:hAnsi="宋体" w:cs="宋体"/>
          <w:spacing w:val="4"/>
          <w:sz w:val="24"/>
          <w:szCs w:val="24"/>
        </w:rPr>
        <w:t xml:space="preserve">本合同</w:t>
      </w:r>
      <w:r>
        <w:rPr>
          <w:rFonts w:ascii="宋体" w:hAnsi="宋体" w:cs="宋体"/>
          <w:sz w:val="24"/>
          <w:szCs w:val="24"/>
        </w:rPr>
        <w:t xml:space="preserve">期限届满，乙方如约完成节能目标并且达到本合同约定的服务标准，如果甲方继续采用能源费用托管的形式进行能源系统的管理，在同等条件下，乙方享有优先续约的权利。</w:t>
      </w:r>
      <w:r/>
    </w:p>
    <w:p>
      <w:pPr>
        <w:ind w:left="402"/>
        <w:spacing w:line="360" w:lineRule="auto"/>
        <w:rPr>
          <w:rFonts w:hint="eastAsia" w:ascii="宋体" w:hAnsi="宋体" w:cs="黑体"/>
          <w:b/>
          <w:bCs/>
          <w:sz w:val="24"/>
          <w:szCs w:val="24"/>
        </w:rPr>
      </w:pPr>
      <w:r>
        <w:rPr>
          <w:rFonts w:ascii="宋体" w:hAnsi="宋体" w:cs="黑体"/>
          <w:b/>
          <w:bCs/>
          <w:sz w:val="24"/>
          <w:szCs w:val="24"/>
        </w:rPr>
        <w:t xml:space="preserve">第六条  乙方的管理和服务标准</w:t>
      </w:r>
      <w:r/>
    </w:p>
    <w:p>
      <w:pPr>
        <w:ind w:right="32" w:firstLine="400"/>
        <w:spacing w:line="360" w:lineRule="auto"/>
        <w:rPr>
          <w:rFonts w:hint="eastAsia" w:ascii="宋体" w:hAnsi="宋体" w:cs="宋体"/>
          <w:sz w:val="24"/>
          <w:szCs w:val="24"/>
        </w:rPr>
      </w:pPr>
      <w:r>
        <w:rPr>
          <w:rFonts w:ascii="宋体" w:hAnsi="宋体" w:cs="宋体"/>
          <w:spacing w:val="-5"/>
          <w:sz w:val="24"/>
          <w:szCs w:val="24"/>
        </w:rPr>
        <w:t xml:space="preserve">6.</w:t>
      </w:r>
      <w:r>
        <w:rPr>
          <w:rFonts w:ascii="宋体" w:hAnsi="宋体" w:cs="宋体"/>
          <w:spacing w:val="4"/>
          <w:sz w:val="24"/>
          <w:szCs w:val="24"/>
        </w:rPr>
        <w:t xml:space="preserve">1 </w:t>
      </w:r>
      <w:r>
        <w:rPr>
          <w:rFonts w:hint="eastAsia" w:ascii="宋体" w:hAnsi="宋体" w:cs="宋体"/>
          <w:spacing w:val="4"/>
          <w:sz w:val="24"/>
          <w:szCs w:val="24"/>
        </w:rPr>
        <w:t xml:space="preserve"> </w:t>
      </w:r>
      <w:r>
        <w:rPr>
          <w:rFonts w:ascii="宋体" w:hAnsi="宋体" w:cs="宋体"/>
          <w:spacing w:val="4"/>
          <w:sz w:val="24"/>
          <w:szCs w:val="24"/>
        </w:rPr>
        <w:t xml:space="preserve">托管期</w:t>
      </w:r>
      <w:r>
        <w:rPr>
          <w:rFonts w:ascii="宋体" w:hAnsi="宋体" w:cs="宋体"/>
          <w:spacing w:val="-5"/>
          <w:sz w:val="24"/>
          <w:szCs w:val="24"/>
        </w:rPr>
        <w:t xml:space="preserve">限内，托管区域内的供暖(冷)、用电、用水、用气等系统的经营及管理权归乙方，由乙方</w:t>
      </w:r>
      <w:r>
        <w:rPr>
          <w:rFonts w:ascii="宋体" w:hAnsi="宋体" w:cs="宋体"/>
          <w:spacing w:val="-9"/>
          <w:sz w:val="24"/>
          <w:szCs w:val="24"/>
        </w:rPr>
        <w:t xml:space="preserve">自主经营，自负盈亏。</w:t>
      </w:r>
      <w:r/>
    </w:p>
    <w:p>
      <w:pPr>
        <w:ind w:right="52" w:firstLine="400"/>
        <w:spacing w:line="360" w:lineRule="auto"/>
        <w:rPr>
          <w:rFonts w:hint="eastAsia" w:ascii="宋体" w:hAnsi="宋体" w:cs="宋体"/>
          <w:sz w:val="24"/>
          <w:szCs w:val="24"/>
        </w:rPr>
      </w:pPr>
      <w:r>
        <w:rPr>
          <w:rFonts w:ascii="宋体" w:hAnsi="宋体" w:cs="宋体"/>
          <w:spacing w:val="3"/>
          <w:sz w:val="24"/>
          <w:szCs w:val="24"/>
        </w:rPr>
        <w:t xml:space="preserve">6.</w:t>
      </w:r>
      <w:r>
        <w:rPr>
          <w:rFonts w:ascii="宋体" w:hAnsi="宋体" w:cs="宋体"/>
          <w:spacing w:val="4"/>
          <w:sz w:val="24"/>
          <w:szCs w:val="24"/>
        </w:rPr>
        <w:t xml:space="preserve">2  乙</w:t>
      </w:r>
      <w:r>
        <w:rPr>
          <w:rFonts w:ascii="宋体" w:hAnsi="宋体" w:cs="宋体"/>
          <w:spacing w:val="3"/>
          <w:sz w:val="24"/>
          <w:szCs w:val="24"/>
        </w:rPr>
        <w:t xml:space="preserve">方在本项目设有专门的能源管理人员负责托管事宜，并建</w:t>
      </w:r>
      <w:r>
        <w:rPr>
          <w:rFonts w:ascii="宋体" w:hAnsi="宋体" w:cs="宋体"/>
          <w:spacing w:val="2"/>
          <w:sz w:val="24"/>
          <w:szCs w:val="24"/>
        </w:rPr>
        <w:t xml:space="preserve">立专业的管理团队提供服务，人</w:t>
      </w:r>
      <w:r>
        <w:rPr>
          <w:rFonts w:ascii="宋体" w:hAnsi="宋体" w:cs="宋体"/>
          <w:spacing w:val="1"/>
          <w:sz w:val="24"/>
          <w:szCs w:val="24"/>
        </w:rPr>
        <w:t xml:space="preserve">员配置要求为</w:t>
      </w:r>
      <w:r>
        <w:rPr>
          <w:rFonts w:ascii="宋体" w:hAnsi="宋体" w:cs="宋体"/>
          <w:spacing w:val="-45"/>
          <w:sz w:val="24"/>
          <w:szCs w:val="24"/>
        </w:rPr>
        <w:t xml:space="preserve"> </w:t>
      </w:r>
      <w:r>
        <w:rPr>
          <w:rFonts w:ascii="宋体" w:hAnsi="宋体" w:cs="宋体"/>
          <w:spacing w:val="2"/>
          <w:sz w:val="24"/>
          <w:szCs w:val="24"/>
          <w:u w:val="single"/>
        </w:rPr>
        <w:t xml:space="preserve"> </w:t>
      </w:r>
      <w:r>
        <w:rPr>
          <w:rFonts w:hint="eastAsia" w:ascii="宋体" w:hAnsi="宋体" w:cs="宋体"/>
          <w:spacing w:val="2"/>
          <w:sz w:val="24"/>
          <w:szCs w:val="24"/>
          <w:u w:val="single"/>
          <w:lang w:val="en-US" w:eastAsia="zh-CN"/>
        </w:rPr>
        <w:t xml:space="preserve">日常运维人员不少于4人</w:t>
      </w:r>
      <w:r>
        <w:rPr>
          <w:rFonts w:ascii="宋体" w:hAnsi="宋体" w:cs="宋体"/>
          <w:spacing w:val="2"/>
          <w:sz w:val="24"/>
          <w:szCs w:val="24"/>
          <w:u w:val="single"/>
        </w:rPr>
        <w:t xml:space="preserve"> </w:t>
      </w:r>
      <w:r>
        <w:rPr>
          <w:rFonts w:ascii="宋体" w:hAnsi="宋体" w:cs="宋体"/>
          <w:spacing w:val="-77"/>
          <w:sz w:val="24"/>
          <w:szCs w:val="24"/>
        </w:rPr>
        <w:t xml:space="preserve"> </w:t>
      </w:r>
      <w:r>
        <w:rPr>
          <w:rFonts w:ascii="宋体" w:hAnsi="宋体" w:cs="宋体"/>
          <w:spacing w:val="1"/>
          <w:sz w:val="24"/>
          <w:szCs w:val="24"/>
        </w:rPr>
        <w:t xml:space="preserve">。管理团队成员名单、相应的资质资格证书应提交甲方备案。</w:t>
      </w:r>
      <w:r/>
    </w:p>
    <w:p>
      <w:pPr>
        <w:ind w:left="400"/>
        <w:spacing w:line="360" w:lineRule="auto"/>
        <w:rPr>
          <w:rFonts w:hint="eastAsia" w:ascii="宋体" w:hAnsi="宋体" w:cs="宋体"/>
          <w:sz w:val="24"/>
          <w:szCs w:val="24"/>
        </w:rPr>
      </w:pPr>
      <w:r>
        <w:rPr>
          <w:rFonts w:ascii="宋体" w:hAnsi="宋体" w:cs="宋体"/>
          <w:spacing w:val="-9"/>
          <w:sz w:val="24"/>
          <w:szCs w:val="24"/>
        </w:rPr>
        <w:t xml:space="preserve">6.</w:t>
      </w:r>
      <w:r>
        <w:rPr>
          <w:rFonts w:ascii="宋体" w:hAnsi="宋体" w:cs="宋体"/>
          <w:spacing w:val="4"/>
          <w:sz w:val="24"/>
          <w:szCs w:val="24"/>
        </w:rPr>
        <w:t xml:space="preserve">3  乙方提</w:t>
      </w:r>
      <w:r>
        <w:rPr>
          <w:rFonts w:ascii="宋体" w:hAnsi="宋体" w:cs="宋体"/>
          <w:spacing w:val="-9"/>
          <w:sz w:val="24"/>
          <w:szCs w:val="24"/>
        </w:rPr>
        <w:t xml:space="preserve">供的服务范围和项目包括：</w:t>
      </w:r>
      <w:r>
        <w:rPr>
          <w:rFonts w:hint="eastAsia" w:ascii="宋体" w:hAnsi="宋体" w:cs="宋体"/>
          <w:spacing w:val="-9"/>
          <w:sz w:val="24"/>
          <w:szCs w:val="24"/>
          <w:u w:val="single"/>
        </w:rPr>
        <w:t xml:space="preserve">            </w:t>
      </w:r>
      <w:r>
        <w:rPr>
          <w:rFonts w:ascii="宋体" w:hAnsi="宋体" w:cs="宋体"/>
          <w:spacing w:val="-10"/>
          <w:sz w:val="24"/>
          <w:szCs w:val="24"/>
        </w:rPr>
        <w:t xml:space="preserve">。</w:t>
      </w:r>
      <w:r/>
    </w:p>
    <w:p>
      <w:pPr>
        <w:ind w:left="360"/>
        <w:spacing w:line="360" w:lineRule="auto"/>
        <w:rPr>
          <w:rFonts w:hint="eastAsia" w:ascii="宋体" w:hAnsi="宋体" w:cs="宋体"/>
          <w:spacing w:val="-9"/>
          <w:sz w:val="24"/>
          <w:szCs w:val="24"/>
        </w:rPr>
      </w:pPr>
      <w:r>
        <w:rPr>
          <w:rFonts w:ascii="宋体" w:hAnsi="宋体" w:cs="宋体"/>
          <w:spacing w:val="-9"/>
          <w:sz w:val="24"/>
          <w:szCs w:val="24"/>
        </w:rPr>
        <w:t xml:space="preserve">(注：服务范围和内容应当具体全面。)</w:t>
      </w:r>
      <w:r/>
    </w:p>
    <w:p>
      <w:pPr>
        <w:ind w:left="400"/>
        <w:spacing w:line="360" w:lineRule="auto"/>
        <w:rPr>
          <w:rFonts w:hint="eastAsia" w:ascii="宋体" w:hAnsi="宋体" w:cs="宋体"/>
          <w:sz w:val="24"/>
          <w:szCs w:val="24"/>
        </w:rPr>
      </w:pPr>
      <w:r>
        <w:rPr>
          <w:rFonts w:ascii="宋体" w:hAnsi="宋体" w:cs="宋体"/>
          <w:sz w:val="24"/>
          <w:szCs w:val="24"/>
        </w:rPr>
        <w:t xml:space="preserve">6.</w:t>
      </w:r>
      <w:r>
        <w:rPr>
          <w:rFonts w:ascii="宋体" w:hAnsi="宋体" w:cs="宋体"/>
          <w:spacing w:val="4"/>
          <w:sz w:val="24"/>
          <w:szCs w:val="24"/>
        </w:rPr>
        <w:t xml:space="preserve">4  乙方</w:t>
      </w:r>
      <w:r>
        <w:rPr>
          <w:rFonts w:ascii="宋体" w:hAnsi="宋体" w:cs="宋体"/>
          <w:sz w:val="24"/>
          <w:szCs w:val="24"/>
        </w:rPr>
        <w:t xml:space="preserve">的服务标准</w:t>
      </w:r>
      <w:r/>
    </w:p>
    <w:p>
      <w:pPr>
        <w:ind w:right="8" w:firstLine="400"/>
        <w:spacing w:line="360" w:lineRule="auto"/>
        <w:tabs>
          <w:tab w:val="left" w:pos="600" w:leader="none"/>
        </w:tabs>
        <w:rPr>
          <w:rFonts w:hint="eastAsia" w:ascii="宋体" w:hAnsi="宋体" w:cs="宋体"/>
          <w:sz w:val="24"/>
          <w:szCs w:val="24"/>
        </w:rPr>
      </w:pPr>
      <w:r>
        <w:rPr>
          <w:rFonts w:ascii="宋体" w:hAnsi="宋体" w:cs="宋体"/>
          <w:spacing w:val="5"/>
          <w:sz w:val="24"/>
          <w:szCs w:val="24"/>
        </w:rPr>
        <w:t xml:space="preserve">6.4.</w:t>
      </w:r>
      <w:r>
        <w:rPr>
          <w:rFonts w:ascii="宋体" w:hAnsi="宋体" w:cs="宋体"/>
          <w:spacing w:val="4"/>
          <w:sz w:val="24"/>
          <w:szCs w:val="24"/>
        </w:rPr>
        <w:t xml:space="preserve">1 </w:t>
      </w:r>
      <w:r>
        <w:rPr>
          <w:rFonts w:hint="eastAsia" w:ascii="宋体" w:hAnsi="宋体" w:cs="宋体"/>
          <w:spacing w:val="4"/>
          <w:sz w:val="24"/>
          <w:szCs w:val="24"/>
        </w:rPr>
        <w:t xml:space="preserve"> </w:t>
      </w:r>
      <w:r>
        <w:rPr>
          <w:rFonts w:ascii="宋体" w:hAnsi="宋体" w:cs="宋体"/>
          <w:spacing w:val="4"/>
          <w:sz w:val="24"/>
          <w:szCs w:val="24"/>
        </w:rPr>
        <w:t xml:space="preserve">供暖</w:t>
      </w:r>
      <w:r>
        <w:rPr>
          <w:rFonts w:ascii="宋体" w:hAnsi="宋体" w:cs="宋体"/>
          <w:spacing w:val="5"/>
          <w:sz w:val="24"/>
          <w:szCs w:val="24"/>
        </w:rPr>
        <w:t xml:space="preserve">期间的室内温度标准</w:t>
      </w:r>
      <w:r>
        <w:rPr>
          <w:rFonts w:ascii="宋体" w:hAnsi="宋体" w:cs="宋体"/>
          <w:spacing w:val="-94"/>
          <w:sz w:val="24"/>
          <w:szCs w:val="24"/>
        </w:rPr>
        <w:t xml:space="preserve"> </w:t>
      </w:r>
      <w:r>
        <w:rPr>
          <w:rFonts w:ascii="宋体" w:hAnsi="宋体" w:cs="宋体"/>
          <w:spacing w:val="13"/>
          <w:sz w:val="24"/>
          <w:szCs w:val="24"/>
          <w:u w:val="single"/>
        </w:rPr>
        <w:t xml:space="preserve"> </w:t>
      </w:r>
      <w:r>
        <w:rPr>
          <w:rFonts w:hint="eastAsia" w:ascii="宋体" w:hAnsi="宋体" w:cs="宋体"/>
          <w:spacing w:val="13"/>
          <w:sz w:val="24"/>
          <w:szCs w:val="24"/>
          <w:u w:val="single"/>
        </w:rPr>
        <w:t xml:space="preserve">≥18℃且≤20℃</w:t>
      </w:r>
      <w:r>
        <w:rPr>
          <w:rFonts w:ascii="宋体" w:hAnsi="宋体" w:cs="宋体"/>
          <w:spacing w:val="13"/>
          <w:sz w:val="24"/>
          <w:szCs w:val="24"/>
          <w:u w:val="single"/>
        </w:rPr>
        <w:t xml:space="preserve"> </w:t>
      </w:r>
      <w:r>
        <w:rPr>
          <w:rFonts w:ascii="宋体" w:hAnsi="宋体" w:cs="宋体"/>
          <w:spacing w:val="-83"/>
          <w:sz w:val="24"/>
          <w:szCs w:val="24"/>
        </w:rPr>
        <w:t xml:space="preserve"> </w:t>
      </w:r>
      <w:r>
        <w:rPr>
          <w:rFonts w:ascii="宋体" w:hAnsi="宋体" w:cs="宋体"/>
          <w:spacing w:val="5"/>
          <w:sz w:val="24"/>
          <w:szCs w:val="24"/>
        </w:rPr>
        <w:t xml:space="preserve">,供冷期间的室内温度标准</w:t>
      </w:r>
      <w:r>
        <w:rPr>
          <w:rFonts w:hint="eastAsia" w:ascii="宋体" w:hAnsi="宋体" w:cs="宋体"/>
          <w:spacing w:val="15"/>
          <w:sz w:val="24"/>
          <w:szCs w:val="24"/>
          <w:u w:val="single"/>
        </w:rPr>
        <w:t xml:space="preserve">≥26℃且≤28℃</w:t>
      </w:r>
      <w:r>
        <w:rPr>
          <w:rFonts w:ascii="宋体" w:hAnsi="宋体" w:cs="宋体"/>
          <w:spacing w:val="4"/>
          <w:sz w:val="24"/>
          <w:szCs w:val="24"/>
        </w:rPr>
        <w:t xml:space="preserve">,生活热水的出水温度</w:t>
      </w:r>
      <w:r>
        <w:rPr>
          <w:rFonts w:hint="eastAsia" w:ascii="宋体" w:hAnsi="宋体" w:cs="宋体"/>
          <w:spacing w:val="1"/>
          <w:sz w:val="24"/>
          <w:szCs w:val="24"/>
          <w:u w:val="single"/>
        </w:rPr>
        <w:t xml:space="preserve">      </w:t>
      </w:r>
      <w:r>
        <w:rPr>
          <w:rFonts w:ascii="宋体" w:hAnsi="宋体" w:cs="宋体"/>
          <w:spacing w:val="-17"/>
          <w:sz w:val="24"/>
          <w:szCs w:val="24"/>
        </w:rPr>
        <w:t xml:space="preserve">。(注：按建筑功能要求室内温度不低于</w:t>
      </w:r>
      <w:r>
        <w:rPr>
          <w:rFonts w:ascii="宋体" w:hAnsi="宋体" w:cs="宋体"/>
          <w:spacing w:val="-17"/>
          <w:sz w:val="24"/>
          <w:szCs w:val="24"/>
          <w:u w:val="single"/>
        </w:rPr>
        <w:t xml:space="preserve">      </w:t>
      </w:r>
      <w:r>
        <w:rPr>
          <w:rFonts w:ascii="宋体" w:hAnsi="宋体" w:cs="宋体"/>
          <w:spacing w:val="-17"/>
          <w:sz w:val="24"/>
          <w:szCs w:val="24"/>
        </w:rPr>
        <w:t xml:space="preserve">。医院、学校、机关供冷</w:t>
      </w:r>
      <w:r>
        <w:rPr>
          <w:rFonts w:ascii="宋体" w:hAnsi="宋体" w:cs="宋体"/>
          <w:spacing w:val="-18"/>
          <w:sz w:val="24"/>
          <w:szCs w:val="24"/>
        </w:rPr>
        <w:t xml:space="preserve">供热时间不同。)</w:t>
      </w:r>
      <w:r/>
    </w:p>
    <w:p>
      <w:pPr>
        <w:ind w:firstLine="400"/>
        <w:spacing w:line="360" w:lineRule="auto"/>
        <w:rPr>
          <w:rFonts w:hint="eastAsia" w:ascii="宋体" w:hAnsi="宋体"/>
          <w:sz w:val="24"/>
          <w:szCs w:val="24"/>
        </w:rPr>
      </w:pPr>
      <w:r>
        <w:rPr>
          <w:rFonts w:ascii="宋体" w:hAnsi="宋体" w:cs="宋体"/>
          <w:spacing w:val="-4"/>
          <w:sz w:val="24"/>
          <w:szCs w:val="24"/>
        </w:rPr>
        <w:t xml:space="preserve">6.4.2  托管期间，</w:t>
      </w:r>
      <w:r>
        <w:rPr>
          <w:rFonts w:ascii="宋体" w:hAnsi="宋体" w:cs="宋体"/>
          <w:spacing w:val="21"/>
          <w:sz w:val="24"/>
          <w:szCs w:val="24"/>
          <w:u w:val="single"/>
        </w:rPr>
        <w:t xml:space="preserve">    </w:t>
      </w:r>
      <w:r>
        <w:rPr>
          <w:rFonts w:ascii="宋体" w:hAnsi="宋体" w:cs="宋体"/>
          <w:spacing w:val="-72"/>
          <w:sz w:val="24"/>
          <w:szCs w:val="24"/>
        </w:rPr>
        <w:t xml:space="preserve"> </w:t>
      </w:r>
      <w:r>
        <w:rPr>
          <w:rFonts w:ascii="宋体" w:hAnsi="宋体" w:cs="宋体"/>
          <w:spacing w:val="-4"/>
          <w:sz w:val="24"/>
          <w:szCs w:val="24"/>
        </w:rPr>
        <w:t xml:space="preserve">设备的维护、保养由乙方负责，维护保养频次为</w:t>
      </w:r>
      <w:r>
        <w:rPr>
          <w:rFonts w:ascii="宋体" w:hAnsi="宋体" w:cs="宋体"/>
          <w:spacing w:val="-85"/>
          <w:sz w:val="24"/>
          <w:szCs w:val="24"/>
        </w:rPr>
        <w:t xml:space="preserve"> </w:t>
      </w:r>
      <w:r>
        <w:rPr>
          <w:rFonts w:ascii="宋体" w:hAnsi="宋体" w:cs="宋体"/>
          <w:spacing w:val="1"/>
          <w:sz w:val="24"/>
          <w:szCs w:val="24"/>
          <w:u w:val="single"/>
        </w:rPr>
        <w:t xml:space="preserve">        </w:t>
      </w:r>
      <w:r>
        <w:rPr>
          <w:rFonts w:ascii="宋体" w:hAnsi="宋体" w:cs="宋体"/>
          <w:spacing w:val="-73"/>
          <w:sz w:val="24"/>
          <w:szCs w:val="24"/>
        </w:rPr>
        <w:t xml:space="preserve"> </w:t>
      </w:r>
      <w:r>
        <w:rPr>
          <w:rFonts w:ascii="宋体" w:hAnsi="宋体" w:cs="宋体"/>
          <w:spacing w:val="-4"/>
          <w:sz w:val="24"/>
          <w:szCs w:val="24"/>
        </w:rPr>
        <w:t xml:space="preserve">。现场用能设备日</w:t>
      </w:r>
      <w:r>
        <w:rPr>
          <w:rFonts w:ascii="宋体" w:hAnsi="宋体" w:cs="宋体"/>
          <w:spacing w:val="3"/>
          <w:sz w:val="24"/>
          <w:szCs w:val="24"/>
        </w:rPr>
        <w:t xml:space="preserve">常巡视服务频次为</w:t>
      </w:r>
      <w:r>
        <w:rPr>
          <w:rFonts w:ascii="宋体" w:hAnsi="宋体" w:cs="宋体"/>
          <w:spacing w:val="-90"/>
          <w:sz w:val="24"/>
          <w:szCs w:val="24"/>
        </w:rPr>
        <w:t xml:space="preserve"> </w:t>
      </w:r>
      <w:r>
        <w:rPr>
          <w:rFonts w:ascii="宋体" w:hAnsi="宋体" w:cs="宋体"/>
          <w:spacing w:val="13"/>
          <w:sz w:val="24"/>
          <w:szCs w:val="24"/>
          <w:u w:val="single"/>
        </w:rPr>
        <w:t xml:space="preserve"> </w:t>
      </w:r>
      <w:r>
        <w:rPr>
          <w:rFonts w:hint="eastAsia" w:ascii="宋体" w:hAnsi="宋体" w:cs="宋体"/>
          <w:spacing w:val="13"/>
          <w:sz w:val="24"/>
          <w:szCs w:val="24"/>
          <w:u w:val="single"/>
        </w:rPr>
        <w:t xml:space="preserve">2次/周，主要重点用能设备日常巡视服务频次为运转期内1次/工作日</w:t>
      </w:r>
      <w:r>
        <w:rPr>
          <w:rFonts w:ascii="宋体" w:hAnsi="宋体" w:cs="宋体"/>
          <w:spacing w:val="13"/>
          <w:sz w:val="24"/>
          <w:szCs w:val="24"/>
          <w:u w:val="single"/>
        </w:rPr>
        <w:t xml:space="preserve"> </w:t>
      </w:r>
      <w:r>
        <w:rPr>
          <w:rFonts w:ascii="宋体" w:hAnsi="宋体" w:cs="宋体"/>
          <w:spacing w:val="-73"/>
          <w:sz w:val="24"/>
          <w:szCs w:val="24"/>
        </w:rPr>
        <w:t xml:space="preserve"> </w:t>
      </w:r>
      <w:r>
        <w:rPr>
          <w:rFonts w:ascii="宋体" w:hAnsi="宋体" w:cs="宋体"/>
          <w:spacing w:val="5"/>
          <w:sz w:val="24"/>
          <w:szCs w:val="24"/>
        </w:rPr>
        <w:t xml:space="preserve">。</w:t>
      </w:r>
      <w:r/>
    </w:p>
    <w:p>
      <w:pPr>
        <w:ind w:right="2" w:firstLine="400"/>
        <w:spacing w:line="360" w:lineRule="auto"/>
        <w:rPr>
          <w:rFonts w:hint="eastAsia" w:ascii="宋体" w:hAnsi="宋体" w:cs="宋体"/>
          <w:sz w:val="24"/>
          <w:szCs w:val="24"/>
        </w:rPr>
      </w:pPr>
      <w:r>
        <w:rPr>
          <w:rFonts w:ascii="宋体" w:hAnsi="宋体" w:cs="宋体"/>
          <w:spacing w:val="1"/>
          <w:sz w:val="24"/>
          <w:szCs w:val="24"/>
        </w:rPr>
        <w:t xml:space="preserve">6.4.3  托管期间，</w:t>
      </w:r>
      <w:r>
        <w:rPr>
          <w:rFonts w:ascii="宋体" w:hAnsi="宋体" w:cs="宋体"/>
          <w:spacing w:val="15"/>
          <w:sz w:val="24"/>
          <w:szCs w:val="24"/>
          <w:u w:val="single"/>
        </w:rPr>
        <w:t xml:space="preserve">    </w:t>
      </w:r>
      <w:r>
        <w:rPr>
          <w:rFonts w:ascii="宋体" w:hAnsi="宋体" w:cs="宋体"/>
          <w:spacing w:val="-95"/>
          <w:sz w:val="24"/>
          <w:szCs w:val="24"/>
        </w:rPr>
        <w:t xml:space="preserve"> </w:t>
      </w:r>
      <w:r>
        <w:rPr>
          <w:rFonts w:ascii="宋体" w:hAnsi="宋体" w:cs="宋体"/>
          <w:spacing w:val="1"/>
          <w:sz w:val="24"/>
          <w:szCs w:val="24"/>
        </w:rPr>
        <w:t xml:space="preserve">设备的维修由乙方负责，报修方式为</w:t>
      </w:r>
      <w:r>
        <w:rPr>
          <w:rFonts w:ascii="宋体" w:hAnsi="宋体" w:cs="宋体"/>
          <w:spacing w:val="-65"/>
          <w:sz w:val="24"/>
          <w:szCs w:val="24"/>
        </w:rPr>
        <w:t xml:space="preserve"> </w:t>
      </w:r>
      <w:r>
        <w:rPr>
          <w:rFonts w:ascii="宋体" w:hAnsi="宋体" w:cs="宋体"/>
          <w:spacing w:val="1"/>
          <w:sz w:val="24"/>
          <w:szCs w:val="24"/>
          <w:u w:val="single"/>
        </w:rPr>
        <w:t xml:space="preserve">            </w:t>
      </w:r>
      <w:r>
        <w:rPr>
          <w:rFonts w:ascii="宋体" w:hAnsi="宋体" w:cs="宋体"/>
          <w:spacing w:val="-77"/>
          <w:sz w:val="24"/>
          <w:szCs w:val="24"/>
        </w:rPr>
        <w:t xml:space="preserve"> </w:t>
      </w:r>
      <w:r>
        <w:rPr>
          <w:rFonts w:ascii="宋体" w:hAnsi="宋体" w:cs="宋体"/>
          <w:spacing w:val="1"/>
          <w:sz w:val="24"/>
          <w:szCs w:val="24"/>
        </w:rPr>
        <w:t xml:space="preserve">。设备检修</w:t>
      </w:r>
      <w:r>
        <w:rPr>
          <w:rFonts w:ascii="宋体" w:hAnsi="宋体" w:cs="宋体"/>
          <w:sz w:val="24"/>
          <w:szCs w:val="24"/>
        </w:rPr>
        <w:t xml:space="preserve">服务的时限</w:t>
      </w:r>
      <w:r>
        <w:rPr>
          <w:rFonts w:ascii="宋体" w:hAnsi="宋体" w:cs="宋体"/>
          <w:spacing w:val="3"/>
          <w:sz w:val="24"/>
          <w:szCs w:val="24"/>
        </w:rPr>
        <w:t xml:space="preserve">为接到通知后</w:t>
      </w:r>
      <w:r>
        <w:rPr>
          <w:rFonts w:ascii="宋体" w:hAnsi="宋体" w:cs="宋体"/>
          <w:spacing w:val="3"/>
          <w:sz w:val="24"/>
          <w:szCs w:val="24"/>
          <w:u w:val="single"/>
        </w:rPr>
        <w:t xml:space="preserve">    </w:t>
      </w:r>
      <w:r>
        <w:rPr>
          <w:rFonts w:ascii="宋体" w:hAnsi="宋体" w:cs="宋体"/>
          <w:spacing w:val="3"/>
          <w:sz w:val="24"/>
          <w:szCs w:val="24"/>
        </w:rPr>
        <w:t xml:space="preserve">小时内到场，</w:t>
      </w:r>
      <w:r>
        <w:rPr>
          <w:rFonts w:ascii="宋体" w:hAnsi="宋体" w:cs="宋体"/>
          <w:spacing w:val="16"/>
          <w:sz w:val="24"/>
          <w:szCs w:val="24"/>
          <w:u w:val="single"/>
        </w:rPr>
        <w:t xml:space="preserve">    </w:t>
      </w:r>
      <w:r>
        <w:rPr>
          <w:rFonts w:ascii="宋体" w:hAnsi="宋体" w:cs="宋体"/>
          <w:spacing w:val="-75"/>
          <w:sz w:val="24"/>
          <w:szCs w:val="24"/>
        </w:rPr>
        <w:t xml:space="preserve"> </w:t>
      </w:r>
      <w:r>
        <w:rPr>
          <w:rFonts w:ascii="宋体" w:hAnsi="宋体" w:cs="宋体"/>
          <w:spacing w:val="3"/>
          <w:sz w:val="24"/>
          <w:szCs w:val="24"/>
        </w:rPr>
        <w:t xml:space="preserve">小时内处理完毕。设备抢修服务的时限为接到通知后</w:t>
      </w:r>
      <w:r>
        <w:rPr>
          <w:rFonts w:ascii="宋体" w:hAnsi="宋体" w:cs="宋体"/>
          <w:spacing w:val="-89"/>
          <w:sz w:val="24"/>
          <w:szCs w:val="24"/>
        </w:rPr>
        <w:t xml:space="preserve"> </w:t>
      </w:r>
      <w:r>
        <w:rPr>
          <w:rFonts w:ascii="宋体" w:hAnsi="宋体" w:cs="宋体"/>
          <w:spacing w:val="12"/>
          <w:sz w:val="24"/>
          <w:szCs w:val="24"/>
          <w:u w:val="single"/>
        </w:rPr>
        <w:t xml:space="preserve">    </w:t>
      </w:r>
      <w:r>
        <w:rPr>
          <w:rFonts w:ascii="宋体" w:hAnsi="宋体" w:cs="宋体"/>
          <w:spacing w:val="-73"/>
          <w:sz w:val="24"/>
          <w:szCs w:val="24"/>
        </w:rPr>
        <w:t xml:space="preserve"> </w:t>
      </w:r>
      <w:r>
        <w:rPr>
          <w:rFonts w:ascii="宋体" w:hAnsi="宋体" w:cs="宋体"/>
          <w:spacing w:val="3"/>
          <w:sz w:val="24"/>
          <w:szCs w:val="24"/>
        </w:rPr>
        <w:t xml:space="preserve">小时到</w:t>
      </w:r>
      <w:r>
        <w:rPr>
          <w:rFonts w:ascii="宋体" w:hAnsi="宋体" w:cs="宋体"/>
          <w:spacing w:val="-12"/>
          <w:sz w:val="24"/>
          <w:szCs w:val="24"/>
        </w:rPr>
        <w:t xml:space="preserve">场</w:t>
      </w:r>
      <w:r>
        <w:rPr>
          <w:rFonts w:ascii="宋体" w:hAnsi="宋体" w:cs="宋体"/>
          <w:spacing w:val="-51"/>
          <w:sz w:val="24"/>
          <w:szCs w:val="24"/>
        </w:rPr>
        <w:t xml:space="preserve"> </w:t>
      </w:r>
      <w:r>
        <w:rPr>
          <w:rFonts w:ascii="宋体" w:hAnsi="宋体" w:cs="宋体"/>
          <w:spacing w:val="-12"/>
          <w:sz w:val="24"/>
          <w:szCs w:val="24"/>
        </w:rPr>
        <w:t xml:space="preserve">，</w:t>
      </w:r>
      <w:r>
        <w:rPr>
          <w:rFonts w:ascii="宋体" w:hAnsi="宋体" w:cs="宋体"/>
          <w:spacing w:val="10"/>
          <w:sz w:val="24"/>
          <w:szCs w:val="24"/>
          <w:u w:val="single"/>
        </w:rPr>
        <w:t xml:space="preserve">    </w:t>
      </w:r>
      <w:r>
        <w:rPr>
          <w:rFonts w:ascii="宋体" w:hAnsi="宋体" w:cs="宋体"/>
          <w:spacing w:val="-12"/>
          <w:sz w:val="24"/>
          <w:szCs w:val="24"/>
        </w:rPr>
        <w:t xml:space="preserve">小时内处理完毕。</w:t>
      </w:r>
      <w:r/>
    </w:p>
    <w:p>
      <w:pPr>
        <w:ind w:right="5" w:firstLine="400"/>
        <w:spacing w:line="360" w:lineRule="auto"/>
        <w:rPr>
          <w:rFonts w:hint="eastAsia" w:ascii="宋体" w:hAnsi="宋体" w:cs="宋体"/>
          <w:sz w:val="24"/>
          <w:szCs w:val="24"/>
        </w:rPr>
      </w:pPr>
      <w:r>
        <w:rPr>
          <w:rFonts w:ascii="宋体" w:hAnsi="宋体" w:cs="宋体"/>
          <w:spacing w:val="1"/>
          <w:sz w:val="24"/>
          <w:szCs w:val="24"/>
        </w:rPr>
        <w:t xml:space="preserve">6.4.4  托管期间，</w:t>
      </w:r>
      <w:r>
        <w:rPr>
          <w:rFonts w:ascii="宋体" w:hAnsi="宋体" w:cs="宋体"/>
          <w:spacing w:val="1"/>
          <w:sz w:val="24"/>
          <w:szCs w:val="24"/>
          <w:u w:val="single"/>
        </w:rPr>
        <w:t xml:space="preserve">    </w:t>
      </w:r>
      <w:r>
        <w:rPr>
          <w:rFonts w:ascii="宋体" w:hAnsi="宋体" w:cs="宋体"/>
          <w:spacing w:val="-85"/>
          <w:sz w:val="24"/>
          <w:szCs w:val="24"/>
        </w:rPr>
        <w:t xml:space="preserve"> </w:t>
      </w:r>
      <w:r>
        <w:rPr>
          <w:rFonts w:ascii="宋体" w:hAnsi="宋体" w:cs="宋体"/>
          <w:spacing w:val="1"/>
          <w:sz w:val="24"/>
          <w:szCs w:val="24"/>
        </w:rPr>
        <w:t xml:space="preserve">(用能系统)设备开关由</w:t>
      </w:r>
      <w:r>
        <w:rPr>
          <w:rFonts w:ascii="宋体" w:hAnsi="宋体" w:cs="宋体"/>
          <w:spacing w:val="1"/>
          <w:sz w:val="24"/>
          <w:szCs w:val="24"/>
          <w:u w:val="single"/>
        </w:rPr>
        <w:t xml:space="preserve">     </w:t>
      </w:r>
      <w:r>
        <w:rPr>
          <w:rFonts w:ascii="宋体" w:hAnsi="宋体" w:cs="宋体"/>
          <w:spacing w:val="-85"/>
          <w:sz w:val="24"/>
          <w:szCs w:val="24"/>
        </w:rPr>
        <w:t xml:space="preserve"> </w:t>
      </w:r>
      <w:r>
        <w:rPr>
          <w:rFonts w:ascii="宋体" w:hAnsi="宋体" w:cs="宋体"/>
          <w:spacing w:val="1"/>
          <w:sz w:val="24"/>
          <w:szCs w:val="24"/>
        </w:rPr>
        <w:t xml:space="preserve">负责执行，设备开关及控制策略由乙方制定后</w:t>
      </w:r>
      <w:r>
        <w:rPr>
          <w:rFonts w:ascii="宋体" w:hAnsi="宋体" w:cs="宋体"/>
          <w:spacing w:val="2"/>
          <w:sz w:val="24"/>
          <w:szCs w:val="24"/>
        </w:rPr>
        <w:t xml:space="preserve">报业主方审核确认，该用能系统的日常管理/值班人员</w:t>
      </w:r>
      <w:r>
        <w:rPr>
          <w:rFonts w:ascii="宋体" w:hAnsi="宋体" w:cs="宋体"/>
          <w:spacing w:val="2"/>
          <w:sz w:val="24"/>
          <w:szCs w:val="24"/>
          <w:u w:val="single"/>
        </w:rPr>
        <w:t xml:space="preserve">    </w:t>
      </w:r>
      <w:r>
        <w:rPr>
          <w:rFonts w:ascii="宋体" w:hAnsi="宋体" w:cs="宋体"/>
          <w:spacing w:val="-74"/>
          <w:sz w:val="24"/>
          <w:szCs w:val="24"/>
        </w:rPr>
        <w:t xml:space="preserve"> </w:t>
      </w:r>
      <w:r>
        <w:rPr>
          <w:rFonts w:ascii="宋体" w:hAnsi="宋体" w:cs="宋体"/>
          <w:spacing w:val="2"/>
          <w:sz w:val="24"/>
          <w:szCs w:val="24"/>
        </w:rPr>
        <w:t xml:space="preserve">人次。</w:t>
      </w:r>
      <w:r/>
    </w:p>
    <w:p>
      <w:pPr>
        <w:ind w:right="27" w:firstLine="400"/>
        <w:spacing w:line="360" w:lineRule="auto"/>
        <w:rPr>
          <w:rFonts w:hint="eastAsia" w:ascii="宋体" w:hAnsi="宋体" w:cs="宋体"/>
          <w:sz w:val="24"/>
          <w:szCs w:val="24"/>
        </w:rPr>
      </w:pPr>
      <w:r>
        <w:rPr>
          <w:rFonts w:ascii="宋体" w:hAnsi="宋体" w:cs="宋体"/>
          <w:spacing w:val="4"/>
          <w:sz w:val="24"/>
          <w:szCs w:val="24"/>
        </w:rPr>
        <w:t xml:space="preserve">6.5  乙方的服务标准应体现文明、高效、及时、优质的服务，“乙方的服务标准”应制作专门文件，作为本合同的附件二。</w:t>
      </w:r>
      <w:r/>
    </w:p>
    <w:p>
      <w:pPr>
        <w:ind w:left="402"/>
        <w:spacing w:line="360" w:lineRule="auto"/>
        <w:rPr>
          <w:rFonts w:hint="eastAsia" w:ascii="宋体" w:hAnsi="宋体" w:cs="黑体"/>
          <w:b/>
          <w:bCs/>
          <w:sz w:val="24"/>
          <w:szCs w:val="24"/>
        </w:rPr>
      </w:pPr>
      <w:r>
        <w:rPr>
          <w:rFonts w:ascii="宋体" w:hAnsi="宋体" w:cs="黑体"/>
          <w:b/>
          <w:bCs/>
          <w:sz w:val="24"/>
          <w:szCs w:val="24"/>
        </w:rPr>
        <w:t xml:space="preserve">第七条  双方责任</w:t>
      </w:r>
      <w:r/>
    </w:p>
    <w:p>
      <w:pPr>
        <w:ind w:right="23" w:firstLine="400"/>
        <w:spacing w:line="360" w:lineRule="auto"/>
        <w:rPr>
          <w:rFonts w:hint="eastAsia" w:ascii="宋体" w:hAnsi="宋体" w:cs="宋体"/>
          <w:sz w:val="24"/>
          <w:szCs w:val="24"/>
        </w:rPr>
      </w:pPr>
      <w:r>
        <w:rPr>
          <w:rFonts w:ascii="宋体" w:hAnsi="宋体" w:cs="宋体"/>
          <w:spacing w:val="4"/>
          <w:sz w:val="24"/>
          <w:szCs w:val="24"/>
        </w:rPr>
        <w:t xml:space="preserve">7.1</w:t>
      </w:r>
      <w:r>
        <w:rPr>
          <w:rFonts w:hint="eastAsia" w:ascii="宋体" w:hAnsi="宋体" w:cs="宋体"/>
          <w:spacing w:val="4"/>
          <w:sz w:val="24"/>
          <w:szCs w:val="24"/>
        </w:rPr>
        <w:t xml:space="preserve"> </w:t>
      </w:r>
      <w:r>
        <w:rPr>
          <w:rFonts w:ascii="宋体" w:hAnsi="宋体" w:cs="宋体"/>
          <w:spacing w:val="4"/>
          <w:sz w:val="24"/>
          <w:szCs w:val="24"/>
        </w:rPr>
        <w:t xml:space="preserve"> 甲、乙双方应建立健全能源管理使用制度，各方人员应当切实遵守。相</w:t>
      </w:r>
      <w:r>
        <w:rPr>
          <w:rFonts w:ascii="宋体" w:hAnsi="宋体" w:cs="宋体"/>
          <w:spacing w:val="3"/>
          <w:sz w:val="24"/>
          <w:szCs w:val="24"/>
        </w:rPr>
        <w:t xml:space="preserve">关的能源管理使用制</w:t>
      </w:r>
      <w:r>
        <w:rPr>
          <w:rFonts w:ascii="宋体" w:hAnsi="宋体" w:cs="宋体"/>
          <w:spacing w:val="4"/>
          <w:sz w:val="24"/>
          <w:szCs w:val="24"/>
        </w:rPr>
        <w:t xml:space="preserve">度应由双方签字确认。</w:t>
      </w:r>
      <w:r/>
    </w:p>
    <w:p>
      <w:pPr>
        <w:ind w:right="41" w:firstLine="400"/>
        <w:spacing w:line="360" w:lineRule="auto"/>
        <w:rPr>
          <w:rFonts w:hint="eastAsia" w:ascii="宋体" w:hAnsi="宋体" w:cs="宋体"/>
          <w:sz w:val="24"/>
          <w:szCs w:val="24"/>
        </w:rPr>
      </w:pPr>
      <w:r>
        <w:rPr>
          <w:rFonts w:ascii="宋体" w:hAnsi="宋体" w:cs="宋体"/>
          <w:spacing w:val="-1"/>
          <w:sz w:val="24"/>
          <w:szCs w:val="24"/>
        </w:rPr>
        <w:t xml:space="preserve">7.</w:t>
      </w:r>
      <w:r>
        <w:rPr>
          <w:rFonts w:ascii="宋体" w:hAnsi="宋体" w:cs="宋体"/>
          <w:spacing w:val="4"/>
          <w:sz w:val="24"/>
          <w:szCs w:val="24"/>
        </w:rPr>
        <w:t xml:space="preserve">2  甲、乙</w:t>
      </w:r>
      <w:r>
        <w:rPr>
          <w:rFonts w:ascii="宋体" w:hAnsi="宋体" w:cs="宋体"/>
          <w:spacing w:val="-1"/>
          <w:sz w:val="24"/>
          <w:szCs w:val="24"/>
        </w:rPr>
        <w:t xml:space="preserve">双方应建立能源托管日常工作协调机制，定期组织双方现场</w:t>
      </w:r>
      <w:r>
        <w:rPr>
          <w:rFonts w:ascii="宋体" w:hAnsi="宋体" w:cs="宋体"/>
          <w:spacing w:val="-2"/>
          <w:sz w:val="24"/>
          <w:szCs w:val="24"/>
        </w:rPr>
        <w:t xml:space="preserve">管理人员召开工作例会；每</w:t>
      </w:r>
      <w:r>
        <w:rPr>
          <w:rFonts w:ascii="宋体" w:hAnsi="宋体" w:cs="宋体"/>
          <w:spacing w:val="3"/>
          <w:sz w:val="24"/>
          <w:szCs w:val="24"/>
        </w:rPr>
        <w:t xml:space="preserve">年度进行一次综合分析评估，协商解决因客观情况变化而产生的利益分</w:t>
      </w:r>
      <w:r>
        <w:rPr>
          <w:rFonts w:ascii="宋体" w:hAnsi="宋体" w:cs="宋体"/>
          <w:spacing w:val="2"/>
          <w:sz w:val="24"/>
          <w:szCs w:val="24"/>
        </w:rPr>
        <w:t xml:space="preserve">配等问题。</w:t>
      </w:r>
      <w:r/>
    </w:p>
    <w:p>
      <w:pPr>
        <w:ind w:left="400"/>
        <w:spacing w:line="360" w:lineRule="auto"/>
        <w:rPr>
          <w:rFonts w:hint="eastAsia" w:ascii="宋体" w:hAnsi="宋体" w:cs="宋体"/>
          <w:sz w:val="24"/>
          <w:szCs w:val="24"/>
        </w:rPr>
      </w:pPr>
      <w:r>
        <w:rPr>
          <w:rFonts w:ascii="宋体" w:hAnsi="宋体" w:cs="宋体"/>
          <w:spacing w:val="-3"/>
          <w:sz w:val="24"/>
          <w:szCs w:val="24"/>
        </w:rPr>
        <w:t xml:space="preserve">7.3</w:t>
      </w:r>
      <w:r>
        <w:rPr>
          <w:rFonts w:ascii="宋体" w:hAnsi="宋体" w:cs="宋体"/>
          <w:spacing w:val="6"/>
          <w:sz w:val="24"/>
          <w:szCs w:val="24"/>
        </w:rPr>
        <w:t xml:space="preserve">  </w:t>
      </w:r>
      <w:r>
        <w:rPr>
          <w:rFonts w:ascii="宋体" w:hAnsi="宋体" w:cs="宋体"/>
          <w:spacing w:val="-3"/>
          <w:sz w:val="24"/>
          <w:szCs w:val="24"/>
        </w:rPr>
        <w:t xml:space="preserve">甲方义务</w:t>
      </w:r>
      <w:r/>
    </w:p>
    <w:p>
      <w:pPr>
        <w:ind w:right="25" w:firstLine="400"/>
        <w:spacing w:line="360" w:lineRule="auto"/>
        <w:rPr>
          <w:rFonts w:hint="eastAsia" w:ascii="宋体" w:hAnsi="宋体" w:cs="宋体"/>
          <w:sz w:val="24"/>
          <w:szCs w:val="24"/>
        </w:rPr>
      </w:pPr>
      <w:r>
        <w:rPr>
          <w:rFonts w:ascii="宋体" w:hAnsi="宋体" w:cs="宋体"/>
          <w:spacing w:val="-1"/>
          <w:sz w:val="24"/>
          <w:szCs w:val="24"/>
        </w:rPr>
        <w:t xml:space="preserve">(1)甲方应协助乙方办理甲方燃气和电费、水费分割手续，实际每月产生的燃气费、电费、水费由乙</w:t>
      </w:r>
      <w:r>
        <w:rPr>
          <w:rFonts w:ascii="宋体" w:hAnsi="宋体" w:cs="宋体"/>
          <w:spacing w:val="2"/>
          <w:sz w:val="24"/>
          <w:szCs w:val="24"/>
        </w:rPr>
        <w:t xml:space="preserve">方承担并直接支付给燃气公司、电力公司、水务集团，</w:t>
      </w:r>
      <w:r>
        <w:rPr>
          <w:rFonts w:ascii="宋体" w:hAnsi="宋体" w:cs="宋体"/>
          <w:spacing w:val="1"/>
          <w:sz w:val="24"/>
          <w:szCs w:val="24"/>
        </w:rPr>
        <w:t xml:space="preserve">发票抬头为乙方。为了便于管理及核算项目节能</w:t>
      </w:r>
      <w:r>
        <w:rPr>
          <w:rFonts w:ascii="宋体" w:hAnsi="宋体" w:cs="宋体"/>
          <w:spacing w:val="-2"/>
          <w:sz w:val="24"/>
          <w:szCs w:val="24"/>
        </w:rPr>
        <w:t xml:space="preserve">量，能源过户时双方应确定各计量仪表的过户数量、覆盖范围、计量底数及仪表编码等。</w:t>
      </w:r>
      <w:r/>
    </w:p>
    <w:p>
      <w:pPr>
        <w:ind w:left="400"/>
        <w:spacing w:line="360" w:lineRule="auto"/>
        <w:rPr>
          <w:rFonts w:hint="eastAsia" w:ascii="宋体" w:hAnsi="宋体" w:cs="宋体"/>
          <w:sz w:val="24"/>
          <w:szCs w:val="24"/>
        </w:rPr>
      </w:pPr>
      <w:r>
        <w:rPr>
          <w:rFonts w:ascii="宋体" w:hAnsi="宋体" w:cs="宋体"/>
          <w:spacing w:val="4"/>
          <w:sz w:val="24"/>
          <w:szCs w:val="24"/>
        </w:rPr>
        <w:t xml:space="preserve">(2)甲方应与乙方协商做好原设备操作人员工作安排，由甲乙双方共同管理相关人员。</w:t>
      </w:r>
      <w:r/>
    </w:p>
    <w:p>
      <w:pPr>
        <w:ind w:right="31" w:firstLine="400"/>
        <w:spacing w:line="360" w:lineRule="auto"/>
        <w:rPr>
          <w:rFonts w:hint="eastAsia" w:ascii="宋体" w:hAnsi="宋体" w:cs="宋体"/>
          <w:sz w:val="24"/>
          <w:szCs w:val="24"/>
        </w:rPr>
      </w:pPr>
      <w:r>
        <w:rPr>
          <w:rFonts w:ascii="宋体" w:hAnsi="宋体" w:cs="宋体"/>
          <w:spacing w:val="3"/>
          <w:sz w:val="24"/>
          <w:szCs w:val="24"/>
        </w:rPr>
        <w:t xml:space="preserve">(3)甲方应提供必要的资料，协助、配合第三方机构开展节能量测量和验证。在托管期间积极配合</w:t>
      </w:r>
      <w:r>
        <w:rPr>
          <w:rFonts w:ascii="宋体" w:hAnsi="宋体" w:cs="宋体"/>
          <w:spacing w:val="2"/>
          <w:sz w:val="24"/>
          <w:szCs w:val="24"/>
        </w:rPr>
        <w:t xml:space="preserve">政府主管部门对托管项目进行核查和监督，并提供有关证明材料。</w:t>
      </w:r>
      <w:r/>
    </w:p>
    <w:p>
      <w:pPr>
        <w:ind w:right="31" w:firstLine="400"/>
        <w:spacing w:line="360" w:lineRule="auto"/>
        <w:rPr>
          <w:rFonts w:hint="eastAsia" w:ascii="宋体" w:hAnsi="宋体" w:cs="宋体"/>
          <w:sz w:val="24"/>
          <w:szCs w:val="24"/>
        </w:rPr>
      </w:pPr>
      <w:r>
        <w:rPr>
          <w:rFonts w:ascii="宋体" w:hAnsi="宋体" w:cs="宋体"/>
          <w:spacing w:val="3"/>
          <w:sz w:val="24"/>
          <w:szCs w:val="24"/>
        </w:rPr>
        <w:t xml:space="preserve">(4)甲方应切实履行节能管理主体责任，加强对各用能单位和用能场所的管控，强化日常考核和监</w:t>
      </w:r>
      <w:r>
        <w:rPr>
          <w:rFonts w:ascii="宋体" w:hAnsi="宋体" w:cs="宋体"/>
          <w:spacing w:val="-4"/>
          <w:sz w:val="24"/>
          <w:szCs w:val="24"/>
        </w:rPr>
        <w:t xml:space="preserve">督检查，形成合理用能、节约用能的良好环境。</w:t>
      </w:r>
      <w:r/>
    </w:p>
    <w:p>
      <w:pPr>
        <w:ind w:right="31" w:firstLine="400"/>
        <w:spacing w:line="360" w:lineRule="auto"/>
        <w:rPr>
          <w:rFonts w:hint="eastAsia" w:ascii="宋体" w:hAnsi="宋体" w:cs="宋体"/>
          <w:spacing w:val="3"/>
          <w:sz w:val="24"/>
          <w:szCs w:val="24"/>
        </w:rPr>
      </w:pPr>
      <w:r>
        <w:rPr>
          <w:rFonts w:ascii="宋体" w:hAnsi="宋体" w:cs="宋体"/>
          <w:spacing w:val="3"/>
          <w:sz w:val="24"/>
          <w:szCs w:val="24"/>
        </w:rPr>
        <w:t xml:space="preserve">(5)有新增/减设备或用能区域变更的需提前向乙方提供增/减设备或变更情况的书面记录。</w:t>
      </w:r>
      <w:r/>
    </w:p>
    <w:p>
      <w:pPr>
        <w:ind w:right="31" w:firstLine="400"/>
        <w:spacing w:line="360" w:lineRule="auto"/>
        <w:rPr>
          <w:rFonts w:hint="eastAsia" w:ascii="宋体" w:hAnsi="宋体" w:cs="宋体"/>
          <w:spacing w:val="3"/>
          <w:sz w:val="24"/>
          <w:szCs w:val="24"/>
        </w:rPr>
      </w:pPr>
      <w:r>
        <w:rPr>
          <w:rFonts w:ascii="宋体" w:hAnsi="宋体" w:cs="宋体"/>
          <w:spacing w:val="3"/>
          <w:sz w:val="24"/>
          <w:szCs w:val="24"/>
        </w:rPr>
        <w:t xml:space="preserve">(6)甲方应将与托管项目有关的其内部规章制度和特殊安全规定提前告知乙方并书面提交给乙方。</w:t>
      </w:r>
      <w:r/>
    </w:p>
    <w:p>
      <w:pPr>
        <w:ind w:right="41" w:firstLine="400"/>
        <w:spacing w:line="360" w:lineRule="auto"/>
        <w:rPr>
          <w:rFonts w:hint="eastAsia" w:ascii="宋体" w:hAnsi="宋体" w:cs="宋体"/>
          <w:sz w:val="24"/>
          <w:szCs w:val="24"/>
        </w:rPr>
      </w:pPr>
      <w:r>
        <w:rPr>
          <w:rFonts w:ascii="宋体" w:hAnsi="宋体" w:cs="宋体"/>
          <w:spacing w:val="8"/>
          <w:sz w:val="24"/>
          <w:szCs w:val="24"/>
        </w:rPr>
        <w:t xml:space="preserve">(7)甲方应协助乙方向有关政府机构或者组织</w:t>
      </w:r>
      <w:r>
        <w:rPr>
          <w:rFonts w:ascii="宋体" w:hAnsi="宋体" w:cs="宋体"/>
          <w:spacing w:val="7"/>
          <w:sz w:val="24"/>
          <w:szCs w:val="24"/>
        </w:rPr>
        <w:t xml:space="preserve">申请与项目相关的补助、奖励或其他可适用的优惠</w:t>
      </w:r>
      <w:r>
        <w:rPr>
          <w:rFonts w:ascii="宋体" w:hAnsi="宋体" w:cs="宋体"/>
          <w:sz w:val="24"/>
          <w:szCs w:val="24"/>
        </w:rPr>
        <w:t xml:space="preserve">政策，甲乙双方可以约定分成比例，以奖补资金继续推进实施</w:t>
      </w:r>
      <w:r>
        <w:rPr>
          <w:rFonts w:ascii="宋体" w:hAnsi="宋体" w:cs="宋体"/>
          <w:spacing w:val="-1"/>
          <w:sz w:val="24"/>
          <w:szCs w:val="24"/>
        </w:rPr>
        <w:t xml:space="preserve">节能技改项目。</w:t>
      </w:r>
      <w:r/>
    </w:p>
    <w:p>
      <w:pPr>
        <w:ind w:right="30" w:firstLine="400"/>
        <w:spacing w:line="360" w:lineRule="auto"/>
        <w:rPr>
          <w:rFonts w:hint="eastAsia" w:ascii="宋体" w:hAnsi="宋体" w:cs="宋体"/>
          <w:sz w:val="24"/>
          <w:szCs w:val="24"/>
        </w:rPr>
      </w:pPr>
      <w:r>
        <w:rPr>
          <w:rFonts w:ascii="宋体" w:hAnsi="宋体" w:cs="宋体"/>
          <w:spacing w:val="3"/>
          <w:sz w:val="24"/>
          <w:szCs w:val="24"/>
        </w:rPr>
        <w:t xml:space="preserve">(8)甲方应为乙方的管理服务工作提供必要的方便条件，包括但不限于提供必要的场所、通讯、水</w:t>
      </w:r>
      <w:r>
        <w:rPr>
          <w:rFonts w:ascii="宋体" w:hAnsi="宋体" w:cs="宋体"/>
          <w:spacing w:val="-2"/>
          <w:sz w:val="24"/>
          <w:szCs w:val="24"/>
        </w:rPr>
        <w:t xml:space="preserve">电以及合理调整办公、设备试运行等便利。</w:t>
      </w:r>
      <w:r/>
    </w:p>
    <w:p>
      <w:pPr>
        <w:ind w:right="30" w:firstLine="400"/>
        <w:spacing w:line="360" w:lineRule="auto"/>
        <w:rPr>
          <w:rFonts w:hint="eastAsia" w:ascii="宋体" w:hAnsi="宋体" w:cs="宋体"/>
          <w:sz w:val="24"/>
          <w:szCs w:val="24"/>
        </w:rPr>
      </w:pPr>
      <w:r>
        <w:rPr>
          <w:rFonts w:ascii="宋体" w:hAnsi="宋体" w:cs="宋体"/>
          <w:spacing w:val="8"/>
          <w:sz w:val="24"/>
          <w:szCs w:val="24"/>
        </w:rPr>
        <w:t xml:space="preserve">(9)甲方应组织有关用能岗位的人员学习能源管理使用的规章制度并切</w:t>
      </w:r>
      <w:r>
        <w:rPr>
          <w:rFonts w:ascii="宋体" w:hAnsi="宋体" w:cs="宋体"/>
          <w:spacing w:val="7"/>
          <w:sz w:val="24"/>
          <w:szCs w:val="24"/>
        </w:rPr>
        <w:t xml:space="preserve">实遵守；应配合乙方落实</w:t>
      </w:r>
      <w:r>
        <w:rPr>
          <w:rFonts w:ascii="宋体" w:hAnsi="宋体" w:cs="宋体"/>
          <w:spacing w:val="4"/>
          <w:sz w:val="24"/>
          <w:szCs w:val="24"/>
        </w:rPr>
        <w:t xml:space="preserve">合同约定的用能系统设备开关策略及能源供应标准。</w:t>
      </w:r>
      <w:r/>
    </w:p>
    <w:p>
      <w:pPr>
        <w:ind w:left="400"/>
        <w:spacing w:line="360" w:lineRule="auto"/>
        <w:rPr>
          <w:rFonts w:hint="eastAsia" w:ascii="宋体" w:hAnsi="宋体" w:cs="宋体"/>
          <w:spacing w:val="-3"/>
          <w:sz w:val="24"/>
          <w:szCs w:val="24"/>
        </w:rPr>
      </w:pPr>
      <w:r>
        <w:rPr>
          <w:rFonts w:ascii="宋体" w:hAnsi="宋体" w:cs="宋体"/>
          <w:spacing w:val="-3"/>
          <w:sz w:val="24"/>
          <w:szCs w:val="24"/>
        </w:rPr>
        <w:t xml:space="preserve">7.</w:t>
      </w:r>
      <w:r>
        <w:rPr>
          <w:rFonts w:ascii="宋体" w:hAnsi="宋体" w:cs="宋体"/>
          <w:spacing w:val="4"/>
          <w:sz w:val="24"/>
          <w:szCs w:val="24"/>
        </w:rPr>
        <w:t xml:space="preserve">4  乙方</w:t>
      </w:r>
      <w:r>
        <w:rPr>
          <w:rFonts w:ascii="宋体" w:hAnsi="宋体" w:cs="宋体"/>
          <w:spacing w:val="-3"/>
          <w:sz w:val="24"/>
          <w:szCs w:val="24"/>
        </w:rPr>
        <w:t xml:space="preserve">义务</w:t>
      </w:r>
      <w:r/>
    </w:p>
    <w:p>
      <w:pPr>
        <w:ind w:left="30" w:right="85" w:firstLine="389"/>
        <w:spacing w:line="360" w:lineRule="auto"/>
        <w:rPr>
          <w:rFonts w:hint="eastAsia" w:ascii="宋体" w:hAnsi="宋体" w:cs="宋体"/>
          <w:sz w:val="24"/>
          <w:szCs w:val="24"/>
        </w:rPr>
      </w:pPr>
      <w:r>
        <w:rPr>
          <w:rFonts w:ascii="宋体" w:hAnsi="宋体" w:cs="宋体"/>
          <w:spacing w:val="17"/>
          <w:sz w:val="24"/>
          <w:szCs w:val="24"/>
        </w:rPr>
        <w:t xml:space="preserve">(1)乙方应配合甲方建立和完善能源管理和使用规章制度，并组织甲方有关用能岗位的人员学习</w:t>
      </w:r>
      <w:r>
        <w:rPr>
          <w:rFonts w:ascii="宋体" w:hAnsi="宋体" w:cs="宋体"/>
          <w:spacing w:val="8"/>
          <w:sz w:val="24"/>
          <w:szCs w:val="24"/>
        </w:rPr>
        <w:t xml:space="preserve">落实，同时定期对能源使用情况进行检查和监督，制止能源浪费行为。</w:t>
      </w:r>
      <w:r/>
    </w:p>
    <w:p>
      <w:pPr>
        <w:ind w:left="20" w:right="101" w:firstLine="399"/>
        <w:spacing w:line="360" w:lineRule="auto"/>
        <w:rPr>
          <w:rFonts w:hint="eastAsia" w:ascii="宋体" w:hAnsi="宋体" w:cs="宋体"/>
          <w:sz w:val="24"/>
          <w:szCs w:val="24"/>
        </w:rPr>
      </w:pPr>
      <w:r>
        <w:rPr>
          <w:rFonts w:ascii="宋体" w:hAnsi="宋体" w:cs="宋体"/>
          <w:spacing w:val="13"/>
          <w:sz w:val="24"/>
          <w:szCs w:val="24"/>
        </w:rPr>
        <w:t xml:space="preserve">(2)乙方投资的设备、工程等在合同期内</w:t>
      </w:r>
      <w:r>
        <w:rPr>
          <w:rFonts w:ascii="宋体" w:hAnsi="宋体" w:cs="宋体"/>
          <w:spacing w:val="12"/>
          <w:sz w:val="24"/>
          <w:szCs w:val="24"/>
        </w:rPr>
        <w:t xml:space="preserve">的维保及质量问题由乙方负责，并应定期向甲方提供设备</w:t>
      </w:r>
      <w:r>
        <w:rPr>
          <w:rFonts w:ascii="宋体" w:hAnsi="宋体" w:cs="宋体"/>
          <w:spacing w:val="3"/>
          <w:sz w:val="24"/>
          <w:szCs w:val="24"/>
        </w:rPr>
        <w:t xml:space="preserve">维护、更新情况记录。</w:t>
      </w:r>
      <w:r/>
    </w:p>
    <w:p>
      <w:pPr>
        <w:ind w:left="20" w:right="82" w:firstLine="409"/>
        <w:spacing w:line="360" w:lineRule="auto"/>
        <w:rPr>
          <w:rFonts w:hint="eastAsia" w:ascii="宋体" w:hAnsi="宋体" w:cs="宋体"/>
          <w:sz w:val="24"/>
          <w:szCs w:val="24"/>
        </w:rPr>
      </w:pPr>
      <w:r>
        <w:rPr>
          <w:rFonts w:ascii="宋体" w:hAnsi="宋体" w:cs="宋体"/>
          <w:spacing w:val="13"/>
          <w:sz w:val="24"/>
          <w:szCs w:val="24"/>
        </w:rPr>
        <w:t xml:space="preserve">(3)乙方应在完成所投资设备的安装和调试后，对甲方指派的操</w:t>
      </w:r>
      <w:r>
        <w:rPr>
          <w:rFonts w:ascii="宋体" w:hAnsi="宋体" w:cs="宋体"/>
          <w:spacing w:val="12"/>
          <w:sz w:val="24"/>
          <w:szCs w:val="24"/>
        </w:rPr>
        <w:t xml:space="preserve">作人员定期进行专业培训，以使其</w:t>
      </w:r>
      <w:r>
        <w:rPr>
          <w:rFonts w:ascii="宋体" w:hAnsi="宋体" w:cs="宋体"/>
          <w:spacing w:val="14"/>
          <w:sz w:val="24"/>
          <w:szCs w:val="24"/>
        </w:rPr>
        <w:t xml:space="preserve">能承担相应的操作和设施维护要求。</w:t>
      </w:r>
      <w:r/>
    </w:p>
    <w:p>
      <w:pPr>
        <w:ind w:left="20" w:right="82" w:firstLine="399"/>
        <w:spacing w:line="360" w:lineRule="auto"/>
        <w:rPr>
          <w:rFonts w:hint="eastAsia" w:ascii="宋体" w:hAnsi="宋体" w:cs="宋体"/>
          <w:sz w:val="24"/>
          <w:szCs w:val="24"/>
        </w:rPr>
      </w:pPr>
      <w:r>
        <w:rPr>
          <w:rFonts w:ascii="宋体" w:hAnsi="宋体" w:cs="宋体"/>
          <w:spacing w:val="9"/>
          <w:sz w:val="24"/>
          <w:szCs w:val="24"/>
        </w:rPr>
        <w:t xml:space="preserve">(4)乙方若发现有私自拆、改、破坏能源系统的行为应及时</w:t>
      </w:r>
      <w:r>
        <w:rPr>
          <w:rFonts w:ascii="宋体" w:hAnsi="宋体" w:cs="宋体"/>
          <w:spacing w:val="8"/>
          <w:sz w:val="24"/>
          <w:szCs w:val="24"/>
        </w:rPr>
        <w:t xml:space="preserve">上报甲方，并马上采取措施制止，若严重</w:t>
      </w:r>
      <w:r>
        <w:rPr>
          <w:rFonts w:ascii="宋体" w:hAnsi="宋体" w:cs="宋体"/>
          <w:spacing w:val="13"/>
          <w:sz w:val="24"/>
          <w:szCs w:val="24"/>
        </w:rPr>
        <w:t xml:space="preserve">威胁到能源系统的可暂停服务。</w:t>
      </w:r>
      <w:r/>
    </w:p>
    <w:p>
      <w:pPr>
        <w:ind w:left="10" w:right="103" w:firstLine="409"/>
        <w:spacing w:line="360" w:lineRule="auto"/>
        <w:rPr>
          <w:rFonts w:hint="eastAsia" w:ascii="宋体" w:hAnsi="宋体" w:cs="宋体"/>
          <w:sz w:val="24"/>
          <w:szCs w:val="24"/>
        </w:rPr>
      </w:pPr>
      <w:r>
        <w:rPr>
          <w:rFonts w:ascii="宋体" w:hAnsi="宋体" w:cs="宋体"/>
          <w:spacing w:val="12"/>
          <w:sz w:val="24"/>
          <w:szCs w:val="24"/>
        </w:rPr>
        <w:t xml:space="preserve">(5)因乙方未缴纳能源费用或乙方实施改造原因，导致甲方断水、断电、断天然气事故或造成其他</w:t>
      </w:r>
      <w:r>
        <w:rPr>
          <w:rFonts w:ascii="宋体" w:hAnsi="宋体" w:cs="宋体"/>
          <w:spacing w:val="8"/>
          <w:sz w:val="24"/>
          <w:szCs w:val="24"/>
        </w:rPr>
        <w:t xml:space="preserve">损失的，责任由乙方承担，但不可抗力或甲方有违约行为的除外。</w:t>
      </w:r>
      <w:r/>
    </w:p>
    <w:p>
      <w:pPr>
        <w:ind w:left="20" w:right="83" w:firstLine="409"/>
        <w:spacing w:line="360" w:lineRule="auto"/>
        <w:rPr>
          <w:rFonts w:hint="eastAsia" w:ascii="宋体" w:hAnsi="宋体" w:cs="宋体"/>
          <w:sz w:val="24"/>
          <w:szCs w:val="24"/>
        </w:rPr>
      </w:pPr>
      <w:r>
        <w:rPr>
          <w:rFonts w:ascii="宋体" w:hAnsi="宋体" w:cs="宋体"/>
          <w:spacing w:val="12"/>
          <w:sz w:val="24"/>
          <w:szCs w:val="24"/>
        </w:rPr>
        <w:t xml:space="preserve">(6)乙方应负责本方人员的安全管理，在合同履行期内，因乙方原因出现的安全(工伤)事故由乙方</w:t>
      </w:r>
      <w:r>
        <w:rPr>
          <w:rFonts w:ascii="宋体" w:hAnsi="宋体" w:cs="宋体"/>
          <w:spacing w:val="10"/>
          <w:sz w:val="24"/>
          <w:szCs w:val="24"/>
        </w:rPr>
        <w:t xml:space="preserve">负责承担。</w:t>
      </w:r>
      <w:r/>
    </w:p>
    <w:p>
      <w:pPr>
        <w:ind w:right="93" w:firstLine="419"/>
        <w:spacing w:line="360" w:lineRule="auto"/>
        <w:rPr>
          <w:rFonts w:hint="eastAsia" w:ascii="宋体" w:hAnsi="宋体" w:cs="宋体"/>
          <w:sz w:val="24"/>
          <w:szCs w:val="24"/>
        </w:rPr>
      </w:pPr>
      <w:r>
        <w:rPr>
          <w:rFonts w:ascii="宋体" w:hAnsi="宋体" w:cs="宋体"/>
          <w:spacing w:val="17"/>
          <w:sz w:val="24"/>
          <w:szCs w:val="24"/>
        </w:rPr>
        <w:t xml:space="preserve">(7)乙方管理人员进入甲方的相关场所，应当遵守甲方的规章制度。乙方的维修维护管理</w:t>
      </w:r>
      <w:r>
        <w:rPr>
          <w:rFonts w:ascii="宋体" w:hAnsi="宋体" w:cs="宋体"/>
          <w:spacing w:val="16"/>
          <w:sz w:val="24"/>
          <w:szCs w:val="24"/>
        </w:rPr>
        <w:t xml:space="preserve">等项工</w:t>
      </w:r>
      <w:r>
        <w:rPr>
          <w:rFonts w:ascii="宋体" w:hAnsi="宋体" w:cs="宋体"/>
          <w:spacing w:val="12"/>
          <w:sz w:val="24"/>
          <w:szCs w:val="24"/>
        </w:rPr>
        <w:t xml:space="preserve">作，应不影响甲方的正常工作。必须要甲方停止相关工作时，乙方应</w:t>
      </w:r>
      <w:r>
        <w:rPr>
          <w:rFonts w:ascii="宋体" w:hAnsi="宋体" w:cs="宋体"/>
          <w:spacing w:val="11"/>
          <w:sz w:val="24"/>
          <w:szCs w:val="24"/>
        </w:rPr>
        <w:t xml:space="preserve">提前通报甲方的负责人，协调安排</w:t>
      </w:r>
      <w:r>
        <w:rPr>
          <w:rFonts w:ascii="宋体" w:hAnsi="宋体" w:cs="宋体"/>
          <w:spacing w:val="14"/>
          <w:sz w:val="24"/>
          <w:szCs w:val="24"/>
        </w:rPr>
        <w:t xml:space="preserve">好相应的工作。</w:t>
      </w:r>
      <w:r/>
    </w:p>
    <w:p>
      <w:pPr>
        <w:ind w:left="429"/>
        <w:spacing w:line="360" w:lineRule="auto"/>
        <w:rPr>
          <w:rFonts w:hint="eastAsia" w:ascii="宋体" w:hAnsi="宋体" w:cs="宋体"/>
          <w:sz w:val="24"/>
          <w:szCs w:val="24"/>
        </w:rPr>
      </w:pPr>
      <w:r>
        <w:rPr>
          <w:rFonts w:ascii="宋体" w:hAnsi="宋体" w:cs="宋体"/>
          <w:spacing w:val="13"/>
          <w:sz w:val="24"/>
          <w:szCs w:val="24"/>
        </w:rPr>
        <w:t xml:space="preserve">(8)乙方应协助、配合第三方机构或者甲方开展节能量测量</w:t>
      </w:r>
      <w:r>
        <w:rPr>
          <w:rFonts w:ascii="宋体" w:hAnsi="宋体" w:cs="宋体"/>
          <w:spacing w:val="12"/>
          <w:sz w:val="24"/>
          <w:szCs w:val="24"/>
        </w:rPr>
        <w:t xml:space="preserve">和验证。</w:t>
      </w:r>
      <w:r/>
    </w:p>
    <w:p>
      <w:pPr>
        <w:ind w:left="419"/>
        <w:spacing w:line="360" w:lineRule="auto"/>
        <w:rPr>
          <w:rFonts w:hint="eastAsia" w:ascii="宋体" w:hAnsi="宋体" w:cs="宋体"/>
          <w:sz w:val="24"/>
          <w:szCs w:val="24"/>
        </w:rPr>
      </w:pPr>
      <w:r>
        <w:rPr>
          <w:rFonts w:ascii="宋体" w:hAnsi="宋体" w:cs="宋体"/>
          <w:spacing w:val="4"/>
          <w:sz w:val="24"/>
          <w:szCs w:val="24"/>
        </w:rPr>
        <w:t xml:space="preserve">7.5  其他需要互相配合的事项：</w:t>
      </w:r>
      <w:r>
        <w:rPr>
          <w:rFonts w:ascii="宋体" w:hAnsi="宋体" w:cs="宋体"/>
          <w:spacing w:val="-59"/>
          <w:sz w:val="24"/>
          <w:szCs w:val="24"/>
        </w:rPr>
        <w:t xml:space="preserve"> </w:t>
      </w:r>
      <w:r>
        <w:rPr>
          <w:rFonts w:ascii="宋体" w:hAnsi="宋体" w:cs="宋体"/>
          <w:sz w:val="24"/>
          <w:szCs w:val="24"/>
          <w:u w:val="single"/>
        </w:rPr>
        <w:t xml:space="preserve">                                     </w:t>
      </w:r>
      <w:r/>
    </w:p>
    <w:p>
      <w:pPr>
        <w:ind w:left="429"/>
        <w:spacing w:line="360" w:lineRule="auto"/>
        <w:rPr>
          <w:rFonts w:hint="eastAsia" w:ascii="宋体" w:hAnsi="宋体" w:cs="宋体"/>
          <w:spacing w:val="13"/>
          <w:sz w:val="24"/>
          <w:szCs w:val="24"/>
        </w:rPr>
      </w:pPr>
      <w:r>
        <w:rPr>
          <w:rFonts w:ascii="宋体" w:hAnsi="宋体" w:cs="宋体"/>
          <w:spacing w:val="13"/>
          <w:sz w:val="24"/>
          <w:szCs w:val="24"/>
        </w:rPr>
        <w:t xml:space="preserve">7</w:t>
      </w:r>
      <w:r>
        <w:rPr>
          <w:rFonts w:ascii="宋体" w:hAnsi="宋体" w:cs="宋体"/>
          <w:spacing w:val="4"/>
          <w:sz w:val="24"/>
          <w:szCs w:val="24"/>
        </w:rPr>
        <w:t xml:space="preserve">.6 </w:t>
      </w:r>
      <w:r>
        <w:rPr>
          <w:rFonts w:hint="eastAsia" w:ascii="宋体" w:hAnsi="宋体" w:cs="宋体"/>
          <w:spacing w:val="4"/>
          <w:sz w:val="24"/>
          <w:szCs w:val="24"/>
        </w:rPr>
        <w:t xml:space="preserve"> </w:t>
      </w:r>
      <w:r>
        <w:rPr>
          <w:rFonts w:ascii="宋体" w:hAnsi="宋体" w:cs="宋体"/>
          <w:spacing w:val="4"/>
          <w:sz w:val="24"/>
          <w:szCs w:val="24"/>
        </w:rPr>
        <w:t xml:space="preserve">甲方</w:t>
      </w:r>
      <w:r>
        <w:rPr>
          <w:rFonts w:ascii="宋体" w:hAnsi="宋体" w:cs="宋体"/>
          <w:spacing w:val="13"/>
          <w:sz w:val="24"/>
          <w:szCs w:val="24"/>
        </w:rPr>
        <w:t xml:space="preserve">的项目负责人为：</w:t>
      </w:r>
      <w:r>
        <w:rPr>
          <w:rFonts w:ascii="宋体" w:hAnsi="宋体" w:cs="宋体"/>
          <w:spacing w:val="13"/>
          <w:sz w:val="24"/>
          <w:szCs w:val="24"/>
          <w:u w:val="single"/>
        </w:rPr>
        <w:t xml:space="preserve"> </w:t>
      </w:r>
      <w:r>
        <w:rPr>
          <w:rFonts w:hint="eastAsia" w:ascii="宋体" w:hAnsi="宋体" w:cs="宋体"/>
          <w:spacing w:val="13"/>
          <w:sz w:val="24"/>
          <w:szCs w:val="24"/>
          <w:u w:val="single"/>
        </w:rPr>
        <w:t xml:space="preserve">  </w:t>
      </w:r>
      <w:r>
        <w:rPr>
          <w:rFonts w:ascii="宋体" w:hAnsi="宋体" w:cs="宋体"/>
          <w:spacing w:val="13"/>
          <w:sz w:val="24"/>
          <w:szCs w:val="24"/>
          <w:u w:val="single"/>
        </w:rPr>
        <w:t xml:space="preserve">  </w:t>
      </w:r>
      <w:r>
        <w:rPr>
          <w:rFonts w:hint="eastAsia" w:ascii="宋体" w:hAnsi="宋体" w:cs="宋体"/>
          <w:spacing w:val="13"/>
          <w:sz w:val="24"/>
          <w:szCs w:val="24"/>
        </w:rPr>
        <w:t xml:space="preserve">；</w:t>
      </w:r>
      <w:r>
        <w:rPr>
          <w:rFonts w:ascii="宋体" w:hAnsi="宋体" w:cs="宋体"/>
          <w:spacing w:val="13"/>
          <w:sz w:val="24"/>
          <w:szCs w:val="24"/>
        </w:rPr>
        <w:t xml:space="preserve">乙方的项目负责人为：</w:t>
      </w:r>
      <w:r>
        <w:rPr>
          <w:rFonts w:hint="eastAsia" w:ascii="宋体" w:hAnsi="宋体" w:cs="宋体"/>
          <w:spacing w:val="13"/>
          <w:sz w:val="24"/>
          <w:szCs w:val="24"/>
          <w:u w:val="single"/>
        </w:rPr>
        <w:t xml:space="preserve">     </w:t>
      </w:r>
      <w:r>
        <w:rPr>
          <w:rFonts w:ascii="宋体" w:hAnsi="宋体" w:cs="宋体"/>
          <w:spacing w:val="13"/>
          <w:sz w:val="24"/>
          <w:szCs w:val="24"/>
        </w:rPr>
        <w:t xml:space="preserve">。</w:t>
      </w:r>
      <w:r/>
    </w:p>
    <w:p>
      <w:pPr>
        <w:ind w:left="429"/>
        <w:spacing w:line="360" w:lineRule="auto"/>
        <w:rPr>
          <w:rFonts w:hint="eastAsia" w:ascii="宋体" w:hAnsi="宋体" w:cs="宋体"/>
          <w:spacing w:val="13"/>
          <w:sz w:val="24"/>
          <w:szCs w:val="24"/>
        </w:rPr>
      </w:pPr>
      <w:r>
        <w:rPr>
          <w:rFonts w:ascii="宋体" w:hAnsi="宋体" w:cs="宋体"/>
          <w:spacing w:val="13"/>
          <w:sz w:val="24"/>
          <w:szCs w:val="24"/>
        </w:rPr>
        <w:t xml:space="preserve">任何一方更换项目负责人应以书面形式通知对方。</w:t>
      </w:r>
      <w:r/>
    </w:p>
    <w:p>
      <w:pPr>
        <w:ind w:left="20" w:right="10" w:firstLine="399"/>
        <w:spacing w:line="360" w:lineRule="auto"/>
        <w:rPr>
          <w:rFonts w:hint="eastAsia" w:ascii="宋体" w:hAnsi="宋体" w:cs="宋体"/>
          <w:sz w:val="24"/>
          <w:szCs w:val="24"/>
        </w:rPr>
      </w:pPr>
      <w:r>
        <w:rPr>
          <w:rFonts w:ascii="宋体" w:hAnsi="宋体" w:cs="宋体"/>
          <w:spacing w:val="13"/>
          <w:sz w:val="24"/>
          <w:szCs w:val="24"/>
        </w:rPr>
        <w:t xml:space="preserve">项目负责人可以就本合同的履行过程中的事项签署相关洽商文件，该洽商</w:t>
      </w:r>
      <w:r>
        <w:rPr>
          <w:rFonts w:ascii="宋体" w:hAnsi="宋体" w:cs="宋体"/>
          <w:spacing w:val="12"/>
          <w:sz w:val="24"/>
          <w:szCs w:val="24"/>
        </w:rPr>
        <w:t xml:space="preserve">文件对双方具有约束力，</w:t>
      </w:r>
      <w:r>
        <w:rPr>
          <w:rFonts w:ascii="宋体" w:hAnsi="宋体" w:cs="宋体"/>
          <w:spacing w:val="14"/>
          <w:sz w:val="24"/>
          <w:szCs w:val="24"/>
        </w:rPr>
        <w:t xml:space="preserve">其他相关人员无权签署此类洽商文件。</w:t>
      </w:r>
      <w:r/>
    </w:p>
    <w:p>
      <w:pPr>
        <w:ind w:left="402"/>
        <w:spacing w:line="360" w:lineRule="auto"/>
        <w:rPr>
          <w:rFonts w:hint="eastAsia" w:ascii="宋体" w:hAnsi="宋体" w:cs="黑体"/>
          <w:b/>
          <w:bCs/>
          <w:sz w:val="24"/>
          <w:szCs w:val="24"/>
        </w:rPr>
      </w:pPr>
      <w:r>
        <w:rPr>
          <w:rFonts w:ascii="宋体" w:hAnsi="宋体" w:cs="黑体"/>
          <w:b/>
          <w:bCs/>
          <w:sz w:val="24"/>
          <w:szCs w:val="24"/>
        </w:rPr>
        <w:t xml:space="preserve">第八条 </w:t>
      </w:r>
      <w:r>
        <w:rPr>
          <w:rFonts w:hint="eastAsia" w:ascii="宋体" w:hAnsi="宋体" w:cs="黑体"/>
          <w:b/>
          <w:bCs/>
          <w:sz w:val="24"/>
          <w:szCs w:val="24"/>
        </w:rPr>
        <w:t xml:space="preserve"> </w:t>
      </w:r>
      <w:r>
        <w:rPr>
          <w:rFonts w:ascii="宋体" w:hAnsi="宋体" w:cs="黑体"/>
          <w:b/>
          <w:bCs/>
          <w:sz w:val="24"/>
          <w:szCs w:val="24"/>
        </w:rPr>
        <w:t xml:space="preserve">项目移交事项</w:t>
      </w:r>
      <w:r/>
    </w:p>
    <w:p>
      <w:pPr>
        <w:ind w:left="30" w:right="91" w:firstLine="379"/>
        <w:spacing w:line="360" w:lineRule="auto"/>
        <w:rPr>
          <w:rFonts w:hint="eastAsia" w:ascii="宋体" w:hAnsi="宋体" w:cs="宋体"/>
          <w:sz w:val="24"/>
          <w:szCs w:val="24"/>
        </w:rPr>
      </w:pPr>
      <w:r>
        <w:rPr>
          <w:rFonts w:ascii="宋体" w:hAnsi="宋体" w:cs="宋体"/>
          <w:spacing w:val="8"/>
          <w:sz w:val="24"/>
          <w:szCs w:val="24"/>
        </w:rPr>
        <w:t xml:space="preserve">8.</w:t>
      </w:r>
      <w:r>
        <w:rPr>
          <w:rFonts w:ascii="宋体" w:hAnsi="宋体" w:cs="宋体"/>
          <w:spacing w:val="4"/>
          <w:sz w:val="24"/>
          <w:szCs w:val="24"/>
        </w:rPr>
        <w:t xml:space="preserve">1  乙方在接</w:t>
      </w:r>
      <w:r>
        <w:rPr>
          <w:rFonts w:ascii="宋体" w:hAnsi="宋体" w:cs="宋体"/>
          <w:spacing w:val="8"/>
          <w:sz w:val="24"/>
          <w:szCs w:val="24"/>
        </w:rPr>
        <w:t xml:space="preserve">管项目之前，甲、乙双方应当完成附件一的全部工作。在移交之前由甲方主导，乙方</w:t>
      </w:r>
      <w:r>
        <w:rPr>
          <w:rFonts w:ascii="宋体" w:hAnsi="宋体" w:cs="宋体"/>
          <w:spacing w:val="15"/>
          <w:sz w:val="24"/>
          <w:szCs w:val="24"/>
        </w:rPr>
        <w:t xml:space="preserve">参与，双方共同对用能系统进行一次全面检修。检修费用由甲方承担。用能系统移交时甲方应保证设</w:t>
      </w:r>
      <w:r>
        <w:rPr>
          <w:rFonts w:ascii="宋体" w:hAnsi="宋体" w:cs="宋体"/>
          <w:spacing w:val="13"/>
          <w:sz w:val="24"/>
          <w:szCs w:val="24"/>
        </w:rPr>
        <w:t xml:space="preserve">备和设施的完整性和能够正常运行。</w:t>
      </w:r>
      <w:r/>
    </w:p>
    <w:p>
      <w:pPr>
        <w:ind w:left="30" w:right="83" w:firstLine="379"/>
        <w:spacing w:line="360" w:lineRule="auto"/>
        <w:rPr>
          <w:rFonts w:hint="eastAsia" w:ascii="宋体" w:hAnsi="宋体" w:cs="宋体"/>
          <w:sz w:val="24"/>
          <w:szCs w:val="24"/>
        </w:rPr>
      </w:pPr>
      <w:r>
        <w:rPr>
          <w:rFonts w:ascii="宋体" w:hAnsi="宋体" w:cs="宋体"/>
          <w:spacing w:val="5"/>
          <w:sz w:val="24"/>
          <w:szCs w:val="24"/>
        </w:rPr>
        <w:t xml:space="preserve">8.</w:t>
      </w:r>
      <w:r>
        <w:rPr>
          <w:rFonts w:ascii="宋体" w:hAnsi="宋体" w:cs="宋体"/>
          <w:spacing w:val="4"/>
          <w:sz w:val="24"/>
          <w:szCs w:val="24"/>
        </w:rPr>
        <w:t xml:space="preserve">2  移交过程</w:t>
      </w:r>
      <w:r>
        <w:rPr>
          <w:rFonts w:ascii="宋体" w:hAnsi="宋体" w:cs="宋体"/>
          <w:spacing w:val="5"/>
          <w:sz w:val="24"/>
          <w:szCs w:val="24"/>
        </w:rPr>
        <w:t xml:space="preserve">中，甲方需向乙方提供有关项目审批、验</w:t>
      </w:r>
      <w:r>
        <w:rPr>
          <w:rFonts w:ascii="宋体" w:hAnsi="宋体" w:cs="宋体"/>
          <w:spacing w:val="4"/>
          <w:sz w:val="24"/>
          <w:szCs w:val="24"/>
        </w:rPr>
        <w:t xml:space="preserve">收、备案、行政许可等相关手续的复印件，供暖、供电、供水、燃气系统及消防系统申报、批准验收等手续，以及供暖及供冷系统相关</w:t>
      </w:r>
      <w:r>
        <w:rPr>
          <w:rFonts w:ascii="宋体" w:hAnsi="宋体" w:cs="宋体"/>
          <w:spacing w:val="3"/>
          <w:sz w:val="24"/>
          <w:szCs w:val="24"/>
        </w:rPr>
        <w:t xml:space="preserve">资料等。</w:t>
      </w:r>
      <w:r/>
    </w:p>
    <w:p>
      <w:pPr>
        <w:ind w:left="20" w:right="102" w:firstLine="389"/>
        <w:spacing w:line="360" w:lineRule="auto"/>
        <w:rPr>
          <w:rFonts w:hint="eastAsia" w:ascii="宋体" w:hAnsi="宋体" w:cs="宋体"/>
          <w:sz w:val="24"/>
          <w:szCs w:val="24"/>
        </w:rPr>
      </w:pPr>
      <w:r>
        <w:rPr>
          <w:rFonts w:ascii="宋体" w:hAnsi="宋体" w:cs="宋体"/>
          <w:spacing w:val="5"/>
          <w:sz w:val="24"/>
          <w:szCs w:val="24"/>
        </w:rPr>
        <w:t xml:space="preserve">8.</w:t>
      </w:r>
      <w:r>
        <w:rPr>
          <w:rFonts w:ascii="宋体" w:hAnsi="宋体" w:cs="宋体"/>
          <w:spacing w:val="4"/>
          <w:sz w:val="24"/>
          <w:szCs w:val="24"/>
        </w:rPr>
        <w:t xml:space="preserve">3 </w:t>
      </w:r>
      <w:r>
        <w:rPr>
          <w:rFonts w:hint="eastAsia" w:ascii="宋体" w:hAnsi="宋体" w:cs="宋体"/>
          <w:spacing w:val="4"/>
          <w:sz w:val="24"/>
          <w:szCs w:val="24"/>
        </w:rPr>
        <w:t xml:space="preserve"> </w:t>
      </w:r>
      <w:r>
        <w:rPr>
          <w:rFonts w:ascii="宋体" w:hAnsi="宋体" w:cs="宋体"/>
          <w:spacing w:val="4"/>
          <w:sz w:val="24"/>
          <w:szCs w:val="24"/>
        </w:rPr>
        <w:t xml:space="preserve">移交相</w:t>
      </w:r>
      <w:r>
        <w:rPr>
          <w:rFonts w:ascii="宋体" w:hAnsi="宋体" w:cs="宋体"/>
          <w:spacing w:val="5"/>
          <w:sz w:val="24"/>
          <w:szCs w:val="24"/>
        </w:rPr>
        <w:t xml:space="preserve">关的文件资料包括设备、设施的购买、维修、使用文</w:t>
      </w:r>
      <w:r>
        <w:rPr>
          <w:rFonts w:ascii="宋体" w:hAnsi="宋体" w:cs="宋体"/>
          <w:spacing w:val="4"/>
          <w:sz w:val="24"/>
          <w:szCs w:val="24"/>
        </w:rPr>
        <w:t xml:space="preserve">件，能源管理的规章制度，行政许可</w:t>
      </w:r>
      <w:r>
        <w:rPr>
          <w:rFonts w:ascii="宋体" w:hAnsi="宋体" w:cs="宋体"/>
          <w:spacing w:val="14"/>
          <w:sz w:val="24"/>
          <w:szCs w:val="24"/>
        </w:rPr>
        <w:t xml:space="preserve">证照及其他全部有关文件。</w:t>
      </w:r>
      <w:r/>
    </w:p>
    <w:p>
      <w:pPr>
        <w:ind w:left="419"/>
        <w:spacing w:line="360" w:lineRule="auto"/>
        <w:rPr>
          <w:rFonts w:hint="eastAsia" w:ascii="宋体" w:hAnsi="宋体" w:cs="宋体"/>
          <w:sz w:val="24"/>
          <w:szCs w:val="24"/>
        </w:rPr>
      </w:pPr>
      <w:r>
        <w:rPr>
          <w:rFonts w:ascii="宋体" w:hAnsi="宋体" w:cs="宋体"/>
          <w:spacing w:val="-1"/>
          <w:sz w:val="24"/>
          <w:szCs w:val="24"/>
        </w:rPr>
        <w:t xml:space="preserve">8.</w:t>
      </w:r>
      <w:r>
        <w:rPr>
          <w:rFonts w:ascii="宋体" w:hAnsi="宋体" w:cs="宋体"/>
          <w:spacing w:val="4"/>
          <w:sz w:val="24"/>
          <w:szCs w:val="24"/>
        </w:rPr>
        <w:t xml:space="preserve">4 </w:t>
      </w:r>
      <w:r>
        <w:rPr>
          <w:rFonts w:hint="eastAsia" w:ascii="宋体" w:hAnsi="宋体" w:cs="宋体"/>
          <w:spacing w:val="4"/>
          <w:sz w:val="24"/>
          <w:szCs w:val="24"/>
        </w:rPr>
        <w:t xml:space="preserve"> </w:t>
      </w:r>
      <w:r>
        <w:rPr>
          <w:rFonts w:ascii="宋体" w:hAnsi="宋体" w:cs="宋体"/>
          <w:spacing w:val="4"/>
          <w:sz w:val="24"/>
          <w:szCs w:val="24"/>
        </w:rPr>
        <w:t xml:space="preserve">其他移</w:t>
      </w:r>
      <w:r>
        <w:rPr>
          <w:rFonts w:ascii="宋体" w:hAnsi="宋体" w:cs="宋体"/>
          <w:spacing w:val="-1"/>
          <w:sz w:val="24"/>
          <w:szCs w:val="24"/>
        </w:rPr>
        <w:t xml:space="preserve">交事项：</w:t>
      </w:r>
      <w:r>
        <w:rPr>
          <w:rFonts w:ascii="宋体" w:hAnsi="宋体" w:cs="宋体"/>
          <w:spacing w:val="-70"/>
          <w:sz w:val="24"/>
          <w:szCs w:val="24"/>
        </w:rPr>
        <w:t xml:space="preserve"> </w:t>
      </w:r>
      <w:r>
        <w:rPr>
          <w:rFonts w:ascii="宋体" w:hAnsi="宋体" w:cs="宋体"/>
          <w:spacing w:val="6"/>
          <w:sz w:val="24"/>
          <w:szCs w:val="24"/>
          <w:u w:val="single"/>
        </w:rPr>
        <w:t xml:space="preserve">          </w:t>
      </w:r>
      <w:r>
        <w:rPr>
          <w:rFonts w:hint="eastAsia" w:ascii="宋体" w:hAnsi="宋体" w:cs="宋体"/>
          <w:spacing w:val="-61"/>
          <w:sz w:val="24"/>
          <w:szCs w:val="24"/>
        </w:rPr>
        <w:t xml:space="preserve">。</w:t>
      </w:r>
      <w:r/>
    </w:p>
    <w:p>
      <w:pPr>
        <w:ind w:left="409"/>
        <w:spacing w:line="360" w:lineRule="auto"/>
        <w:rPr>
          <w:rFonts w:hint="eastAsia" w:ascii="宋体" w:hAnsi="宋体" w:cs="宋体"/>
          <w:sz w:val="24"/>
          <w:szCs w:val="24"/>
        </w:rPr>
      </w:pPr>
      <w:r>
        <w:rPr>
          <w:rFonts w:ascii="宋体" w:hAnsi="宋体" w:cs="宋体"/>
          <w:spacing w:val="4"/>
          <w:sz w:val="24"/>
          <w:szCs w:val="24"/>
        </w:rPr>
        <w:t xml:space="preserve">8.5  针对移交的设备、设施、物品及有关事项，双方应签署移交清单。</w:t>
      </w:r>
      <w:r/>
    </w:p>
    <w:p>
      <w:pPr>
        <w:ind w:left="20" w:right="88" w:firstLine="379"/>
        <w:spacing w:line="360" w:lineRule="auto"/>
        <w:rPr>
          <w:rFonts w:hint="eastAsia" w:ascii="宋体" w:hAnsi="宋体" w:cs="宋体"/>
          <w:sz w:val="24"/>
          <w:szCs w:val="24"/>
        </w:rPr>
      </w:pPr>
      <w:r>
        <w:rPr>
          <w:rFonts w:ascii="宋体" w:hAnsi="宋体" w:cs="宋体"/>
          <w:spacing w:val="14"/>
          <w:sz w:val="24"/>
          <w:szCs w:val="24"/>
        </w:rPr>
        <w:t xml:space="preserve">8</w:t>
      </w:r>
      <w:r>
        <w:rPr>
          <w:rFonts w:ascii="宋体" w:hAnsi="宋体" w:cs="宋体"/>
          <w:spacing w:val="4"/>
          <w:sz w:val="24"/>
          <w:szCs w:val="24"/>
        </w:rPr>
        <w:t xml:space="preserve">.6 </w:t>
      </w:r>
      <w:r>
        <w:rPr>
          <w:rFonts w:hint="eastAsia" w:ascii="宋体" w:hAnsi="宋体" w:cs="宋体"/>
          <w:spacing w:val="4"/>
          <w:sz w:val="24"/>
          <w:szCs w:val="24"/>
        </w:rPr>
        <w:t xml:space="preserve"> </w:t>
      </w:r>
      <w:r>
        <w:rPr>
          <w:rFonts w:ascii="宋体" w:hAnsi="宋体" w:cs="宋体"/>
          <w:spacing w:val="4"/>
          <w:sz w:val="24"/>
          <w:szCs w:val="24"/>
        </w:rPr>
        <w:t xml:space="preserve">本合同约</w:t>
      </w:r>
      <w:r>
        <w:rPr>
          <w:rFonts w:ascii="宋体" w:hAnsi="宋体" w:cs="宋体"/>
          <w:spacing w:val="14"/>
          <w:sz w:val="24"/>
          <w:szCs w:val="24"/>
        </w:rPr>
        <w:t xml:space="preserve">定的托管期限届满，乙方应将其投资形</w:t>
      </w:r>
      <w:r>
        <w:rPr>
          <w:rFonts w:ascii="宋体" w:hAnsi="宋体" w:cs="宋体"/>
          <w:spacing w:val="13"/>
          <w:sz w:val="24"/>
          <w:szCs w:val="24"/>
        </w:rPr>
        <w:t xml:space="preserve">成的有形和无形资产以人民币壹元价值向甲</w:t>
      </w:r>
      <w:r>
        <w:rPr>
          <w:rFonts w:ascii="宋体" w:hAnsi="宋体" w:cs="宋体"/>
          <w:spacing w:val="4"/>
          <w:sz w:val="24"/>
          <w:szCs w:val="24"/>
        </w:rPr>
        <w:t xml:space="preserve">方移交，同时需移交投资、验收、运行等相关的全部文件资料。</w:t>
      </w:r>
      <w:r/>
    </w:p>
    <w:p>
      <w:pPr>
        <w:ind w:left="20" w:right="10" w:firstLine="389"/>
        <w:spacing w:line="360" w:lineRule="auto"/>
        <w:rPr>
          <w:rFonts w:hint="eastAsia" w:ascii="宋体" w:hAnsi="宋体" w:cs="宋体"/>
          <w:sz w:val="24"/>
          <w:szCs w:val="24"/>
          <w:highlight w:val="none"/>
        </w:rPr>
      </w:pPr>
      <w:r>
        <w:rPr>
          <w:rFonts w:ascii="宋体" w:hAnsi="宋体" w:cs="宋体"/>
          <w:spacing w:val="13"/>
          <w:sz w:val="24"/>
          <w:szCs w:val="24"/>
        </w:rPr>
        <w:t xml:space="preserve">移交之前由乙方主导，甲方参与，双方共同对用能系统进行一次全面检修。检修费用由乙方承担。</w:t>
      </w:r>
      <w:r>
        <w:rPr>
          <w:rFonts w:ascii="宋体" w:hAnsi="宋体" w:cs="宋体"/>
          <w:spacing w:val="15"/>
          <w:sz w:val="24"/>
          <w:szCs w:val="24"/>
        </w:rPr>
        <w:t xml:space="preserve">用能系统移交时乙方应保证设备和设</w:t>
      </w:r>
      <w:r>
        <w:rPr>
          <w:rFonts w:ascii="宋体" w:hAnsi="宋体" w:cs="宋体"/>
          <w:spacing w:val="15"/>
          <w:sz w:val="24"/>
          <w:szCs w:val="24"/>
          <w:highlight w:val="none"/>
        </w:rPr>
        <w:t xml:space="preserve">施的完整性和能够正常运行。</w:t>
      </w:r>
      <w:r/>
    </w:p>
    <w:p>
      <w:pPr>
        <w:ind w:left="20" w:right="80" w:firstLine="389"/>
        <w:spacing w:line="360" w:lineRule="auto"/>
        <w:rPr>
          <w:rFonts w:hint="eastAsia" w:ascii="宋体" w:hAnsi="宋体" w:cs="宋体"/>
          <w:sz w:val="24"/>
          <w:szCs w:val="24"/>
          <w:highlight w:val="none"/>
        </w:rPr>
      </w:pPr>
      <w:r>
        <w:rPr>
          <w:rFonts w:ascii="宋体" w:hAnsi="宋体" w:cs="宋体"/>
          <w:spacing w:val="14"/>
          <w:sz w:val="24"/>
          <w:szCs w:val="24"/>
          <w:highlight w:val="none"/>
        </w:rPr>
        <w:t xml:space="preserve">8.</w:t>
      </w:r>
      <w:r>
        <w:rPr>
          <w:rFonts w:ascii="宋体" w:hAnsi="宋体" w:cs="宋体"/>
          <w:spacing w:val="4"/>
          <w:sz w:val="24"/>
          <w:szCs w:val="24"/>
          <w:highlight w:val="none"/>
        </w:rPr>
        <w:t xml:space="preserve">7 </w:t>
      </w:r>
      <w:r>
        <w:rPr>
          <w:rFonts w:hint="eastAsia" w:ascii="宋体" w:hAnsi="宋体" w:cs="宋体"/>
          <w:spacing w:val="4"/>
          <w:sz w:val="24"/>
          <w:szCs w:val="24"/>
          <w:highlight w:val="none"/>
        </w:rPr>
        <w:t xml:space="preserve"> </w:t>
      </w:r>
      <w:r>
        <w:rPr>
          <w:rFonts w:ascii="宋体" w:hAnsi="宋体" w:cs="宋体"/>
          <w:spacing w:val="4"/>
          <w:sz w:val="24"/>
          <w:szCs w:val="24"/>
          <w:highlight w:val="none"/>
        </w:rPr>
        <w:t xml:space="preserve">本合同</w:t>
      </w:r>
      <w:r>
        <w:rPr>
          <w:rFonts w:ascii="宋体" w:hAnsi="宋体" w:cs="宋体"/>
          <w:spacing w:val="14"/>
          <w:sz w:val="24"/>
          <w:szCs w:val="24"/>
          <w:highlight w:val="none"/>
        </w:rPr>
        <w:t xml:space="preserve">第五条第5.</w:t>
      </w:r>
      <w:r>
        <w:rPr>
          <w:rFonts w:ascii="宋体" w:hAnsi="宋体" w:cs="宋体"/>
          <w:spacing w:val="-53"/>
          <w:sz w:val="24"/>
          <w:szCs w:val="24"/>
          <w:highlight w:val="none"/>
        </w:rPr>
        <w:t xml:space="preserve"> </w:t>
      </w:r>
      <w:r>
        <w:rPr>
          <w:rFonts w:ascii="宋体" w:hAnsi="宋体" w:cs="宋体"/>
          <w:spacing w:val="14"/>
          <w:sz w:val="24"/>
          <w:szCs w:val="24"/>
          <w:highlight w:val="none"/>
        </w:rPr>
        <w:t xml:space="preserve">1款约定的托管期限开始日的30日之前，甲方向乙方的移交事项应办理完</w:t>
      </w:r>
      <w:r>
        <w:rPr>
          <w:rFonts w:ascii="宋体" w:hAnsi="宋体" w:cs="宋体"/>
          <w:spacing w:val="7"/>
          <w:sz w:val="24"/>
          <w:szCs w:val="24"/>
          <w:highlight w:val="none"/>
        </w:rPr>
        <w:t xml:space="preserve">毕，以便于乙方进行准备工作。</w:t>
      </w:r>
      <w:r/>
    </w:p>
    <w:p>
      <w:pPr>
        <w:ind w:left="402"/>
        <w:spacing w:line="360" w:lineRule="auto"/>
        <w:rPr>
          <w:rFonts w:hint="eastAsia" w:ascii="宋体" w:hAnsi="宋体" w:cs="黑体"/>
          <w:b/>
          <w:bCs/>
          <w:sz w:val="24"/>
          <w:szCs w:val="24"/>
          <w:highlight w:val="none"/>
        </w:rPr>
      </w:pPr>
      <w:r>
        <w:rPr>
          <w:rFonts w:ascii="宋体" w:hAnsi="宋体" w:cs="黑体"/>
          <w:b/>
          <w:bCs/>
          <w:sz w:val="24"/>
          <w:szCs w:val="24"/>
          <w:highlight w:val="none"/>
        </w:rPr>
        <w:t xml:space="preserve">第九条  托管费用的标准及支付</w:t>
      </w:r>
      <w:r/>
    </w:p>
    <w:p>
      <w:pPr>
        <w:ind w:left="20" w:firstLine="379"/>
        <w:spacing w:line="360" w:lineRule="auto"/>
        <w:rPr>
          <w:rFonts w:hint="eastAsia" w:ascii="宋体" w:hAnsi="宋体" w:cs="宋体"/>
          <w:sz w:val="24"/>
          <w:szCs w:val="24"/>
          <w:highlight w:val="none"/>
        </w:rPr>
      </w:pPr>
      <w:r>
        <w:rPr>
          <w:rFonts w:ascii="宋体" w:hAnsi="宋体" w:cs="宋体"/>
          <w:spacing w:val="11"/>
          <w:sz w:val="24"/>
          <w:szCs w:val="24"/>
          <w:highlight w:val="none"/>
        </w:rPr>
        <w:t xml:space="preserve">9.</w:t>
      </w:r>
      <w:r>
        <w:rPr>
          <w:rFonts w:ascii="宋体" w:hAnsi="宋体" w:cs="宋体"/>
          <w:spacing w:val="4"/>
          <w:sz w:val="24"/>
          <w:szCs w:val="24"/>
          <w:highlight w:val="none"/>
        </w:rPr>
        <w:t xml:space="preserve">1  年度能源</w:t>
      </w:r>
      <w:r>
        <w:rPr>
          <w:rFonts w:ascii="宋体" w:hAnsi="宋体" w:cs="宋体"/>
          <w:spacing w:val="11"/>
          <w:sz w:val="24"/>
          <w:szCs w:val="24"/>
          <w:highlight w:val="none"/>
        </w:rPr>
        <w:t xml:space="preserve">托管费用包括能源费用和能源系统的日常运营、维修维护管理费、消耗性材料</w:t>
      </w:r>
      <w:r>
        <w:rPr>
          <w:rFonts w:ascii="宋体" w:hAnsi="宋体" w:cs="宋体"/>
          <w:spacing w:val="10"/>
          <w:sz w:val="24"/>
          <w:szCs w:val="24"/>
          <w:highlight w:val="none"/>
        </w:rPr>
        <w:t xml:space="preserve">费等。</w:t>
      </w:r>
      <w:r>
        <w:rPr>
          <w:rFonts w:ascii="宋体" w:hAnsi="宋体" w:cs="宋体"/>
          <w:spacing w:val="4"/>
          <w:sz w:val="24"/>
          <w:szCs w:val="24"/>
          <w:highlight w:val="none"/>
        </w:rPr>
        <w:t xml:space="preserve">能源托管费用基数为：</w:t>
      </w:r>
      <w:r>
        <w:rPr>
          <w:rFonts w:ascii="宋体" w:hAnsi="宋体" w:cs="宋体"/>
          <w:spacing w:val="-70"/>
          <w:sz w:val="24"/>
          <w:szCs w:val="24"/>
          <w:highlight w:val="none"/>
        </w:rPr>
        <w:t xml:space="preserve"> </w:t>
      </w:r>
      <w:r>
        <w:rPr>
          <w:rFonts w:ascii="宋体" w:hAnsi="宋体" w:cs="宋体"/>
          <w:spacing w:val="6"/>
          <w:sz w:val="24"/>
          <w:szCs w:val="24"/>
          <w:highlight w:val="none"/>
          <w:u w:val="single"/>
        </w:rPr>
        <w:t xml:space="preserve">        </w:t>
      </w:r>
      <w:r>
        <w:rPr>
          <w:rFonts w:ascii="宋体" w:hAnsi="宋体" w:cs="宋体"/>
          <w:spacing w:val="-78"/>
          <w:sz w:val="24"/>
          <w:szCs w:val="24"/>
          <w:highlight w:val="none"/>
        </w:rPr>
        <w:t xml:space="preserve"> </w:t>
      </w:r>
      <w:r>
        <w:rPr>
          <w:rFonts w:ascii="宋体" w:hAnsi="宋体" w:cs="宋体"/>
          <w:spacing w:val="4"/>
          <w:sz w:val="24"/>
          <w:szCs w:val="24"/>
          <w:highlight w:val="none"/>
        </w:rPr>
        <w:t xml:space="preserve">元/年，分项费用分别为：</w:t>
      </w:r>
      <w:r/>
    </w:p>
    <w:tbl>
      <w:tblPr>
        <w:tblStyle w:val="1090"/>
        <w:tblW w:w="92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16"/>
        <w:gridCol w:w="849"/>
        <w:gridCol w:w="1162"/>
        <w:gridCol w:w="1853"/>
        <w:gridCol w:w="2976"/>
        <w:gridCol w:w="1134"/>
      </w:tblGrid>
      <w:tr>
        <w:trPr>
          <w:jc w:val="center"/>
          <w:trHeight w:val="333"/>
        </w:trPr>
        <w:tc>
          <w:tcPr>
            <w:gridSpan w:val="3"/>
            <w:tcW w:w="3327" w:type="dxa"/>
            <w:textDirection w:val="lrTb"/>
            <w:noWrap w:val="false"/>
          </w:tcPr>
          <w:p>
            <w:pPr>
              <w:pStyle w:val="1089"/>
              <w:jc w:val="center"/>
              <w:spacing w:before="0" w:after="0" w:line="360" w:lineRule="auto"/>
              <w:rPr>
                <w:rFonts w:hint="eastAsia" w:ascii="宋体" w:hAnsi="宋体" w:eastAsia="宋体" w:cs="Times New Roman"/>
                <w:sz w:val="24"/>
                <w:szCs w:val="24"/>
                <w:highlight w:val="none"/>
              </w:rPr>
            </w:pPr>
            <w:r>
              <w:rPr>
                <w:rFonts w:ascii="宋体" w:hAnsi="宋体" w:eastAsia="宋体" w:cs="Times New Roman"/>
                <w:spacing w:val="3"/>
                <w:sz w:val="24"/>
                <w:szCs w:val="24"/>
                <w:highlight w:val="none"/>
              </w:rPr>
              <w:t xml:space="preserve">能源费用基数/(元/年)</w:t>
            </w:r>
            <w:r/>
          </w:p>
        </w:tc>
        <w:tc>
          <w:tcPr>
            <w:gridSpan w:val="3"/>
            <w:tcW w:w="5963" w:type="dxa"/>
            <w:textDirection w:val="lrTb"/>
            <w:noWrap w:val="false"/>
          </w:tcPr>
          <w:p>
            <w:pPr>
              <w:pStyle w:val="1089"/>
              <w:jc w:val="center"/>
              <w:spacing w:before="0" w:after="0" w:line="360" w:lineRule="auto"/>
              <w:rPr>
                <w:rFonts w:hint="eastAsia" w:ascii="宋体" w:hAnsi="宋体" w:eastAsia="宋体" w:cs="Times New Roman"/>
                <w:sz w:val="24"/>
                <w:szCs w:val="24"/>
                <w:highlight w:val="none"/>
              </w:rPr>
            </w:pPr>
            <w:r>
              <w:rPr>
                <w:rFonts w:ascii="宋体" w:hAnsi="宋体" w:eastAsia="宋体" w:cs="Times New Roman"/>
                <w:spacing w:val="3"/>
                <w:sz w:val="24"/>
                <w:szCs w:val="24"/>
                <w:highlight w:val="none"/>
              </w:rPr>
              <w:t xml:space="preserve">运维费用基数/(元/年)</w:t>
            </w:r>
            <w:r/>
          </w:p>
        </w:tc>
      </w:tr>
      <w:tr>
        <w:trPr>
          <w:jc w:val="center"/>
          <w:trHeight w:val="319"/>
        </w:trPr>
        <w:tc>
          <w:tcPr>
            <w:tcBorders>
              <w:bottom w:val="none" w:color="000000" w:sz="4" w:space="0"/>
            </w:tcBorders>
            <w:tcW w:w="1316" w:type="dxa"/>
            <w:vAlign w:val="center"/>
            <w:vMerge w:val="restart"/>
            <w:textDirection w:val="lrTb"/>
            <w:noWrap w:val="false"/>
          </w:tcPr>
          <w:p>
            <w:pPr>
              <w:pStyle w:val="1089"/>
              <w:jc w:val="center"/>
              <w:spacing w:before="0" w:after="0" w:line="360" w:lineRule="auto"/>
              <w:rPr>
                <w:rFonts w:hint="eastAsia" w:ascii="宋体" w:hAnsi="宋体" w:eastAsia="宋体" w:cs="Times New Roman"/>
                <w:sz w:val="24"/>
                <w:szCs w:val="24"/>
                <w:highlight w:val="none"/>
              </w:rPr>
            </w:pPr>
            <w:r>
              <w:rPr>
                <w:rFonts w:ascii="宋体" w:hAnsi="宋体" w:eastAsia="宋体" w:cs="Times New Roman"/>
                <w:spacing w:val="-1"/>
                <w:sz w:val="24"/>
                <w:szCs w:val="24"/>
                <w:highlight w:val="none"/>
              </w:rPr>
              <w:t xml:space="preserve">托管能源类型</w:t>
            </w:r>
            <w:r/>
          </w:p>
        </w:tc>
        <w:tc>
          <w:tcPr>
            <w:tcW w:w="849" w:type="dxa"/>
            <w:vAlign w:val="center"/>
            <w:textDirection w:val="lrTb"/>
            <w:noWrap w:val="false"/>
          </w:tcPr>
          <w:p>
            <w:pPr>
              <w:pStyle w:val="1089"/>
              <w:jc w:val="center"/>
              <w:spacing w:before="0" w:after="0" w:line="36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电</w:t>
            </w:r>
            <w:r/>
          </w:p>
        </w:tc>
        <w:tc>
          <w:tcPr>
            <w:tcW w:w="1162" w:type="dxa"/>
            <w:vAlign w:val="center"/>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Borders>
              <w:bottom w:val="none" w:color="000000" w:sz="4" w:space="0"/>
            </w:tcBorders>
            <w:tcW w:w="1853" w:type="dxa"/>
            <w:vAlign w:val="center"/>
            <w:vMerge w:val="restart"/>
            <w:textDirection w:val="lrTb"/>
            <w:noWrap w:val="false"/>
          </w:tcPr>
          <w:p>
            <w:pPr>
              <w:pStyle w:val="1089"/>
              <w:jc w:val="center"/>
              <w:spacing w:before="0" w:after="0" w:line="360" w:lineRule="auto"/>
              <w:rPr>
                <w:rFonts w:hint="eastAsia" w:ascii="宋体" w:hAnsi="宋体" w:eastAsia="宋体" w:cs="Times New Roman"/>
                <w:sz w:val="24"/>
                <w:szCs w:val="24"/>
                <w:highlight w:val="none"/>
              </w:rPr>
            </w:pPr>
            <w:r>
              <w:rPr>
                <w:rFonts w:ascii="宋体" w:hAnsi="宋体" w:eastAsia="宋体" w:cs="Times New Roman"/>
                <w:spacing w:val="-1"/>
                <w:sz w:val="24"/>
                <w:szCs w:val="24"/>
                <w:highlight w:val="none"/>
              </w:rPr>
              <w:t xml:space="preserve">托管运维费用类型</w:t>
            </w:r>
            <w:r/>
          </w:p>
        </w:tc>
        <w:tc>
          <w:tcPr>
            <w:tcW w:w="2976" w:type="dxa"/>
            <w:vAlign w:val="center"/>
            <w:textDirection w:val="lrTb"/>
            <w:noWrap w:val="false"/>
          </w:tcPr>
          <w:p>
            <w:pPr>
              <w:pStyle w:val="1089"/>
              <w:jc w:val="center"/>
              <w:spacing w:before="0" w:after="0" w:line="36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中央空调系统运行及维修维护</w:t>
            </w:r>
            <w:r/>
          </w:p>
        </w:tc>
        <w:tc>
          <w:tcPr>
            <w:tcW w:w="1134" w:type="dxa"/>
            <w:vAlign w:val="center"/>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r>
      <w:tr>
        <w:trPr>
          <w:jc w:val="center"/>
          <w:trHeight w:val="318"/>
        </w:trPr>
        <w:tc>
          <w:tcPr>
            <w:tcBorders>
              <w:top w:val="none" w:color="000000" w:sz="4" w:space="0"/>
              <w:bottom w:val="none" w:color="000000" w:sz="4" w:space="0"/>
            </w:tcBorders>
            <w:tcW w:w="1316" w:type="dxa"/>
            <w:vAlign w:val="center"/>
            <w:vMerge w:val="continue"/>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849" w:type="dxa"/>
            <w:vAlign w:val="center"/>
            <w:textDirection w:val="lrTb"/>
            <w:noWrap w:val="false"/>
          </w:tcPr>
          <w:p>
            <w:pPr>
              <w:pStyle w:val="1089"/>
              <w:jc w:val="center"/>
              <w:spacing w:before="0" w:after="0" w:line="36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水</w:t>
            </w:r>
            <w:r/>
          </w:p>
        </w:tc>
        <w:tc>
          <w:tcPr>
            <w:tcW w:w="1162" w:type="dxa"/>
            <w:vAlign w:val="center"/>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Borders>
              <w:top w:val="none" w:color="000000" w:sz="4" w:space="0"/>
              <w:bottom w:val="none" w:color="000000" w:sz="4" w:space="0"/>
            </w:tcBorders>
            <w:tcW w:w="1853" w:type="dxa"/>
            <w:vAlign w:val="center"/>
            <w:vMerge w:val="continue"/>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2976" w:type="dxa"/>
            <w:vAlign w:val="center"/>
            <w:textDirection w:val="lrTb"/>
            <w:noWrap w:val="false"/>
          </w:tcPr>
          <w:p>
            <w:pPr>
              <w:pStyle w:val="1089"/>
              <w:jc w:val="center"/>
              <w:spacing w:before="0" w:after="0" w:line="360" w:lineRule="auto"/>
              <w:rPr>
                <w:rFonts w:hint="eastAsia" w:ascii="宋体" w:hAnsi="宋体" w:eastAsia="宋体" w:cs="Times New Roman"/>
                <w:sz w:val="24"/>
                <w:szCs w:val="24"/>
                <w:highlight w:val="none"/>
              </w:rPr>
            </w:pPr>
            <w:r>
              <w:rPr>
                <w:rFonts w:ascii="宋体" w:hAnsi="宋体" w:eastAsia="宋体" w:cs="Times New Roman"/>
                <w:spacing w:val="-1"/>
                <w:sz w:val="24"/>
                <w:szCs w:val="24"/>
                <w:highlight w:val="none"/>
              </w:rPr>
              <w:t xml:space="preserve">锅炉房系统设备运行及维修维护</w:t>
            </w:r>
            <w:r/>
          </w:p>
        </w:tc>
        <w:tc>
          <w:tcPr>
            <w:tcW w:w="1134" w:type="dxa"/>
            <w:vAlign w:val="center"/>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r>
      <w:tr>
        <w:trPr>
          <w:jc w:val="center"/>
          <w:trHeight w:val="339"/>
        </w:trPr>
        <w:tc>
          <w:tcPr>
            <w:tcBorders>
              <w:top w:val="none" w:color="000000" w:sz="4" w:space="0"/>
              <w:bottom w:val="none" w:color="000000" w:sz="4" w:space="0"/>
            </w:tcBorders>
            <w:tcW w:w="1316" w:type="dxa"/>
            <w:vAlign w:val="center"/>
            <w:vMerge w:val="continue"/>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849" w:type="dxa"/>
            <w:vAlign w:val="center"/>
            <w:textDirection w:val="lrTb"/>
            <w:noWrap w:val="false"/>
          </w:tcPr>
          <w:p>
            <w:pPr>
              <w:pStyle w:val="1089"/>
              <w:jc w:val="center"/>
              <w:spacing w:before="0" w:after="0" w:line="360" w:lineRule="auto"/>
              <w:rPr>
                <w:rFonts w:hint="eastAsia" w:ascii="宋体" w:hAnsi="宋体" w:eastAsia="宋体" w:cs="Times New Roman"/>
                <w:sz w:val="24"/>
                <w:szCs w:val="24"/>
                <w:highlight w:val="none"/>
              </w:rPr>
            </w:pPr>
            <w:r>
              <w:rPr>
                <w:rFonts w:ascii="宋体" w:hAnsi="宋体" w:eastAsia="宋体" w:cs="Times New Roman"/>
                <w:spacing w:val="3"/>
                <w:sz w:val="24"/>
                <w:szCs w:val="24"/>
                <w:highlight w:val="none"/>
              </w:rPr>
              <w:t xml:space="preserve">天然气</w:t>
            </w:r>
            <w:r/>
          </w:p>
        </w:tc>
        <w:tc>
          <w:tcPr>
            <w:tcW w:w="1162" w:type="dxa"/>
            <w:vAlign w:val="center"/>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Borders>
              <w:top w:val="none" w:color="000000" w:sz="4" w:space="0"/>
              <w:bottom w:val="none" w:color="000000" w:sz="4" w:space="0"/>
            </w:tcBorders>
            <w:tcW w:w="1853" w:type="dxa"/>
            <w:vAlign w:val="center"/>
            <w:vMerge w:val="continue"/>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2976" w:type="dxa"/>
            <w:vAlign w:val="center"/>
            <w:textDirection w:val="lrTb"/>
            <w:noWrap w:val="false"/>
          </w:tcPr>
          <w:p>
            <w:pPr>
              <w:pStyle w:val="1089"/>
              <w:jc w:val="center"/>
              <w:spacing w:before="0" w:after="0" w:line="360" w:lineRule="auto"/>
              <w:rPr>
                <w:rFonts w:hint="eastAsia" w:ascii="宋体" w:hAnsi="宋体" w:eastAsia="宋体" w:cs="Times New Roman"/>
                <w:sz w:val="24"/>
                <w:szCs w:val="24"/>
                <w:highlight w:val="none"/>
              </w:rPr>
            </w:pPr>
            <w:r>
              <w:rPr>
                <w:rFonts w:ascii="宋体" w:hAnsi="宋体" w:eastAsia="宋体" w:cs="Times New Roman"/>
                <w:spacing w:val="-1"/>
                <w:sz w:val="24"/>
                <w:szCs w:val="24"/>
                <w:highlight w:val="none"/>
              </w:rPr>
              <w:t xml:space="preserve">其他机电设备运行及维修维护</w:t>
            </w:r>
            <w:r/>
          </w:p>
        </w:tc>
        <w:tc>
          <w:tcPr>
            <w:tcW w:w="1134" w:type="dxa"/>
            <w:vAlign w:val="center"/>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r>
      <w:tr>
        <w:trPr>
          <w:jc w:val="center"/>
          <w:trHeight w:val="318"/>
        </w:trPr>
        <w:tc>
          <w:tcPr>
            <w:tcBorders>
              <w:top w:val="none" w:color="000000" w:sz="4" w:space="0"/>
              <w:bottom w:val="none" w:color="000000" w:sz="4" w:space="0"/>
            </w:tcBorders>
            <w:tcW w:w="1316" w:type="dxa"/>
            <w:vAlign w:val="center"/>
            <w:vMerge w:val="continue"/>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849" w:type="dxa"/>
            <w:vAlign w:val="center"/>
            <w:textDirection w:val="lrTb"/>
            <w:noWrap w:val="false"/>
          </w:tcPr>
          <w:p>
            <w:pPr>
              <w:pStyle w:val="1089"/>
              <w:jc w:val="center"/>
              <w:spacing w:before="0" w:after="0" w:line="360" w:lineRule="auto"/>
              <w:rPr>
                <w:rFonts w:hint="eastAsia" w:ascii="宋体" w:hAnsi="宋体" w:eastAsia="宋体" w:cs="Times New Roman"/>
                <w:sz w:val="24"/>
                <w:szCs w:val="24"/>
                <w:highlight w:val="none"/>
              </w:rPr>
            </w:pPr>
            <w:r>
              <w:rPr>
                <w:rFonts w:ascii="宋体" w:hAnsi="宋体" w:eastAsia="宋体" w:cs="Times New Roman"/>
                <w:spacing w:val="-3"/>
                <w:sz w:val="24"/>
                <w:szCs w:val="24"/>
                <w:highlight w:val="none"/>
              </w:rPr>
              <w:t xml:space="preserve">蒸汽</w:t>
            </w:r>
            <w:r/>
          </w:p>
        </w:tc>
        <w:tc>
          <w:tcPr>
            <w:tcW w:w="1162" w:type="dxa"/>
            <w:vAlign w:val="center"/>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Borders>
              <w:top w:val="none" w:color="000000" w:sz="4" w:space="0"/>
              <w:bottom w:val="none" w:color="000000" w:sz="4" w:space="0"/>
            </w:tcBorders>
            <w:tcW w:w="1853" w:type="dxa"/>
            <w:vAlign w:val="center"/>
            <w:vMerge w:val="continue"/>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2976" w:type="dxa"/>
            <w:vAlign w:val="center"/>
            <w:textDirection w:val="lrTb"/>
            <w:noWrap w:val="false"/>
          </w:tcPr>
          <w:p>
            <w:pPr>
              <w:pStyle w:val="1089"/>
              <w:jc w:val="center"/>
              <w:spacing w:before="0" w:after="0" w:line="360" w:lineRule="auto"/>
              <w:rPr>
                <w:rFonts w:hint="eastAsia" w:ascii="宋体" w:hAnsi="宋体" w:eastAsia="宋体" w:cs="Times New Roman"/>
                <w:sz w:val="24"/>
                <w:szCs w:val="24"/>
                <w:highlight w:val="none"/>
              </w:rPr>
            </w:pPr>
            <w:r>
              <w:rPr>
                <w:rFonts w:ascii="宋体" w:hAnsi="宋体" w:eastAsia="宋体" w:cs="Times New Roman"/>
                <w:spacing w:val="-1"/>
                <w:sz w:val="24"/>
                <w:szCs w:val="24"/>
                <w:highlight w:val="none"/>
              </w:rPr>
              <w:t xml:space="preserve">配电房运行及维修维护</w:t>
            </w:r>
            <w:r/>
          </w:p>
        </w:tc>
        <w:tc>
          <w:tcPr>
            <w:tcW w:w="1134" w:type="dxa"/>
            <w:vAlign w:val="center"/>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r>
      <w:tr>
        <w:trPr>
          <w:jc w:val="center"/>
          <w:trHeight w:val="329"/>
        </w:trPr>
        <w:tc>
          <w:tcPr>
            <w:tcBorders>
              <w:top w:val="none" w:color="000000" w:sz="4" w:space="0"/>
            </w:tcBorders>
            <w:tcW w:w="1316" w:type="dxa"/>
            <w:vAlign w:val="center"/>
            <w:vMerge w:val="continue"/>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849" w:type="dxa"/>
            <w:vAlign w:val="center"/>
            <w:textDirection w:val="lrTb"/>
            <w:noWrap w:val="false"/>
          </w:tcPr>
          <w:p>
            <w:pPr>
              <w:pStyle w:val="1089"/>
              <w:jc w:val="center"/>
              <w:spacing w:before="0" w:after="0" w:line="360" w:lineRule="auto"/>
              <w:rPr>
                <w:rFonts w:hint="eastAsia" w:ascii="宋体" w:hAnsi="宋体" w:eastAsia="宋体" w:cs="Times New Roman"/>
                <w:sz w:val="24"/>
                <w:szCs w:val="24"/>
                <w:highlight w:val="none"/>
              </w:rPr>
            </w:pPr>
            <w:r>
              <w:rPr>
                <w:rFonts w:ascii="宋体" w:hAnsi="宋体" w:eastAsia="宋体" w:cs="Times New Roman"/>
                <w:spacing w:val="-5"/>
                <w:sz w:val="24"/>
                <w:szCs w:val="24"/>
                <w:highlight w:val="none"/>
              </w:rPr>
              <w:t xml:space="preserve">……</w:t>
            </w:r>
            <w:r/>
          </w:p>
        </w:tc>
        <w:tc>
          <w:tcPr>
            <w:tcW w:w="1162" w:type="dxa"/>
            <w:vAlign w:val="center"/>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Borders>
              <w:top w:val="none" w:color="000000" w:sz="4" w:space="0"/>
            </w:tcBorders>
            <w:tcW w:w="1853" w:type="dxa"/>
            <w:vAlign w:val="center"/>
            <w:vMerge w:val="continue"/>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tcW w:w="2976" w:type="dxa"/>
            <w:vAlign w:val="center"/>
            <w:textDirection w:val="lrTb"/>
            <w:noWrap w:val="false"/>
          </w:tcPr>
          <w:p>
            <w:pPr>
              <w:pStyle w:val="1089"/>
              <w:jc w:val="center"/>
              <w:spacing w:before="0" w:after="0" w:line="360" w:lineRule="auto"/>
              <w:rPr>
                <w:rFonts w:hint="eastAsia" w:ascii="宋体" w:hAnsi="宋体" w:eastAsia="宋体" w:cs="Times New Roman"/>
                <w:sz w:val="24"/>
                <w:szCs w:val="24"/>
                <w:highlight w:val="none"/>
              </w:rPr>
            </w:pPr>
            <w:r>
              <w:rPr>
                <w:rFonts w:ascii="宋体" w:hAnsi="宋体" w:eastAsia="宋体" w:cs="Times New Roman"/>
                <w:spacing w:val="-5"/>
                <w:sz w:val="24"/>
                <w:szCs w:val="24"/>
                <w:highlight w:val="none"/>
              </w:rPr>
              <w:t xml:space="preserve">……</w:t>
            </w:r>
            <w:r/>
          </w:p>
        </w:tc>
        <w:tc>
          <w:tcPr>
            <w:tcW w:w="1134" w:type="dxa"/>
            <w:vAlign w:val="center"/>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r>
      <w:tr>
        <w:trPr>
          <w:jc w:val="center"/>
          <w:trHeight w:val="324"/>
        </w:trPr>
        <w:tc>
          <w:tcPr>
            <w:gridSpan w:val="2"/>
            <w:tcW w:w="2165" w:type="dxa"/>
            <w:vAlign w:val="center"/>
            <w:textDirection w:val="lrTb"/>
            <w:noWrap w:val="false"/>
          </w:tcPr>
          <w:p>
            <w:pPr>
              <w:pStyle w:val="1089"/>
              <w:jc w:val="center"/>
              <w:spacing w:before="0" w:after="0" w:line="360" w:lineRule="auto"/>
              <w:rPr>
                <w:rFonts w:hint="eastAsia" w:ascii="宋体" w:hAnsi="宋体" w:eastAsia="宋体" w:cs="Times New Roman"/>
                <w:sz w:val="24"/>
                <w:szCs w:val="24"/>
                <w:highlight w:val="none"/>
              </w:rPr>
            </w:pPr>
            <w:r>
              <w:rPr>
                <w:rFonts w:ascii="宋体" w:hAnsi="宋体" w:eastAsia="宋体" w:cs="Times New Roman"/>
                <w:spacing w:val="-2"/>
                <w:sz w:val="24"/>
                <w:szCs w:val="24"/>
                <w:highlight w:val="none"/>
              </w:rPr>
              <w:t xml:space="preserve">合计</w:t>
            </w:r>
            <w:r/>
          </w:p>
        </w:tc>
        <w:tc>
          <w:tcPr>
            <w:tcW w:w="1162" w:type="dxa"/>
            <w:vAlign w:val="center"/>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c>
          <w:tcPr>
            <w:gridSpan w:val="2"/>
            <w:tcW w:w="4829" w:type="dxa"/>
            <w:vAlign w:val="center"/>
            <w:textDirection w:val="lrTb"/>
            <w:noWrap w:val="false"/>
          </w:tcPr>
          <w:p>
            <w:pPr>
              <w:pStyle w:val="1089"/>
              <w:jc w:val="center"/>
              <w:spacing w:before="0" w:after="0" w:line="360" w:lineRule="auto"/>
              <w:rPr>
                <w:rFonts w:hint="eastAsia" w:ascii="宋体" w:hAnsi="宋体" w:eastAsia="宋体" w:cs="Times New Roman"/>
                <w:sz w:val="24"/>
                <w:szCs w:val="24"/>
                <w:highlight w:val="none"/>
              </w:rPr>
            </w:pPr>
            <w:r>
              <w:rPr>
                <w:rFonts w:ascii="宋体" w:hAnsi="宋体" w:eastAsia="宋体" w:cs="Times New Roman"/>
                <w:spacing w:val="-2"/>
                <w:sz w:val="24"/>
                <w:szCs w:val="24"/>
                <w:highlight w:val="none"/>
              </w:rPr>
              <w:t xml:space="preserve">合计</w:t>
            </w:r>
            <w:r/>
          </w:p>
        </w:tc>
        <w:tc>
          <w:tcPr>
            <w:tcW w:w="1134" w:type="dxa"/>
            <w:vAlign w:val="center"/>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rPr>
            </w:r>
            <w:r/>
          </w:p>
        </w:tc>
      </w:tr>
    </w:tbl>
    <w:p>
      <w:pPr>
        <w:pStyle w:val="768"/>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ind w:left="20" w:right="87" w:firstLine="390"/>
        <w:spacing w:line="360" w:lineRule="auto"/>
        <w:rPr>
          <w:rFonts w:hint="eastAsia" w:ascii="宋体" w:hAnsi="宋体" w:cs="宋体"/>
          <w:sz w:val="24"/>
          <w:szCs w:val="24"/>
          <w:highlight w:val="none"/>
        </w:rPr>
      </w:pPr>
      <w:r>
        <w:rPr>
          <w:rFonts w:ascii="宋体" w:hAnsi="宋体" w:cs="宋体"/>
          <w:spacing w:val="12"/>
          <w:sz w:val="24"/>
          <w:szCs w:val="24"/>
          <w:highlight w:val="none"/>
        </w:rPr>
        <w:t xml:space="preserve">9.</w:t>
      </w:r>
      <w:r>
        <w:rPr>
          <w:rFonts w:ascii="宋体" w:hAnsi="宋体" w:cs="宋体"/>
          <w:spacing w:val="4"/>
          <w:sz w:val="24"/>
          <w:szCs w:val="24"/>
          <w:highlight w:val="none"/>
        </w:rPr>
        <w:t xml:space="preserve">2  托管费</w:t>
      </w:r>
      <w:r>
        <w:rPr>
          <w:rFonts w:ascii="宋体" w:hAnsi="宋体" w:cs="宋体"/>
          <w:spacing w:val="12"/>
          <w:sz w:val="24"/>
          <w:szCs w:val="24"/>
          <w:highlight w:val="none"/>
        </w:rPr>
        <w:t xml:space="preserve">用总额为</w:t>
      </w:r>
      <w:r>
        <w:rPr>
          <w:rFonts w:ascii="宋体" w:hAnsi="宋体" w:cs="宋体"/>
          <w:spacing w:val="12"/>
          <w:sz w:val="24"/>
          <w:szCs w:val="24"/>
          <w:highlight w:val="none"/>
          <w:u w:val="single"/>
        </w:rPr>
        <w:t xml:space="preserve">   </w:t>
      </w:r>
      <w:r>
        <w:rPr>
          <w:rFonts w:hint="eastAsia" w:ascii="宋体" w:hAnsi="宋体" w:cs="宋体"/>
          <w:spacing w:val="12"/>
          <w:sz w:val="24"/>
          <w:szCs w:val="24"/>
          <w:highlight w:val="none"/>
          <w:u w:val="single"/>
        </w:rPr>
        <w:t xml:space="preserve"> </w:t>
      </w:r>
      <w:r>
        <w:rPr>
          <w:rFonts w:ascii="宋体" w:hAnsi="宋体" w:cs="宋体"/>
          <w:spacing w:val="12"/>
          <w:sz w:val="24"/>
          <w:szCs w:val="24"/>
          <w:highlight w:val="none"/>
        </w:rPr>
        <w:t xml:space="preserve">元，支付年限为</w:t>
      </w:r>
      <w:r>
        <w:rPr>
          <w:rFonts w:hint="eastAsia" w:ascii="宋体" w:hAnsi="宋体" w:cs="宋体"/>
          <w:spacing w:val="12"/>
          <w:sz w:val="24"/>
          <w:szCs w:val="24"/>
          <w:highlight w:val="none"/>
          <w:u w:val="single"/>
        </w:rPr>
        <w:t xml:space="preserve"> </w:t>
      </w:r>
      <w:r>
        <w:rPr>
          <w:rFonts w:hint="eastAsia" w:ascii="宋体" w:hAnsi="宋体" w:cs="宋体"/>
          <w:spacing w:val="12"/>
          <w:sz w:val="24"/>
          <w:szCs w:val="24"/>
          <w:highlight w:val="none"/>
          <w:u w:val="single"/>
          <w:lang w:val="en-US" w:eastAsia="zh-CN"/>
        </w:rPr>
        <w:t xml:space="preserve">10</w:t>
      </w:r>
      <w:r>
        <w:rPr>
          <w:rFonts w:hint="eastAsia" w:ascii="宋体" w:hAnsi="宋体" w:cs="宋体"/>
          <w:spacing w:val="12"/>
          <w:sz w:val="24"/>
          <w:szCs w:val="24"/>
          <w:highlight w:val="none"/>
          <w:u w:val="single"/>
        </w:rPr>
        <w:t xml:space="preserve"> </w:t>
      </w:r>
      <w:r>
        <w:rPr>
          <w:rFonts w:ascii="宋体" w:hAnsi="宋体" w:cs="宋体"/>
          <w:spacing w:val="12"/>
          <w:sz w:val="24"/>
          <w:szCs w:val="24"/>
          <w:highlight w:val="none"/>
        </w:rPr>
        <w:t xml:space="preserve">年，支付标准为每年支</w:t>
      </w:r>
      <w:r>
        <w:rPr>
          <w:rFonts w:ascii="宋体" w:hAnsi="宋体" w:cs="宋体"/>
          <w:spacing w:val="11"/>
          <w:sz w:val="24"/>
          <w:szCs w:val="24"/>
          <w:highlight w:val="none"/>
        </w:rPr>
        <w:t xml:space="preserve">付</w:t>
      </w:r>
      <w:r>
        <w:rPr>
          <w:rFonts w:hint="eastAsia" w:ascii="宋体" w:hAnsi="宋体" w:cs="宋体"/>
          <w:spacing w:val="12"/>
          <w:sz w:val="24"/>
          <w:szCs w:val="24"/>
          <w:highlight w:val="none"/>
          <w:u w:val="single"/>
        </w:rPr>
        <w:t xml:space="preserve"> </w:t>
      </w:r>
      <w:r>
        <w:rPr>
          <w:rFonts w:hint="eastAsia" w:ascii="宋体" w:hAnsi="宋体" w:cs="宋体"/>
          <w:spacing w:val="12"/>
          <w:sz w:val="24"/>
          <w:szCs w:val="24"/>
          <w:highlight w:val="none"/>
          <w:u w:val="single"/>
          <w:lang w:val="en-US" w:eastAsia="zh-CN"/>
        </w:rPr>
        <w:t xml:space="preserve">12</w:t>
      </w:r>
      <w:r>
        <w:rPr>
          <w:rFonts w:hint="eastAsia" w:ascii="宋体" w:hAnsi="宋体" w:cs="宋体"/>
          <w:spacing w:val="12"/>
          <w:sz w:val="24"/>
          <w:szCs w:val="24"/>
          <w:highlight w:val="none"/>
          <w:u w:val="single"/>
        </w:rPr>
        <w:t xml:space="preserve"> </w:t>
      </w:r>
      <w:r>
        <w:rPr>
          <w:rFonts w:ascii="宋体" w:hAnsi="宋体" w:cs="宋体"/>
          <w:spacing w:val="11"/>
          <w:sz w:val="24"/>
          <w:szCs w:val="24"/>
          <w:highlight w:val="none"/>
        </w:rPr>
        <w:t xml:space="preserve">次，每次</w:t>
      </w:r>
      <w:r>
        <w:rPr>
          <w:rFonts w:hint="eastAsia" w:ascii="宋体" w:hAnsi="宋体" w:cs="宋体"/>
          <w:spacing w:val="12"/>
          <w:sz w:val="24"/>
          <w:szCs w:val="24"/>
          <w:highlight w:val="none"/>
          <w:u w:val="single"/>
        </w:rPr>
        <w:t xml:space="preserve">    </w:t>
      </w:r>
      <w:r>
        <w:rPr>
          <w:rFonts w:ascii="宋体" w:hAnsi="宋体" w:cs="宋体"/>
          <w:spacing w:val="11"/>
          <w:sz w:val="24"/>
          <w:szCs w:val="24"/>
          <w:highlight w:val="none"/>
        </w:rPr>
        <w:t xml:space="preserve">元，</w:t>
      </w:r>
      <w:r>
        <w:rPr>
          <w:rFonts w:ascii="宋体" w:hAnsi="宋体" w:cs="宋体"/>
          <w:spacing w:val="12"/>
          <w:sz w:val="24"/>
          <w:szCs w:val="24"/>
          <w:highlight w:val="none"/>
        </w:rPr>
        <w:t xml:space="preserve">支付时间为</w:t>
      </w:r>
      <w:r>
        <w:rPr>
          <w:rFonts w:hint="eastAsia" w:ascii="宋体" w:hAnsi="宋体" w:cs="宋体"/>
          <w:spacing w:val="12"/>
          <w:sz w:val="24"/>
          <w:szCs w:val="24"/>
          <w:highlight w:val="none"/>
          <w:u w:val="single"/>
        </w:rPr>
        <w:t xml:space="preserve"> 每月15号 </w:t>
      </w:r>
      <w:r>
        <w:rPr>
          <w:rFonts w:ascii="宋体" w:hAnsi="宋体" w:cs="宋体"/>
          <w:spacing w:val="-11"/>
          <w:sz w:val="24"/>
          <w:szCs w:val="24"/>
          <w:highlight w:val="none"/>
        </w:rPr>
        <w:t xml:space="preserve">。 </w:t>
      </w:r>
      <w:r>
        <w:rPr>
          <w:rFonts w:ascii="宋体" w:hAnsi="宋体" w:cs="宋体"/>
          <w:spacing w:val="12"/>
          <w:sz w:val="24"/>
          <w:szCs w:val="24"/>
          <w:highlight w:val="none"/>
        </w:rPr>
        <w:t xml:space="preserve">甲方首次付款时间为本合同生效之日起</w:t>
      </w:r>
      <w:r>
        <w:rPr>
          <w:rFonts w:ascii="宋体" w:hAnsi="宋体" w:cs="宋体"/>
          <w:spacing w:val="2"/>
          <w:sz w:val="24"/>
          <w:szCs w:val="24"/>
          <w:highlight w:val="none"/>
          <w:u w:val="single"/>
        </w:rPr>
        <w:t xml:space="preserve">     </w:t>
      </w:r>
      <w:r>
        <w:rPr>
          <w:rFonts w:ascii="宋体" w:hAnsi="宋体" w:cs="宋体"/>
          <w:spacing w:val="-67"/>
          <w:sz w:val="24"/>
          <w:szCs w:val="24"/>
          <w:highlight w:val="none"/>
        </w:rPr>
        <w:t xml:space="preserve"> </w:t>
      </w:r>
      <w:r>
        <w:rPr>
          <w:rFonts w:ascii="宋体" w:hAnsi="宋体" w:cs="宋体"/>
          <w:spacing w:val="-11"/>
          <w:sz w:val="24"/>
          <w:szCs w:val="24"/>
          <w:highlight w:val="none"/>
        </w:rPr>
        <w:t xml:space="preserve">日</w:t>
      </w:r>
      <w:r>
        <w:rPr>
          <w:rFonts w:ascii="宋体" w:hAnsi="宋体" w:cs="宋体"/>
          <w:spacing w:val="-27"/>
          <w:sz w:val="24"/>
          <w:szCs w:val="24"/>
          <w:highlight w:val="none"/>
        </w:rPr>
        <w:t xml:space="preserve"> </w:t>
      </w:r>
      <w:r>
        <w:rPr>
          <w:rFonts w:ascii="宋体" w:hAnsi="宋体" w:cs="宋体"/>
          <w:spacing w:val="-11"/>
          <w:sz w:val="24"/>
          <w:szCs w:val="24"/>
          <w:highlight w:val="none"/>
        </w:rPr>
        <w:t xml:space="preserve">之 内。</w:t>
      </w:r>
      <w:r/>
    </w:p>
    <w:p>
      <w:pPr>
        <w:ind w:left="20" w:right="83" w:firstLine="400"/>
        <w:spacing w:line="360" w:lineRule="auto"/>
        <w:rPr>
          <w:rFonts w:hint="eastAsia" w:ascii="宋体" w:hAnsi="宋体" w:cs="宋体"/>
          <w:sz w:val="24"/>
          <w:szCs w:val="24"/>
        </w:rPr>
      </w:pPr>
      <w:r>
        <w:rPr>
          <w:rFonts w:ascii="宋体" w:hAnsi="宋体" w:cs="宋体"/>
          <w:spacing w:val="12"/>
          <w:sz w:val="24"/>
          <w:szCs w:val="24"/>
          <w:highlight w:val="none"/>
        </w:rPr>
        <w:t xml:space="preserve">向供电、供热、燃气、供水等机构交纳的能源费、水费等，根据项目当地的实际情况，优先选择以乙方的名义交纳，从托管费用中由乙方</w:t>
      </w:r>
      <w:r>
        <w:rPr>
          <w:rFonts w:ascii="宋体" w:hAnsi="宋体" w:cs="宋体"/>
          <w:spacing w:val="12"/>
          <w:sz w:val="24"/>
          <w:szCs w:val="24"/>
        </w:rPr>
        <w:t xml:space="preserve">代为支付；不能以乙方名义交纳时，也可以以甲方名义交纳。如果有关机构对于支付上述费用有规定的，按照规定方式支付。乙方开具相应金额的能源费用发票给甲方，每 期托管费用与能源费用的差值开具服务费发票给甲方。</w:t>
      </w:r>
      <w:r/>
    </w:p>
    <w:p>
      <w:pPr>
        <w:ind w:left="20" w:right="82" w:firstLine="390"/>
        <w:spacing w:line="360" w:lineRule="auto"/>
        <w:rPr>
          <w:rFonts w:hint="eastAsia" w:ascii="宋体" w:hAnsi="宋体" w:cs="宋体"/>
          <w:sz w:val="24"/>
          <w:szCs w:val="24"/>
        </w:rPr>
      </w:pPr>
      <w:r>
        <w:rPr>
          <w:rFonts w:ascii="宋体" w:hAnsi="宋体" w:cs="宋体"/>
          <w:spacing w:val="25"/>
          <w:sz w:val="24"/>
          <w:szCs w:val="24"/>
        </w:rPr>
        <w:t xml:space="preserve">9.</w:t>
      </w:r>
      <w:r>
        <w:rPr>
          <w:rFonts w:ascii="宋体" w:hAnsi="宋体" w:cs="宋体"/>
          <w:spacing w:val="4"/>
          <w:sz w:val="24"/>
          <w:szCs w:val="24"/>
        </w:rPr>
        <w:t xml:space="preserve">3  合同约</w:t>
      </w:r>
      <w:r>
        <w:rPr>
          <w:rFonts w:ascii="宋体" w:hAnsi="宋体" w:cs="宋体"/>
          <w:spacing w:val="12"/>
          <w:sz w:val="24"/>
          <w:szCs w:val="24"/>
        </w:rPr>
        <w:t xml:space="preserve">定的节能改造范围以外的供能设备(包括供暖设备、制冷设备、配电室、变压器、风机盘管、管道等设备)的更新改造和大修费用不包括在托管费用之内，列入甲方的固定资产投资计划，由甲方另行承担。合同约定的节能改造范围以内、乙方投资的供能设备，日常维修保养费用由乙方承担。</w:t>
      </w:r>
      <w:r/>
    </w:p>
    <w:p>
      <w:pPr>
        <w:ind w:right="83" w:firstLine="410"/>
        <w:spacing w:line="360" w:lineRule="auto"/>
        <w:rPr>
          <w:rFonts w:hint="eastAsia" w:ascii="宋体" w:hAnsi="宋体" w:cs="宋体"/>
          <w:sz w:val="24"/>
          <w:szCs w:val="24"/>
        </w:rPr>
      </w:pPr>
      <w:r>
        <w:rPr>
          <w:rFonts w:ascii="宋体" w:hAnsi="宋体" w:cs="宋体"/>
          <w:spacing w:val="32"/>
          <w:sz w:val="24"/>
          <w:szCs w:val="24"/>
        </w:rPr>
        <w:t xml:space="preserve">9.</w:t>
      </w:r>
      <w:r>
        <w:rPr>
          <w:rFonts w:ascii="宋体" w:hAnsi="宋体" w:cs="宋体"/>
          <w:spacing w:val="4"/>
          <w:sz w:val="24"/>
          <w:szCs w:val="24"/>
        </w:rPr>
        <w:t xml:space="preserve">4  上述</w:t>
      </w:r>
      <w:r>
        <w:rPr>
          <w:rFonts w:ascii="宋体" w:hAnsi="宋体" w:cs="宋体"/>
          <w:spacing w:val="12"/>
          <w:sz w:val="24"/>
          <w:szCs w:val="24"/>
        </w:rPr>
        <w:t xml:space="preserve">能源托管费用由乙方包干使用，通过能源系统管理运营节约的能源费用作为乙方的合理利润 </w:t>
      </w:r>
      <w:r>
        <w:rPr>
          <w:rFonts w:ascii="宋体" w:hAnsi="宋体" w:cs="宋体"/>
          <w:spacing w:val="-5"/>
          <w:sz w:val="24"/>
          <w:szCs w:val="24"/>
        </w:rPr>
        <w:t xml:space="preserve">。</w:t>
      </w:r>
      <w:r/>
    </w:p>
    <w:p>
      <w:pPr>
        <w:ind w:left="402"/>
        <w:spacing w:line="360" w:lineRule="auto"/>
        <w:rPr>
          <w:rFonts w:hint="eastAsia" w:ascii="宋体" w:hAnsi="宋体" w:cs="黑体"/>
          <w:b/>
          <w:bCs/>
          <w:sz w:val="24"/>
          <w:szCs w:val="24"/>
        </w:rPr>
      </w:pPr>
      <w:r>
        <w:rPr>
          <w:rFonts w:ascii="宋体" w:hAnsi="宋体" w:cs="黑体"/>
          <w:b/>
          <w:bCs/>
          <w:sz w:val="24"/>
          <w:szCs w:val="24"/>
        </w:rPr>
        <w:t xml:space="preserve">第十条  托管费用的调整和调节</w:t>
      </w:r>
      <w:r/>
    </w:p>
    <w:p>
      <w:pPr>
        <w:ind w:right="85" w:firstLine="410"/>
        <w:spacing w:line="360" w:lineRule="auto"/>
        <w:rPr>
          <w:rFonts w:hint="eastAsia" w:ascii="宋体" w:hAnsi="宋体" w:cs="宋体"/>
          <w:sz w:val="24"/>
          <w:szCs w:val="24"/>
        </w:rPr>
      </w:pPr>
      <w:r>
        <w:rPr>
          <w:rFonts w:ascii="宋体" w:hAnsi="宋体" w:cs="宋体"/>
          <w:spacing w:val="4"/>
          <w:sz w:val="24"/>
          <w:szCs w:val="24"/>
        </w:rPr>
        <w:t xml:space="preserve">10.1  托管期间</w:t>
      </w:r>
      <w:r>
        <w:rPr>
          <w:rFonts w:ascii="宋体" w:hAnsi="宋体" w:cs="宋体"/>
          <w:spacing w:val="12"/>
          <w:sz w:val="24"/>
          <w:szCs w:val="24"/>
        </w:rPr>
        <w:t xml:space="preserve">，若发生用能设备的增减、用能人数增减、用能区域变化、能源价格调整、用能行为改变、极端气候以及其他致使用能边界发生变化的情况，双方需对能源托管费用基数进行调整，调整约定如下</w:t>
      </w:r>
      <w:r>
        <w:rPr>
          <w:rFonts w:ascii="宋体" w:hAnsi="宋体" w:cs="宋体"/>
          <w:spacing w:val="-8"/>
          <w:sz w:val="24"/>
          <w:szCs w:val="24"/>
        </w:rPr>
        <w:t xml:space="preserve">：</w:t>
      </w:r>
      <w:r/>
    </w:p>
    <w:p>
      <w:pPr>
        <w:ind w:left="30" w:right="80" w:firstLine="390"/>
        <w:spacing w:line="360" w:lineRule="auto"/>
        <w:rPr>
          <w:rFonts w:hint="eastAsia" w:ascii="宋体" w:hAnsi="宋体" w:cs="宋体"/>
          <w:spacing w:val="32"/>
          <w:sz w:val="24"/>
          <w:szCs w:val="24"/>
        </w:rPr>
      </w:pPr>
      <w:r>
        <w:rPr>
          <w:rFonts w:ascii="宋体" w:hAnsi="宋体" w:cs="宋体"/>
          <w:spacing w:val="32"/>
          <w:sz w:val="24"/>
          <w:szCs w:val="24"/>
        </w:rPr>
        <w:t xml:space="preserve">(1)调整方式：甲乙双方协商确定，或聘请第三方机构进行核定，第三方核定费用由</w:t>
      </w:r>
      <w:r>
        <w:rPr>
          <w:rFonts w:ascii="宋体" w:hAnsi="宋体" w:cs="宋体"/>
          <w:spacing w:val="32"/>
          <w:sz w:val="24"/>
          <w:szCs w:val="24"/>
          <w:u w:val="single"/>
        </w:rPr>
        <w:t xml:space="preserve">   </w:t>
      </w:r>
      <w:r>
        <w:rPr>
          <w:rFonts w:ascii="宋体" w:hAnsi="宋体" w:cs="宋体"/>
          <w:spacing w:val="32"/>
          <w:sz w:val="24"/>
          <w:szCs w:val="24"/>
        </w:rPr>
        <w:t xml:space="preserve">支付。</w:t>
      </w:r>
      <w:r/>
    </w:p>
    <w:p>
      <w:pPr>
        <w:ind w:left="30" w:right="80" w:firstLine="390"/>
        <w:spacing w:line="360" w:lineRule="auto"/>
        <w:rPr>
          <w:rFonts w:hint="eastAsia" w:ascii="宋体" w:hAnsi="宋体" w:cs="宋体"/>
          <w:sz w:val="24"/>
          <w:szCs w:val="24"/>
        </w:rPr>
      </w:pPr>
      <w:r>
        <w:rPr>
          <w:rFonts w:ascii="宋体" w:hAnsi="宋体" w:cs="宋体"/>
          <w:spacing w:val="32"/>
          <w:sz w:val="24"/>
          <w:szCs w:val="24"/>
        </w:rPr>
        <w:t xml:space="preserve">(2)</w:t>
      </w:r>
      <w:r>
        <w:rPr>
          <w:rFonts w:ascii="宋体" w:hAnsi="宋体" w:cs="宋体"/>
          <w:spacing w:val="12"/>
          <w:sz w:val="24"/>
          <w:szCs w:val="24"/>
        </w:rPr>
        <w:t xml:space="preserve">调整周期：双方应依据协商确定或第三方机构核定的调整量签订补充协议，在每个托管年度结算期满后的</w:t>
      </w:r>
      <w:r>
        <w:rPr>
          <w:rFonts w:ascii="宋体" w:hAnsi="宋体" w:cs="宋体"/>
          <w:spacing w:val="12"/>
          <w:sz w:val="24"/>
          <w:szCs w:val="24"/>
          <w:u w:val="single"/>
        </w:rPr>
        <w:t xml:space="preserve">   </w:t>
      </w:r>
      <w:r>
        <w:rPr>
          <w:rFonts w:ascii="宋体" w:hAnsi="宋体" w:cs="宋体"/>
          <w:spacing w:val="12"/>
          <w:sz w:val="24"/>
          <w:szCs w:val="24"/>
        </w:rPr>
        <w:t xml:space="preserve">天内一次性结清</w:t>
      </w:r>
      <w:r>
        <w:rPr>
          <w:rFonts w:ascii="宋体" w:hAnsi="宋体" w:cs="宋体"/>
          <w:spacing w:val="5"/>
          <w:sz w:val="24"/>
          <w:szCs w:val="24"/>
        </w:rPr>
        <w:t xml:space="preserve">。</w:t>
      </w:r>
      <w:r/>
    </w:p>
    <w:p>
      <w:pPr>
        <w:ind w:left="10" w:right="60" w:firstLine="400"/>
        <w:spacing w:line="360" w:lineRule="auto"/>
        <w:rPr>
          <w:rFonts w:hint="eastAsia" w:ascii="宋体" w:hAnsi="宋体" w:cs="宋体"/>
          <w:sz w:val="24"/>
          <w:szCs w:val="24"/>
        </w:rPr>
      </w:pPr>
      <w:r>
        <w:rPr>
          <w:rFonts w:ascii="宋体" w:hAnsi="宋体" w:cs="宋体"/>
          <w:spacing w:val="4"/>
          <w:sz w:val="24"/>
          <w:szCs w:val="24"/>
        </w:rPr>
        <w:t xml:space="preserve">10.2   甲方的</w:t>
      </w:r>
      <w:r>
        <w:rPr>
          <w:rFonts w:ascii="宋体" w:hAnsi="宋体" w:cs="宋体"/>
          <w:spacing w:val="12"/>
          <w:sz w:val="24"/>
          <w:szCs w:val="24"/>
        </w:rPr>
        <w:t xml:space="preserve">用能设备和其他用能项的增加或减少，应通知乙方。甲、乙双方应对增加或减少的设备和其他用能项予以书面确认。其他用能项包括但不限于用能建筑面积、用能时间、用能人员等。因用 能设备和其他用能项的增减，应调整基准能耗，并相应地据实增减能源托管费用基数。本项目调整方式为</w:t>
      </w:r>
      <w:r>
        <w:rPr>
          <w:rFonts w:ascii="宋体" w:hAnsi="宋体" w:cs="宋体"/>
          <w:spacing w:val="12"/>
          <w:sz w:val="24"/>
          <w:szCs w:val="24"/>
          <w:u w:val="single"/>
        </w:rPr>
        <w:t xml:space="preserve">   </w:t>
      </w:r>
      <w:r>
        <w:rPr>
          <w:rFonts w:ascii="宋体" w:hAnsi="宋体" w:cs="宋体"/>
          <w:spacing w:val="12"/>
          <w:sz w:val="24"/>
          <w:szCs w:val="24"/>
        </w:rPr>
        <w:t xml:space="preserve">。</w:t>
      </w:r>
      <w:r/>
    </w:p>
    <w:p>
      <w:pPr>
        <w:pStyle w:val="768"/>
        <w:ind w:left="30" w:firstLine="380"/>
        <w:spacing w:line="360" w:lineRule="auto"/>
        <w:rPr>
          <w:rFonts w:hint="eastAsia" w:ascii="宋体" w:hAnsi="宋体" w:eastAsia="宋体"/>
          <w:sz w:val="24"/>
          <w:szCs w:val="24"/>
        </w:rPr>
      </w:pPr>
      <w:r>
        <w:rPr>
          <w:rFonts w:ascii="宋体" w:hAnsi="宋体" w:eastAsia="宋体" w:cs="宋体"/>
          <w:spacing w:val="4"/>
          <w:sz w:val="24"/>
          <w:szCs w:val="24"/>
        </w:rPr>
        <w:t xml:space="preserve">10.3  项目</w:t>
      </w:r>
      <w:r>
        <w:rPr>
          <w:rFonts w:ascii="宋体" w:hAnsi="宋体" w:eastAsia="宋体" w:cs="宋体"/>
          <w:spacing w:val="12"/>
          <w:sz w:val="24"/>
          <w:szCs w:val="24"/>
        </w:rPr>
        <w:t xml:space="preserve">托管期间，因建筑改扩建增加的临时用能能耗需单独计量；新增用能区域的能耗需单独计量；如用能区域建筑功能发生改变，则该功能区能耗需单独计量。因用能区域变化导致的用能增减，应当调整基准能耗，并相应地据实增减能源托管费用基数。本项目调整方式为</w:t>
      </w:r>
      <w:r>
        <w:rPr>
          <w:rFonts w:ascii="宋体" w:hAnsi="宋体" w:eastAsia="宋体" w:cs="宋体"/>
          <w:spacing w:val="12"/>
          <w:sz w:val="24"/>
          <w:szCs w:val="24"/>
          <w:u w:val="single"/>
        </w:rPr>
        <w:t xml:space="preserve">   </w:t>
      </w:r>
      <w:r>
        <w:rPr>
          <w:rFonts w:ascii="宋体" w:hAnsi="宋体" w:eastAsia="宋体" w:cs="宋体"/>
          <w:spacing w:val="12"/>
          <w:sz w:val="24"/>
          <w:szCs w:val="24"/>
        </w:rPr>
        <w:t xml:space="preserve">。</w:t>
      </w:r>
      <w:r/>
    </w:p>
    <w:p>
      <w:pPr>
        <w:pStyle w:val="768"/>
        <w:ind w:left="10" w:right="86" w:firstLine="390"/>
        <w:spacing w:line="360" w:lineRule="auto"/>
        <w:rPr>
          <w:rFonts w:hint="eastAsia" w:ascii="宋体" w:hAnsi="宋体" w:eastAsia="宋体"/>
          <w:sz w:val="24"/>
          <w:szCs w:val="24"/>
        </w:rPr>
      </w:pPr>
      <w:r>
        <w:rPr>
          <w:rFonts w:ascii="宋体" w:hAnsi="宋体" w:eastAsia="宋体" w:cs="宋体"/>
          <w:spacing w:val="4"/>
          <w:sz w:val="24"/>
          <w:szCs w:val="24"/>
        </w:rPr>
        <w:t xml:space="preserve">10.4  项目托管期</w:t>
      </w:r>
      <w:r>
        <w:rPr>
          <w:rFonts w:ascii="宋体" w:hAnsi="宋体" w:eastAsia="宋体" w:cs="宋体"/>
          <w:spacing w:val="12"/>
          <w:sz w:val="24"/>
          <w:szCs w:val="24"/>
        </w:rPr>
        <w:t xml:space="preserve">间，如因极端天气导致空调用能时间明显延长且设定温度超出供能条件，合同双方可协商能源费用调整方式；非极端天气条件下，如因上班时间调整、持续加班、特殊情况用能等业主方原因导致用能时间增加，则业主方应及时告知节能服务公司，双方可协商托管费用调整方式。本项目调整方式为</w:t>
      </w:r>
      <w:r>
        <w:rPr>
          <w:rFonts w:ascii="宋体" w:hAnsi="宋体" w:eastAsia="宋体" w:cs="宋体"/>
          <w:spacing w:val="12"/>
          <w:sz w:val="24"/>
          <w:szCs w:val="24"/>
          <w:u w:val="single"/>
        </w:rPr>
        <w:t xml:space="preserve">   </w:t>
      </w:r>
      <w:r>
        <w:rPr>
          <w:rFonts w:ascii="宋体" w:hAnsi="宋体" w:eastAsia="宋体" w:cs="宋体"/>
          <w:spacing w:val="12"/>
          <w:sz w:val="24"/>
          <w:szCs w:val="24"/>
        </w:rPr>
        <w:t xml:space="preserve">。</w:t>
      </w:r>
      <w:r/>
    </w:p>
    <w:p>
      <w:pPr>
        <w:ind w:left="20" w:right="93" w:firstLine="390"/>
        <w:spacing w:line="360" w:lineRule="auto"/>
        <w:rPr>
          <w:rFonts w:hint="eastAsia" w:ascii="宋体" w:hAnsi="宋体" w:cs="宋体"/>
          <w:sz w:val="24"/>
          <w:szCs w:val="24"/>
        </w:rPr>
      </w:pPr>
      <w:r>
        <w:rPr>
          <w:rFonts w:ascii="宋体" w:hAnsi="宋体" w:cs="宋体"/>
          <w:spacing w:val="4"/>
          <w:sz w:val="24"/>
          <w:szCs w:val="24"/>
        </w:rPr>
        <w:t xml:space="preserve">10.5  托管期</w:t>
      </w:r>
      <w:r>
        <w:rPr>
          <w:rFonts w:ascii="宋体" w:hAnsi="宋体" w:cs="宋体"/>
          <w:spacing w:val="12"/>
          <w:sz w:val="24"/>
          <w:szCs w:val="24"/>
        </w:rPr>
        <w:t xml:space="preserve">间的能源单价调整，甲方支付给乙方的托管费用亦应按比例调整。具体调整结算方式可由公共机构与节能服务公司双方协商确定。本项目调整方式为</w:t>
      </w:r>
      <w:r>
        <w:rPr>
          <w:rFonts w:ascii="宋体" w:hAnsi="宋体" w:cs="宋体"/>
          <w:spacing w:val="12"/>
          <w:sz w:val="24"/>
          <w:szCs w:val="24"/>
          <w:u w:val="single"/>
        </w:rPr>
        <w:t xml:space="preserve">   </w:t>
      </w:r>
      <w:r>
        <w:rPr>
          <w:rFonts w:ascii="宋体" w:hAnsi="宋体" w:cs="宋体"/>
          <w:spacing w:val="12"/>
          <w:sz w:val="24"/>
          <w:szCs w:val="24"/>
        </w:rPr>
        <w:t xml:space="preserve">。</w:t>
      </w:r>
      <w:r/>
    </w:p>
    <w:p>
      <w:pPr>
        <w:ind w:left="20" w:right="93" w:firstLine="390"/>
        <w:spacing w:line="360" w:lineRule="auto"/>
        <w:rPr>
          <w:rFonts w:hint="eastAsia" w:ascii="宋体" w:hAnsi="宋体" w:cs="宋体"/>
          <w:spacing w:val="-10"/>
          <w:sz w:val="24"/>
          <w:szCs w:val="24"/>
        </w:rPr>
      </w:pPr>
      <w:r>
        <w:rPr>
          <w:rFonts w:ascii="宋体" w:hAnsi="宋体" w:cs="宋体"/>
          <w:spacing w:val="4"/>
          <w:sz w:val="24"/>
          <w:szCs w:val="24"/>
        </w:rPr>
        <w:t xml:space="preserve">10.6  基于甲方</w:t>
      </w:r>
      <w:r>
        <w:rPr>
          <w:rFonts w:ascii="宋体" w:hAnsi="宋体" w:cs="宋体"/>
          <w:spacing w:val="12"/>
          <w:sz w:val="24"/>
          <w:szCs w:val="24"/>
        </w:rPr>
        <w:t xml:space="preserve">提供的数据错误导致基准能耗核定错误，可以据实修正基准 期能耗和能源托管费用基数，相应的责任应当由甲方承担，费用补偿及调整方式为</w:t>
      </w:r>
      <w:r>
        <w:rPr>
          <w:rFonts w:ascii="宋体" w:hAnsi="宋体" w:cs="宋体"/>
          <w:spacing w:val="12"/>
          <w:sz w:val="24"/>
          <w:szCs w:val="24"/>
          <w:u w:val="single"/>
        </w:rPr>
        <w:t xml:space="preserve">   </w:t>
      </w:r>
      <w:r>
        <w:rPr>
          <w:rFonts w:ascii="宋体" w:hAnsi="宋体" w:cs="宋体"/>
          <w:spacing w:val="12"/>
          <w:sz w:val="24"/>
          <w:szCs w:val="24"/>
        </w:rPr>
        <w:t xml:space="preserve">。</w:t>
      </w:r>
      <w:r/>
    </w:p>
    <w:p>
      <w:pPr>
        <w:ind w:left="402"/>
        <w:spacing w:line="360" w:lineRule="auto"/>
        <w:rPr>
          <w:rFonts w:hint="eastAsia" w:ascii="宋体" w:hAnsi="宋体" w:cs="黑体"/>
          <w:b/>
          <w:bCs/>
          <w:sz w:val="24"/>
          <w:szCs w:val="24"/>
        </w:rPr>
      </w:pPr>
      <w:r>
        <w:rPr>
          <w:rFonts w:ascii="宋体" w:hAnsi="宋体" w:cs="黑体"/>
          <w:b/>
          <w:bCs/>
          <w:sz w:val="24"/>
          <w:szCs w:val="24"/>
        </w:rPr>
        <w:t xml:space="preserve">第十一条  节能改造</w:t>
      </w:r>
      <w:r/>
    </w:p>
    <w:p>
      <w:pPr>
        <w:ind w:right="97" w:firstLine="409"/>
        <w:spacing w:line="360" w:lineRule="auto"/>
        <w:rPr>
          <w:rFonts w:hint="eastAsia" w:ascii="宋体" w:hAnsi="宋体" w:cs="宋体"/>
          <w:sz w:val="24"/>
          <w:szCs w:val="24"/>
        </w:rPr>
      </w:pPr>
      <w:r>
        <w:rPr>
          <w:rFonts w:ascii="宋体" w:hAnsi="宋体" w:cs="宋体"/>
          <w:spacing w:val="4"/>
          <w:sz w:val="24"/>
          <w:szCs w:val="24"/>
        </w:rPr>
        <w:t xml:space="preserve">11.1 </w:t>
      </w:r>
      <w:r>
        <w:rPr>
          <w:rFonts w:hint="eastAsia" w:ascii="宋体" w:hAnsi="宋体" w:cs="宋体"/>
          <w:spacing w:val="4"/>
          <w:sz w:val="24"/>
          <w:szCs w:val="24"/>
        </w:rPr>
        <w:t xml:space="preserve"> </w:t>
      </w:r>
      <w:r>
        <w:rPr>
          <w:rFonts w:ascii="宋体" w:hAnsi="宋体" w:cs="宋体"/>
          <w:spacing w:val="4"/>
          <w:sz w:val="24"/>
          <w:szCs w:val="24"/>
        </w:rPr>
        <w:t xml:space="preserve">托管项</w:t>
      </w:r>
      <w:r>
        <w:rPr>
          <w:rFonts w:ascii="宋体" w:hAnsi="宋体" w:cs="宋体"/>
          <w:spacing w:val="2"/>
          <w:sz w:val="24"/>
          <w:szCs w:val="24"/>
        </w:rPr>
        <w:t xml:space="preserve">目范围内，如需进行节能改造，</w:t>
      </w:r>
      <w:r>
        <w:rPr>
          <w:rFonts w:ascii="宋体" w:hAnsi="宋体" w:cs="宋体"/>
          <w:spacing w:val="1"/>
          <w:sz w:val="24"/>
          <w:szCs w:val="24"/>
        </w:rPr>
        <w:t xml:space="preserve">乙方应制定专项或者综合节能改造方案。甲、乙双方</w:t>
      </w:r>
      <w:r>
        <w:rPr>
          <w:rFonts w:ascii="宋体" w:hAnsi="宋体" w:cs="宋体"/>
          <w:spacing w:val="-3"/>
          <w:sz w:val="24"/>
          <w:szCs w:val="24"/>
        </w:rPr>
        <w:t xml:space="preserve">应就改造的范围，拟使用的节能技术、产品，投资数额，投资形成的资产所有权，施工时间等问题进行协</w:t>
      </w:r>
      <w:r>
        <w:rPr>
          <w:rFonts w:ascii="宋体" w:hAnsi="宋体" w:cs="宋体"/>
          <w:spacing w:val="-2"/>
          <w:sz w:val="24"/>
          <w:szCs w:val="24"/>
        </w:rPr>
        <w:t xml:space="preserve">商，乙方在前述基础上就节能改造事项制定专项方案，并经甲方签字、盖章确认方可实施。</w:t>
      </w:r>
      <w:r/>
    </w:p>
    <w:p>
      <w:pPr>
        <w:ind w:left="399"/>
        <w:spacing w:line="360" w:lineRule="auto"/>
        <w:rPr>
          <w:rFonts w:hint="eastAsia" w:ascii="宋体" w:hAnsi="宋体" w:cs="宋体"/>
          <w:sz w:val="24"/>
          <w:szCs w:val="24"/>
        </w:rPr>
      </w:pPr>
      <w:r>
        <w:rPr>
          <w:rFonts w:ascii="宋体" w:hAnsi="宋体" w:cs="宋体"/>
          <w:spacing w:val="4"/>
          <w:sz w:val="24"/>
          <w:szCs w:val="24"/>
        </w:rPr>
        <w:t xml:space="preserve">11.2  节能改造所需投资和收益由甲乙双方本着经济合理性的原则协商确定。</w:t>
      </w:r>
      <w:r/>
    </w:p>
    <w:p>
      <w:pPr>
        <w:ind w:left="314"/>
        <w:spacing w:line="360" w:lineRule="auto"/>
        <w:rPr>
          <w:rFonts w:hint="eastAsia" w:ascii="宋体" w:hAnsi="宋体" w:cs="宋体"/>
          <w:sz w:val="24"/>
          <w:szCs w:val="24"/>
        </w:rPr>
      </w:pPr>
      <w:r>
        <w:rPr>
          <w:rFonts w:ascii="宋体" w:hAnsi="宋体" w:cs="宋体"/>
          <w:spacing w:val="-2"/>
          <w:sz w:val="24"/>
          <w:szCs w:val="24"/>
        </w:rPr>
        <w:t xml:space="preserve">“节能改造方案”详见本合同附件三。</w:t>
      </w:r>
      <w:r/>
    </w:p>
    <w:p>
      <w:pPr>
        <w:ind w:left="402"/>
        <w:spacing w:line="360" w:lineRule="auto"/>
        <w:rPr>
          <w:rFonts w:hint="eastAsia" w:ascii="宋体" w:hAnsi="宋体" w:cs="黑体"/>
          <w:b/>
          <w:bCs/>
          <w:sz w:val="24"/>
          <w:szCs w:val="24"/>
        </w:rPr>
      </w:pPr>
      <w:r>
        <w:rPr>
          <w:rFonts w:ascii="宋体" w:hAnsi="宋体" w:cs="黑体"/>
          <w:b/>
          <w:bCs/>
          <w:sz w:val="24"/>
          <w:szCs w:val="24"/>
        </w:rPr>
        <w:t xml:space="preserve">第十二条  安全生产和环境保护</w:t>
      </w:r>
      <w:r/>
    </w:p>
    <w:p>
      <w:pPr>
        <w:ind w:right="94" w:firstLine="399"/>
        <w:spacing w:line="360" w:lineRule="auto"/>
        <w:rPr>
          <w:rFonts w:hint="eastAsia" w:ascii="宋体" w:hAnsi="宋体" w:cs="宋体"/>
          <w:sz w:val="24"/>
          <w:szCs w:val="24"/>
        </w:rPr>
      </w:pPr>
      <w:r>
        <w:rPr>
          <w:rFonts w:ascii="宋体" w:hAnsi="宋体" w:cs="宋体"/>
          <w:spacing w:val="4"/>
          <w:sz w:val="24"/>
          <w:szCs w:val="24"/>
        </w:rPr>
        <w:t xml:space="preserve">12.1  乙方在</w:t>
      </w:r>
      <w:r>
        <w:rPr>
          <w:rFonts w:ascii="宋体" w:hAnsi="宋体" w:cs="宋体"/>
          <w:spacing w:val="1"/>
          <w:sz w:val="24"/>
          <w:szCs w:val="24"/>
        </w:rPr>
        <w:t xml:space="preserve">运营管理过程中应严格遵守能源管理使用的法律、法规、规章制度，因违章操作或不</w:t>
      </w:r>
      <w:r>
        <w:rPr>
          <w:rFonts w:ascii="宋体" w:hAnsi="宋体" w:cs="宋体"/>
          <w:spacing w:val="5"/>
          <w:sz w:val="24"/>
          <w:szCs w:val="24"/>
        </w:rPr>
        <w:t xml:space="preserve">尽职尽责导致在运行期间出现安全事故和经济损失由乙方负责。</w:t>
      </w:r>
      <w:r/>
    </w:p>
    <w:p>
      <w:pPr>
        <w:ind w:left="10" w:right="106" w:firstLine="389"/>
        <w:spacing w:line="360" w:lineRule="auto"/>
        <w:rPr>
          <w:rFonts w:hint="eastAsia" w:ascii="宋体" w:hAnsi="宋体" w:cs="宋体"/>
          <w:sz w:val="24"/>
          <w:szCs w:val="24"/>
        </w:rPr>
      </w:pPr>
      <w:r>
        <w:rPr>
          <w:rFonts w:ascii="宋体" w:hAnsi="宋体" w:cs="宋体"/>
          <w:spacing w:val="5"/>
          <w:sz w:val="24"/>
          <w:szCs w:val="24"/>
        </w:rPr>
        <w:t xml:space="preserve">1</w:t>
      </w:r>
      <w:r>
        <w:rPr>
          <w:rFonts w:ascii="宋体" w:hAnsi="宋体" w:cs="宋体"/>
          <w:spacing w:val="4"/>
          <w:sz w:val="24"/>
          <w:szCs w:val="24"/>
        </w:rPr>
        <w:t xml:space="preserve">2.2  乙方进</w:t>
      </w:r>
      <w:r>
        <w:rPr>
          <w:rFonts w:ascii="宋体" w:hAnsi="宋体" w:cs="宋体"/>
          <w:spacing w:val="5"/>
          <w:sz w:val="24"/>
          <w:szCs w:val="24"/>
        </w:rPr>
        <w:t xml:space="preserve">行的节能改造部分，由于乙方原因导致改造自身存在系统缺陷或施工质量导致安全事故和经济损失由乙方负责。</w:t>
      </w:r>
      <w:r/>
    </w:p>
    <w:p>
      <w:pPr>
        <w:ind w:left="10" w:right="109" w:firstLine="389"/>
        <w:spacing w:line="360" w:lineRule="auto"/>
        <w:rPr>
          <w:rFonts w:hint="eastAsia" w:ascii="宋体" w:hAnsi="宋体" w:cs="宋体"/>
          <w:sz w:val="24"/>
          <w:szCs w:val="24"/>
        </w:rPr>
      </w:pPr>
      <w:r>
        <w:rPr>
          <w:rFonts w:ascii="宋体" w:hAnsi="宋体" w:cs="宋体"/>
          <w:spacing w:val="4"/>
          <w:sz w:val="24"/>
          <w:szCs w:val="24"/>
        </w:rPr>
        <w:t xml:space="preserve">12.3  甲方</w:t>
      </w:r>
      <w:r>
        <w:rPr>
          <w:rFonts w:ascii="宋体" w:hAnsi="宋体" w:cs="宋体"/>
          <w:spacing w:val="5"/>
          <w:sz w:val="24"/>
          <w:szCs w:val="24"/>
        </w:rPr>
        <w:t xml:space="preserve">先期建设的能源供应和使用系统，由于系统缺陷或施工质量导致的安全事故和经济损</w:t>
      </w:r>
      <w:r>
        <w:rPr>
          <w:rFonts w:ascii="宋体" w:hAnsi="宋体" w:cs="宋体"/>
          <w:spacing w:val="3"/>
          <w:sz w:val="24"/>
          <w:szCs w:val="24"/>
        </w:rPr>
        <w:t xml:space="preserve">失由甲方负责。</w:t>
      </w:r>
      <w:r/>
    </w:p>
    <w:p>
      <w:pPr>
        <w:ind w:left="10" w:right="109" w:firstLine="389"/>
        <w:spacing w:line="360" w:lineRule="auto"/>
        <w:rPr>
          <w:rFonts w:hint="eastAsia" w:ascii="宋体" w:hAnsi="宋体" w:cs="宋体"/>
          <w:spacing w:val="5"/>
          <w:sz w:val="24"/>
          <w:szCs w:val="24"/>
        </w:rPr>
      </w:pPr>
      <w:r>
        <w:rPr>
          <w:rFonts w:ascii="宋体" w:hAnsi="宋体" w:cs="宋体"/>
          <w:spacing w:val="4"/>
          <w:sz w:val="24"/>
          <w:szCs w:val="24"/>
        </w:rPr>
        <w:t xml:space="preserve">12.4 </w:t>
      </w:r>
      <w:r>
        <w:rPr>
          <w:rFonts w:hint="eastAsia" w:ascii="宋体" w:hAnsi="宋体" w:cs="宋体"/>
          <w:spacing w:val="4"/>
          <w:sz w:val="24"/>
          <w:szCs w:val="24"/>
        </w:rPr>
        <w:t xml:space="preserve"> </w:t>
      </w:r>
      <w:r>
        <w:rPr>
          <w:rFonts w:ascii="宋体" w:hAnsi="宋体" w:cs="宋体"/>
          <w:spacing w:val="4"/>
          <w:sz w:val="24"/>
          <w:szCs w:val="24"/>
        </w:rPr>
        <w:t xml:space="preserve">针对</w:t>
      </w:r>
      <w:r>
        <w:rPr>
          <w:rFonts w:ascii="宋体" w:hAnsi="宋体" w:cs="宋体"/>
          <w:spacing w:val="5"/>
          <w:sz w:val="24"/>
          <w:szCs w:val="24"/>
        </w:rPr>
        <w:t xml:space="preserve">安全生产和环境保护，甲、乙双方应制定专项规范，划分相关的责任。</w:t>
      </w:r>
      <w:r/>
    </w:p>
    <w:p>
      <w:pPr>
        <w:ind w:left="10" w:right="109" w:firstLine="389"/>
        <w:spacing w:line="360" w:lineRule="auto"/>
        <w:rPr>
          <w:rFonts w:hint="eastAsia" w:ascii="宋体" w:hAnsi="宋体" w:cs="宋体"/>
          <w:spacing w:val="5"/>
          <w:sz w:val="24"/>
          <w:szCs w:val="24"/>
        </w:rPr>
      </w:pPr>
      <w:r>
        <w:rPr>
          <w:rFonts w:ascii="宋体" w:hAnsi="宋体" w:cs="宋体"/>
          <w:spacing w:val="5"/>
          <w:sz w:val="24"/>
          <w:szCs w:val="24"/>
        </w:rPr>
        <w:t xml:space="preserve">“安全生产和环境保护规范”详见本合同附件四。</w:t>
      </w:r>
      <w:r/>
    </w:p>
    <w:p>
      <w:pPr>
        <w:ind w:left="402"/>
        <w:spacing w:line="360" w:lineRule="auto"/>
        <w:rPr>
          <w:rFonts w:hint="eastAsia" w:ascii="宋体" w:hAnsi="宋体" w:cs="黑体"/>
          <w:b/>
          <w:bCs/>
          <w:sz w:val="24"/>
          <w:szCs w:val="24"/>
        </w:rPr>
      </w:pPr>
      <w:r>
        <w:rPr>
          <w:rFonts w:ascii="宋体" w:hAnsi="宋体" w:cs="黑体"/>
          <w:b/>
          <w:bCs/>
          <w:sz w:val="24"/>
          <w:szCs w:val="24"/>
        </w:rPr>
        <w:t xml:space="preserve">第十三条  禁止商业贿赂</w:t>
      </w:r>
      <w:r/>
    </w:p>
    <w:p>
      <w:pPr>
        <w:ind w:left="10" w:right="97" w:firstLine="399"/>
        <w:spacing w:line="360" w:lineRule="auto"/>
        <w:rPr>
          <w:rFonts w:hint="eastAsia" w:ascii="宋体" w:hAnsi="宋体" w:cs="宋体"/>
          <w:sz w:val="24"/>
          <w:szCs w:val="24"/>
        </w:rPr>
      </w:pPr>
      <w:r>
        <w:rPr>
          <w:rFonts w:ascii="宋体" w:hAnsi="宋体" w:cs="宋体"/>
          <w:spacing w:val="-7"/>
          <w:sz w:val="24"/>
          <w:szCs w:val="24"/>
        </w:rPr>
        <w:t xml:space="preserve">甲、乙双方应遵守廉洁从政、廉洁经商的有关规定，禁止一</w:t>
      </w:r>
      <w:r>
        <w:rPr>
          <w:rFonts w:ascii="宋体" w:hAnsi="宋体" w:cs="宋体"/>
          <w:spacing w:val="-8"/>
          <w:sz w:val="24"/>
          <w:szCs w:val="24"/>
        </w:rPr>
        <w:t xml:space="preserve">方向另一方提供实物、现金、有价证券、超</w:t>
      </w:r>
      <w:r>
        <w:rPr>
          <w:rFonts w:ascii="宋体" w:hAnsi="宋体" w:cs="宋体"/>
          <w:spacing w:val="-5"/>
          <w:sz w:val="24"/>
          <w:szCs w:val="24"/>
        </w:rPr>
        <w:t xml:space="preserve">标准宴请、高消费娱乐活动等违反“廉洁协议书”约定的行为。</w:t>
      </w:r>
      <w:r/>
    </w:p>
    <w:p>
      <w:pPr>
        <w:ind w:left="294"/>
        <w:spacing w:line="360" w:lineRule="auto"/>
        <w:rPr>
          <w:rFonts w:hint="eastAsia" w:ascii="宋体" w:hAnsi="宋体" w:cs="宋体"/>
          <w:sz w:val="24"/>
          <w:szCs w:val="24"/>
        </w:rPr>
      </w:pPr>
      <w:r>
        <w:rPr>
          <w:rFonts w:ascii="宋体" w:hAnsi="宋体" w:cs="宋体"/>
          <w:spacing w:val="-2"/>
          <w:sz w:val="24"/>
          <w:szCs w:val="24"/>
        </w:rPr>
        <w:t xml:space="preserve">“廉洁协议书”详见本合同附件五。</w:t>
      </w:r>
      <w:r/>
    </w:p>
    <w:p>
      <w:pPr>
        <w:ind w:left="402"/>
        <w:spacing w:line="360" w:lineRule="auto"/>
        <w:rPr>
          <w:rFonts w:hint="eastAsia" w:ascii="宋体" w:hAnsi="宋体" w:cs="黑体"/>
          <w:b/>
          <w:bCs/>
          <w:sz w:val="24"/>
          <w:szCs w:val="24"/>
        </w:rPr>
      </w:pPr>
      <w:r>
        <w:rPr>
          <w:rFonts w:ascii="宋体" w:hAnsi="宋体" w:cs="黑体"/>
          <w:b/>
          <w:bCs/>
          <w:sz w:val="24"/>
          <w:szCs w:val="24"/>
        </w:rPr>
        <w:t xml:space="preserve">第十四条  保密义务</w:t>
      </w:r>
      <w:r/>
    </w:p>
    <w:p>
      <w:pPr>
        <w:ind w:firstLine="409"/>
        <w:spacing w:line="360" w:lineRule="auto"/>
        <w:rPr>
          <w:rFonts w:hint="eastAsia" w:ascii="宋体" w:hAnsi="宋体" w:cs="宋体"/>
          <w:sz w:val="24"/>
          <w:szCs w:val="24"/>
        </w:rPr>
      </w:pPr>
      <w:r>
        <w:rPr>
          <w:rFonts w:ascii="宋体" w:hAnsi="宋体" w:cs="宋体"/>
          <w:spacing w:val="4"/>
          <w:sz w:val="24"/>
          <w:szCs w:val="24"/>
        </w:rPr>
        <w:t xml:space="preserve">14.1</w:t>
      </w:r>
      <w:r>
        <w:rPr>
          <w:rFonts w:hint="eastAsia" w:ascii="宋体" w:hAnsi="宋体" w:cs="宋体"/>
          <w:spacing w:val="4"/>
          <w:sz w:val="24"/>
          <w:szCs w:val="24"/>
        </w:rPr>
        <w:t xml:space="preserve"> </w:t>
      </w:r>
      <w:r>
        <w:rPr>
          <w:rFonts w:ascii="宋体" w:hAnsi="宋体" w:cs="宋体"/>
          <w:spacing w:val="4"/>
          <w:sz w:val="24"/>
          <w:szCs w:val="24"/>
        </w:rPr>
        <w:t xml:space="preserve"> 甲、乙双方及其项目参加人员应对在</w:t>
      </w:r>
      <w:r>
        <w:rPr>
          <w:rFonts w:ascii="宋体" w:hAnsi="宋体" w:cs="宋体"/>
          <w:spacing w:val="3"/>
          <w:sz w:val="24"/>
          <w:szCs w:val="24"/>
        </w:rPr>
        <w:t xml:space="preserve">合同履行过程中了解的涉及对方技术信息、经验信息、</w:t>
      </w:r>
      <w:r>
        <w:rPr>
          <w:rFonts w:ascii="宋体" w:hAnsi="宋体" w:cs="宋体"/>
          <w:spacing w:val="2"/>
          <w:sz w:val="24"/>
          <w:szCs w:val="24"/>
        </w:rPr>
        <w:t xml:space="preserve">商业秘密以及其他尚未公开的有关信息、资料</w:t>
      </w:r>
      <w:r>
        <w:rPr>
          <w:rFonts w:ascii="宋体" w:hAnsi="宋体" w:cs="宋体"/>
          <w:spacing w:val="1"/>
          <w:sz w:val="24"/>
          <w:szCs w:val="24"/>
        </w:rPr>
        <w:t xml:space="preserve">负有保密义务，并采取相应的保密措施。双方应承担的保</w:t>
      </w:r>
      <w:r>
        <w:rPr>
          <w:rFonts w:ascii="宋体" w:hAnsi="宋体" w:cs="宋体"/>
          <w:spacing w:val="5"/>
          <w:sz w:val="24"/>
          <w:szCs w:val="24"/>
        </w:rPr>
        <w:t xml:space="preserve">密义务包括但不限于：</w:t>
      </w:r>
      <w:r/>
    </w:p>
    <w:p>
      <w:pPr>
        <w:ind w:left="409"/>
        <w:spacing w:line="360" w:lineRule="auto"/>
        <w:rPr>
          <w:rFonts w:hint="eastAsia" w:ascii="宋体" w:hAnsi="宋体" w:cs="宋体"/>
          <w:sz w:val="24"/>
          <w:szCs w:val="24"/>
        </w:rPr>
      </w:pPr>
      <w:r>
        <w:rPr>
          <w:rFonts w:ascii="宋体" w:hAnsi="宋体" w:cs="宋体"/>
          <w:sz w:val="24"/>
          <w:szCs w:val="24"/>
        </w:rPr>
        <w:t xml:space="preserve">(1)未经对方书面同意，不得将上述信息、资料披露给任何第三</w:t>
      </w:r>
      <w:r>
        <w:rPr>
          <w:rFonts w:ascii="宋体" w:hAnsi="宋体" w:cs="宋体"/>
          <w:spacing w:val="-1"/>
          <w:sz w:val="24"/>
          <w:szCs w:val="24"/>
        </w:rPr>
        <w:t xml:space="preserve">人；</w:t>
      </w:r>
      <w:r/>
    </w:p>
    <w:p>
      <w:pPr>
        <w:ind w:left="419"/>
        <w:spacing w:line="360" w:lineRule="auto"/>
        <w:rPr>
          <w:rFonts w:hint="eastAsia" w:ascii="宋体" w:hAnsi="宋体" w:cs="宋体"/>
          <w:sz w:val="24"/>
          <w:szCs w:val="24"/>
        </w:rPr>
      </w:pPr>
      <w:r>
        <w:rPr>
          <w:rFonts w:ascii="宋体" w:hAnsi="宋体" w:cs="宋体"/>
          <w:spacing w:val="3"/>
          <w:sz w:val="24"/>
          <w:szCs w:val="24"/>
        </w:rPr>
        <w:t xml:space="preserve">(2)不得将上述信息、资料用于本合同以外的其他目的；</w:t>
      </w:r>
      <w:r/>
    </w:p>
    <w:p>
      <w:pPr>
        <w:ind w:right="87" w:firstLine="409"/>
        <w:spacing w:line="360" w:lineRule="auto"/>
        <w:rPr>
          <w:rFonts w:hint="eastAsia" w:ascii="宋体" w:hAnsi="宋体" w:cs="宋体"/>
          <w:sz w:val="24"/>
          <w:szCs w:val="24"/>
        </w:rPr>
      </w:pPr>
      <w:r>
        <w:rPr>
          <w:rFonts w:ascii="宋体" w:hAnsi="宋体" w:cs="宋体"/>
          <w:spacing w:val="8"/>
          <w:sz w:val="24"/>
          <w:szCs w:val="24"/>
        </w:rPr>
        <w:t xml:space="preserve">(3)在本合同终止或解除后应按对方要求，及时将上述信息、资料返还对方或按对方要求做</w:t>
      </w:r>
      <w:r>
        <w:rPr>
          <w:rFonts w:ascii="宋体" w:hAnsi="宋体" w:cs="宋体"/>
          <w:spacing w:val="7"/>
          <w:sz w:val="24"/>
          <w:szCs w:val="24"/>
        </w:rPr>
        <w:t xml:space="preserve">适当</w:t>
      </w:r>
      <w:r>
        <w:rPr>
          <w:rFonts w:ascii="宋体" w:hAnsi="宋体" w:cs="宋体"/>
          <w:spacing w:val="1"/>
          <w:sz w:val="24"/>
          <w:szCs w:val="24"/>
        </w:rPr>
        <w:t xml:space="preserve">处理。</w:t>
      </w:r>
      <w:r/>
    </w:p>
    <w:p>
      <w:pPr>
        <w:ind w:left="10" w:right="82" w:firstLine="389"/>
        <w:spacing w:line="360" w:lineRule="auto"/>
        <w:rPr>
          <w:rFonts w:hint="eastAsia" w:ascii="宋体" w:hAnsi="宋体" w:cs="宋体"/>
          <w:sz w:val="24"/>
          <w:szCs w:val="24"/>
        </w:rPr>
      </w:pPr>
      <w:r>
        <w:rPr>
          <w:rFonts w:ascii="宋体" w:hAnsi="宋体" w:cs="宋体"/>
          <w:spacing w:val="4"/>
          <w:sz w:val="24"/>
          <w:szCs w:val="24"/>
        </w:rPr>
        <w:t xml:space="preserve">14.2 </w:t>
      </w:r>
      <w:r>
        <w:rPr>
          <w:rFonts w:hint="eastAsia" w:ascii="宋体" w:hAnsi="宋体" w:cs="宋体"/>
          <w:spacing w:val="4"/>
          <w:sz w:val="24"/>
          <w:szCs w:val="24"/>
        </w:rPr>
        <w:t xml:space="preserve"> </w:t>
      </w:r>
      <w:r>
        <w:rPr>
          <w:rFonts w:ascii="宋体" w:hAnsi="宋体" w:cs="宋体"/>
          <w:spacing w:val="4"/>
          <w:sz w:val="24"/>
          <w:szCs w:val="24"/>
        </w:rPr>
        <w:t xml:space="preserve">本合同项下</w:t>
      </w:r>
      <w:r>
        <w:rPr>
          <w:rFonts w:ascii="宋体" w:hAnsi="宋体" w:cs="宋体"/>
          <w:spacing w:val="6"/>
          <w:sz w:val="24"/>
          <w:szCs w:val="24"/>
        </w:rPr>
        <w:t xml:space="preserve">的保密义务至相关商业秘密信息、资料正式向社会公开之日或一方书面解除另</w:t>
      </w:r>
      <w:r>
        <w:rPr>
          <w:rFonts w:ascii="宋体" w:hAnsi="宋体" w:cs="宋体"/>
          <w:spacing w:val="4"/>
          <w:sz w:val="24"/>
          <w:szCs w:val="24"/>
        </w:rPr>
        <w:t xml:space="preserve">一方本合同项下保密义务之日起终止。</w:t>
      </w:r>
      <w:r/>
    </w:p>
    <w:p>
      <w:pPr>
        <w:ind w:left="399"/>
        <w:spacing w:line="360" w:lineRule="auto"/>
        <w:rPr>
          <w:rFonts w:hint="eastAsia" w:ascii="宋体" w:hAnsi="宋体" w:cs="宋体"/>
          <w:sz w:val="24"/>
          <w:szCs w:val="24"/>
        </w:rPr>
      </w:pPr>
      <w:r>
        <w:rPr>
          <w:rFonts w:ascii="宋体" w:hAnsi="宋体" w:cs="宋体"/>
          <w:spacing w:val="4"/>
          <w:sz w:val="24"/>
          <w:szCs w:val="24"/>
        </w:rPr>
        <w:t xml:space="preserve">14.3  本条约定</w:t>
      </w:r>
      <w:r>
        <w:rPr>
          <w:rFonts w:ascii="宋体" w:hAnsi="宋体" w:cs="宋体"/>
          <w:sz w:val="24"/>
          <w:szCs w:val="24"/>
        </w:rPr>
        <w:t xml:space="preserve">在本合同终止后仍然继续有效，且</w:t>
      </w:r>
      <w:r>
        <w:rPr>
          <w:rFonts w:ascii="宋体" w:hAnsi="宋体" w:cs="宋体"/>
          <w:spacing w:val="-1"/>
          <w:sz w:val="24"/>
          <w:szCs w:val="24"/>
        </w:rPr>
        <w:t xml:space="preserve">不受合同解除、终止或无效的影响。</w:t>
      </w:r>
      <w:r/>
    </w:p>
    <w:p>
      <w:pPr>
        <w:ind w:left="402"/>
        <w:spacing w:line="360" w:lineRule="auto"/>
        <w:rPr>
          <w:rFonts w:hint="eastAsia" w:ascii="宋体" w:hAnsi="宋体" w:cs="黑体"/>
          <w:b/>
          <w:bCs/>
          <w:sz w:val="24"/>
          <w:szCs w:val="24"/>
        </w:rPr>
      </w:pPr>
      <w:r>
        <w:rPr>
          <w:rFonts w:ascii="宋体" w:hAnsi="宋体" w:cs="黑体"/>
          <w:b/>
          <w:bCs/>
          <w:sz w:val="24"/>
          <w:szCs w:val="24"/>
        </w:rPr>
        <w:t xml:space="preserve">第十五条  合同变更、中止、解除</w:t>
      </w:r>
      <w:r/>
    </w:p>
    <w:p>
      <w:pPr>
        <w:ind w:left="10" w:right="107" w:firstLine="399"/>
        <w:spacing w:line="360" w:lineRule="auto"/>
        <w:rPr>
          <w:rFonts w:hint="eastAsia" w:ascii="宋体" w:hAnsi="宋体" w:cs="宋体"/>
          <w:sz w:val="24"/>
          <w:szCs w:val="24"/>
        </w:rPr>
      </w:pPr>
      <w:r>
        <w:rPr>
          <w:rFonts w:ascii="宋体" w:hAnsi="宋体" w:cs="宋体"/>
          <w:spacing w:val="4"/>
          <w:sz w:val="24"/>
          <w:szCs w:val="24"/>
        </w:rPr>
        <w:t xml:space="preserve">15.1 </w:t>
      </w:r>
      <w:r>
        <w:rPr>
          <w:rFonts w:hint="eastAsia" w:ascii="宋体" w:hAnsi="宋体" w:cs="宋体"/>
          <w:spacing w:val="4"/>
          <w:sz w:val="24"/>
          <w:szCs w:val="24"/>
        </w:rPr>
        <w:t xml:space="preserve"> </w:t>
      </w:r>
      <w:r>
        <w:rPr>
          <w:rFonts w:ascii="宋体" w:hAnsi="宋体" w:cs="宋体"/>
          <w:spacing w:val="4"/>
          <w:sz w:val="24"/>
          <w:szCs w:val="24"/>
        </w:rPr>
        <w:t xml:space="preserve">出现需要</w:t>
      </w:r>
      <w:r>
        <w:rPr>
          <w:rFonts w:ascii="宋体" w:hAnsi="宋体" w:cs="宋体"/>
          <w:spacing w:val="1"/>
          <w:sz w:val="24"/>
          <w:szCs w:val="24"/>
        </w:rPr>
        <w:t xml:space="preserve">变更合同内容的客观情形，或者一方提出合理的诉求，经双方协商一致可以变更合同内容。</w:t>
      </w:r>
      <w:r/>
    </w:p>
    <w:p>
      <w:pPr>
        <w:ind w:left="10" w:right="107" w:firstLine="389"/>
        <w:spacing w:line="360" w:lineRule="auto"/>
        <w:rPr>
          <w:rFonts w:hint="eastAsia" w:ascii="宋体" w:hAnsi="宋体" w:cs="宋体"/>
          <w:sz w:val="24"/>
          <w:szCs w:val="24"/>
        </w:rPr>
      </w:pPr>
      <w:r>
        <w:rPr>
          <w:rFonts w:ascii="宋体" w:hAnsi="宋体" w:cs="宋体"/>
          <w:spacing w:val="4"/>
          <w:sz w:val="24"/>
          <w:szCs w:val="24"/>
        </w:rPr>
        <w:t xml:space="preserve">15.2  本合同的</w:t>
      </w:r>
      <w:r>
        <w:rPr>
          <w:rFonts w:ascii="宋体" w:hAnsi="宋体" w:cs="宋体"/>
          <w:spacing w:val="1"/>
          <w:sz w:val="24"/>
          <w:szCs w:val="24"/>
        </w:rPr>
        <w:t xml:space="preserve">权利义务不可转让，特殊情况下，如乙方确需转让本合同权利义务，须经甲方书面 </w:t>
      </w:r>
      <w:r>
        <w:rPr>
          <w:rFonts w:ascii="宋体" w:hAnsi="宋体" w:cs="宋体"/>
          <w:spacing w:val="-4"/>
          <w:sz w:val="24"/>
          <w:szCs w:val="24"/>
        </w:rPr>
        <w:t xml:space="preserve">同意，并另行签署合同约定。</w:t>
      </w:r>
      <w:r/>
    </w:p>
    <w:p>
      <w:pPr>
        <w:ind w:right="112" w:firstLine="399"/>
        <w:spacing w:line="360" w:lineRule="auto"/>
        <w:rPr>
          <w:rFonts w:hint="eastAsia" w:ascii="宋体" w:hAnsi="宋体" w:cs="宋体"/>
          <w:sz w:val="24"/>
          <w:szCs w:val="24"/>
        </w:rPr>
      </w:pPr>
      <w:r>
        <w:rPr>
          <w:rFonts w:ascii="宋体" w:hAnsi="宋体" w:cs="宋体"/>
          <w:spacing w:val="4"/>
          <w:sz w:val="24"/>
          <w:szCs w:val="24"/>
        </w:rPr>
        <w:t xml:space="preserve">15.3  甲方发</w:t>
      </w:r>
      <w:r>
        <w:rPr>
          <w:rFonts w:ascii="宋体" w:hAnsi="宋体" w:cs="宋体"/>
          <w:spacing w:val="1"/>
          <w:sz w:val="24"/>
          <w:szCs w:val="24"/>
        </w:rPr>
        <w:t xml:space="preserve">生必须停止办公或经营的情况，例如房屋大修或者部分拆除，可以中止合</w:t>
      </w:r>
      <w:r>
        <w:rPr>
          <w:rFonts w:ascii="宋体" w:hAnsi="宋体" w:cs="宋体"/>
          <w:sz w:val="24"/>
          <w:szCs w:val="24"/>
        </w:rPr>
        <w:t xml:space="preserve">同履行。导</w:t>
      </w:r>
      <w:r>
        <w:rPr>
          <w:rFonts w:ascii="宋体" w:hAnsi="宋体" w:cs="宋体"/>
          <w:spacing w:val="-1"/>
          <w:sz w:val="24"/>
          <w:szCs w:val="24"/>
        </w:rPr>
        <w:t xml:space="preserve">致合同中止的事由消除后，恢复合同履行。</w:t>
      </w:r>
      <w:r/>
    </w:p>
    <w:p>
      <w:pPr>
        <w:ind w:left="409"/>
        <w:spacing w:line="360" w:lineRule="auto"/>
        <w:rPr>
          <w:rFonts w:hint="eastAsia" w:ascii="宋体" w:hAnsi="宋体" w:cs="宋体"/>
          <w:sz w:val="24"/>
          <w:szCs w:val="24"/>
        </w:rPr>
      </w:pPr>
      <w:r>
        <w:rPr>
          <w:rFonts w:ascii="宋体" w:hAnsi="宋体" w:cs="宋体"/>
          <w:spacing w:val="4"/>
          <w:sz w:val="24"/>
          <w:szCs w:val="24"/>
        </w:rPr>
        <w:t xml:space="preserve">15.4 </w:t>
      </w:r>
      <w:r>
        <w:rPr>
          <w:rFonts w:hint="eastAsia" w:ascii="宋体" w:hAnsi="宋体" w:cs="宋体"/>
          <w:spacing w:val="4"/>
          <w:sz w:val="24"/>
          <w:szCs w:val="24"/>
        </w:rPr>
        <w:t xml:space="preserve"> </w:t>
      </w:r>
      <w:r>
        <w:rPr>
          <w:rFonts w:ascii="宋体" w:hAnsi="宋体" w:cs="宋体"/>
          <w:spacing w:val="4"/>
          <w:sz w:val="24"/>
          <w:szCs w:val="24"/>
        </w:rPr>
        <w:t xml:space="preserve">双方协商</w:t>
      </w:r>
      <w:r>
        <w:rPr>
          <w:rFonts w:ascii="宋体" w:hAnsi="宋体" w:cs="宋体"/>
          <w:spacing w:val="2"/>
          <w:sz w:val="24"/>
          <w:szCs w:val="24"/>
        </w:rPr>
        <w:t xml:space="preserve">一致可以解除本合同。</w:t>
      </w:r>
      <w:r/>
    </w:p>
    <w:p>
      <w:pPr>
        <w:ind w:right="20" w:firstLine="399"/>
        <w:spacing w:line="360" w:lineRule="auto"/>
        <w:rPr>
          <w:rFonts w:hint="eastAsia" w:ascii="宋体" w:hAnsi="宋体" w:cs="宋体"/>
          <w:sz w:val="24"/>
          <w:szCs w:val="24"/>
        </w:rPr>
      </w:pPr>
      <w:r>
        <w:rPr>
          <w:rFonts w:ascii="宋体" w:hAnsi="宋体" w:cs="宋体"/>
          <w:spacing w:val="4"/>
          <w:sz w:val="24"/>
          <w:szCs w:val="24"/>
        </w:rPr>
        <w:t xml:space="preserve">15.5</w:t>
      </w:r>
      <w:r>
        <w:rPr>
          <w:rFonts w:hint="eastAsia" w:ascii="宋体" w:hAnsi="宋体" w:cs="宋体"/>
          <w:spacing w:val="4"/>
          <w:sz w:val="24"/>
          <w:szCs w:val="24"/>
        </w:rPr>
        <w:t xml:space="preserve"> </w:t>
      </w:r>
      <w:r>
        <w:rPr>
          <w:rFonts w:ascii="宋体" w:hAnsi="宋体" w:cs="宋体"/>
          <w:spacing w:val="4"/>
          <w:sz w:val="24"/>
          <w:szCs w:val="24"/>
        </w:rPr>
        <w:t xml:space="preserve"> 一方严</w:t>
      </w:r>
      <w:r>
        <w:rPr>
          <w:rFonts w:ascii="宋体" w:hAnsi="宋体" w:cs="宋体"/>
          <w:spacing w:val="3"/>
          <w:sz w:val="24"/>
          <w:szCs w:val="24"/>
        </w:rPr>
        <w:t xml:space="preserve">重违约，导致合同不能继续履行或者使合同履行成为不必要。守约方有权解除合同，守约方应书面通知对方，书面通知到达违约方</w:t>
      </w:r>
      <w:r>
        <w:rPr>
          <w:rFonts w:ascii="宋体" w:hAnsi="宋体" w:cs="宋体"/>
          <w:spacing w:val="2"/>
          <w:sz w:val="24"/>
          <w:szCs w:val="24"/>
        </w:rPr>
        <w:t xml:space="preserve">时即产生解除合同的效力。</w:t>
      </w:r>
      <w:r/>
    </w:p>
    <w:p>
      <w:pPr>
        <w:ind w:left="10" w:right="85" w:firstLine="389"/>
        <w:spacing w:line="360" w:lineRule="auto"/>
        <w:rPr>
          <w:rFonts w:hint="eastAsia" w:ascii="宋体" w:hAnsi="宋体" w:cs="宋体"/>
          <w:sz w:val="24"/>
          <w:szCs w:val="24"/>
        </w:rPr>
      </w:pPr>
      <w:r>
        <w:rPr>
          <w:rFonts w:ascii="宋体" w:hAnsi="宋体" w:cs="宋体"/>
          <w:spacing w:val="4"/>
          <w:sz w:val="24"/>
          <w:szCs w:val="24"/>
        </w:rPr>
        <w:t xml:space="preserve">15.6  本合同经双</w:t>
      </w:r>
      <w:r>
        <w:rPr>
          <w:rFonts w:ascii="宋体" w:hAnsi="宋体" w:cs="宋体"/>
          <w:spacing w:val="10"/>
          <w:sz w:val="24"/>
          <w:szCs w:val="24"/>
        </w:rPr>
        <w:t xml:space="preserve">方签字并盖章之日起90天内没有实际履行，任何一方均可书面通知对方解除</w:t>
      </w:r>
      <w:r>
        <w:rPr>
          <w:rFonts w:ascii="宋体" w:hAnsi="宋体" w:cs="宋体"/>
          <w:spacing w:val="1"/>
          <w:sz w:val="24"/>
          <w:szCs w:val="24"/>
        </w:rPr>
        <w:t xml:space="preserve">合同。</w:t>
      </w:r>
      <w:r/>
    </w:p>
    <w:p>
      <w:pPr>
        <w:ind w:left="402"/>
        <w:spacing w:line="360" w:lineRule="auto"/>
        <w:rPr>
          <w:rFonts w:hint="eastAsia" w:ascii="宋体" w:hAnsi="宋体" w:cs="黑体"/>
          <w:b/>
          <w:bCs/>
          <w:sz w:val="24"/>
          <w:szCs w:val="24"/>
        </w:rPr>
      </w:pPr>
      <w:r>
        <w:rPr>
          <w:rFonts w:ascii="宋体" w:hAnsi="宋体" w:cs="黑体"/>
          <w:b/>
          <w:bCs/>
          <w:sz w:val="24"/>
          <w:szCs w:val="24"/>
        </w:rPr>
        <w:t xml:space="preserve">第十六条</w:t>
      </w:r>
      <w:r>
        <w:rPr>
          <w:rFonts w:hint="eastAsia" w:ascii="宋体" w:hAnsi="宋体" w:cs="黑体"/>
          <w:b/>
          <w:bCs/>
          <w:sz w:val="24"/>
          <w:szCs w:val="24"/>
        </w:rPr>
        <w:t xml:space="preserve"> </w:t>
      </w:r>
      <w:r>
        <w:rPr>
          <w:rFonts w:ascii="宋体" w:hAnsi="宋体" w:cs="黑体"/>
          <w:b/>
          <w:bCs/>
          <w:sz w:val="24"/>
          <w:szCs w:val="24"/>
        </w:rPr>
        <w:t xml:space="preserve"> 违约责任</w:t>
      </w:r>
      <w:r/>
    </w:p>
    <w:p>
      <w:pPr>
        <w:ind w:left="400"/>
        <w:spacing w:line="360" w:lineRule="auto"/>
        <w:rPr>
          <w:rFonts w:hint="eastAsia" w:ascii="宋体" w:hAnsi="宋体" w:cs="宋体"/>
          <w:sz w:val="24"/>
          <w:szCs w:val="24"/>
        </w:rPr>
      </w:pPr>
      <w:r>
        <w:rPr>
          <w:rFonts w:ascii="宋体" w:hAnsi="宋体" w:cs="宋体"/>
          <w:spacing w:val="4"/>
          <w:sz w:val="24"/>
          <w:szCs w:val="24"/>
        </w:rPr>
        <w:t xml:space="preserve">16.1  甲方违</w:t>
      </w:r>
      <w:r>
        <w:rPr>
          <w:rFonts w:ascii="宋体" w:hAnsi="宋体" w:cs="宋体"/>
          <w:sz w:val="24"/>
          <w:szCs w:val="24"/>
        </w:rPr>
        <w:t xml:space="preserve">约责任</w:t>
      </w:r>
      <w:r/>
    </w:p>
    <w:p>
      <w:pPr>
        <w:ind w:firstLine="400"/>
        <w:spacing w:line="360" w:lineRule="auto"/>
        <w:rPr>
          <w:rFonts w:hint="eastAsia" w:ascii="宋体" w:hAnsi="宋体" w:cs="宋体"/>
          <w:sz w:val="24"/>
          <w:szCs w:val="24"/>
        </w:rPr>
      </w:pPr>
      <w:r>
        <w:rPr>
          <w:rFonts w:ascii="宋体" w:hAnsi="宋体" w:cs="宋体"/>
          <w:spacing w:val="4"/>
          <w:sz w:val="24"/>
          <w:szCs w:val="24"/>
        </w:rPr>
        <w:t xml:space="preserve">16.1.1  如甲方未</w:t>
      </w:r>
      <w:r>
        <w:rPr>
          <w:rFonts w:ascii="宋体" w:hAnsi="宋体" w:cs="宋体"/>
          <w:spacing w:val="6"/>
          <w:sz w:val="24"/>
          <w:szCs w:val="24"/>
        </w:rPr>
        <w:t xml:space="preserve">能按时足额支付托管费用经乙方催告后仍不支付时，按照拖延支付的</w:t>
      </w:r>
      <w:r>
        <w:rPr>
          <w:rFonts w:ascii="宋体" w:hAnsi="宋体" w:cs="宋体"/>
          <w:spacing w:val="5"/>
          <w:sz w:val="24"/>
          <w:szCs w:val="24"/>
        </w:rPr>
        <w:t xml:space="preserve">金额每日万分之五向乙方支付违约金。</w:t>
      </w:r>
      <w:r/>
    </w:p>
    <w:p>
      <w:pPr>
        <w:ind w:right="18" w:firstLine="400"/>
        <w:spacing w:line="360" w:lineRule="auto"/>
        <w:rPr>
          <w:rFonts w:hint="eastAsia" w:ascii="宋体" w:hAnsi="宋体" w:cs="宋体"/>
          <w:sz w:val="24"/>
          <w:szCs w:val="24"/>
        </w:rPr>
      </w:pPr>
      <w:r>
        <w:rPr>
          <w:rFonts w:ascii="宋体" w:hAnsi="宋体" w:cs="宋体"/>
          <w:spacing w:val="4"/>
          <w:sz w:val="24"/>
          <w:szCs w:val="24"/>
        </w:rPr>
        <w:t xml:space="preserve">16.1.2  如甲方</w:t>
      </w:r>
      <w:r>
        <w:rPr>
          <w:rFonts w:ascii="宋体" w:hAnsi="宋体" w:cs="宋体"/>
          <w:spacing w:val="1"/>
          <w:sz w:val="24"/>
          <w:szCs w:val="24"/>
        </w:rPr>
        <w:t xml:space="preserve">未遵守本合同附件及其他条款约定，导致乙方经济损失，甲方应按照乙方的实际损</w:t>
      </w:r>
      <w:r>
        <w:rPr>
          <w:rFonts w:ascii="宋体" w:hAnsi="宋体" w:cs="宋体"/>
          <w:spacing w:val="4"/>
          <w:sz w:val="24"/>
          <w:szCs w:val="24"/>
        </w:rPr>
        <w:t xml:space="preserve">失额向乙方赔偿。</w:t>
      </w:r>
      <w:r/>
    </w:p>
    <w:p>
      <w:pPr>
        <w:ind w:left="400"/>
        <w:spacing w:line="360" w:lineRule="auto"/>
        <w:rPr>
          <w:rFonts w:hint="eastAsia" w:ascii="宋体" w:hAnsi="宋体" w:cs="宋体"/>
          <w:sz w:val="24"/>
          <w:szCs w:val="24"/>
        </w:rPr>
      </w:pPr>
      <w:r>
        <w:rPr>
          <w:rFonts w:ascii="宋体" w:hAnsi="宋体" w:cs="宋体"/>
          <w:spacing w:val="4"/>
          <w:sz w:val="24"/>
          <w:szCs w:val="24"/>
        </w:rPr>
        <w:t xml:space="preserve">16.2  乙方</w:t>
      </w:r>
      <w:r>
        <w:rPr>
          <w:rFonts w:ascii="宋体" w:hAnsi="宋体" w:cs="宋体"/>
          <w:sz w:val="24"/>
          <w:szCs w:val="24"/>
        </w:rPr>
        <w:t xml:space="preserve">违约责任</w:t>
      </w:r>
      <w:r/>
    </w:p>
    <w:p>
      <w:pPr>
        <w:ind w:right="24" w:firstLine="400"/>
        <w:spacing w:line="360" w:lineRule="auto"/>
        <w:rPr>
          <w:rFonts w:hint="eastAsia" w:ascii="宋体" w:hAnsi="宋体"/>
          <w:sz w:val="24"/>
          <w:szCs w:val="24"/>
        </w:rPr>
      </w:pPr>
      <w:r>
        <w:rPr>
          <w:rFonts w:ascii="宋体" w:hAnsi="宋体" w:cs="宋体"/>
          <w:spacing w:val="4"/>
          <w:sz w:val="24"/>
          <w:szCs w:val="24"/>
        </w:rPr>
        <w:t xml:space="preserve">16.2.1  如乙方未能</w:t>
      </w:r>
      <w:r>
        <w:rPr>
          <w:rFonts w:ascii="宋体" w:hAnsi="宋体" w:cs="宋体"/>
          <w:spacing w:val="1"/>
          <w:sz w:val="24"/>
          <w:szCs w:val="24"/>
        </w:rPr>
        <w:t xml:space="preserve">按照服务标准提供服务，违反操作规章制度、违反相关的服务标准，经甲方催</w:t>
      </w:r>
      <w:r>
        <w:rPr>
          <w:rFonts w:ascii="宋体" w:hAnsi="宋体" w:cs="宋体"/>
          <w:sz w:val="24"/>
          <w:szCs w:val="24"/>
        </w:rPr>
        <w:t xml:space="preserve">仍不能改正的，按照对甲方的实际影响，向甲方支付违约金不少于</w:t>
      </w:r>
      <w:r>
        <w:rPr>
          <w:rFonts w:ascii="宋体" w:hAnsi="宋体" w:cs="宋体"/>
          <w:sz w:val="24"/>
          <w:szCs w:val="24"/>
          <w:u w:val="single"/>
        </w:rPr>
        <w:t xml:space="preserve">   </w:t>
      </w:r>
      <w:r>
        <w:rPr>
          <w:rFonts w:ascii="宋体" w:hAnsi="宋体" w:cs="宋体"/>
          <w:sz w:val="24"/>
          <w:szCs w:val="24"/>
        </w:rPr>
        <w:t xml:space="preserve">。</w:t>
      </w:r>
      <w:r/>
    </w:p>
    <w:p>
      <w:pPr>
        <w:ind w:right="26" w:firstLine="400"/>
        <w:spacing w:line="360" w:lineRule="auto"/>
        <w:rPr>
          <w:rFonts w:hint="eastAsia" w:ascii="宋体" w:hAnsi="宋体" w:cs="宋体"/>
          <w:sz w:val="24"/>
          <w:szCs w:val="24"/>
        </w:rPr>
      </w:pPr>
      <w:r>
        <w:rPr>
          <w:rFonts w:ascii="宋体" w:hAnsi="宋体" w:cs="宋体"/>
          <w:spacing w:val="4"/>
          <w:sz w:val="24"/>
          <w:szCs w:val="24"/>
        </w:rPr>
        <w:t xml:space="preserve">16.2.2  如乙方未</w:t>
      </w:r>
      <w:r>
        <w:rPr>
          <w:rFonts w:ascii="宋体" w:hAnsi="宋体" w:cs="宋体"/>
          <w:spacing w:val="1"/>
          <w:sz w:val="24"/>
          <w:szCs w:val="24"/>
        </w:rPr>
        <w:t xml:space="preserve">遵守本合同附件及其他条款规定，导致甲方经济损失，应按照甲方的实际损失额</w:t>
      </w:r>
      <w:r>
        <w:rPr>
          <w:rFonts w:ascii="宋体" w:hAnsi="宋体" w:cs="宋体"/>
          <w:spacing w:val="2"/>
          <w:sz w:val="24"/>
          <w:szCs w:val="24"/>
        </w:rPr>
        <w:t xml:space="preserve">向甲方赔偿。</w:t>
      </w:r>
      <w:r/>
    </w:p>
    <w:p>
      <w:pPr>
        <w:ind w:right="42" w:firstLine="400"/>
        <w:spacing w:line="360" w:lineRule="auto"/>
        <w:rPr>
          <w:rFonts w:hint="eastAsia" w:ascii="宋体" w:hAnsi="宋体" w:cs="宋体"/>
          <w:sz w:val="24"/>
          <w:szCs w:val="24"/>
        </w:rPr>
      </w:pPr>
      <w:r>
        <w:rPr>
          <w:rFonts w:ascii="宋体" w:hAnsi="宋体" w:cs="宋体"/>
          <w:spacing w:val="4"/>
          <w:sz w:val="24"/>
          <w:szCs w:val="24"/>
        </w:rPr>
        <w:t xml:space="preserve">16.2.3  乙方应</w:t>
      </w:r>
      <w:r>
        <w:rPr>
          <w:rFonts w:ascii="宋体" w:hAnsi="宋体" w:cs="宋体"/>
          <w:spacing w:val="5"/>
          <w:sz w:val="24"/>
          <w:szCs w:val="24"/>
        </w:rPr>
        <w:t xml:space="preserve">始终本着服务至上、保障运行的原则，积极响应和满足甲</w:t>
      </w:r>
      <w:r>
        <w:rPr>
          <w:rFonts w:ascii="宋体" w:hAnsi="宋体" w:cs="宋体"/>
          <w:spacing w:val="4"/>
          <w:sz w:val="24"/>
          <w:szCs w:val="24"/>
        </w:rPr>
        <w:t xml:space="preserve">方的特殊和应急用能需</w:t>
      </w:r>
      <w:r>
        <w:rPr>
          <w:rFonts w:ascii="宋体" w:hAnsi="宋体" w:cs="宋体"/>
          <w:sz w:val="24"/>
          <w:szCs w:val="24"/>
        </w:rPr>
        <w:t xml:space="preserve">求，所产生的额外能源费用事后双方协商解决。</w:t>
      </w:r>
      <w:r/>
    </w:p>
    <w:p>
      <w:pPr>
        <w:ind w:left="402"/>
        <w:spacing w:line="360" w:lineRule="auto"/>
        <w:rPr>
          <w:rFonts w:hint="eastAsia" w:ascii="宋体" w:hAnsi="宋体" w:cs="黑体"/>
          <w:b/>
          <w:bCs/>
          <w:sz w:val="24"/>
          <w:szCs w:val="24"/>
        </w:rPr>
      </w:pPr>
      <w:r>
        <w:rPr>
          <w:rFonts w:ascii="宋体" w:hAnsi="宋体" w:cs="黑体"/>
          <w:b/>
          <w:bCs/>
          <w:sz w:val="24"/>
          <w:szCs w:val="24"/>
        </w:rPr>
        <w:t xml:space="preserve">第十七条</w:t>
      </w:r>
      <w:r>
        <w:rPr>
          <w:rFonts w:hint="eastAsia" w:ascii="宋体" w:hAnsi="宋体" w:cs="黑体"/>
          <w:b/>
          <w:bCs/>
          <w:sz w:val="24"/>
          <w:szCs w:val="24"/>
        </w:rPr>
        <w:t xml:space="preserve"> </w:t>
      </w:r>
      <w:r>
        <w:rPr>
          <w:rFonts w:ascii="宋体" w:hAnsi="宋体" w:cs="黑体"/>
          <w:b/>
          <w:bCs/>
          <w:sz w:val="24"/>
          <w:szCs w:val="24"/>
        </w:rPr>
        <w:t xml:space="preserve"> 不可抗力</w:t>
      </w:r>
      <w:r/>
    </w:p>
    <w:p>
      <w:pPr>
        <w:ind w:right="23" w:firstLine="400"/>
        <w:spacing w:line="360" w:lineRule="auto"/>
        <w:rPr>
          <w:rFonts w:hint="eastAsia" w:ascii="宋体" w:hAnsi="宋体" w:cs="宋体"/>
          <w:sz w:val="24"/>
          <w:szCs w:val="24"/>
        </w:rPr>
      </w:pPr>
      <w:r>
        <w:rPr>
          <w:rFonts w:ascii="宋体" w:hAnsi="宋体" w:cs="宋体"/>
          <w:spacing w:val="4"/>
          <w:sz w:val="24"/>
          <w:szCs w:val="24"/>
        </w:rPr>
        <w:t xml:space="preserve">17.1 </w:t>
      </w:r>
      <w:r>
        <w:rPr>
          <w:rFonts w:hint="eastAsia" w:ascii="宋体" w:hAnsi="宋体" w:cs="宋体"/>
          <w:spacing w:val="4"/>
          <w:sz w:val="24"/>
          <w:szCs w:val="24"/>
        </w:rPr>
        <w:t xml:space="preserve"> </w:t>
      </w:r>
      <w:r>
        <w:rPr>
          <w:rFonts w:ascii="宋体" w:hAnsi="宋体" w:cs="宋体"/>
          <w:spacing w:val="4"/>
          <w:sz w:val="24"/>
          <w:szCs w:val="24"/>
        </w:rPr>
        <w:t xml:space="preserve">由于</w:t>
      </w:r>
      <w:r>
        <w:rPr>
          <w:rFonts w:ascii="宋体" w:hAnsi="宋体" w:cs="宋体"/>
          <w:spacing w:val="2"/>
          <w:sz w:val="24"/>
          <w:szCs w:val="24"/>
        </w:rPr>
        <w:t xml:space="preserve">地震、水灾、战争、暴乱及其他不能预见</w:t>
      </w:r>
      <w:r>
        <w:rPr>
          <w:rFonts w:ascii="宋体" w:hAnsi="宋体" w:cs="宋体"/>
          <w:spacing w:val="1"/>
          <w:sz w:val="24"/>
          <w:szCs w:val="24"/>
        </w:rPr>
        <w:t xml:space="preserve">并且对其发生和后果不能避免并不能克服的不可抗力事件，直接导致本合同及附件的全部或部分不能履行时，遇有不可抗力事件的一方应立即将详细情况通知另一方，并随后提供事件详情的有效证明文件。按照不可抗力事件对履行合同的影响程度，由</w:t>
      </w:r>
      <w:r>
        <w:rPr>
          <w:rFonts w:ascii="宋体" w:hAnsi="宋体" w:cs="宋体"/>
          <w:spacing w:val="-5"/>
          <w:sz w:val="24"/>
          <w:szCs w:val="24"/>
        </w:rPr>
        <w:t xml:space="preserve">甲、乙双方协商确定：延期履行或终止合同。</w:t>
      </w:r>
      <w:r/>
    </w:p>
    <w:p>
      <w:pPr>
        <w:ind w:right="26" w:firstLine="400"/>
        <w:spacing w:line="360" w:lineRule="auto"/>
        <w:rPr>
          <w:rFonts w:hint="eastAsia" w:ascii="宋体" w:hAnsi="宋体" w:cs="宋体"/>
          <w:sz w:val="24"/>
          <w:szCs w:val="24"/>
        </w:rPr>
      </w:pPr>
      <w:r>
        <w:rPr>
          <w:rFonts w:ascii="宋体" w:hAnsi="宋体" w:cs="宋体"/>
          <w:spacing w:val="4"/>
          <w:sz w:val="24"/>
          <w:szCs w:val="24"/>
        </w:rPr>
        <w:t xml:space="preserve">17.2  遇有</w:t>
      </w:r>
      <w:r>
        <w:rPr>
          <w:rFonts w:ascii="宋体" w:hAnsi="宋体" w:cs="宋体"/>
          <w:spacing w:val="6"/>
          <w:sz w:val="24"/>
          <w:szCs w:val="24"/>
        </w:rPr>
        <w:t xml:space="preserve">不可抗力事件的一方可以中止</w:t>
      </w:r>
      <w:r>
        <w:rPr>
          <w:rFonts w:ascii="宋体" w:hAnsi="宋体" w:cs="宋体"/>
          <w:spacing w:val="5"/>
          <w:sz w:val="24"/>
          <w:szCs w:val="24"/>
        </w:rPr>
        <w:t xml:space="preserve">履行，直至不可抗力事件结束，但中止最长时间不超过</w:t>
      </w:r>
      <w:r>
        <w:rPr>
          <w:rFonts w:ascii="宋体" w:hAnsi="宋体" w:cs="宋体"/>
          <w:spacing w:val="1"/>
          <w:sz w:val="24"/>
          <w:szCs w:val="24"/>
        </w:rPr>
        <w:t xml:space="preserve">90天，超过90天，终止本合同的履行。</w:t>
      </w:r>
      <w:r/>
    </w:p>
    <w:p>
      <w:pPr>
        <w:ind w:right="23" w:firstLine="400"/>
        <w:spacing w:line="360" w:lineRule="auto"/>
        <w:rPr>
          <w:rFonts w:hint="eastAsia" w:ascii="宋体" w:hAnsi="宋体" w:cs="宋体"/>
          <w:sz w:val="24"/>
          <w:szCs w:val="24"/>
        </w:rPr>
      </w:pPr>
      <w:r>
        <w:rPr>
          <w:rFonts w:ascii="宋体" w:hAnsi="宋体" w:cs="宋体"/>
          <w:spacing w:val="4"/>
          <w:sz w:val="24"/>
          <w:szCs w:val="24"/>
        </w:rPr>
        <w:t xml:space="preserve">17.3  遇有</w:t>
      </w:r>
      <w:r>
        <w:rPr>
          <w:rFonts w:ascii="宋体" w:hAnsi="宋体" w:cs="宋体"/>
          <w:spacing w:val="5"/>
          <w:sz w:val="24"/>
          <w:szCs w:val="24"/>
        </w:rPr>
        <w:t xml:space="preserve">不可抗力事件的一方可以在通知另一方后10日内终止合同，任何一方将不对另一方继</w:t>
      </w:r>
      <w:r>
        <w:rPr>
          <w:rFonts w:ascii="宋体" w:hAnsi="宋体" w:cs="宋体"/>
          <w:spacing w:val="6"/>
          <w:sz w:val="24"/>
          <w:szCs w:val="24"/>
        </w:rPr>
        <w:t xml:space="preserve">续承担义务，但甲方和乙方应当据实结算托管费用。仅仅发生不可抗力事件并不能必然减</w:t>
      </w:r>
      <w:r>
        <w:rPr>
          <w:rFonts w:ascii="宋体" w:hAnsi="宋体" w:cs="宋体"/>
          <w:spacing w:val="5"/>
          <w:sz w:val="24"/>
          <w:szCs w:val="24"/>
        </w:rPr>
        <w:t xml:space="preserve">轻或影响具</w:t>
      </w:r>
      <w:r>
        <w:rPr>
          <w:rFonts w:ascii="宋体" w:hAnsi="宋体" w:cs="宋体"/>
          <w:sz w:val="24"/>
          <w:szCs w:val="24"/>
        </w:rPr>
        <w:t xml:space="preserve"> </w:t>
      </w:r>
      <w:r>
        <w:rPr>
          <w:rFonts w:ascii="宋体" w:hAnsi="宋体" w:cs="宋体"/>
          <w:spacing w:val="5"/>
          <w:sz w:val="24"/>
          <w:szCs w:val="24"/>
        </w:rPr>
        <w:t xml:space="preserve">有付款义务的一方向另一方付款。</w:t>
      </w:r>
      <w:r/>
    </w:p>
    <w:p>
      <w:pPr>
        <w:ind w:right="21" w:firstLine="400"/>
        <w:spacing w:line="360" w:lineRule="auto"/>
        <w:rPr>
          <w:rFonts w:hint="eastAsia" w:ascii="宋体" w:hAnsi="宋体" w:cs="宋体"/>
          <w:sz w:val="24"/>
          <w:szCs w:val="24"/>
        </w:rPr>
      </w:pPr>
      <w:r>
        <w:rPr>
          <w:rFonts w:ascii="宋体" w:hAnsi="宋体" w:cs="宋体"/>
          <w:spacing w:val="4"/>
          <w:sz w:val="24"/>
          <w:szCs w:val="24"/>
        </w:rPr>
        <w:t xml:space="preserve">17.4  遇有</w:t>
      </w:r>
      <w:r>
        <w:rPr>
          <w:rFonts w:ascii="宋体" w:hAnsi="宋体" w:cs="宋体"/>
          <w:spacing w:val="5"/>
          <w:sz w:val="24"/>
          <w:szCs w:val="24"/>
        </w:rPr>
        <w:t xml:space="preserve">不可抗力事件的一方应采取措施，避免损失的扩大。如果因为未采取相应的措施而导</w:t>
      </w:r>
      <w:r>
        <w:rPr>
          <w:rFonts w:ascii="宋体" w:hAnsi="宋体" w:cs="宋体"/>
          <w:spacing w:val="-1"/>
          <w:sz w:val="24"/>
          <w:szCs w:val="24"/>
        </w:rPr>
        <w:t xml:space="preserve">致损失扩大，应向另一方承担赔偿责任。</w:t>
      </w:r>
      <w:r/>
    </w:p>
    <w:p>
      <w:pPr>
        <w:ind w:left="402"/>
        <w:spacing w:line="360" w:lineRule="auto"/>
        <w:rPr>
          <w:rFonts w:hint="eastAsia" w:ascii="宋体" w:hAnsi="宋体" w:cs="黑体"/>
          <w:b/>
          <w:bCs/>
          <w:sz w:val="24"/>
          <w:szCs w:val="24"/>
        </w:rPr>
      </w:pPr>
      <w:r>
        <w:rPr>
          <w:rFonts w:ascii="宋体" w:hAnsi="宋体" w:cs="黑体"/>
          <w:b/>
          <w:bCs/>
          <w:sz w:val="24"/>
          <w:szCs w:val="24"/>
        </w:rPr>
        <w:t xml:space="preserve">第十八条  法律适用和争议解决</w:t>
      </w:r>
      <w:r/>
    </w:p>
    <w:p>
      <w:pPr>
        <w:ind w:right="21" w:firstLine="400"/>
        <w:spacing w:line="360" w:lineRule="auto"/>
        <w:rPr>
          <w:rFonts w:hint="eastAsia" w:ascii="宋体" w:hAnsi="宋体" w:cs="宋体"/>
          <w:spacing w:val="5"/>
          <w:sz w:val="24"/>
          <w:szCs w:val="24"/>
        </w:rPr>
      </w:pPr>
      <w:r>
        <w:rPr>
          <w:rFonts w:ascii="宋体" w:hAnsi="宋体" w:cs="宋体"/>
          <w:spacing w:val="4"/>
          <w:sz w:val="24"/>
          <w:szCs w:val="24"/>
        </w:rPr>
        <w:t xml:space="preserve">18.1</w:t>
      </w:r>
      <w:r>
        <w:rPr>
          <w:rFonts w:hint="eastAsia" w:ascii="宋体" w:hAnsi="宋体" w:cs="宋体"/>
          <w:spacing w:val="4"/>
          <w:sz w:val="24"/>
          <w:szCs w:val="24"/>
        </w:rPr>
        <w:t xml:space="preserve"> </w:t>
      </w:r>
      <w:r>
        <w:rPr>
          <w:rFonts w:ascii="宋体" w:hAnsi="宋体" w:cs="宋体"/>
          <w:spacing w:val="4"/>
          <w:sz w:val="24"/>
          <w:szCs w:val="24"/>
        </w:rPr>
        <w:t xml:space="preserve"> 本合同</w:t>
      </w:r>
      <w:r>
        <w:rPr>
          <w:rFonts w:ascii="宋体" w:hAnsi="宋体" w:cs="宋体"/>
          <w:spacing w:val="5"/>
          <w:sz w:val="24"/>
          <w:szCs w:val="24"/>
        </w:rPr>
        <w:t xml:space="preserve">的订立、履行和解释，应遵守中华人民共和国法律、法规，并应遵守行业惯例。</w:t>
      </w:r>
      <w:r/>
    </w:p>
    <w:p>
      <w:pPr>
        <w:ind w:right="20" w:firstLine="400"/>
        <w:spacing w:line="360" w:lineRule="auto"/>
        <w:rPr>
          <w:rFonts w:hint="eastAsia" w:ascii="宋体" w:hAnsi="宋体" w:cs="宋体"/>
          <w:sz w:val="24"/>
          <w:szCs w:val="24"/>
        </w:rPr>
      </w:pPr>
      <w:r>
        <w:rPr>
          <w:rFonts w:ascii="宋体" w:hAnsi="宋体" w:cs="宋体"/>
          <w:spacing w:val="4"/>
          <w:sz w:val="24"/>
          <w:szCs w:val="24"/>
        </w:rPr>
        <w:t xml:space="preserve">18.2  因本合同</w:t>
      </w:r>
      <w:r>
        <w:rPr>
          <w:rFonts w:ascii="宋体" w:hAnsi="宋体" w:cs="宋体"/>
          <w:spacing w:val="1"/>
          <w:sz w:val="24"/>
          <w:szCs w:val="24"/>
        </w:rPr>
        <w:t xml:space="preserve">的履行、解释等引起的争议，双方应友好协商解决。如在一方提出书面协商请求后</w:t>
      </w:r>
      <w:r>
        <w:rPr>
          <w:rFonts w:ascii="宋体" w:hAnsi="宋体" w:cs="宋体"/>
          <w:spacing w:val="1"/>
          <w:sz w:val="24"/>
          <w:szCs w:val="24"/>
          <w:u w:val="single"/>
        </w:rPr>
        <w:t xml:space="preserve">15日内</w:t>
      </w:r>
      <w:r>
        <w:rPr>
          <w:rFonts w:ascii="宋体" w:hAnsi="宋体" w:cs="宋体"/>
          <w:spacing w:val="1"/>
          <w:sz w:val="24"/>
          <w:szCs w:val="24"/>
        </w:rPr>
        <w:t xml:space="preserve">双方无法达成一致，任何一方均可选择</w:t>
      </w:r>
      <w:r>
        <w:rPr>
          <w:rFonts w:ascii="宋体" w:hAnsi="宋体" w:cs="宋体"/>
          <w:spacing w:val="1"/>
          <w:sz w:val="24"/>
          <w:szCs w:val="24"/>
          <w:u w:val="single"/>
        </w:rPr>
        <w:t xml:space="preserve">   </w:t>
      </w:r>
      <w:r>
        <w:rPr>
          <w:rFonts w:ascii="宋体" w:hAnsi="宋体" w:cs="宋体"/>
          <w:spacing w:val="1"/>
          <w:sz w:val="24"/>
          <w:szCs w:val="24"/>
        </w:rPr>
        <w:t xml:space="preserve">。</w:t>
      </w:r>
      <w:r/>
    </w:p>
    <w:p>
      <w:pPr>
        <w:ind w:left="400"/>
        <w:spacing w:line="360" w:lineRule="auto"/>
        <w:rPr>
          <w:rFonts w:hint="eastAsia" w:ascii="宋体" w:hAnsi="宋体" w:cs="宋体"/>
          <w:sz w:val="24"/>
          <w:szCs w:val="24"/>
        </w:rPr>
      </w:pPr>
      <w:r>
        <w:rPr>
          <w:rFonts w:ascii="宋体" w:hAnsi="宋体" w:cs="宋体"/>
          <w:spacing w:val="6"/>
          <w:sz w:val="24"/>
          <w:szCs w:val="24"/>
        </w:rPr>
        <w:t xml:space="preserve">(1)依法向项目所在地有管辖权的人民法院提起诉讼。</w:t>
      </w:r>
      <w:r/>
    </w:p>
    <w:p>
      <w:pPr>
        <w:ind w:left="400"/>
        <w:spacing w:line="360" w:lineRule="auto"/>
        <w:rPr>
          <w:rFonts w:hint="eastAsia" w:ascii="宋体" w:hAnsi="宋体" w:cs="宋体"/>
          <w:sz w:val="24"/>
          <w:szCs w:val="24"/>
        </w:rPr>
      </w:pPr>
      <w:r>
        <w:rPr>
          <w:rFonts w:ascii="宋体" w:hAnsi="宋体" w:cs="宋体"/>
          <w:spacing w:val="3"/>
          <w:sz w:val="24"/>
          <w:szCs w:val="24"/>
        </w:rPr>
        <w:t xml:space="preserve">(2)将争议提交</w:t>
      </w:r>
      <w:r>
        <w:rPr>
          <w:rFonts w:hint="eastAsia" w:ascii="宋体" w:hAnsi="宋体" w:cs="宋体"/>
          <w:sz w:val="24"/>
          <w:szCs w:val="24"/>
          <w:u w:val="single"/>
        </w:rPr>
        <w:t xml:space="preserve">      </w:t>
      </w:r>
      <w:r>
        <w:rPr>
          <w:rFonts w:ascii="宋体" w:hAnsi="宋体" w:cs="宋体"/>
          <w:spacing w:val="-49"/>
          <w:sz w:val="24"/>
          <w:szCs w:val="24"/>
        </w:rPr>
        <w:t xml:space="preserve"> </w:t>
      </w:r>
      <w:r>
        <w:rPr>
          <w:rFonts w:ascii="宋体" w:hAnsi="宋体" w:cs="宋体"/>
          <w:spacing w:val="3"/>
          <w:sz w:val="24"/>
          <w:szCs w:val="24"/>
        </w:rPr>
        <w:t xml:space="preserve">仲裁委员会，按照该会的仲裁程序和规则进行仲裁。</w:t>
      </w:r>
      <w:r/>
    </w:p>
    <w:p>
      <w:pPr>
        <w:ind w:right="25" w:firstLine="400"/>
        <w:spacing w:line="360" w:lineRule="auto"/>
        <w:rPr>
          <w:rFonts w:hint="eastAsia" w:ascii="宋体" w:hAnsi="宋体" w:cs="宋体"/>
          <w:sz w:val="24"/>
          <w:szCs w:val="24"/>
        </w:rPr>
      </w:pPr>
      <w:r>
        <w:rPr>
          <w:rFonts w:ascii="宋体" w:hAnsi="宋体" w:cs="宋体"/>
          <w:spacing w:val="4"/>
          <w:sz w:val="24"/>
          <w:szCs w:val="24"/>
        </w:rPr>
        <w:t xml:space="preserve">18.3  无论采</w:t>
      </w:r>
      <w:r>
        <w:rPr>
          <w:rFonts w:ascii="宋体" w:hAnsi="宋体" w:cs="宋体"/>
          <w:spacing w:val="-3"/>
          <w:sz w:val="24"/>
          <w:szCs w:val="24"/>
        </w:rPr>
        <w:t xml:space="preserve">用仲裁还是诉讼，由此产生的律师代理费、交通差旅费、举证费、鉴定费及其他与</w:t>
      </w:r>
      <w:r>
        <w:rPr>
          <w:rFonts w:ascii="宋体" w:hAnsi="宋体" w:cs="宋体"/>
          <w:spacing w:val="-4"/>
          <w:sz w:val="24"/>
          <w:szCs w:val="24"/>
        </w:rPr>
        <w:t xml:space="preserve">仲裁</w:t>
      </w:r>
      <w:r>
        <w:rPr>
          <w:rFonts w:ascii="宋体" w:hAnsi="宋体" w:cs="宋体"/>
          <w:spacing w:val="-3"/>
          <w:sz w:val="24"/>
          <w:szCs w:val="24"/>
        </w:rPr>
        <w:t xml:space="preserve">或诉讼相关的费用，均由败诉方承担。</w:t>
      </w:r>
      <w:r/>
    </w:p>
    <w:p>
      <w:pPr>
        <w:ind w:left="402"/>
        <w:spacing w:line="360" w:lineRule="auto"/>
        <w:rPr>
          <w:rFonts w:hint="eastAsia" w:ascii="宋体" w:hAnsi="宋体" w:cs="黑体"/>
          <w:b/>
          <w:bCs/>
          <w:sz w:val="24"/>
          <w:szCs w:val="24"/>
        </w:rPr>
      </w:pPr>
      <w:r>
        <w:rPr>
          <w:rFonts w:ascii="宋体" w:hAnsi="宋体" w:cs="黑体"/>
          <w:b/>
          <w:bCs/>
          <w:sz w:val="24"/>
          <w:szCs w:val="24"/>
        </w:rPr>
        <w:t xml:space="preserve">第十九条 </w:t>
      </w:r>
      <w:r>
        <w:rPr>
          <w:rFonts w:hint="eastAsia" w:ascii="宋体" w:hAnsi="宋体" w:cs="黑体"/>
          <w:b/>
          <w:bCs/>
          <w:sz w:val="24"/>
          <w:szCs w:val="24"/>
        </w:rPr>
        <w:t xml:space="preserve"> </w:t>
      </w:r>
      <w:r>
        <w:rPr>
          <w:rFonts w:ascii="宋体" w:hAnsi="宋体" w:cs="黑体"/>
          <w:b/>
          <w:bCs/>
          <w:sz w:val="24"/>
          <w:szCs w:val="24"/>
        </w:rPr>
        <w:t xml:space="preserve">合同的生效及其他</w:t>
      </w:r>
      <w:r/>
    </w:p>
    <w:p>
      <w:pPr>
        <w:ind w:right="19" w:firstLine="400"/>
        <w:spacing w:line="360" w:lineRule="auto"/>
        <w:rPr>
          <w:rFonts w:hint="eastAsia" w:ascii="宋体" w:hAnsi="宋体" w:cs="宋体"/>
          <w:sz w:val="24"/>
          <w:szCs w:val="24"/>
        </w:rPr>
      </w:pPr>
      <w:r>
        <w:rPr>
          <w:rFonts w:ascii="宋体" w:hAnsi="宋体" w:cs="宋体"/>
          <w:spacing w:val="4"/>
          <w:sz w:val="24"/>
          <w:szCs w:val="24"/>
        </w:rPr>
        <w:t xml:space="preserve">19.1  本合同适</w:t>
      </w:r>
      <w:r>
        <w:rPr>
          <w:rFonts w:ascii="宋体" w:hAnsi="宋体" w:cs="宋体"/>
          <w:spacing w:val="1"/>
          <w:sz w:val="24"/>
          <w:szCs w:val="24"/>
        </w:rPr>
        <w:t xml:space="preserve">用于能源费用托管形式的合同能源管理项目，包括但不限于政府机关、政府投资的</w:t>
      </w:r>
      <w:r>
        <w:rPr>
          <w:rFonts w:ascii="宋体" w:hAnsi="宋体" w:cs="宋体"/>
          <w:spacing w:val="-3"/>
          <w:sz w:val="24"/>
          <w:szCs w:val="24"/>
        </w:rPr>
        <w:t xml:space="preserve">医院、学校、社团组织及其他事业单位的办公和经营场所。</w:t>
      </w:r>
      <w:r/>
    </w:p>
    <w:p>
      <w:pPr>
        <w:ind w:right="5" w:firstLine="400"/>
        <w:spacing w:line="360" w:lineRule="auto"/>
        <w:rPr>
          <w:rFonts w:hint="eastAsia" w:ascii="宋体" w:hAnsi="宋体" w:cs="宋体"/>
          <w:sz w:val="24"/>
          <w:szCs w:val="24"/>
        </w:rPr>
      </w:pPr>
      <w:r>
        <w:rPr>
          <w:rFonts w:ascii="宋体" w:hAnsi="宋体" w:cs="宋体"/>
          <w:spacing w:val="4"/>
          <w:sz w:val="24"/>
          <w:szCs w:val="24"/>
        </w:rPr>
        <w:t xml:space="preserve">19.2 </w:t>
      </w:r>
      <w:r>
        <w:rPr>
          <w:rFonts w:hint="eastAsia" w:ascii="宋体" w:hAnsi="宋体" w:cs="宋体"/>
          <w:spacing w:val="4"/>
          <w:sz w:val="24"/>
          <w:szCs w:val="24"/>
        </w:rPr>
        <w:t xml:space="preserve"> </w:t>
      </w:r>
      <w:r>
        <w:rPr>
          <w:rFonts w:ascii="宋体" w:hAnsi="宋体" w:cs="宋体"/>
          <w:spacing w:val="4"/>
          <w:sz w:val="24"/>
          <w:szCs w:val="24"/>
        </w:rPr>
        <w:t xml:space="preserve">本合同</w:t>
      </w:r>
      <w:r>
        <w:rPr>
          <w:rFonts w:ascii="宋体" w:hAnsi="宋体" w:cs="宋体"/>
          <w:spacing w:val="2"/>
          <w:sz w:val="24"/>
          <w:szCs w:val="24"/>
        </w:rPr>
        <w:t xml:space="preserve">一式陆份，甲、乙双方各执叁份，具有同等法律效力。本</w:t>
      </w:r>
      <w:r>
        <w:rPr>
          <w:rFonts w:ascii="宋体" w:hAnsi="宋体" w:cs="宋体"/>
          <w:spacing w:val="1"/>
          <w:sz w:val="24"/>
          <w:szCs w:val="24"/>
        </w:rPr>
        <w:t xml:space="preserve">合同经双方法定代表人或授</w:t>
      </w:r>
      <w:r>
        <w:rPr>
          <w:rFonts w:ascii="宋体" w:hAnsi="宋体" w:cs="宋体"/>
          <w:spacing w:val="5"/>
          <w:sz w:val="24"/>
          <w:szCs w:val="24"/>
        </w:rPr>
        <w:t xml:space="preserve">权代表签字并加盖公章之日起生效。</w:t>
      </w:r>
      <w:r/>
    </w:p>
    <w:p>
      <w:pPr>
        <w:ind w:right="25" w:firstLine="400"/>
        <w:spacing w:line="360" w:lineRule="auto"/>
        <w:rPr>
          <w:rFonts w:hint="eastAsia" w:ascii="宋体" w:hAnsi="宋体" w:cs="宋体"/>
          <w:sz w:val="24"/>
          <w:szCs w:val="24"/>
        </w:rPr>
      </w:pPr>
      <w:r>
        <w:rPr>
          <w:rFonts w:ascii="宋体" w:hAnsi="宋体" w:cs="宋体"/>
          <w:spacing w:val="4"/>
          <w:sz w:val="24"/>
          <w:szCs w:val="24"/>
        </w:rPr>
        <w:t xml:space="preserve">19.3 </w:t>
      </w:r>
      <w:r>
        <w:rPr>
          <w:rFonts w:hint="eastAsia" w:ascii="宋体" w:hAnsi="宋体" w:cs="宋体"/>
          <w:spacing w:val="4"/>
          <w:sz w:val="24"/>
          <w:szCs w:val="24"/>
        </w:rPr>
        <w:t xml:space="preserve"> </w:t>
      </w:r>
      <w:r>
        <w:rPr>
          <w:rFonts w:ascii="宋体" w:hAnsi="宋体" w:cs="宋体"/>
          <w:spacing w:val="4"/>
          <w:sz w:val="24"/>
          <w:szCs w:val="24"/>
        </w:rPr>
        <w:t xml:space="preserve">本合同的</w:t>
      </w:r>
      <w:r>
        <w:rPr>
          <w:rFonts w:ascii="宋体" w:hAnsi="宋体" w:cs="宋体"/>
          <w:spacing w:val="6"/>
          <w:sz w:val="24"/>
          <w:szCs w:val="24"/>
        </w:rPr>
        <w:t xml:space="preserve">附件为本合同不可分割的组成部分，与本合同具有同等法律效力。本合同</w:t>
      </w:r>
      <w:r>
        <w:rPr>
          <w:rFonts w:ascii="宋体" w:hAnsi="宋体" w:cs="宋体"/>
          <w:spacing w:val="5"/>
          <w:sz w:val="24"/>
          <w:szCs w:val="24"/>
        </w:rPr>
        <w:t xml:space="preserve">与附件</w:t>
      </w:r>
      <w:r>
        <w:rPr>
          <w:rFonts w:ascii="宋体" w:hAnsi="宋体" w:cs="宋体"/>
          <w:spacing w:val="1"/>
          <w:sz w:val="24"/>
          <w:szCs w:val="24"/>
        </w:rPr>
        <w:t xml:space="preserve">及附件之间规定不一致时，以规定详细的文件为准。</w:t>
      </w:r>
      <w:r/>
    </w:p>
    <w:p>
      <w:pPr>
        <w:ind w:left="400"/>
        <w:spacing w:line="360" w:lineRule="auto"/>
        <w:rPr>
          <w:rFonts w:hint="eastAsia" w:ascii="宋体" w:hAnsi="宋体" w:cs="宋体"/>
          <w:sz w:val="24"/>
          <w:szCs w:val="24"/>
        </w:rPr>
      </w:pPr>
      <w:r>
        <w:rPr>
          <w:rFonts w:ascii="宋体" w:hAnsi="宋体" w:cs="宋体"/>
          <w:spacing w:val="1"/>
          <w:sz w:val="24"/>
          <w:szCs w:val="24"/>
        </w:rPr>
        <w:t xml:space="preserve">附件共</w:t>
      </w:r>
      <w:r>
        <w:rPr>
          <w:rFonts w:hint="eastAsia" w:ascii="宋体" w:hAnsi="宋体" w:cs="宋体"/>
          <w:spacing w:val="1"/>
          <w:sz w:val="24"/>
          <w:szCs w:val="24"/>
          <w:u w:val="single"/>
        </w:rPr>
        <w:t xml:space="preserve">   </w:t>
      </w:r>
      <w:r>
        <w:rPr>
          <w:rFonts w:ascii="宋体" w:hAnsi="宋体" w:cs="宋体"/>
          <w:spacing w:val="1"/>
          <w:sz w:val="24"/>
          <w:szCs w:val="24"/>
        </w:rPr>
        <w:t xml:space="preserve">份</w:t>
      </w:r>
      <w:r>
        <w:rPr>
          <w:rFonts w:ascii="宋体" w:hAnsi="宋体" w:cs="宋体"/>
          <w:spacing w:val="-10"/>
          <w:sz w:val="24"/>
          <w:szCs w:val="24"/>
        </w:rPr>
        <w:t xml:space="preserve">：</w:t>
      </w:r>
      <w:r/>
    </w:p>
    <w:p>
      <w:pPr>
        <w:ind w:left="400"/>
        <w:spacing w:line="360" w:lineRule="auto"/>
        <w:rPr>
          <w:rFonts w:hint="eastAsia" w:ascii="宋体" w:hAnsi="宋体" w:cs="宋体"/>
          <w:sz w:val="24"/>
          <w:szCs w:val="24"/>
        </w:rPr>
      </w:pPr>
      <w:r>
        <w:rPr>
          <w:rFonts w:ascii="宋体" w:hAnsi="宋体" w:cs="宋体"/>
          <w:spacing w:val="-5"/>
          <w:sz w:val="24"/>
          <w:szCs w:val="24"/>
        </w:rPr>
        <w:t xml:space="preserve">附件一：项目现有用能情况；</w:t>
      </w:r>
      <w:r/>
    </w:p>
    <w:p>
      <w:pPr>
        <w:ind w:left="400"/>
        <w:spacing w:line="360" w:lineRule="auto"/>
        <w:rPr>
          <w:rFonts w:hint="eastAsia" w:ascii="宋体" w:hAnsi="宋体" w:cs="宋体"/>
          <w:sz w:val="24"/>
          <w:szCs w:val="24"/>
        </w:rPr>
      </w:pPr>
      <w:r>
        <w:rPr>
          <w:rFonts w:ascii="宋体" w:hAnsi="宋体" w:cs="宋体"/>
          <w:spacing w:val="-6"/>
          <w:sz w:val="24"/>
          <w:szCs w:val="24"/>
        </w:rPr>
        <w:t xml:space="preserve">附件二：乙方的服务标准；</w:t>
      </w:r>
      <w:r/>
    </w:p>
    <w:p>
      <w:pPr>
        <w:ind w:left="389"/>
        <w:spacing w:line="360" w:lineRule="auto"/>
        <w:rPr>
          <w:rFonts w:hint="eastAsia" w:ascii="宋体" w:hAnsi="宋体" w:cs="宋体"/>
          <w:sz w:val="24"/>
          <w:szCs w:val="24"/>
        </w:rPr>
      </w:pPr>
      <w:r>
        <w:rPr>
          <w:rFonts w:ascii="宋体" w:hAnsi="宋体" w:cs="宋体"/>
          <w:spacing w:val="13"/>
          <w:sz w:val="24"/>
          <w:szCs w:val="24"/>
        </w:rPr>
        <w:t xml:space="preserve">附件三：节能改造方案；</w:t>
      </w:r>
      <w:r/>
    </w:p>
    <w:p>
      <w:pPr>
        <w:ind w:left="389"/>
        <w:spacing w:line="360" w:lineRule="auto"/>
        <w:rPr>
          <w:rFonts w:hint="eastAsia" w:ascii="宋体" w:hAnsi="宋体" w:cs="宋体"/>
          <w:sz w:val="24"/>
          <w:szCs w:val="24"/>
        </w:rPr>
      </w:pPr>
      <w:r>
        <w:rPr>
          <w:rFonts w:ascii="宋体" w:hAnsi="宋体" w:cs="宋体"/>
          <w:spacing w:val="17"/>
          <w:sz w:val="24"/>
          <w:szCs w:val="24"/>
        </w:rPr>
        <w:t xml:space="preserve">附件四：安全生产和环境保护规范；</w:t>
      </w:r>
      <w:r/>
    </w:p>
    <w:p>
      <w:pPr>
        <w:ind w:left="389"/>
        <w:spacing w:line="360" w:lineRule="auto"/>
        <w:rPr>
          <w:rFonts w:hint="eastAsia" w:ascii="宋体" w:hAnsi="宋体" w:cs="宋体"/>
          <w:sz w:val="24"/>
          <w:szCs w:val="24"/>
        </w:rPr>
      </w:pPr>
      <w:r>
        <w:rPr>
          <w:rFonts w:ascii="宋体" w:hAnsi="宋体" w:cs="宋体"/>
          <w:spacing w:val="14"/>
          <w:sz w:val="24"/>
          <w:szCs w:val="24"/>
        </w:rPr>
        <w:t xml:space="preserve">附件五：廉洁协议书</w:t>
      </w:r>
      <w:r/>
    </w:p>
    <w:p>
      <w:pPr>
        <w:ind w:right="3" w:firstLine="389"/>
        <w:spacing w:line="360" w:lineRule="auto"/>
        <w:rPr>
          <w:rFonts w:hint="eastAsia" w:ascii="宋体" w:hAnsi="宋体" w:cs="宋体"/>
          <w:sz w:val="24"/>
          <w:szCs w:val="24"/>
        </w:rPr>
      </w:pPr>
      <w:r>
        <w:rPr>
          <w:rFonts w:ascii="宋体" w:hAnsi="宋体" w:cs="宋体"/>
          <w:spacing w:val="4"/>
          <w:sz w:val="24"/>
          <w:szCs w:val="24"/>
        </w:rPr>
        <w:t xml:space="preserve">19.4 </w:t>
      </w:r>
      <w:r>
        <w:rPr>
          <w:rFonts w:hint="eastAsia" w:ascii="宋体" w:hAnsi="宋体" w:cs="宋体"/>
          <w:spacing w:val="4"/>
          <w:sz w:val="24"/>
          <w:szCs w:val="24"/>
        </w:rPr>
        <w:t xml:space="preserve"> </w:t>
      </w:r>
      <w:r>
        <w:rPr>
          <w:rFonts w:ascii="宋体" w:hAnsi="宋体" w:cs="宋体"/>
          <w:spacing w:val="4"/>
          <w:sz w:val="24"/>
          <w:szCs w:val="24"/>
        </w:rPr>
        <w:t xml:space="preserve">甲、乙双</w:t>
      </w:r>
      <w:r>
        <w:rPr>
          <w:rFonts w:ascii="宋体" w:hAnsi="宋体" w:cs="宋体"/>
          <w:spacing w:val="1"/>
          <w:sz w:val="24"/>
          <w:szCs w:val="24"/>
        </w:rPr>
        <w:t xml:space="preserve">方发送给对方的通知，如用电话、微信、传真、电子邮件等形式发送通知时，凡涉及各方权利、义务的，应随之以书面形式通知对方。本合同中所列甲、乙双方的地址即为甲、乙双方的收件地 址。如果任何一方地址发生变化，应在15日内书面通知对方。</w:t>
      </w:r>
      <w:r/>
    </w:p>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r>
      <w:r/>
    </w:p>
    <w:tbl>
      <w:tblPr>
        <w:tblStyle w:val="764"/>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jc w:val="both"/>
              <w:spacing w:before="120" w:after="120" w:line="360" w:lineRule="auto"/>
              <w:widowControl w:val="off"/>
              <w:rPr>
                <w:rFonts w:hint="eastAsia" w:ascii="宋体" w:hAnsi="宋体"/>
                <w:sz w:val="24"/>
                <w:szCs w:val="24"/>
              </w:rPr>
            </w:pPr>
            <w:r>
              <w:rPr>
                <w:rFonts w:hint="eastAsia" w:ascii="宋体" w:hAnsi="宋体"/>
                <w:sz w:val="24"/>
                <w:szCs w:val="24"/>
              </w:rPr>
              <w:t xml:space="preserve">甲方：（盖章）</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jc w:val="both"/>
              <w:spacing w:before="120" w:after="120" w:line="360" w:lineRule="auto"/>
              <w:widowControl w:val="off"/>
              <w:rPr>
                <w:rFonts w:hint="eastAsia" w:ascii="宋体" w:hAnsi="宋体"/>
                <w:sz w:val="24"/>
                <w:szCs w:val="24"/>
              </w:rPr>
            </w:pPr>
            <w:r>
              <w:rPr>
                <w:rFonts w:hint="eastAsia" w:ascii="宋体" w:hAnsi="宋体"/>
                <w:sz w:val="24"/>
                <w:szCs w:val="24"/>
              </w:rPr>
              <w:t xml:space="preserve">乙方：（盖章）</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jc w:val="both"/>
              <w:spacing w:before="120" w:after="120" w:line="360" w:lineRule="auto"/>
              <w:widowControl w:val="off"/>
              <w:rPr>
                <w:rFonts w:hint="eastAsia" w:ascii="宋体" w:hAnsi="宋体"/>
                <w:sz w:val="24"/>
                <w:szCs w:val="24"/>
              </w:rPr>
            </w:pPr>
            <w:r>
              <w:rPr>
                <w:rFonts w:hint="eastAsia" w:ascii="宋体" w:hAnsi="宋体"/>
                <w:sz w:val="24"/>
                <w:szCs w:val="24"/>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jc w:val="both"/>
              <w:spacing w:before="120" w:after="120" w:line="360" w:lineRule="auto"/>
              <w:widowControl w:val="off"/>
              <w:rPr>
                <w:rFonts w:hint="eastAsia" w:ascii="宋体" w:hAnsi="宋体"/>
                <w:sz w:val="24"/>
                <w:szCs w:val="24"/>
              </w:rPr>
            </w:pPr>
            <w:r>
              <w:rPr>
                <w:rFonts w:hint="eastAsia" w:ascii="宋体" w:hAnsi="宋体"/>
                <w:sz w:val="24"/>
                <w:szCs w:val="24"/>
              </w:rPr>
              <w:t xml:space="preserve">地址：</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jc w:val="both"/>
              <w:spacing w:before="120" w:after="120" w:line="360" w:lineRule="auto"/>
              <w:widowControl w:val="off"/>
              <w:rPr>
                <w:rFonts w:hint="eastAsia" w:ascii="宋体" w:hAnsi="宋体"/>
                <w:sz w:val="24"/>
                <w:szCs w:val="24"/>
              </w:rPr>
            </w:pPr>
            <w:r>
              <w:rPr>
                <w:rFonts w:hint="eastAsia" w:ascii="宋体" w:hAnsi="宋体"/>
                <w:sz w:val="24"/>
                <w:szCs w:val="24"/>
              </w:rPr>
              <w:t xml:space="preserve">法定代表人/授权代表：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jc w:val="both"/>
              <w:spacing w:before="120" w:after="120" w:line="360" w:lineRule="auto"/>
              <w:widowControl w:val="off"/>
              <w:rPr>
                <w:rFonts w:hint="eastAsia" w:ascii="宋体" w:hAnsi="宋体"/>
                <w:sz w:val="24"/>
                <w:szCs w:val="24"/>
              </w:rPr>
            </w:pPr>
            <w:r>
              <w:rPr>
                <w:rFonts w:hint="eastAsia" w:ascii="宋体" w:hAnsi="宋体"/>
                <w:sz w:val="24"/>
                <w:szCs w:val="24"/>
              </w:rPr>
              <w:t xml:space="preserve">法定代表人/授权代表：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jc w:val="both"/>
              <w:spacing w:before="120" w:after="120" w:line="360" w:lineRule="auto"/>
              <w:widowControl w:val="off"/>
              <w:rPr>
                <w:rFonts w:hint="eastAsia" w:ascii="宋体" w:hAnsi="宋体"/>
                <w:sz w:val="24"/>
                <w:szCs w:val="24"/>
              </w:rPr>
            </w:pPr>
            <w:r>
              <w:rPr>
                <w:rFonts w:hint="eastAsia" w:ascii="宋体" w:hAnsi="宋体"/>
                <w:sz w:val="24"/>
                <w:szCs w:val="24"/>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jc w:val="both"/>
              <w:spacing w:before="120" w:after="120" w:line="360" w:lineRule="auto"/>
              <w:widowControl w:val="off"/>
              <w:rPr>
                <w:rFonts w:hint="eastAsia" w:ascii="宋体" w:hAnsi="宋体"/>
                <w:sz w:val="24"/>
                <w:szCs w:val="24"/>
              </w:rPr>
            </w:pPr>
            <w:r>
              <w:rPr>
                <w:rFonts w:hint="eastAsia" w:ascii="宋体" w:hAnsi="宋体"/>
                <w:sz w:val="24"/>
                <w:szCs w:val="24"/>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jc w:val="both"/>
              <w:spacing w:before="120" w:after="120" w:line="360" w:lineRule="auto"/>
              <w:widowControl w:val="off"/>
              <w:rPr>
                <w:rFonts w:hint="eastAsia" w:ascii="宋体" w:hAnsi="宋体"/>
                <w:sz w:val="24"/>
                <w:szCs w:val="24"/>
              </w:rPr>
            </w:pPr>
            <w:r>
              <w:rPr>
                <w:rFonts w:hint="eastAsia" w:ascii="宋体" w:hAnsi="宋体"/>
                <w:sz w:val="24"/>
                <w:szCs w:val="24"/>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jc w:val="both"/>
              <w:spacing w:before="120" w:after="120" w:line="360" w:lineRule="auto"/>
              <w:widowControl w:val="off"/>
              <w:rPr>
                <w:rFonts w:hint="eastAsia" w:ascii="宋体" w:hAnsi="宋体"/>
                <w:sz w:val="24"/>
                <w:szCs w:val="24"/>
              </w:rPr>
            </w:pPr>
            <w:r>
              <w:rPr>
                <w:rFonts w:hint="eastAsia" w:ascii="宋体" w:hAnsi="宋体"/>
                <w:sz w:val="24"/>
                <w:szCs w:val="24"/>
              </w:rPr>
              <w:t xml:space="preserve">日期：     年     月    日</w:t>
            </w:r>
            <w:r/>
          </w:p>
        </w:tc>
      </w:tr>
    </w:tbl>
    <w:p>
      <w:pPr>
        <w:spacing w:line="360" w:lineRule="auto"/>
        <w:rPr>
          <w:rFonts w:hint="eastAsia" w:ascii="宋体" w:hAnsi="宋体" w:cs="宋体"/>
          <w:bCs/>
          <w:sz w:val="24"/>
          <w:szCs w:val="24"/>
        </w:rPr>
      </w:pPr>
      <w:r>
        <w:rPr>
          <w:rFonts w:hint="eastAsia" w:ascii="宋体" w:hAnsi="宋体" w:cs="宋体"/>
          <w:bCs/>
          <w:sz w:val="24"/>
          <w:szCs w:val="24"/>
        </w:rPr>
      </w:r>
      <w:r/>
    </w:p>
    <w:p>
      <w:pPr>
        <w:spacing w:line="360" w:lineRule="auto"/>
        <w:rPr>
          <w:rFonts w:hint="eastAsia" w:ascii="宋体" w:hAnsi="宋体" w:cs="宋体"/>
          <w:bCs/>
          <w:sz w:val="24"/>
          <w:szCs w:val="24"/>
        </w:rPr>
      </w:pPr>
      <w:r>
        <w:rPr>
          <w:rFonts w:hint="eastAsia" w:ascii="宋体" w:hAnsi="宋体" w:cs="宋体"/>
          <w:bCs/>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注：本合同参考</w:t>
      </w:r>
      <w:r>
        <w:rPr>
          <w:rFonts w:hint="eastAsia" w:ascii="宋体" w:hAnsi="宋体" w:cs="宋体"/>
          <w:bCs/>
          <w:sz w:val="24"/>
          <w:szCs w:val="24"/>
        </w:rPr>
        <w:t xml:space="preserve">《公共机构能源托管规程》（</w:t>
      </w:r>
      <w:r>
        <w:rPr>
          <w:rFonts w:ascii="宋体" w:hAnsi="宋体" w:cs="宋体"/>
          <w:bCs/>
          <w:sz w:val="24"/>
          <w:szCs w:val="24"/>
        </w:rPr>
        <w:t xml:space="preserve">DB32/T 4446-2023</w:t>
      </w:r>
      <w:r>
        <w:rPr>
          <w:rFonts w:hint="eastAsia" w:ascii="宋体" w:hAnsi="宋体" w:cs="宋体"/>
          <w:bCs/>
          <w:sz w:val="24"/>
          <w:szCs w:val="24"/>
        </w:rPr>
        <w:t xml:space="preserve">）</w:t>
      </w:r>
      <w:r>
        <w:rPr>
          <w:rFonts w:hint="eastAsia" w:ascii="宋体" w:hAnsi="宋体" w:cs="宋体"/>
          <w:sz w:val="24"/>
          <w:szCs w:val="24"/>
        </w:rPr>
        <w:t xml:space="preserve">，该文本仅作为合同参考范本以实际签订为准。此合同参考范本在不背离招标文件采购需求中实质性条款基础上，歧义内容以甲乙双方协商一致的内容为准。</w:t>
      </w:r>
      <w:r/>
    </w:p>
    <w:p>
      <w:pPr>
        <w:spacing w:line="360" w:lineRule="auto"/>
        <w:rPr>
          <w:rFonts w:hint="eastAsia" w:ascii="宋体" w:hAnsi="宋体" w:cs="宋体"/>
          <w:bCs/>
          <w:sz w:val="24"/>
          <w:szCs w:val="24"/>
        </w:rPr>
      </w:pPr>
      <w:r>
        <w:rPr>
          <w:rFonts w:hint="eastAsia" w:ascii="宋体" w:hAnsi="宋体" w:cs="宋体"/>
          <w:bCs/>
          <w:sz w:val="24"/>
          <w:szCs w:val="24"/>
        </w:rPr>
      </w:r>
      <w:r/>
    </w:p>
    <w:p>
      <w:pPr>
        <w:rPr>
          <w:rFonts w:hint="eastAsia" w:ascii="宋体" w:hAnsi="宋体"/>
        </w:rPr>
      </w:pPr>
      <w:r>
        <w:rPr>
          <w:rFonts w:ascii="宋体" w:hAnsi="宋体"/>
        </w:rPr>
        <w:br w:type="page" w:clear="all"/>
      </w:r>
      <w:r/>
    </w:p>
    <w:p>
      <w:pPr>
        <w:jc w:val="center"/>
        <w:spacing w:line="360" w:lineRule="auto"/>
        <w:rPr>
          <w:rStyle w:val="917"/>
          <w:rFonts w:hint="eastAsia" w:ascii="宋体" w:hAnsi="宋体" w:eastAsia="宋体" w:cs="宋体"/>
          <w:b/>
          <w:bCs/>
          <w:sz w:val="24"/>
          <w:highlight w:val="none"/>
        </w:rPr>
      </w:pPr>
      <w:r>
        <w:rPr>
          <w:rFonts w:hint="eastAsia" w:ascii="宋体" w:hAnsi="宋体" w:eastAsia="宋体" w:cs="宋体"/>
          <w:b/>
          <w:sz w:val="32"/>
          <w:szCs w:val="32"/>
          <w:highlight w:val="none"/>
        </w:rPr>
        <w:t xml:space="preserve">第六章 采购需求</w:t>
      </w:r>
      <w:bookmarkStart w:id="1" w:name="_Toc322457054"/>
      <w:r/>
      <w:bookmarkEnd w:id="1"/>
      <w:r/>
      <w:bookmarkStart w:id="2" w:name="_Toc324452802"/>
      <w:r/>
      <w:bookmarkEnd w:id="2"/>
      <w:r/>
      <w:r/>
    </w:p>
    <w:p>
      <w:pPr>
        <w:rPr>
          <w:rStyle w:val="1080"/>
          <w:rFonts w:hint="eastAsia" w:ascii="宋体" w:hAnsi="宋体" w:eastAsia="宋体" w:cs="宋体"/>
          <w:b/>
          <w:bCs/>
          <w:szCs w:val="28"/>
          <w:highlight w:val="none"/>
        </w:rPr>
      </w:pPr>
      <w:r>
        <w:rPr>
          <w:rFonts w:hint="eastAsia" w:ascii="宋体" w:hAnsi="宋体" w:eastAsia="宋体" w:cs="宋体"/>
          <w:b/>
          <w:bCs/>
          <w:szCs w:val="28"/>
          <w:highlight w:val="none"/>
        </w:rPr>
      </w:r>
      <w:r/>
    </w:p>
    <w:p>
      <w:pPr>
        <w:spacing w:line="360" w:lineRule="auto"/>
        <w:rPr>
          <w:rStyle w:val="1080"/>
          <w:rFonts w:hint="eastAsia" w:ascii="宋体" w:hAnsi="宋体" w:eastAsia="宋体" w:cs="宋体"/>
          <w:b/>
          <w:bCs/>
          <w:szCs w:val="28"/>
          <w:highlight w:val="none"/>
        </w:rPr>
      </w:pPr>
      <w:r>
        <w:rPr>
          <w:rStyle w:val="1080"/>
          <w:rFonts w:hint="eastAsia" w:ascii="宋体" w:hAnsi="宋体" w:eastAsia="宋体" w:cs="宋体"/>
          <w:b/>
          <w:bCs/>
          <w:szCs w:val="28"/>
          <w:highlight w:val="none"/>
        </w:rPr>
        <w:t xml:space="preserve">一、此项目不属于专门面向中小微企业采购的项目。</w:t>
      </w:r>
      <w:r/>
    </w:p>
    <w:p>
      <w:pPr>
        <w:spacing w:line="360" w:lineRule="auto"/>
        <w:rPr>
          <w:rFonts w:hint="eastAsia" w:ascii="宋体" w:hAnsi="宋体" w:eastAsia="宋体" w:cs="宋体"/>
          <w:b/>
          <w:bCs/>
          <w:sz w:val="28"/>
          <w:szCs w:val="28"/>
          <w:highlight w:val="none"/>
        </w:rPr>
      </w:pPr>
      <w:r>
        <w:rPr>
          <w:rStyle w:val="1080"/>
          <w:rFonts w:hint="eastAsia" w:ascii="宋体" w:hAnsi="宋体" w:eastAsia="宋体" w:cs="宋体"/>
          <w:b/>
          <w:bCs/>
          <w:szCs w:val="28"/>
          <w:highlight w:val="none"/>
        </w:rPr>
        <w:t xml:space="preserve">二、</w:t>
      </w:r>
      <w:r>
        <w:rPr>
          <w:rFonts w:hint="eastAsia" w:ascii="宋体" w:hAnsi="宋体" w:eastAsia="宋体" w:cs="宋体"/>
          <w:b/>
          <w:bCs/>
          <w:sz w:val="28"/>
          <w:szCs w:val="28"/>
          <w:highlight w:val="none"/>
        </w:rPr>
        <w:t xml:space="preserve">本项目不接受超过人民币4415.6万元（采购项目预算金额）的投标报价。</w:t>
      </w:r>
      <w:r/>
    </w:p>
    <w:p>
      <w:pPr>
        <w:ind w:firstLine="480"/>
        <w:spacing w:line="360" w:lineRule="auto"/>
        <w:rPr>
          <w:rFonts w:hint="eastAsia" w:ascii="宋体" w:hAnsi="宋体"/>
          <w:color w:val="auto"/>
          <w:sz w:val="24"/>
          <w:szCs w:val="24"/>
          <w:highlight w:val="none"/>
        </w:rPr>
      </w:pPr>
      <w:r/>
      <w:bookmarkStart w:id="3" w:name="OLE_LINK2"/>
      <w:r>
        <w:rPr>
          <w:rFonts w:hint="eastAsia" w:ascii="宋体" w:hAnsi="宋体"/>
          <w:color w:val="auto"/>
          <w:sz w:val="24"/>
          <w:szCs w:val="24"/>
          <w:highlight w:val="none"/>
        </w:rPr>
        <w:t xml:space="preserve">潜在投标人必须仔细阅读本招标文件及资料所描述的全部条款。潜在投标人所提供的设备和软件必须满足本招标文件技术规范的各项技术要求，确保其技术先进成熟、性能稳定、质量可靠。业主拒绝低于本招标文件技术规范所列任一条款、技术参数或性能指标要求的</w:t>
      </w:r>
      <w:bookmarkEnd w:id="3"/>
      <w:r>
        <w:rPr>
          <w:rFonts w:hint="eastAsia" w:ascii="宋体" w:hAnsi="宋体"/>
          <w:color w:val="auto"/>
          <w:sz w:val="24"/>
          <w:szCs w:val="24"/>
          <w:highlight w:val="none"/>
        </w:rPr>
        <w:t xml:space="preserve">投标文件。</w:t>
      </w:r>
      <w:r/>
    </w:p>
    <w:p>
      <w:pPr>
        <w:pStyle w:val="1096"/>
        <w:spacing w:line="360" w:lineRule="auto"/>
        <w:widowControl w:val="off"/>
        <w:rPr>
          <w:rFonts w:hint="eastAsia" w:ascii="宋体" w:hAnsi="宋体" w:eastAsia="宋体" w:cstheme="minorBidi"/>
          <w:color w:val="auto"/>
          <w:sz w:val="24"/>
          <w:szCs w:val="24"/>
          <w:highlight w:val="none"/>
        </w:rPr>
      </w:pPr>
      <w:r/>
      <w:bookmarkStart w:id="4" w:name="OLE_LINK3"/>
      <w:r>
        <w:rPr>
          <w:rFonts w:hint="eastAsia" w:ascii="宋体" w:hAnsi="宋体" w:eastAsia="宋体" w:cstheme="minorBidi"/>
          <w:color w:val="auto"/>
          <w:sz w:val="24"/>
          <w:szCs w:val="24"/>
          <w:highlight w:val="none"/>
          <w:lang w:val="en-US" w:eastAsia="zh-CN"/>
        </w:rPr>
        <w:t xml:space="preserve">三、</w:t>
      </w:r>
      <w:r>
        <w:rPr>
          <w:rFonts w:hint="eastAsia" w:ascii="宋体" w:hAnsi="宋体" w:eastAsia="宋体" w:cstheme="minorBidi"/>
          <w:color w:val="auto"/>
          <w:sz w:val="24"/>
          <w:szCs w:val="24"/>
          <w:highlight w:val="none"/>
        </w:rPr>
        <w:t xml:space="preserve">项目概况</w:t>
      </w:r>
      <w:r/>
    </w:p>
    <w:p>
      <w:pPr>
        <w:pStyle w:val="1097"/>
        <w:spacing w:before="0" w:after="0"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1.1睢宁县行政办公中心及商务中心基本情况</w:t>
      </w:r>
      <w:r/>
    </w:p>
    <w:p>
      <w:pPr>
        <w:pStyle w:val="1096"/>
        <w:ind w:firstLine="480"/>
        <w:spacing w:line="360" w:lineRule="auto"/>
        <w:widowControl w:val="off"/>
        <w:rPr>
          <w:rFonts w:hint="eastAsia" w:ascii="宋体" w:hAnsi="宋体" w:eastAsia="宋体" w:cstheme="minorBidi"/>
          <w:b w:val="0"/>
          <w:bCs w:val="0"/>
          <w:color w:val="auto"/>
          <w:sz w:val="24"/>
          <w:szCs w:val="24"/>
          <w:highlight w:val="none"/>
        </w:rPr>
        <w:outlineLvl w:val="9"/>
      </w:pPr>
      <w:r>
        <w:rPr>
          <w:rFonts w:hint="eastAsia" w:ascii="宋体" w:hAnsi="宋体" w:eastAsia="宋体" w:cstheme="minorBidi"/>
          <w:b w:val="0"/>
          <w:bCs w:val="0"/>
          <w:color w:val="auto"/>
          <w:sz w:val="24"/>
          <w:szCs w:val="24"/>
          <w:highlight w:val="none"/>
        </w:rPr>
        <w:t xml:space="preserve">1.建筑信息</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睢宁县行政办公中心位于睢宁县永康路1号，为睢宁县政府所在地，与商务中心相邻；商务中心位于睢宁县永康路（与行政办公中心直接相邻，永康路与睢河路交叉口附近），两建筑整体建成投用于2010年前后。日常工作人员工作时段为上午8:</w:t>
      </w:r>
      <w:r>
        <w:rPr>
          <w:rFonts w:hint="eastAsia" w:ascii="宋体" w:hAnsi="宋体"/>
          <w:color w:val="auto"/>
          <w:sz w:val="24"/>
          <w:szCs w:val="24"/>
          <w:highlight w:val="none"/>
        </w:rPr>
        <w:t xml:space="preserve">0</w:t>
      </w:r>
      <w:r>
        <w:rPr>
          <w:rFonts w:ascii="宋体" w:hAnsi="宋体"/>
          <w:color w:val="auto"/>
          <w:sz w:val="24"/>
          <w:szCs w:val="24"/>
          <w:highlight w:val="none"/>
        </w:rPr>
        <w:t xml:space="preserve">0-12:00，下午14:</w:t>
      </w:r>
      <w:r>
        <w:rPr>
          <w:rFonts w:hint="eastAsia" w:ascii="宋体" w:hAnsi="宋体"/>
          <w:color w:val="auto"/>
          <w:sz w:val="24"/>
          <w:szCs w:val="24"/>
          <w:highlight w:val="none"/>
        </w:rPr>
        <w:t xml:space="preserve">0</w:t>
      </w:r>
      <w:r>
        <w:rPr>
          <w:rFonts w:ascii="宋体" w:hAnsi="宋体"/>
          <w:color w:val="auto"/>
          <w:sz w:val="24"/>
          <w:szCs w:val="24"/>
          <w:highlight w:val="none"/>
        </w:rPr>
        <w:t xml:space="preserve">0-1</w:t>
      </w:r>
      <w:r>
        <w:rPr>
          <w:rFonts w:hint="eastAsia" w:ascii="宋体" w:hAnsi="宋体"/>
          <w:color w:val="auto"/>
          <w:sz w:val="24"/>
          <w:szCs w:val="24"/>
          <w:highlight w:val="none"/>
        </w:rPr>
        <w:t xml:space="preserve">7</w:t>
      </w: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0。</w:t>
      </w:r>
      <w:r/>
    </w:p>
    <w:p>
      <w:pPr>
        <w:jc w:val="center"/>
        <w:spacing w:line="360" w:lineRule="auto"/>
        <w:rPr>
          <w:rFonts w:hint="eastAsia" w:ascii="宋体" w:hAnsi="宋体"/>
          <w:color w:val="auto"/>
          <w:sz w:val="24"/>
          <w:szCs w:val="24"/>
          <w:highlight w:val="none"/>
        </w:rPr>
      </w:pPr>
      <w:r>
        <w:rPr>
          <w:rFonts w:ascii="宋体" w:hAnsi="宋体"/>
          <w:b/>
          <w:bCs/>
          <w:color w:val="auto"/>
          <w:sz w:val="24"/>
          <w:szCs w:val="24"/>
          <w:highlight w:val="none"/>
        </w:rPr>
        <w:t xml:space="preserve">建筑基本信息表</w:t>
      </w:r>
      <w:r/>
    </w:p>
    <w:tbl>
      <w:tblPr>
        <w:tblStyle w:val="764"/>
        <w:tblW w:w="8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590"/>
        <w:gridCol w:w="1535"/>
        <w:gridCol w:w="2609"/>
        <w:gridCol w:w="3564"/>
      </w:tblGrid>
      <w:tr>
        <w:trPr>
          <w:jc w:val="center"/>
          <w:trHeight w:val="90"/>
          <w:tblHeader/>
        </w:trPr>
        <w:tc>
          <w:tcPr>
            <w:tcMar>
              <w:left w:w="120" w:type="dxa"/>
              <w:top w:w="100" w:type="dxa"/>
              <w:right w:w="120" w:type="dxa"/>
              <w:bottom w:w="100" w:type="dxa"/>
            </w:tcMar>
            <w:tcW w:w="0" w:type="auto"/>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序号</w:t>
            </w:r>
            <w:r/>
          </w:p>
        </w:tc>
        <w:tc>
          <w:tcPr>
            <w:tcMar>
              <w:left w:w="120" w:type="dxa"/>
              <w:top w:w="100" w:type="dxa"/>
              <w:right w:w="120" w:type="dxa"/>
              <w:bottom w:w="100" w:type="dxa"/>
            </w:tcMar>
            <w:tcW w:w="1535" w:type="dxa"/>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项目</w:t>
            </w:r>
            <w:r/>
          </w:p>
        </w:tc>
        <w:tc>
          <w:tcPr>
            <w:tcMar>
              <w:left w:w="120" w:type="dxa"/>
              <w:top w:w="100" w:type="dxa"/>
              <w:right w:w="120" w:type="dxa"/>
              <w:bottom w:w="100" w:type="dxa"/>
            </w:tcMar>
            <w:tcW w:w="2609" w:type="dxa"/>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行政办公中心</w:t>
            </w:r>
            <w:r/>
          </w:p>
        </w:tc>
        <w:tc>
          <w:tcPr>
            <w:tcMar>
              <w:left w:w="120" w:type="dxa"/>
              <w:top w:w="100" w:type="dxa"/>
              <w:right w:w="120" w:type="dxa"/>
              <w:bottom w:w="100" w:type="dxa"/>
            </w:tcMar>
            <w:tcW w:w="3564" w:type="dxa"/>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商务中心</w:t>
            </w:r>
            <w:r/>
          </w:p>
        </w:tc>
      </w:tr>
      <w:tr>
        <w:trPr>
          <w:jc w:val="center"/>
          <w:trHeight w:val="90"/>
          <w:tblHeader/>
        </w:trPr>
        <w:tc>
          <w:tcPr>
            <w:tcMar>
              <w:left w:w="120" w:type="dxa"/>
              <w:top w:w="100" w:type="dxa"/>
              <w:right w:w="120" w:type="dxa"/>
              <w:bottom w:w="100" w:type="dxa"/>
            </w:tcMar>
            <w:tcW w:w="0" w:type="auto"/>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1</w:t>
            </w:r>
            <w:r/>
          </w:p>
        </w:tc>
        <w:tc>
          <w:tcPr>
            <w:tcMar>
              <w:left w:w="120" w:type="dxa"/>
              <w:top w:w="100" w:type="dxa"/>
              <w:right w:w="120" w:type="dxa"/>
              <w:bottom w:w="100" w:type="dxa"/>
            </w:tcMar>
            <w:tcW w:w="1535" w:type="dxa"/>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建造年代</w:t>
            </w:r>
            <w:r/>
          </w:p>
        </w:tc>
        <w:tc>
          <w:tcPr>
            <w:tcMar>
              <w:left w:w="120" w:type="dxa"/>
              <w:top w:w="100" w:type="dxa"/>
              <w:right w:w="120" w:type="dxa"/>
              <w:bottom w:w="100" w:type="dxa"/>
            </w:tcMar>
            <w:tcW w:w="2609" w:type="dxa"/>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2010年前后</w:t>
            </w:r>
            <w:r/>
          </w:p>
        </w:tc>
        <w:tc>
          <w:tcPr>
            <w:tcMar>
              <w:left w:w="120" w:type="dxa"/>
              <w:top w:w="100" w:type="dxa"/>
              <w:right w:w="120" w:type="dxa"/>
              <w:bottom w:w="100" w:type="dxa"/>
            </w:tcMar>
            <w:tcW w:w="3564" w:type="dxa"/>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2010年前后</w:t>
            </w:r>
            <w:r/>
          </w:p>
        </w:tc>
      </w:tr>
      <w:tr>
        <w:trPr>
          <w:jc w:val="center"/>
          <w:trHeight w:val="90"/>
          <w:tblHeader/>
        </w:trPr>
        <w:tc>
          <w:tcPr>
            <w:tcMar>
              <w:left w:w="120" w:type="dxa"/>
              <w:top w:w="100" w:type="dxa"/>
              <w:right w:w="120" w:type="dxa"/>
              <w:bottom w:w="100" w:type="dxa"/>
            </w:tcMar>
            <w:tcW w:w="0" w:type="auto"/>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w:t>
            </w:r>
            <w:r/>
          </w:p>
        </w:tc>
        <w:tc>
          <w:tcPr>
            <w:tcMar>
              <w:left w:w="120" w:type="dxa"/>
              <w:top w:w="100" w:type="dxa"/>
              <w:right w:w="120" w:type="dxa"/>
              <w:bottom w:w="100" w:type="dxa"/>
            </w:tcMar>
            <w:tcW w:w="1535" w:type="dxa"/>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建筑功能</w:t>
            </w:r>
            <w:r/>
          </w:p>
        </w:tc>
        <w:tc>
          <w:tcPr>
            <w:tcMar>
              <w:left w:w="120" w:type="dxa"/>
              <w:top w:w="100" w:type="dxa"/>
              <w:right w:w="120" w:type="dxa"/>
              <w:bottom w:w="100" w:type="dxa"/>
            </w:tcMar>
            <w:tcW w:w="2609" w:type="dxa"/>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政府办公</w:t>
            </w:r>
            <w:r/>
          </w:p>
        </w:tc>
        <w:tc>
          <w:tcPr>
            <w:tcMar>
              <w:left w:w="120" w:type="dxa"/>
              <w:top w:w="100" w:type="dxa"/>
              <w:right w:w="120" w:type="dxa"/>
              <w:bottom w:w="100" w:type="dxa"/>
            </w:tcMar>
            <w:tcW w:w="3564" w:type="dxa"/>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商务办公</w:t>
            </w:r>
            <w:r/>
          </w:p>
        </w:tc>
      </w:tr>
      <w:tr>
        <w:trPr>
          <w:jc w:val="center"/>
          <w:trHeight w:val="1123"/>
          <w:tblHeader/>
        </w:trPr>
        <w:tc>
          <w:tcPr>
            <w:tcMar>
              <w:left w:w="120" w:type="dxa"/>
              <w:top w:w="100" w:type="dxa"/>
              <w:right w:w="120" w:type="dxa"/>
              <w:bottom w:w="100" w:type="dxa"/>
            </w:tcMar>
            <w:tcW w:w="0" w:type="auto"/>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3</w:t>
            </w:r>
            <w:r/>
          </w:p>
        </w:tc>
        <w:tc>
          <w:tcPr>
            <w:tcMar>
              <w:left w:w="120" w:type="dxa"/>
              <w:top w:w="100" w:type="dxa"/>
              <w:right w:w="120" w:type="dxa"/>
              <w:bottom w:w="100" w:type="dxa"/>
            </w:tcMar>
            <w:tcW w:w="1535" w:type="dxa"/>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地理位置</w:t>
            </w:r>
            <w:r/>
          </w:p>
        </w:tc>
        <w:tc>
          <w:tcPr>
            <w:tcMar>
              <w:left w:w="120" w:type="dxa"/>
              <w:top w:w="100" w:type="dxa"/>
              <w:right w:w="120" w:type="dxa"/>
              <w:bottom w:w="100" w:type="dxa"/>
            </w:tcMar>
            <w:tcW w:w="2609" w:type="dxa"/>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睢宁县政府所在地（永康路 1 号），与 </w:t>
            </w:r>
            <w:r>
              <w:rPr>
                <w:rFonts w:hint="eastAsia" w:ascii="宋体" w:hAnsi="宋体"/>
                <w:color w:val="auto"/>
                <w:sz w:val="24"/>
                <w:szCs w:val="24"/>
                <w:highlight w:val="none"/>
              </w:rPr>
              <w:t xml:space="preserve">商务中心相邻</w:t>
            </w:r>
            <w:r/>
          </w:p>
        </w:tc>
        <w:tc>
          <w:tcPr>
            <w:tcMar>
              <w:left w:w="120" w:type="dxa"/>
              <w:top w:w="100" w:type="dxa"/>
              <w:right w:w="120" w:type="dxa"/>
              <w:bottom w:w="100" w:type="dxa"/>
            </w:tcMar>
            <w:tcW w:w="3564" w:type="dxa"/>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睢宁县永康路（与行政办公中心相邻，永康路与睢河路交叉口附近）</w:t>
            </w:r>
            <w:r/>
          </w:p>
        </w:tc>
      </w:tr>
      <w:tr>
        <w:trPr>
          <w:jc w:val="center"/>
          <w:trHeight w:val="90"/>
          <w:tblHeader/>
        </w:trPr>
        <w:tc>
          <w:tcPr>
            <w:tcMar>
              <w:left w:w="120" w:type="dxa"/>
              <w:top w:w="100" w:type="dxa"/>
              <w:right w:w="120" w:type="dxa"/>
              <w:bottom w:w="100" w:type="dxa"/>
            </w:tcMar>
            <w:tcW w:w="0" w:type="auto"/>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4</w:t>
            </w:r>
            <w:r/>
          </w:p>
        </w:tc>
        <w:tc>
          <w:tcPr>
            <w:tcMar>
              <w:left w:w="120" w:type="dxa"/>
              <w:top w:w="100" w:type="dxa"/>
              <w:right w:w="120" w:type="dxa"/>
              <w:bottom w:w="100" w:type="dxa"/>
            </w:tcMar>
            <w:tcW w:w="1535" w:type="dxa"/>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冷热源主要形式</w:t>
            </w:r>
            <w:r/>
          </w:p>
        </w:tc>
        <w:tc>
          <w:tcPr>
            <w:tcMar>
              <w:left w:w="120" w:type="dxa"/>
              <w:top w:w="100" w:type="dxa"/>
              <w:right w:w="120" w:type="dxa"/>
              <w:bottom w:w="100" w:type="dxa"/>
            </w:tcMar>
            <w:tcW w:w="2609" w:type="dxa"/>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分体式空调</w:t>
            </w:r>
            <w:r/>
          </w:p>
        </w:tc>
        <w:tc>
          <w:tcPr>
            <w:tcMar>
              <w:left w:w="120" w:type="dxa"/>
              <w:top w:w="100" w:type="dxa"/>
              <w:right w:w="120" w:type="dxa"/>
              <w:bottom w:w="100" w:type="dxa"/>
            </w:tcMar>
            <w:tcW w:w="3564" w:type="dxa"/>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1-4层：冷水机组+真空热水锅炉；4层以上：多联机空调</w:t>
            </w:r>
            <w:r/>
          </w:p>
        </w:tc>
      </w:tr>
      <w:tr>
        <w:trPr>
          <w:jc w:val="center"/>
          <w:trHeight w:val="466"/>
          <w:tblHeader/>
        </w:trPr>
        <w:tc>
          <w:tcPr>
            <w:tcMar>
              <w:left w:w="120" w:type="dxa"/>
              <w:top w:w="100" w:type="dxa"/>
              <w:right w:w="120" w:type="dxa"/>
              <w:bottom w:w="100" w:type="dxa"/>
            </w:tcMar>
            <w:tcW w:w="590" w:type="dxa"/>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Mar>
              <w:left w:w="120" w:type="dxa"/>
              <w:top w:w="100" w:type="dxa"/>
              <w:right w:w="120" w:type="dxa"/>
              <w:bottom w:w="100" w:type="dxa"/>
            </w:tcMar>
            <w:tcW w:w="1535" w:type="dxa"/>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运行时间</w:t>
            </w:r>
            <w:r/>
          </w:p>
        </w:tc>
        <w:tc>
          <w:tcPr>
            <w:tcMar>
              <w:left w:w="120" w:type="dxa"/>
              <w:top w:w="100" w:type="dxa"/>
              <w:right w:w="120" w:type="dxa"/>
              <w:bottom w:w="100" w:type="dxa"/>
            </w:tcMar>
            <w:tcW w:w="2609" w:type="dxa"/>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上午8:</w:t>
            </w:r>
            <w:r>
              <w:rPr>
                <w:rFonts w:hint="eastAsia" w:ascii="宋体" w:hAnsi="宋体"/>
                <w:color w:val="auto"/>
                <w:sz w:val="24"/>
                <w:szCs w:val="24"/>
                <w:highlight w:val="none"/>
              </w:rPr>
              <w:t xml:space="preserve">0</w:t>
            </w:r>
            <w:r>
              <w:rPr>
                <w:rFonts w:ascii="宋体" w:hAnsi="宋体"/>
                <w:color w:val="auto"/>
                <w:sz w:val="24"/>
                <w:szCs w:val="24"/>
                <w:highlight w:val="none"/>
              </w:rPr>
              <w:t xml:space="preserve">0-12:00 下午14:</w:t>
            </w:r>
            <w:r>
              <w:rPr>
                <w:rFonts w:hint="eastAsia" w:ascii="宋体" w:hAnsi="宋体"/>
                <w:color w:val="auto"/>
                <w:sz w:val="24"/>
                <w:szCs w:val="24"/>
                <w:highlight w:val="none"/>
              </w:rPr>
              <w:t xml:space="preserve">0</w:t>
            </w:r>
            <w:r>
              <w:rPr>
                <w:rFonts w:ascii="宋体" w:hAnsi="宋体"/>
                <w:color w:val="auto"/>
                <w:sz w:val="24"/>
                <w:szCs w:val="24"/>
                <w:highlight w:val="none"/>
              </w:rPr>
              <w:t xml:space="preserve">0-1</w:t>
            </w:r>
            <w:r>
              <w:rPr>
                <w:rFonts w:hint="eastAsia" w:ascii="宋体" w:hAnsi="宋体"/>
                <w:color w:val="auto"/>
                <w:sz w:val="24"/>
                <w:szCs w:val="24"/>
                <w:highlight w:val="none"/>
              </w:rPr>
              <w:t xml:space="preserve">7</w:t>
            </w: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0</w:t>
            </w:r>
            <w:r/>
          </w:p>
        </w:tc>
        <w:tc>
          <w:tcPr>
            <w:tcMar>
              <w:left w:w="120" w:type="dxa"/>
              <w:top w:w="100" w:type="dxa"/>
              <w:right w:w="120" w:type="dxa"/>
              <w:bottom w:w="100" w:type="dxa"/>
            </w:tcMar>
            <w:tcW w:w="3564" w:type="dxa"/>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上午8:</w:t>
            </w:r>
            <w:r>
              <w:rPr>
                <w:rFonts w:hint="eastAsia" w:ascii="宋体" w:hAnsi="宋体"/>
                <w:color w:val="auto"/>
                <w:sz w:val="24"/>
                <w:szCs w:val="24"/>
                <w:highlight w:val="none"/>
              </w:rPr>
              <w:t xml:space="preserve">0</w:t>
            </w:r>
            <w:r>
              <w:rPr>
                <w:rFonts w:ascii="宋体" w:hAnsi="宋体"/>
                <w:color w:val="auto"/>
                <w:sz w:val="24"/>
                <w:szCs w:val="24"/>
                <w:highlight w:val="none"/>
              </w:rPr>
              <w:t xml:space="preserve">0-12:00 下午14:</w:t>
            </w:r>
            <w:r>
              <w:rPr>
                <w:rFonts w:hint="eastAsia" w:ascii="宋体" w:hAnsi="宋体"/>
                <w:color w:val="auto"/>
                <w:sz w:val="24"/>
                <w:szCs w:val="24"/>
                <w:highlight w:val="none"/>
              </w:rPr>
              <w:t xml:space="preserve">0</w:t>
            </w:r>
            <w:r>
              <w:rPr>
                <w:rFonts w:ascii="宋体" w:hAnsi="宋体"/>
                <w:color w:val="auto"/>
                <w:sz w:val="24"/>
                <w:szCs w:val="24"/>
                <w:highlight w:val="none"/>
              </w:rPr>
              <w:t xml:space="preserve">0-1</w:t>
            </w:r>
            <w:r>
              <w:rPr>
                <w:rFonts w:hint="eastAsia" w:ascii="宋体" w:hAnsi="宋体"/>
                <w:color w:val="auto"/>
                <w:sz w:val="24"/>
                <w:szCs w:val="24"/>
                <w:highlight w:val="none"/>
              </w:rPr>
              <w:t xml:space="preserve">7</w:t>
            </w: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0</w:t>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096"/>
        <w:ind w:firstLine="480"/>
        <w:spacing w:line="360" w:lineRule="auto"/>
        <w:widowControl w:val="off"/>
        <w:rPr>
          <w:rFonts w:hint="eastAsia" w:ascii="宋体" w:hAnsi="宋体" w:eastAsia="宋体" w:cstheme="minorBidi"/>
          <w:b w:val="0"/>
          <w:bCs w:val="0"/>
          <w:color w:val="auto"/>
          <w:sz w:val="24"/>
          <w:szCs w:val="24"/>
          <w:highlight w:val="none"/>
        </w:rPr>
        <w:outlineLvl w:val="9"/>
      </w:pPr>
      <w:r>
        <w:rPr>
          <w:rFonts w:hint="eastAsia" w:ascii="宋体" w:hAnsi="宋体" w:eastAsia="宋体" w:cstheme="minorBidi"/>
          <w:b w:val="0"/>
          <w:bCs w:val="0"/>
          <w:color w:val="auto"/>
          <w:sz w:val="24"/>
          <w:szCs w:val="24"/>
          <w:highlight w:val="none"/>
        </w:rPr>
        <w:t xml:space="preserve">2.主要用能设备、设施介绍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行政办公</w:t>
      </w:r>
      <w:r>
        <w:rPr>
          <w:rFonts w:ascii="宋体" w:hAnsi="宋体"/>
          <w:color w:val="auto"/>
          <w:sz w:val="24"/>
          <w:szCs w:val="24"/>
          <w:highlight w:val="none"/>
        </w:rPr>
        <w:t xml:space="preserve">中心采用分体式空调承担冷热负荷</w:t>
      </w:r>
      <w:r>
        <w:rPr>
          <w:rFonts w:hint="eastAsia" w:ascii="宋体" w:hAnsi="宋体"/>
          <w:color w:val="auto"/>
          <w:sz w:val="24"/>
          <w:szCs w:val="24"/>
          <w:highlight w:val="none"/>
        </w:rPr>
        <w:t xml:space="preserve">；商务服务</w:t>
      </w:r>
      <w:r>
        <w:rPr>
          <w:rFonts w:ascii="宋体" w:hAnsi="宋体"/>
          <w:color w:val="auto"/>
          <w:sz w:val="24"/>
          <w:szCs w:val="24"/>
          <w:highlight w:val="none"/>
        </w:rPr>
        <w:t xml:space="preserve">中心1-4层采用冷水机组+真空热水锅炉承担冷热负荷，4层以上采用多联机空调系统</w:t>
      </w:r>
      <w:r>
        <w:rPr>
          <w:rFonts w:hint="eastAsia" w:ascii="宋体" w:hAnsi="宋体"/>
          <w:color w:val="auto"/>
          <w:sz w:val="24"/>
          <w:szCs w:val="24"/>
          <w:highlight w:val="none"/>
        </w:rPr>
        <w:t xml:space="preserve">。</w:t>
      </w:r>
      <w:r>
        <w:rPr>
          <w:rFonts w:ascii="宋体" w:hAnsi="宋体"/>
          <w:color w:val="auto"/>
          <w:sz w:val="24"/>
          <w:szCs w:val="24"/>
          <w:highlight w:val="none"/>
        </w:rPr>
        <w:t xml:space="preserve">照明系统大部分已采用LED灯具，但仍存在部分老旧低效荧光灯灯具。两建筑均采用手动抄表，供电公司按总表收费，暂未做分类分项计量。</w:t>
      </w:r>
      <w:bookmarkEnd w:id="4"/>
      <w:r/>
      <w:r/>
    </w:p>
    <w:p>
      <w:pPr>
        <w:pStyle w:val="1097"/>
        <w:spacing w:before="0" w:after="0" w:line="360" w:lineRule="auto"/>
        <w:widowControl w:val="off"/>
        <w:rPr>
          <w:rFonts w:hint="eastAsia" w:ascii="宋体" w:hAnsi="宋体" w:eastAsia="宋体" w:cstheme="minorBidi"/>
          <w:color w:val="auto"/>
          <w:sz w:val="24"/>
          <w:szCs w:val="24"/>
          <w:highlight w:val="none"/>
        </w:rPr>
      </w:pPr>
      <w:r/>
      <w:bookmarkStart w:id="5" w:name="OLE_LINK5"/>
      <w:r/>
      <w:bookmarkStart w:id="6" w:name="OLE_LINK4"/>
      <w:r>
        <w:rPr>
          <w:rFonts w:hint="eastAsia" w:ascii="宋体" w:hAnsi="宋体" w:eastAsia="宋体" w:cstheme="minorBidi"/>
          <w:color w:val="auto"/>
          <w:sz w:val="24"/>
          <w:szCs w:val="24"/>
          <w:highlight w:val="none"/>
        </w:rPr>
        <w:t xml:space="preserve">1.2能源托管基准值</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具体如下表所示：</w:t>
      </w:r>
      <w:r/>
    </w:p>
    <w:p>
      <w:pPr>
        <w:jc w:val="center"/>
        <w:spacing w:line="360" w:lineRule="auto"/>
        <w:rPr>
          <w:rFonts w:hint="eastAsia" w:ascii="宋体" w:hAnsi="宋体"/>
          <w:color w:val="auto"/>
          <w:sz w:val="24"/>
          <w:szCs w:val="24"/>
          <w:highlight w:val="none"/>
        </w:rPr>
      </w:pPr>
      <w:r>
        <w:rPr>
          <w:rFonts w:ascii="宋体" w:hAnsi="宋体"/>
          <w:b/>
          <w:bCs/>
          <w:color w:val="auto"/>
          <w:sz w:val="24"/>
          <w:szCs w:val="24"/>
          <w:highlight w:val="none"/>
        </w:rPr>
        <w:t xml:space="preserve">能源托管基准值表</w:t>
      </w:r>
      <w:r/>
    </w:p>
    <w:tbl>
      <w:tblPr>
        <w:tblStyle w:val="764"/>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774"/>
        <w:gridCol w:w="3089"/>
        <w:gridCol w:w="4680"/>
      </w:tblGrid>
      <w:tr>
        <w:trPr>
          <w:jc w:val="center"/>
          <w:tblHeader/>
        </w:trPr>
        <w:tc>
          <w:tcPr>
            <w:tcMar>
              <w:left w:w="120" w:type="dxa"/>
              <w:top w:w="100" w:type="dxa"/>
              <w:right w:w="120" w:type="dxa"/>
              <w:bottom w:w="100" w:type="dxa"/>
            </w:tcMar>
            <w:tcW w:w="0" w:type="auto"/>
            <w:vAlign w:val="center"/>
            <w:textDirection w:val="lrTb"/>
            <w:noWrap w:val="false"/>
          </w:tcPr>
          <w:p>
            <w:pPr>
              <w:jc w:val="center"/>
              <w:spacing w:line="360" w:lineRule="auto"/>
              <w:rPr>
                <w:rFonts w:hint="eastAsia" w:ascii="宋体" w:hAnsi="宋体"/>
                <w:b/>
                <w:color w:val="auto"/>
                <w:sz w:val="24"/>
                <w:szCs w:val="24"/>
                <w:highlight w:val="none"/>
              </w:rPr>
            </w:pPr>
            <w:r>
              <w:rPr>
                <w:rFonts w:ascii="宋体" w:hAnsi="宋体"/>
                <w:b/>
                <w:bCs/>
                <w:color w:val="auto"/>
                <w:sz w:val="24"/>
                <w:szCs w:val="24"/>
                <w:highlight w:val="none"/>
              </w:rPr>
              <w:t xml:space="preserve">序号</w:t>
            </w:r>
            <w:r/>
          </w:p>
        </w:tc>
        <w:tc>
          <w:tcPr>
            <w:tcMar>
              <w:left w:w="120" w:type="dxa"/>
              <w:top w:w="100" w:type="dxa"/>
              <w:right w:w="120" w:type="dxa"/>
              <w:bottom w:w="100" w:type="dxa"/>
            </w:tcMar>
            <w:tcW w:w="0" w:type="auto"/>
            <w:vAlign w:val="center"/>
            <w:textDirection w:val="lrTb"/>
            <w:noWrap w:val="false"/>
          </w:tcPr>
          <w:p>
            <w:pPr>
              <w:jc w:val="center"/>
              <w:spacing w:line="360" w:lineRule="auto"/>
              <w:rPr>
                <w:rFonts w:hint="eastAsia" w:ascii="宋体" w:hAnsi="宋体"/>
                <w:b/>
                <w:color w:val="auto"/>
                <w:sz w:val="24"/>
                <w:szCs w:val="24"/>
                <w:highlight w:val="none"/>
              </w:rPr>
            </w:pPr>
            <w:r>
              <w:rPr>
                <w:rFonts w:ascii="宋体" w:hAnsi="宋体"/>
                <w:b/>
                <w:bCs/>
                <w:color w:val="auto"/>
                <w:sz w:val="24"/>
                <w:szCs w:val="24"/>
                <w:highlight w:val="none"/>
              </w:rPr>
              <w:t xml:space="preserve">分项</w:t>
            </w:r>
            <w:r/>
          </w:p>
        </w:tc>
        <w:tc>
          <w:tcPr>
            <w:tcMar>
              <w:left w:w="120" w:type="dxa"/>
              <w:top w:w="100" w:type="dxa"/>
              <w:right w:w="120" w:type="dxa"/>
              <w:bottom w:w="100" w:type="dxa"/>
            </w:tcMar>
            <w:tcW w:w="4680" w:type="dxa"/>
            <w:vAlign w:val="center"/>
            <w:textDirection w:val="lrTb"/>
            <w:noWrap w:val="false"/>
          </w:tcPr>
          <w:p>
            <w:pPr>
              <w:jc w:val="center"/>
              <w:spacing w:line="360" w:lineRule="auto"/>
              <w:rPr>
                <w:rFonts w:hint="eastAsia" w:ascii="宋体" w:hAnsi="宋体"/>
                <w:b/>
                <w:color w:val="auto"/>
                <w:sz w:val="24"/>
                <w:szCs w:val="24"/>
                <w:highlight w:val="none"/>
              </w:rPr>
            </w:pPr>
            <w:r>
              <w:rPr>
                <w:rFonts w:ascii="宋体" w:hAnsi="宋体"/>
                <w:b/>
                <w:bCs/>
                <w:color w:val="auto"/>
                <w:sz w:val="24"/>
                <w:szCs w:val="24"/>
                <w:highlight w:val="none"/>
              </w:rPr>
              <w:t xml:space="preserve">金额（万元）</w:t>
            </w:r>
            <w:r/>
          </w:p>
        </w:tc>
      </w:tr>
      <w:tr>
        <w:trPr>
          <w:jc w:val="center"/>
        </w:trPr>
        <w:tc>
          <w:tcPr>
            <w:tcMar>
              <w:left w:w="120" w:type="dxa"/>
              <w:top w:w="100" w:type="dxa"/>
              <w:right w:w="120" w:type="dxa"/>
              <w:bottom w:w="100" w:type="dxa"/>
            </w:tcMar>
            <w:tcW w:w="0" w:type="auto"/>
            <w:vAlign w:val="center"/>
            <w:textDirection w:val="lrTb"/>
            <w:noWrap w:val="false"/>
          </w:tcPr>
          <w:p>
            <w:pPr>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p>
        </w:tc>
        <w:tc>
          <w:tcPr>
            <w:tcMar>
              <w:left w:w="120" w:type="dxa"/>
              <w:top w:w="100" w:type="dxa"/>
              <w:right w:w="120" w:type="dxa"/>
              <w:bottom w:w="100" w:type="dxa"/>
            </w:tcMar>
            <w:tcW w:w="0" w:type="auto"/>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能源费用和运维维保费用</w:t>
            </w:r>
            <w:r/>
          </w:p>
        </w:tc>
        <w:tc>
          <w:tcPr>
            <w:tcMar>
              <w:left w:w="120" w:type="dxa"/>
              <w:top w:w="100" w:type="dxa"/>
              <w:right w:w="120" w:type="dxa"/>
              <w:bottom w:w="100" w:type="dxa"/>
            </w:tcMar>
            <w:tcW w:w="468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441.56</w:t>
            </w:r>
            <w:r/>
          </w:p>
        </w:tc>
      </w:tr>
      <w:tr>
        <w:trPr>
          <w:jc w:val="center"/>
        </w:trPr>
        <w:tc>
          <w:tcPr>
            <w:gridSpan w:val="2"/>
            <w:tcMar>
              <w:left w:w="120" w:type="dxa"/>
              <w:top w:w="100" w:type="dxa"/>
              <w:right w:w="120" w:type="dxa"/>
              <w:bottom w:w="100" w:type="dxa"/>
            </w:tcMar>
            <w:tcW w:w="3863" w:type="dxa"/>
            <w:vAlign w:val="center"/>
            <w:textDirection w:val="lrTb"/>
            <w:noWrap w:val="false"/>
          </w:tcPr>
          <w:p>
            <w:pPr>
              <w:jc w:val="center"/>
              <w:spacing w:line="360" w:lineRule="auto"/>
              <w:rPr>
                <w:rFonts w:hint="eastAsia" w:ascii="宋体" w:hAnsi="宋体"/>
                <w:b/>
                <w:color w:val="auto"/>
                <w:sz w:val="24"/>
                <w:szCs w:val="24"/>
                <w:highlight w:val="none"/>
              </w:rPr>
            </w:pPr>
            <w:r>
              <w:rPr>
                <w:rFonts w:ascii="宋体" w:hAnsi="宋体"/>
                <w:b/>
                <w:color w:val="auto"/>
                <w:sz w:val="24"/>
                <w:szCs w:val="24"/>
                <w:highlight w:val="none"/>
              </w:rPr>
              <w:t xml:space="preserve">合计能源</w:t>
            </w:r>
            <w:r>
              <w:rPr>
                <w:rFonts w:hint="eastAsia" w:ascii="宋体" w:hAnsi="宋体"/>
                <w:b/>
                <w:color w:val="auto"/>
                <w:sz w:val="24"/>
                <w:szCs w:val="24"/>
                <w:highlight w:val="none"/>
              </w:rPr>
              <w:t xml:space="preserve">托管</w:t>
            </w:r>
            <w:r>
              <w:rPr>
                <w:rFonts w:ascii="宋体" w:hAnsi="宋体"/>
                <w:b/>
                <w:color w:val="auto"/>
                <w:sz w:val="24"/>
                <w:szCs w:val="24"/>
                <w:highlight w:val="none"/>
              </w:rPr>
              <w:t xml:space="preserve">费用基准值</w:t>
            </w:r>
            <w:r/>
          </w:p>
          <w:p>
            <w:pPr>
              <w:jc w:val="center"/>
              <w:spacing w:line="360" w:lineRule="auto"/>
              <w:rPr>
                <w:rFonts w:hint="eastAsia" w:ascii="宋体" w:hAnsi="宋体"/>
                <w:color w:val="auto"/>
                <w:sz w:val="24"/>
                <w:szCs w:val="24"/>
                <w:highlight w:val="none"/>
              </w:rPr>
            </w:pPr>
            <w:r>
              <w:rPr>
                <w:rFonts w:ascii="宋体" w:hAnsi="宋体"/>
                <w:b/>
                <w:color w:val="auto"/>
                <w:sz w:val="24"/>
                <w:szCs w:val="24"/>
                <w:highlight w:val="none"/>
              </w:rPr>
              <w:t xml:space="preserve">（万元</w:t>
            </w:r>
            <w:r>
              <w:rPr>
                <w:rFonts w:hint="eastAsia" w:ascii="宋体" w:hAnsi="宋体"/>
                <w:b/>
                <w:color w:val="auto"/>
                <w:sz w:val="24"/>
                <w:szCs w:val="24"/>
                <w:highlight w:val="none"/>
                <w:lang w:val="en-US" w:eastAsia="zh-CN"/>
              </w:rPr>
              <w:t xml:space="preserve">/年</w:t>
            </w:r>
            <w:r>
              <w:rPr>
                <w:rFonts w:ascii="宋体" w:hAnsi="宋体"/>
                <w:b/>
                <w:color w:val="auto"/>
                <w:sz w:val="24"/>
                <w:szCs w:val="24"/>
                <w:highlight w:val="none"/>
              </w:rPr>
              <w:t xml:space="preserve">）</w:t>
            </w:r>
            <w:r/>
          </w:p>
        </w:tc>
        <w:tc>
          <w:tcPr>
            <w:tcMar>
              <w:left w:w="120" w:type="dxa"/>
              <w:top w:w="100" w:type="dxa"/>
              <w:right w:w="120" w:type="dxa"/>
              <w:bottom w:w="100" w:type="dxa"/>
            </w:tcMar>
            <w:tcW w:w="4680"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441.56</w:t>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097"/>
        <w:spacing w:before="0" w:after="0"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1.3节能要求</w:t>
      </w:r>
      <w:r/>
    </w:p>
    <w:p>
      <w:pPr>
        <w:pStyle w:val="1098"/>
        <w:ind w:firstLine="480"/>
        <w:rPr>
          <w:rFonts w:hint="eastAsia" w:ascii="宋体" w:hAnsi="宋体" w:eastAsia="宋体"/>
          <w:color w:val="auto"/>
          <w:szCs w:val="24"/>
          <w:highlight w:val="none"/>
        </w:rPr>
      </w:pPr>
      <w:r>
        <w:rPr>
          <w:rStyle w:val="798"/>
          <w:rFonts w:hint="eastAsia" w:ascii="宋体" w:hAnsi="宋体" w:eastAsia="宋体"/>
          <w:color w:val="auto"/>
          <w:sz w:val="24"/>
          <w:szCs w:val="24"/>
          <w:highlight w:val="none"/>
        </w:rPr>
        <w:t xml:space="preserve">本项目紧扣《“十五五” 碳达峰行动方案》公共机构节能降碳任务，采用能源费用托管（光储充节一体化）模式实施综合节能改造。以改造前3年能源审计综合能耗为考核基准，验收合格首年单位建筑面积能耗、人均综合能耗达到江苏省公共机构办公建筑能耗定额标准；全托管周期严格落实十五五约束指标：单位建筑面积能耗较基准降幅≥5%、单位建筑面积碳排放强度降幅≥8.5%，每年指标不得回升。若因甲方人员、场地、设备、气象等不可控因素导致能耗异常，双方可书面调整当年考核基准，不免除中标人常规节能运维达标责任</w:t>
      </w:r>
      <w:r>
        <w:rPr>
          <w:rFonts w:ascii="宋体" w:hAnsi="宋体" w:eastAsia="宋体" w:cs="Times New Roman"/>
          <w:color w:val="auto"/>
          <w:szCs w:val="24"/>
          <w:highlight w:val="none"/>
        </w:rPr>
        <w:t xml:space="preserve">。</w:t>
      </w:r>
      <w:bookmarkEnd w:id="5"/>
      <w:r/>
      <w:bookmarkEnd w:id="6"/>
      <w:r/>
      <w:r/>
    </w:p>
    <w:p>
      <w:pPr>
        <w:pStyle w:val="1096"/>
        <w:spacing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2.服务内容及要求</w:t>
      </w:r>
      <w:r/>
    </w:p>
    <w:p>
      <w:pPr>
        <w:pStyle w:val="1097"/>
        <w:spacing w:before="0" w:after="0"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2.1基本服务内容及要求</w:t>
      </w:r>
      <w:r/>
    </w:p>
    <w:p>
      <w:pPr>
        <w:ind w:firstLine="480"/>
        <w:spacing w:line="360" w:lineRule="auto"/>
        <w:rPr>
          <w:rFonts w:hint="eastAsia" w:ascii="宋体" w:hAnsi="宋体" w:cstheme="minorBidi"/>
          <w:color w:val="auto"/>
          <w:sz w:val="24"/>
          <w:szCs w:val="24"/>
          <w:highlight w:val="none"/>
        </w:rPr>
      </w:pPr>
      <w:r>
        <w:rPr>
          <w:rFonts w:hint="eastAsia" w:ascii="宋体" w:hAnsi="宋体" w:cstheme="minorBidi"/>
          <w:color w:val="auto"/>
          <w:sz w:val="24"/>
          <w:szCs w:val="24"/>
          <w:highlight w:val="none"/>
        </w:rPr>
        <w:t xml:space="preserve">基于现有硬件设施及平台控制能力，提供如下基础服务内容：</w:t>
      </w:r>
      <w:r/>
    </w:p>
    <w:p>
      <w:pPr>
        <w:pStyle w:val="1098"/>
        <w:numPr>
          <w:ilvl w:val="0"/>
          <w:numId w:val="0"/>
        </w:numPr>
        <w:ind w:left="0" w:firstLine="480"/>
        <w:jc w:val="left"/>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1．</w:t>
      </w:r>
      <w:r>
        <w:rPr>
          <w:rFonts w:hint="eastAsia" w:ascii="宋体" w:hAnsi="宋体" w:eastAsia="宋体"/>
          <w:color w:val="auto"/>
          <w:szCs w:val="24"/>
          <w:highlight w:val="none"/>
        </w:rPr>
        <w:t xml:space="preserve">冷、热、电、自来水、天然气的供应。保证睢宁县行政办公中心及商务中心空调制冷、制热、电能、自来水、天然气的正常供应，及时代缴用能费用，保障能源日常使用。</w:t>
      </w:r>
      <w:r/>
    </w:p>
    <w:p>
      <w:pPr>
        <w:pStyle w:val="1098"/>
        <w:numPr>
          <w:ilvl w:val="0"/>
          <w:numId w:val="0"/>
        </w:numPr>
        <w:ind w:left="0" w:firstLine="480"/>
        <w:jc w:val="left"/>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2．</w:t>
      </w:r>
      <w:r>
        <w:rPr>
          <w:rFonts w:hint="eastAsia" w:ascii="宋体" w:hAnsi="宋体" w:eastAsia="宋体"/>
          <w:color w:val="auto"/>
          <w:szCs w:val="24"/>
          <w:highlight w:val="none"/>
        </w:rPr>
        <w:t xml:space="preserve">能源网软、硬件设施的安全、可靠运行技术支持。深入研究睢宁县行政办公中心及商务中心能源运行管理现状，对软、硬件安全、可靠运行、能源系统分析功能提出改进意见，包括但不限于对核心指标、能源网子系统指标以及整体运行情况分析（指标管理、能源指标分析、能源生产运行报告等），能源托管项目内容有故障或存在不可靠运行后潜在投标人应根据相关规定和要求，及时完成相关维修或设备更换。</w:t>
      </w:r>
      <w:r/>
    </w:p>
    <w:p>
      <w:pPr>
        <w:pStyle w:val="1098"/>
        <w:numPr>
          <w:ilvl w:val="0"/>
          <w:numId w:val="0"/>
        </w:numPr>
        <w:ind w:left="0" w:firstLine="480"/>
        <w:jc w:val="left"/>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3．</w:t>
      </w:r>
      <w:r>
        <w:rPr>
          <w:rFonts w:hint="eastAsia" w:ascii="宋体" w:hAnsi="宋体" w:eastAsia="宋体"/>
          <w:color w:val="auto"/>
          <w:szCs w:val="24"/>
          <w:highlight w:val="none"/>
        </w:rPr>
        <w:t xml:space="preserve">对能源网系统和设备进行节能改造。根据能源设备实际情况，寻找节能潜力，实施节能改造，降低整体能源消耗。潜在投标人应在获得采购人的同意下，不断进行节能改造投入。实施节能改造需向相应的政府机构或者其他第三方申请许可、同意或者批准的，由潜在投标人组织申请，并在本合同期间保持其有效性。</w:t>
      </w:r>
      <w:r/>
    </w:p>
    <w:p>
      <w:pPr>
        <w:pStyle w:val="1098"/>
        <w:numPr>
          <w:ilvl w:val="0"/>
          <w:numId w:val="0"/>
        </w:numPr>
        <w:ind w:left="0" w:firstLine="480"/>
        <w:jc w:val="left"/>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4．</w:t>
      </w:r>
      <w:r>
        <w:rPr>
          <w:rFonts w:hint="eastAsia" w:ascii="宋体" w:hAnsi="宋体" w:eastAsia="宋体"/>
          <w:color w:val="auto"/>
          <w:szCs w:val="24"/>
          <w:highlight w:val="none"/>
        </w:rPr>
        <w:t xml:space="preserve">统计报表。按季出具"能源网运行报告"，具体内容包括：当季睢宁县行政办公中心及商务中心用能情况分析、能源利用能力分析、运维情况分析等。</w:t>
      </w:r>
      <w:r/>
    </w:p>
    <w:p>
      <w:pPr>
        <w:pStyle w:val="1097"/>
        <w:spacing w:before="0" w:after="0"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2.2增值服务内容及要求</w:t>
      </w:r>
      <w:r/>
    </w:p>
    <w:p>
      <w:pPr>
        <w:pStyle w:val="1098"/>
        <w:ind w:firstLine="480"/>
        <w:rPr>
          <w:rFonts w:hint="eastAsia" w:ascii="宋体" w:hAnsi="宋体" w:eastAsia="宋体"/>
          <w:color w:val="auto"/>
          <w:szCs w:val="24"/>
          <w:highlight w:val="none"/>
        </w:rPr>
      </w:pPr>
      <w:r>
        <w:rPr>
          <w:rFonts w:hint="eastAsia" w:ascii="宋体" w:hAnsi="宋体" w:eastAsia="宋体"/>
          <w:color w:val="auto"/>
          <w:szCs w:val="24"/>
          <w:highlight w:val="none"/>
        </w:rPr>
        <w:t xml:space="preserve">1.一体化解决方案</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通过对睢宁县行政办公中心及商务中心能源系统的分析，结合对节能技术的深入研究，潜在投标人为睢宁县行政办公中心及商务中心提供能源系统的节能创新、提升等多方面的一体化解决方案。</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通过及时引进国内外先进技术，不断完善能源网应用，协助采购人做好接受能源检查各项工作。</w:t>
      </w:r>
      <w:r/>
    </w:p>
    <w:p>
      <w:pPr>
        <w:pStyle w:val="1098"/>
        <w:ind w:firstLine="480"/>
        <w:rPr>
          <w:rFonts w:hint="eastAsia" w:ascii="宋体" w:hAnsi="宋体" w:eastAsia="宋体"/>
          <w:color w:val="auto"/>
          <w:szCs w:val="24"/>
          <w:highlight w:val="none"/>
        </w:rPr>
      </w:pPr>
      <w:r>
        <w:rPr>
          <w:rFonts w:ascii="宋体" w:hAnsi="宋体" w:eastAsia="宋体"/>
          <w:color w:val="auto"/>
          <w:szCs w:val="24"/>
          <w:highlight w:val="none"/>
        </w:rPr>
        <w:t xml:space="preserve">2.个性化服务</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个性化服务打破了传统的被动服务模式，能够充分利用各种资源优势。服务商要及时了解睢宁县行政办公中心及商务中心能源系统的"个性"，开展个性化需求的收集工作，提供用能时间、空调温度等柔性选择，满足采购人在冷、热、电等能源使用上的个性化需求。</w:t>
      </w:r>
      <w:r/>
    </w:p>
    <w:p>
      <w:pPr>
        <w:pStyle w:val="1098"/>
        <w:ind w:firstLine="480"/>
        <w:rPr>
          <w:rFonts w:hint="eastAsia" w:ascii="宋体" w:hAnsi="宋体" w:eastAsia="宋体"/>
          <w:color w:val="auto"/>
          <w:szCs w:val="24"/>
          <w:highlight w:val="none"/>
        </w:rPr>
      </w:pPr>
      <w:r>
        <w:rPr>
          <w:rFonts w:ascii="宋体" w:hAnsi="宋体" w:eastAsia="宋体"/>
          <w:color w:val="auto"/>
          <w:szCs w:val="24"/>
          <w:highlight w:val="none"/>
        </w:rPr>
        <w:t xml:space="preserve">3.设备资产可靠性分析</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随着设备维护时间的增长，设备可靠性基础数据随之增多，通过对这些基础数据进行分析，得出设备可靠性分析数据，如：设备预保养时间、设备故障预判、设备报废时间等，通过分析数据，提前做出人员、设备等安排，为采购人提供更优质的服务。</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通过故障预判，提前对设备进行维修保养，提前消除设备缺陷，防范设备事故，延长设备寿命，降低设备维修保养成本。</w:t>
      </w:r>
      <w:r/>
    </w:p>
    <w:p>
      <w:pPr>
        <w:pStyle w:val="1098"/>
        <w:ind w:firstLine="480"/>
        <w:rPr>
          <w:rFonts w:hint="eastAsia" w:ascii="宋体" w:hAnsi="宋体" w:eastAsia="宋体"/>
          <w:color w:val="auto"/>
          <w:szCs w:val="24"/>
          <w:highlight w:val="none"/>
        </w:rPr>
      </w:pPr>
      <w:r>
        <w:rPr>
          <w:rFonts w:ascii="宋体" w:hAnsi="宋体" w:eastAsia="宋体"/>
          <w:color w:val="auto"/>
          <w:szCs w:val="24"/>
          <w:highlight w:val="none"/>
        </w:rPr>
        <w:t xml:space="preserve">4.用能咨询</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对国家发布的相关政策进行分析与解读，提出合理的用能规划、管理规划、模式规划，持续提升能源系统理念、技术、管理的优越性；与此同时，侧重需求侧的用能分析，开展访谈工作，搜集底层历史用能信息，同时考虑睢宁县行政办公中心及商务中心自身条件，依托潜在投标人不断引进新型节能和电能替代技术，对睢宁县行政办公中心及商务中心终端的用能能效水平提出合理化指导意见。</w:t>
      </w:r>
      <w:r/>
    </w:p>
    <w:p>
      <w:pPr>
        <w:pStyle w:val="1097"/>
        <w:spacing w:before="0" w:after="0"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2.3参考规范</w:t>
      </w:r>
      <w:r/>
    </w:p>
    <w:p>
      <w:pPr>
        <w:pStyle w:val="853"/>
        <w:numPr>
          <w:ilvl w:val="0"/>
          <w:numId w:val="0"/>
        </w:numPr>
        <w:contextualSpacing w:val="0"/>
        <w:ind w:left="720"/>
        <w:spacing w:line="360" w:lineRule="auto"/>
        <w:rPr>
          <w:rFonts w:hint="eastAsia" w:ascii="宋体" w:hAnsi="宋体"/>
          <w:color w:val="auto"/>
          <w:sz w:val="24"/>
          <w:szCs w:val="24"/>
          <w:highlight w:val="none"/>
        </w:rPr>
      </w:pPr>
      <w:r>
        <w:rPr>
          <w:rFonts w:hint="eastAsia" w:ascii="宋体" w:hAnsi="宋体" w:eastAsia="宋体" w:cs="Times New Roman"/>
          <w:color w:val="auto"/>
          <w:sz w:val="24"/>
          <w:szCs w:val="24"/>
          <w:lang w:val="en-US" w:eastAsia="zh-CN" w:bidi="ar-SA"/>
        </w:rPr>
        <w:t xml:space="preserve">1.</w:t>
      </w:r>
      <w:r>
        <w:rPr>
          <w:rFonts w:ascii="宋体" w:hAnsi="宋体"/>
          <w:color w:val="auto"/>
          <w:sz w:val="24"/>
          <w:szCs w:val="24"/>
          <w:highlight w:val="none"/>
        </w:rPr>
        <w:t xml:space="preserve">《节约型公共机构示范单位及公共机构能效领跑者评价标准》。</w:t>
      </w:r>
      <w:r/>
    </w:p>
    <w:p>
      <w:pPr>
        <w:pStyle w:val="853"/>
        <w:numPr>
          <w:ilvl w:val="0"/>
          <w:numId w:val="0"/>
        </w:numPr>
        <w:contextualSpacing w:val="0"/>
        <w:ind w:left="720"/>
        <w:spacing w:line="360" w:lineRule="auto"/>
        <w:rPr>
          <w:rFonts w:hint="eastAsia" w:ascii="宋体" w:hAnsi="宋体"/>
          <w:color w:val="auto"/>
          <w:sz w:val="24"/>
          <w:szCs w:val="24"/>
          <w:highlight w:val="none"/>
        </w:rPr>
      </w:pPr>
      <w:r>
        <w:rPr>
          <w:rFonts w:hint="eastAsia" w:ascii="宋体" w:hAnsi="宋体" w:eastAsia="宋体" w:cs="Times New Roman"/>
          <w:color w:val="auto"/>
          <w:sz w:val="24"/>
          <w:szCs w:val="24"/>
          <w:lang w:val="en-US" w:eastAsia="zh-CN" w:bidi="ar-SA"/>
        </w:rPr>
        <w:t xml:space="preserve">2.</w:t>
      </w:r>
      <w:r>
        <w:rPr>
          <w:rFonts w:ascii="宋体" w:hAnsi="宋体"/>
          <w:color w:val="auto"/>
          <w:sz w:val="24"/>
          <w:szCs w:val="24"/>
          <w:highlight w:val="none"/>
        </w:rPr>
        <w:t xml:space="preserve">《公共建筑节能设计标准》（GB55015-2021）。</w:t>
      </w:r>
      <w:r/>
    </w:p>
    <w:p>
      <w:pPr>
        <w:pStyle w:val="853"/>
        <w:numPr>
          <w:ilvl w:val="0"/>
          <w:numId w:val="0"/>
        </w:numPr>
        <w:contextualSpacing w:val="0"/>
        <w:ind w:left="720"/>
        <w:spacing w:line="360" w:lineRule="auto"/>
        <w:rPr>
          <w:rFonts w:hint="eastAsia" w:ascii="宋体" w:hAnsi="宋体"/>
          <w:color w:val="auto"/>
          <w:sz w:val="24"/>
          <w:szCs w:val="24"/>
          <w:highlight w:val="none"/>
        </w:rPr>
      </w:pPr>
      <w:r>
        <w:rPr>
          <w:rFonts w:hint="eastAsia" w:ascii="宋体" w:hAnsi="宋体" w:eastAsia="宋体" w:cs="Times New Roman"/>
          <w:color w:val="auto"/>
          <w:sz w:val="24"/>
          <w:szCs w:val="24"/>
          <w:lang w:val="en-US" w:eastAsia="zh-CN" w:bidi="ar-SA"/>
        </w:rPr>
        <w:t xml:space="preserve">3.</w:t>
      </w:r>
      <w:r>
        <w:rPr>
          <w:rFonts w:ascii="宋体" w:hAnsi="宋体"/>
          <w:color w:val="auto"/>
          <w:sz w:val="24"/>
          <w:szCs w:val="24"/>
          <w:highlight w:val="none"/>
        </w:rPr>
        <w:t xml:space="preserve">《绿色建筑评价标准》（GB/T 50378-2018）。</w:t>
      </w:r>
      <w:r/>
    </w:p>
    <w:p>
      <w:pPr>
        <w:pStyle w:val="853"/>
        <w:numPr>
          <w:ilvl w:val="0"/>
          <w:numId w:val="0"/>
        </w:numPr>
        <w:contextualSpacing w:val="0"/>
        <w:ind w:left="720"/>
        <w:spacing w:line="360" w:lineRule="auto"/>
        <w:rPr>
          <w:rFonts w:hint="eastAsia" w:ascii="宋体" w:hAnsi="宋体"/>
          <w:color w:val="auto"/>
          <w:sz w:val="24"/>
          <w:szCs w:val="24"/>
          <w:highlight w:val="none"/>
        </w:rPr>
      </w:pPr>
      <w:r>
        <w:rPr>
          <w:rFonts w:hint="eastAsia" w:ascii="宋体" w:hAnsi="宋体" w:eastAsia="宋体" w:cs="Times New Roman"/>
          <w:color w:val="auto"/>
          <w:sz w:val="24"/>
          <w:szCs w:val="24"/>
          <w:lang w:val="en-US" w:eastAsia="zh-CN" w:bidi="ar-SA"/>
        </w:rPr>
        <w:t xml:space="preserve">4.</w:t>
      </w:r>
      <w:r>
        <w:rPr>
          <w:rFonts w:ascii="宋体" w:hAnsi="宋体"/>
          <w:color w:val="auto"/>
          <w:sz w:val="24"/>
          <w:szCs w:val="24"/>
          <w:highlight w:val="none"/>
        </w:rPr>
        <w:t xml:space="preserve">《既有建筑绿色改造评价标准》（GB/T 51141-2015）。</w:t>
      </w:r>
      <w:r/>
    </w:p>
    <w:p>
      <w:pPr>
        <w:pStyle w:val="853"/>
        <w:numPr>
          <w:ilvl w:val="0"/>
          <w:numId w:val="0"/>
        </w:numPr>
        <w:contextualSpacing w:val="0"/>
        <w:ind w:left="720"/>
        <w:spacing w:line="360" w:lineRule="auto"/>
        <w:rPr>
          <w:rFonts w:hint="eastAsia" w:ascii="宋体" w:hAnsi="宋体"/>
          <w:color w:val="auto"/>
          <w:sz w:val="24"/>
          <w:szCs w:val="24"/>
          <w:highlight w:val="none"/>
        </w:rPr>
      </w:pPr>
      <w:r>
        <w:rPr>
          <w:rFonts w:hint="eastAsia" w:ascii="宋体" w:hAnsi="宋体" w:eastAsia="宋体" w:cs="Times New Roman"/>
          <w:color w:val="auto"/>
          <w:sz w:val="24"/>
          <w:szCs w:val="24"/>
          <w:lang w:val="en-US" w:eastAsia="zh-CN" w:bidi="ar-SA"/>
        </w:rPr>
        <w:t xml:space="preserve">5.</w:t>
      </w:r>
      <w:r>
        <w:rPr>
          <w:rFonts w:ascii="宋体" w:hAnsi="宋体"/>
          <w:color w:val="auto"/>
          <w:sz w:val="24"/>
          <w:szCs w:val="24"/>
          <w:highlight w:val="none"/>
        </w:rPr>
        <w:t xml:space="preserve">《公共建筑节能设计标准》（GB50189-2015）。</w:t>
      </w:r>
      <w:r/>
    </w:p>
    <w:p>
      <w:pPr>
        <w:pStyle w:val="853"/>
        <w:numPr>
          <w:ilvl w:val="0"/>
          <w:numId w:val="0"/>
        </w:numPr>
        <w:contextualSpacing w:val="0"/>
        <w:ind w:left="720"/>
        <w:spacing w:line="360" w:lineRule="auto"/>
        <w:rPr>
          <w:rFonts w:hint="eastAsia" w:ascii="宋体" w:hAnsi="宋体"/>
          <w:color w:val="auto"/>
          <w:sz w:val="24"/>
          <w:szCs w:val="24"/>
          <w:highlight w:val="none"/>
        </w:rPr>
      </w:pPr>
      <w:r>
        <w:rPr>
          <w:rFonts w:hint="eastAsia" w:ascii="宋体" w:hAnsi="宋体" w:eastAsia="宋体" w:cs="Times New Roman"/>
          <w:color w:val="auto"/>
          <w:sz w:val="24"/>
          <w:szCs w:val="24"/>
          <w:lang w:val="en-US" w:eastAsia="zh-CN" w:bidi="ar-SA"/>
        </w:rPr>
        <w:t xml:space="preserve">6.</w:t>
      </w:r>
      <w:r>
        <w:rPr>
          <w:rFonts w:ascii="宋体" w:hAnsi="宋体"/>
          <w:color w:val="auto"/>
          <w:sz w:val="24"/>
          <w:szCs w:val="24"/>
          <w:highlight w:val="none"/>
        </w:rPr>
        <w:t xml:space="preserve">《建筑节能与可再生能源利用通用规范》（GB55015-2021）。</w:t>
      </w:r>
      <w:r/>
    </w:p>
    <w:p>
      <w:pPr>
        <w:pStyle w:val="853"/>
        <w:numPr>
          <w:ilvl w:val="0"/>
          <w:numId w:val="0"/>
        </w:numPr>
        <w:contextualSpacing w:val="0"/>
        <w:ind w:left="720"/>
        <w:spacing w:line="360" w:lineRule="auto"/>
        <w:rPr>
          <w:rFonts w:hint="eastAsia" w:ascii="宋体" w:hAnsi="宋体"/>
          <w:color w:val="auto"/>
          <w:sz w:val="24"/>
          <w:szCs w:val="24"/>
          <w:highlight w:val="none"/>
        </w:rPr>
      </w:pPr>
      <w:r>
        <w:rPr>
          <w:rFonts w:hint="eastAsia" w:ascii="宋体" w:hAnsi="宋体" w:eastAsia="宋体" w:cs="Times New Roman"/>
          <w:color w:val="auto"/>
          <w:sz w:val="24"/>
          <w:szCs w:val="24"/>
          <w:lang w:val="en-US" w:eastAsia="zh-CN" w:bidi="ar-SA"/>
        </w:rPr>
        <w:t xml:space="preserve">7.</w:t>
      </w:r>
      <w:r>
        <w:rPr>
          <w:rFonts w:ascii="宋体" w:hAnsi="宋体"/>
          <w:color w:val="auto"/>
          <w:sz w:val="24"/>
          <w:szCs w:val="24"/>
          <w:highlight w:val="none"/>
        </w:rPr>
        <w:t xml:space="preserve">《民用建筑节水设计标准》（GB50555-2010）。</w:t>
      </w:r>
      <w:r/>
    </w:p>
    <w:p>
      <w:pPr>
        <w:pStyle w:val="853"/>
        <w:numPr>
          <w:ilvl w:val="0"/>
          <w:numId w:val="0"/>
        </w:numPr>
        <w:contextualSpacing w:val="0"/>
        <w:ind w:left="720"/>
        <w:spacing w:line="360" w:lineRule="auto"/>
        <w:rPr>
          <w:rFonts w:hint="eastAsia" w:ascii="宋体" w:hAnsi="宋体"/>
          <w:color w:val="auto"/>
          <w:sz w:val="24"/>
          <w:szCs w:val="24"/>
          <w:highlight w:val="none"/>
        </w:rPr>
      </w:pPr>
      <w:r>
        <w:rPr>
          <w:rFonts w:hint="eastAsia" w:ascii="宋体" w:hAnsi="宋体" w:eastAsia="宋体" w:cs="Times New Roman"/>
          <w:color w:val="auto"/>
          <w:sz w:val="24"/>
          <w:szCs w:val="24"/>
          <w:lang w:val="en-US" w:eastAsia="zh-CN" w:bidi="ar-SA"/>
        </w:rPr>
        <w:t xml:space="preserve">8.</w:t>
      </w:r>
      <w:r>
        <w:rPr>
          <w:rFonts w:ascii="宋体" w:hAnsi="宋体"/>
          <w:color w:val="auto"/>
          <w:sz w:val="24"/>
          <w:szCs w:val="24"/>
          <w:highlight w:val="none"/>
        </w:rPr>
        <w:t xml:space="preserve">《建筑照明设计标准》（GB 50034-2013）。</w:t>
      </w:r>
      <w:r/>
    </w:p>
    <w:p>
      <w:pPr>
        <w:pStyle w:val="853"/>
        <w:numPr>
          <w:ilvl w:val="0"/>
          <w:numId w:val="0"/>
        </w:numPr>
        <w:contextualSpacing w:val="0"/>
        <w:ind w:left="720"/>
        <w:spacing w:line="360" w:lineRule="auto"/>
        <w:rPr>
          <w:rFonts w:hint="eastAsia" w:ascii="宋体" w:hAnsi="宋体"/>
          <w:color w:val="auto"/>
          <w:sz w:val="24"/>
          <w:szCs w:val="24"/>
          <w:highlight w:val="none"/>
        </w:rPr>
      </w:pPr>
      <w:r>
        <w:rPr>
          <w:rFonts w:hint="eastAsia" w:ascii="宋体" w:hAnsi="宋体" w:eastAsia="宋体" w:cs="Times New Roman"/>
          <w:color w:val="auto"/>
          <w:sz w:val="24"/>
          <w:szCs w:val="24"/>
          <w:lang w:val="en-US" w:eastAsia="zh-CN" w:bidi="ar-SA"/>
        </w:rPr>
        <w:t xml:space="preserve">9.</w:t>
      </w:r>
      <w:r>
        <w:rPr>
          <w:rFonts w:ascii="宋体" w:hAnsi="宋体"/>
          <w:color w:val="auto"/>
          <w:sz w:val="24"/>
          <w:szCs w:val="24"/>
          <w:highlight w:val="none"/>
        </w:rPr>
        <w:t xml:space="preserve">《合同能源管理技术通则》（GB/T 24915-2020）。</w:t>
      </w:r>
      <w:r/>
    </w:p>
    <w:p>
      <w:pPr>
        <w:pStyle w:val="853"/>
        <w:numPr>
          <w:ilvl w:val="0"/>
          <w:numId w:val="0"/>
        </w:numPr>
        <w:contextualSpacing w:val="0"/>
        <w:ind w:left="720"/>
        <w:spacing w:line="360" w:lineRule="auto"/>
        <w:rPr>
          <w:rFonts w:hint="eastAsia" w:ascii="宋体" w:hAnsi="宋体"/>
          <w:color w:val="auto"/>
          <w:sz w:val="24"/>
          <w:szCs w:val="24"/>
          <w:highlight w:val="none"/>
        </w:rPr>
      </w:pPr>
      <w:r>
        <w:rPr>
          <w:rFonts w:hint="eastAsia" w:ascii="宋体" w:hAnsi="宋体" w:eastAsia="宋体" w:cs="Times New Roman"/>
          <w:color w:val="auto"/>
          <w:sz w:val="24"/>
          <w:szCs w:val="24"/>
          <w:lang w:val="en-US" w:eastAsia="zh-CN" w:bidi="ar-SA"/>
        </w:rPr>
        <w:t xml:space="preserve">10.</w:t>
      </w:r>
      <w:r>
        <w:rPr>
          <w:rFonts w:ascii="宋体" w:hAnsi="宋体"/>
          <w:color w:val="auto"/>
          <w:sz w:val="24"/>
          <w:szCs w:val="24"/>
          <w:highlight w:val="none"/>
        </w:rPr>
        <w:t xml:space="preserve">《公共机构能源费用托管实施规程》（JS/T 301-2024）。</w:t>
      </w:r>
      <w:r/>
    </w:p>
    <w:p>
      <w:pPr>
        <w:pStyle w:val="853"/>
        <w:numPr>
          <w:ilvl w:val="0"/>
          <w:numId w:val="0"/>
        </w:numPr>
        <w:contextualSpacing w:val="0"/>
        <w:ind w:left="720"/>
        <w:spacing w:line="360" w:lineRule="auto"/>
        <w:rPr>
          <w:rFonts w:hint="eastAsia" w:ascii="宋体" w:hAnsi="宋体"/>
          <w:color w:val="auto"/>
          <w:sz w:val="24"/>
          <w:szCs w:val="24"/>
          <w:highlight w:val="none"/>
        </w:rPr>
      </w:pPr>
      <w:r>
        <w:rPr>
          <w:rFonts w:hint="eastAsia" w:ascii="宋体" w:hAnsi="宋体" w:eastAsia="宋体" w:cs="Times New Roman"/>
          <w:color w:val="auto"/>
          <w:sz w:val="24"/>
          <w:szCs w:val="24"/>
          <w:lang w:val="en-US" w:eastAsia="zh-CN" w:bidi="ar-SA"/>
        </w:rPr>
        <w:t xml:space="preserve">11.</w:t>
      </w:r>
      <w:r>
        <w:rPr>
          <w:rFonts w:ascii="宋体" w:hAnsi="宋体"/>
          <w:color w:val="auto"/>
          <w:sz w:val="24"/>
          <w:szCs w:val="24"/>
          <w:highlight w:val="none"/>
        </w:rPr>
        <w:t xml:space="preserve">《公共机构碳排放核算指南》（JS/T 303-2026）。</w:t>
      </w:r>
      <w:r/>
    </w:p>
    <w:p>
      <w:pPr>
        <w:pStyle w:val="853"/>
        <w:numPr>
          <w:ilvl w:val="0"/>
          <w:numId w:val="0"/>
        </w:numPr>
        <w:contextualSpacing w:val="0"/>
        <w:ind w:left="720"/>
        <w:spacing w:line="360" w:lineRule="auto"/>
        <w:rPr>
          <w:rFonts w:hint="eastAsia" w:ascii="宋体" w:hAnsi="宋体"/>
          <w:color w:val="auto"/>
          <w:sz w:val="24"/>
          <w:szCs w:val="24"/>
          <w:highlight w:val="none"/>
        </w:rPr>
      </w:pPr>
      <w:r/>
      <w:bookmarkStart w:id="7" w:name="OLE_LINK26"/>
      <w:r>
        <w:rPr>
          <w:rFonts w:hint="eastAsia" w:ascii="宋体" w:hAnsi="宋体" w:eastAsia="宋体" w:cs="Times New Roman"/>
          <w:color w:val="auto"/>
          <w:sz w:val="24"/>
          <w:szCs w:val="24"/>
          <w:lang w:val="en-US" w:eastAsia="zh-CN" w:bidi="ar-SA"/>
        </w:rPr>
        <w:t xml:space="preserve">12.</w:t>
      </w:r>
      <w:r>
        <w:rPr>
          <w:rFonts w:ascii="宋体" w:hAnsi="宋体"/>
          <w:color w:val="auto"/>
          <w:sz w:val="24"/>
          <w:szCs w:val="24"/>
          <w:highlight w:val="none"/>
        </w:rPr>
        <w:t xml:space="preserve">《公共机构能耗定额及计算方法》（DB32/T 4001—2025）</w:t>
      </w:r>
      <w:bookmarkEnd w:id="7"/>
      <w:r>
        <w:rPr>
          <w:rFonts w:ascii="宋体" w:hAnsi="宋体"/>
          <w:color w:val="auto"/>
          <w:sz w:val="24"/>
          <w:szCs w:val="24"/>
          <w:highlight w:val="none"/>
        </w:rPr>
        <w:t xml:space="preserve">。</w:t>
      </w:r>
      <w:r/>
    </w:p>
    <w:p>
      <w:pPr>
        <w:pStyle w:val="853"/>
        <w:numPr>
          <w:ilvl w:val="0"/>
          <w:numId w:val="0"/>
        </w:numPr>
        <w:contextualSpacing w:val="0"/>
        <w:ind w:left="720"/>
        <w:spacing w:line="360" w:lineRule="auto"/>
        <w:rPr>
          <w:rFonts w:hint="eastAsia" w:ascii="宋体" w:hAnsi="宋体"/>
          <w:color w:val="auto"/>
          <w:sz w:val="24"/>
          <w:szCs w:val="24"/>
          <w:highlight w:val="none"/>
        </w:rPr>
      </w:pPr>
      <w:r>
        <w:rPr>
          <w:rFonts w:hint="eastAsia" w:ascii="宋体" w:hAnsi="宋体" w:eastAsia="宋体" w:cs="Times New Roman"/>
          <w:color w:val="auto"/>
          <w:sz w:val="24"/>
          <w:szCs w:val="24"/>
          <w:lang w:val="en-US" w:eastAsia="zh-CN" w:bidi="ar-SA"/>
        </w:rPr>
        <w:t xml:space="preserve">13.</w:t>
      </w:r>
      <w:r>
        <w:rPr>
          <w:rFonts w:ascii="宋体" w:hAnsi="宋体"/>
          <w:color w:val="auto"/>
          <w:sz w:val="24"/>
          <w:szCs w:val="24"/>
          <w:highlight w:val="none"/>
        </w:rPr>
        <w:t xml:space="preserve">国家、省、市现行的法律、法规，其它相关标准和规定。</w:t>
      </w:r>
      <w:r/>
    </w:p>
    <w:p>
      <w:pPr>
        <w:pStyle w:val="1096"/>
        <w:spacing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3.主要服务内容及技术要求</w:t>
      </w:r>
      <w:r/>
    </w:p>
    <w:p>
      <w:pPr>
        <w:pStyle w:val="1098"/>
        <w:ind w:firstLine="480"/>
        <w:rPr>
          <w:rFonts w:hint="eastAsia" w:ascii="宋体" w:hAnsi="宋体" w:eastAsia="宋体"/>
          <w:color w:val="auto"/>
          <w:szCs w:val="24"/>
          <w:highlight w:val="none"/>
        </w:rPr>
      </w:pPr>
      <w:r>
        <w:rPr>
          <w:rFonts w:hint="eastAsia" w:ascii="宋体" w:hAnsi="宋体" w:eastAsia="宋体"/>
          <w:color w:val="auto"/>
          <w:szCs w:val="24"/>
          <w:highlight w:val="none"/>
        </w:rPr>
        <w:t xml:space="preserve">主要改造内容如下表所示：</w:t>
      </w:r>
      <w:r/>
    </w:p>
    <w:p>
      <w:pPr>
        <w:jc w:val="center"/>
        <w:spacing w:line="360" w:lineRule="auto"/>
        <w:rPr>
          <w:rFonts w:hint="eastAsia" w:ascii="宋体" w:hAnsi="宋体"/>
          <w:color w:val="auto"/>
          <w:sz w:val="24"/>
          <w:szCs w:val="24"/>
          <w:highlight w:val="none"/>
        </w:rPr>
      </w:pPr>
      <w:r>
        <w:rPr>
          <w:rFonts w:ascii="宋体" w:hAnsi="宋体"/>
          <w:b/>
          <w:bCs/>
          <w:color w:val="auto"/>
          <w:sz w:val="24"/>
          <w:szCs w:val="24"/>
          <w:highlight w:val="none"/>
        </w:rPr>
        <w:t xml:space="preserve">服务内容索引表</w:t>
      </w:r>
      <w:r/>
    </w:p>
    <w:tbl>
      <w:tblPr>
        <w:tblStyle w:val="764"/>
        <w:tblW w:w="8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065"/>
        <w:gridCol w:w="960"/>
        <w:gridCol w:w="4273"/>
        <w:gridCol w:w="2560"/>
      </w:tblGrid>
      <w:tr>
        <w:trPr>
          <w:jc w:val="center"/>
          <w:trHeight w:val="422"/>
        </w:trPr>
        <w:tc>
          <w:tcPr>
            <w:tcMar>
              <w:left w:w="120" w:type="dxa"/>
              <w:top w:w="100" w:type="dxa"/>
              <w:right w:w="120" w:type="dxa"/>
              <w:bottom w:w="100" w:type="dxa"/>
            </w:tcMar>
            <w:tcW w:w="1065" w:type="dxa"/>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分类</w:t>
            </w:r>
            <w:r/>
          </w:p>
        </w:tc>
        <w:tc>
          <w:tcPr>
            <w:tcMar>
              <w:left w:w="120" w:type="dxa"/>
              <w:top w:w="100" w:type="dxa"/>
              <w:right w:w="120" w:type="dxa"/>
              <w:bottom w:w="100" w:type="dxa"/>
            </w:tcMar>
            <w:tcW w:w="960" w:type="dxa"/>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序号</w:t>
            </w:r>
            <w:r/>
          </w:p>
        </w:tc>
        <w:tc>
          <w:tcPr>
            <w:tcMar>
              <w:left w:w="120" w:type="dxa"/>
              <w:top w:w="100" w:type="dxa"/>
              <w:right w:w="120" w:type="dxa"/>
              <w:bottom w:w="100" w:type="dxa"/>
            </w:tcMar>
            <w:tcW w:w="4273" w:type="dxa"/>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改造项目名称</w:t>
            </w:r>
            <w:r/>
          </w:p>
        </w:tc>
        <w:tc>
          <w:tcPr>
            <w:tcMar>
              <w:left w:w="120" w:type="dxa"/>
              <w:top w:w="100" w:type="dxa"/>
              <w:right w:w="120" w:type="dxa"/>
              <w:bottom w:w="100" w:type="dxa"/>
            </w:tcMar>
            <w:tcW w:w="2560" w:type="dxa"/>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备注</w:t>
            </w:r>
            <w:r/>
          </w:p>
        </w:tc>
      </w:tr>
      <w:tr>
        <w:trPr>
          <w:jc w:val="center"/>
          <w:trHeight w:val="1683"/>
        </w:trPr>
        <w:tc>
          <w:tcPr>
            <w:tcMar>
              <w:left w:w="120" w:type="dxa"/>
              <w:top w:w="100" w:type="dxa"/>
              <w:right w:w="120" w:type="dxa"/>
              <w:bottom w:w="100" w:type="dxa"/>
            </w:tcMar>
            <w:tcW w:w="106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节能技术改造</w:t>
            </w:r>
            <w:r/>
          </w:p>
        </w:tc>
        <w:tc>
          <w:tcPr>
            <w:tcMar>
              <w:left w:w="120" w:type="dxa"/>
              <w:top w:w="100" w:type="dxa"/>
              <w:right w:w="120" w:type="dxa"/>
              <w:bottom w:w="100" w:type="dxa"/>
            </w:tcMar>
            <w:tcW w:w="960"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3.1</w:t>
            </w:r>
            <w:r/>
          </w:p>
        </w:tc>
        <w:tc>
          <w:tcPr>
            <w:tcMar>
              <w:left w:w="120" w:type="dxa"/>
              <w:top w:w="100" w:type="dxa"/>
              <w:right w:w="120" w:type="dxa"/>
              <w:bottom w:w="100" w:type="dxa"/>
            </w:tcMar>
            <w:tcW w:w="4273" w:type="dxa"/>
            <w:textDirection w:val="lrTb"/>
            <w:noWrap w:val="false"/>
          </w:tcPr>
          <w:p>
            <w:pPr>
              <w:keepLines w:val="0"/>
              <w:keepNext w:val="0"/>
              <w:pageBreakBefore w:val="0"/>
              <w:spacing w:line="240" w:lineRule="auto"/>
              <w:widowControl w:val="off"/>
              <w:rPr>
                <w:rFonts w:hint="eastAsia" w:ascii="宋体" w:hAnsi="宋体" w:cs="仿宋"/>
                <w:color w:val="auto"/>
                <w:sz w:val="24"/>
                <w:szCs w:val="24"/>
                <w:highlight w:val="none"/>
              </w:rPr>
            </w:pPr>
            <w:r>
              <w:rPr>
                <w:rFonts w:ascii="宋体" w:hAnsi="宋体"/>
                <w:color w:val="auto"/>
                <w:sz w:val="24"/>
                <w:szCs w:val="24"/>
                <w:highlight w:val="none"/>
              </w:rPr>
              <w:t xml:space="preserve">空调系统优化及改造，包括但不限于：</w:t>
            </w:r>
            <w:r>
              <w:rPr>
                <w:rFonts w:hint="eastAsia" w:ascii="宋体" w:hAnsi="宋体" w:cs="仿宋"/>
                <w:color w:val="auto"/>
                <w:sz w:val="24"/>
                <w:szCs w:val="24"/>
                <w:highlight w:val="none"/>
              </w:rPr>
              <w:t xml:space="preserve">★1.分体式空调集中控制改造；</w:t>
            </w:r>
            <w:r/>
          </w:p>
          <w:p>
            <w:pPr>
              <w:keepLines w:val="0"/>
              <w:keepNext w:val="0"/>
              <w:pageBreakBefore w:val="0"/>
              <w:spacing w:line="240" w:lineRule="auto"/>
              <w:widowControl w:val="off"/>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★2.多联式空调集中控制改造；</w:t>
            </w:r>
            <w:r/>
          </w:p>
          <w:p>
            <w:pPr>
              <w:keepLines w:val="0"/>
              <w:keepNext w:val="0"/>
              <w:pageBreakBefore w:val="0"/>
              <w:spacing w:line="240" w:lineRule="auto"/>
              <w:widowControl w:val="off"/>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★3.中央空调系统增设智能能效控制系统。</w:t>
            </w:r>
            <w:r/>
          </w:p>
          <w:p>
            <w:pPr>
              <w:keepLines w:val="0"/>
              <w:keepNext w:val="0"/>
              <w:pageBreakBefore w:val="0"/>
              <w:spacing w:line="240" w:lineRule="auto"/>
              <w:widowControl w:val="off"/>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4.多联机智能雾化喷淋装置；</w:t>
            </w:r>
            <w:r/>
          </w:p>
        </w:tc>
        <w:tc>
          <w:tcPr>
            <w:tcMar>
              <w:left w:w="120" w:type="dxa"/>
              <w:top w:w="100" w:type="dxa"/>
              <w:right w:w="120" w:type="dxa"/>
              <w:bottom w:w="100" w:type="dxa"/>
            </w:tcMar>
            <w:tcW w:w="2560"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加</w:t>
            </w:r>
            <w:r>
              <w:rPr>
                <w:rFonts w:ascii="宋体" w:hAnsi="宋体" w:cs="Segoe UI Emoji"/>
                <w:color w:val="auto"/>
                <w:sz w:val="24"/>
                <w:szCs w:val="24"/>
                <w:highlight w:val="none"/>
              </w:rPr>
              <w:t xml:space="preserve">★</w:t>
            </w:r>
            <w:r>
              <w:rPr>
                <w:rFonts w:ascii="宋体" w:hAnsi="宋体"/>
                <w:color w:val="auto"/>
                <w:sz w:val="24"/>
                <w:szCs w:val="24"/>
                <w:highlight w:val="none"/>
              </w:rPr>
              <w:t xml:space="preserve">号项为本项目中的必做项。 其余项目潜在投标人可选做。</w:t>
            </w:r>
            <w:r/>
          </w:p>
        </w:tc>
      </w:tr>
      <w:tr>
        <w:trPr>
          <w:jc w:val="center"/>
          <w:trHeight w:val="926"/>
        </w:trPr>
        <w:tc>
          <w:tcPr>
            <w:tcMar>
              <w:left w:w="120" w:type="dxa"/>
              <w:top w:w="100" w:type="dxa"/>
              <w:right w:w="120" w:type="dxa"/>
              <w:bottom w:w="100" w:type="dxa"/>
            </w:tcMar>
            <w:tcW w:w="1065" w:type="dxa"/>
            <w:vMerge w:val="continue"/>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20" w:type="dxa"/>
              <w:top w:w="100" w:type="dxa"/>
              <w:right w:w="120" w:type="dxa"/>
              <w:bottom w:w="100" w:type="dxa"/>
            </w:tcMar>
            <w:tcW w:w="960"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ascii="宋体" w:hAnsi="宋体" w:cs="Segoe UI Emoji"/>
                <w:color w:val="auto"/>
                <w:sz w:val="24"/>
                <w:szCs w:val="24"/>
                <w:highlight w:val="none"/>
              </w:rPr>
              <w:t xml:space="preserve">★</w:t>
            </w:r>
            <w:r>
              <w:rPr>
                <w:rFonts w:ascii="宋体" w:hAnsi="宋体"/>
                <w:color w:val="auto"/>
                <w:sz w:val="24"/>
                <w:szCs w:val="24"/>
                <w:highlight w:val="none"/>
              </w:rPr>
              <w:t xml:space="preserve">3.2</w:t>
            </w:r>
            <w:r/>
          </w:p>
        </w:tc>
        <w:tc>
          <w:tcPr>
            <w:tcMar>
              <w:left w:w="120" w:type="dxa"/>
              <w:top w:w="100" w:type="dxa"/>
              <w:right w:w="120" w:type="dxa"/>
              <w:bottom w:w="100" w:type="dxa"/>
            </w:tcMar>
            <w:tcW w:w="4273"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供暖系统优化及改造：</w:t>
            </w:r>
            <w:r/>
          </w:p>
          <w:p>
            <w:pP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1.新增风冷热泵机组替代原有热水锅炉；</w:t>
            </w:r>
            <w:r/>
          </w:p>
        </w:tc>
        <w:tc>
          <w:tcPr>
            <w:tcMar>
              <w:left w:w="120" w:type="dxa"/>
              <w:top w:w="100" w:type="dxa"/>
              <w:right w:w="120" w:type="dxa"/>
              <w:bottom w:w="100" w:type="dxa"/>
            </w:tcMar>
            <w:tcW w:w="2560"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1179"/>
        </w:trPr>
        <w:tc>
          <w:tcPr>
            <w:tcMar>
              <w:left w:w="120" w:type="dxa"/>
              <w:top w:w="100" w:type="dxa"/>
              <w:right w:w="120" w:type="dxa"/>
              <w:bottom w:w="100" w:type="dxa"/>
            </w:tcMar>
            <w:tcW w:w="1065" w:type="dxa"/>
            <w:vMerge w:val="continue"/>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20" w:type="dxa"/>
              <w:top w:w="100" w:type="dxa"/>
              <w:right w:w="120" w:type="dxa"/>
              <w:bottom w:w="100" w:type="dxa"/>
            </w:tcMar>
            <w:tcW w:w="960"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ascii="宋体" w:hAnsi="宋体" w:cs="Segoe UI Emoji"/>
                <w:color w:val="auto"/>
                <w:sz w:val="24"/>
                <w:szCs w:val="24"/>
                <w:highlight w:val="none"/>
              </w:rPr>
              <w:t xml:space="preserve">★</w:t>
            </w:r>
            <w:r>
              <w:rPr>
                <w:rFonts w:ascii="宋体" w:hAnsi="宋体"/>
                <w:color w:val="auto"/>
                <w:sz w:val="24"/>
                <w:szCs w:val="24"/>
                <w:highlight w:val="none"/>
              </w:rPr>
              <w:t xml:space="preserve">3.3</w:t>
            </w:r>
            <w:r/>
          </w:p>
        </w:tc>
        <w:tc>
          <w:tcPr>
            <w:tcMar>
              <w:left w:w="120" w:type="dxa"/>
              <w:top w:w="100" w:type="dxa"/>
              <w:right w:w="120" w:type="dxa"/>
              <w:bottom w:w="100" w:type="dxa"/>
            </w:tcMar>
            <w:tcW w:w="4273"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照明系统优化及改造：</w:t>
            </w:r>
            <w:r/>
          </w:p>
          <w:p>
            <w:pPr>
              <w:jc w:val="both"/>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更换高效节能照明灯具</w:t>
            </w:r>
            <w:r>
              <w:rPr>
                <w:rFonts w:hint="eastAsia" w:ascii="宋体" w:hAnsi="宋体"/>
                <w:color w:val="auto"/>
                <w:sz w:val="24"/>
                <w:szCs w:val="24"/>
                <w:highlight w:val="none"/>
              </w:rPr>
              <w:t xml:space="preserve">；</w:t>
            </w:r>
            <w:r/>
          </w:p>
          <w:p>
            <w:pPr>
              <w:jc w:val="both"/>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2.对公共区域及走廊照明增设感应控制或光感自动调节功能。</w:t>
            </w:r>
            <w:r/>
          </w:p>
        </w:tc>
        <w:tc>
          <w:tcPr>
            <w:tcMar>
              <w:left w:w="120" w:type="dxa"/>
              <w:top w:w="100" w:type="dxa"/>
              <w:right w:w="120" w:type="dxa"/>
              <w:bottom w:w="100" w:type="dxa"/>
            </w:tcMar>
            <w:tcW w:w="2560"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926"/>
        </w:trPr>
        <w:tc>
          <w:tcPr>
            <w:tcMar>
              <w:left w:w="120" w:type="dxa"/>
              <w:top w:w="100" w:type="dxa"/>
              <w:right w:w="120" w:type="dxa"/>
              <w:bottom w:w="100" w:type="dxa"/>
            </w:tcMar>
            <w:tcW w:w="1065" w:type="dxa"/>
            <w:vMerge w:val="continue"/>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20" w:type="dxa"/>
              <w:top w:w="100" w:type="dxa"/>
              <w:right w:w="120" w:type="dxa"/>
              <w:bottom w:w="100" w:type="dxa"/>
            </w:tcMar>
            <w:tcW w:w="960"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ascii="宋体" w:hAnsi="宋体" w:cs="Segoe UI Emoji"/>
                <w:color w:val="auto"/>
                <w:sz w:val="24"/>
                <w:szCs w:val="24"/>
                <w:highlight w:val="none"/>
              </w:rPr>
              <w:t xml:space="preserve">★</w:t>
            </w:r>
            <w:r>
              <w:rPr>
                <w:rFonts w:ascii="宋体" w:hAnsi="宋体"/>
                <w:color w:val="auto"/>
                <w:sz w:val="24"/>
                <w:szCs w:val="24"/>
                <w:highlight w:val="none"/>
              </w:rPr>
              <w:t xml:space="preserve">3.4</w:t>
            </w:r>
            <w:r/>
          </w:p>
        </w:tc>
        <w:tc>
          <w:tcPr>
            <w:tcMar>
              <w:left w:w="120" w:type="dxa"/>
              <w:top w:w="100" w:type="dxa"/>
              <w:right w:w="120" w:type="dxa"/>
              <w:bottom w:w="100" w:type="dxa"/>
            </w:tcMar>
            <w:tcW w:w="4273"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供配电系统优化及改造：</w:t>
            </w:r>
            <w:r/>
          </w:p>
          <w:p>
            <w:pP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1.增设多功能电表及安全监测模块，实现分类分项计量。</w:t>
            </w:r>
            <w:r/>
          </w:p>
        </w:tc>
        <w:tc>
          <w:tcPr>
            <w:tcMar>
              <w:left w:w="120" w:type="dxa"/>
              <w:top w:w="100" w:type="dxa"/>
              <w:right w:w="120" w:type="dxa"/>
              <w:bottom w:w="100" w:type="dxa"/>
            </w:tcMar>
            <w:tcW w:w="2560"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电表不少于12</w:t>
            </w:r>
            <w:r>
              <w:rPr>
                <w:rFonts w:hint="eastAsia" w:ascii="宋体" w:hAnsi="宋体"/>
                <w:color w:val="auto"/>
                <w:sz w:val="24"/>
                <w:szCs w:val="24"/>
                <w:highlight w:val="none"/>
              </w:rPr>
              <w:t xml:space="preserve">5块</w:t>
            </w:r>
            <w:r/>
          </w:p>
        </w:tc>
      </w:tr>
      <w:tr>
        <w:trPr>
          <w:jc w:val="center"/>
          <w:trHeight w:val="926"/>
        </w:trPr>
        <w:tc>
          <w:tcPr>
            <w:tcMar>
              <w:left w:w="120" w:type="dxa"/>
              <w:top w:w="100" w:type="dxa"/>
              <w:right w:w="120" w:type="dxa"/>
              <w:bottom w:w="100" w:type="dxa"/>
            </w:tcMar>
            <w:tcW w:w="1065" w:type="dxa"/>
            <w:vMerge w:val="continue"/>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20" w:type="dxa"/>
              <w:top w:w="100" w:type="dxa"/>
              <w:right w:w="120" w:type="dxa"/>
              <w:bottom w:w="100" w:type="dxa"/>
            </w:tcMar>
            <w:tcW w:w="960"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ascii="宋体" w:hAnsi="宋体" w:cs="Segoe UI Emoji"/>
                <w:color w:val="auto"/>
                <w:sz w:val="24"/>
                <w:szCs w:val="24"/>
                <w:highlight w:val="none"/>
              </w:rPr>
              <w:t xml:space="preserve">★</w:t>
            </w:r>
            <w:r>
              <w:rPr>
                <w:rFonts w:ascii="宋体" w:hAnsi="宋体"/>
                <w:color w:val="auto"/>
                <w:sz w:val="24"/>
                <w:szCs w:val="24"/>
                <w:highlight w:val="none"/>
              </w:rPr>
              <w:t xml:space="preserve">3.5</w:t>
            </w:r>
            <w:r/>
          </w:p>
        </w:tc>
        <w:tc>
          <w:tcPr>
            <w:tcMar>
              <w:left w:w="120" w:type="dxa"/>
              <w:top w:w="100" w:type="dxa"/>
              <w:right w:w="120" w:type="dxa"/>
              <w:bottom w:w="100" w:type="dxa"/>
            </w:tcMar>
            <w:tcW w:w="4273"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给排水系统优化及改造：</w:t>
            </w:r>
            <w:r/>
          </w:p>
          <w:p>
            <w:pPr>
              <w:jc w:val="both"/>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节水龙头改造；</w:t>
            </w:r>
            <w:r/>
          </w:p>
          <w:p>
            <w:pPr>
              <w:jc w:val="both"/>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建设供水计量监测系统。</w:t>
            </w:r>
            <w:r/>
          </w:p>
        </w:tc>
        <w:tc>
          <w:tcPr>
            <w:tcMar>
              <w:left w:w="120" w:type="dxa"/>
              <w:top w:w="100" w:type="dxa"/>
              <w:right w:w="120" w:type="dxa"/>
              <w:bottom w:w="100" w:type="dxa"/>
            </w:tcMar>
            <w:tcW w:w="2560"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422"/>
        </w:trPr>
        <w:tc>
          <w:tcPr>
            <w:tcMar>
              <w:left w:w="120" w:type="dxa"/>
              <w:top w:w="100" w:type="dxa"/>
              <w:right w:w="120" w:type="dxa"/>
              <w:bottom w:w="100" w:type="dxa"/>
            </w:tcMar>
            <w:tcW w:w="1065" w:type="dxa"/>
            <w:vMerge w:val="continue"/>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20" w:type="dxa"/>
              <w:top w:w="100" w:type="dxa"/>
              <w:right w:w="120" w:type="dxa"/>
              <w:bottom w:w="100" w:type="dxa"/>
            </w:tcMar>
            <w:tcW w:w="960"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ascii="宋体" w:hAnsi="宋体" w:cs="Segoe UI Emoji"/>
                <w:color w:val="auto"/>
                <w:sz w:val="24"/>
                <w:szCs w:val="24"/>
                <w:highlight w:val="none"/>
              </w:rPr>
              <w:t xml:space="preserve">★</w:t>
            </w:r>
            <w:r>
              <w:rPr>
                <w:rFonts w:ascii="宋体" w:hAnsi="宋体"/>
                <w:color w:val="auto"/>
                <w:sz w:val="24"/>
                <w:szCs w:val="24"/>
                <w:highlight w:val="none"/>
              </w:rPr>
              <w:t xml:space="preserve">3.6</w:t>
            </w:r>
            <w:r/>
          </w:p>
        </w:tc>
        <w:tc>
          <w:tcPr>
            <w:tcMar>
              <w:left w:w="120" w:type="dxa"/>
              <w:top w:w="100" w:type="dxa"/>
              <w:right w:w="120" w:type="dxa"/>
              <w:bottom w:w="100" w:type="dxa"/>
            </w:tcMar>
            <w:tcW w:w="4273"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建设光伏发电系统。</w:t>
            </w:r>
            <w:r/>
          </w:p>
        </w:tc>
        <w:tc>
          <w:tcPr>
            <w:tcMar>
              <w:left w:w="120" w:type="dxa"/>
              <w:top w:w="100" w:type="dxa"/>
              <w:right w:w="120" w:type="dxa"/>
              <w:bottom w:w="100" w:type="dxa"/>
            </w:tcMar>
            <w:tcW w:w="2560"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926"/>
        </w:trPr>
        <w:tc>
          <w:tcPr>
            <w:tcMar>
              <w:left w:w="120" w:type="dxa"/>
              <w:top w:w="100" w:type="dxa"/>
              <w:right w:w="120" w:type="dxa"/>
              <w:bottom w:w="100" w:type="dxa"/>
            </w:tcMar>
            <w:tcW w:w="1065" w:type="dxa"/>
            <w:vMerge w:val="continue"/>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20" w:type="dxa"/>
              <w:top w:w="100" w:type="dxa"/>
              <w:right w:w="120" w:type="dxa"/>
              <w:bottom w:w="100" w:type="dxa"/>
            </w:tcMar>
            <w:tcW w:w="960"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ascii="宋体" w:hAnsi="宋体" w:cs="Segoe UI Emoji"/>
                <w:color w:val="auto"/>
                <w:sz w:val="24"/>
                <w:szCs w:val="24"/>
                <w:highlight w:val="none"/>
              </w:rPr>
              <w:t xml:space="preserve">★</w:t>
            </w:r>
            <w:r>
              <w:rPr>
                <w:rFonts w:ascii="宋体" w:hAnsi="宋体"/>
                <w:color w:val="auto"/>
                <w:sz w:val="24"/>
                <w:szCs w:val="24"/>
                <w:highlight w:val="none"/>
              </w:rPr>
              <w:t xml:space="preserve">3.7</w:t>
            </w:r>
            <w:r/>
          </w:p>
        </w:tc>
        <w:tc>
          <w:tcPr>
            <w:tcMar>
              <w:left w:w="120" w:type="dxa"/>
              <w:top w:w="100" w:type="dxa"/>
              <w:right w:w="120" w:type="dxa"/>
              <w:bottom w:w="100" w:type="dxa"/>
            </w:tcMar>
            <w:tcW w:w="4273"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开水器、厨房电热水器、小厨宝优化及</w:t>
            </w:r>
            <w:r>
              <w:rPr>
                <w:rFonts w:ascii="宋体" w:hAnsi="宋体"/>
                <w:color w:val="auto"/>
                <w:sz w:val="24"/>
                <w:szCs w:val="24"/>
                <w:highlight w:val="none"/>
              </w:rPr>
              <w:t xml:space="preserve">改造：</w:t>
            </w:r>
            <w:r/>
          </w:p>
          <w:p>
            <w:pP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1.加装定时控制装置。</w:t>
            </w:r>
            <w:r/>
          </w:p>
        </w:tc>
        <w:tc>
          <w:tcPr>
            <w:tcMar>
              <w:left w:w="120" w:type="dxa"/>
              <w:top w:w="100" w:type="dxa"/>
              <w:right w:w="120" w:type="dxa"/>
              <w:bottom w:w="100" w:type="dxa"/>
            </w:tcMar>
            <w:tcW w:w="2560"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422"/>
        </w:trPr>
        <w:tc>
          <w:tcPr>
            <w:tcMar>
              <w:left w:w="120" w:type="dxa"/>
              <w:top w:w="100" w:type="dxa"/>
              <w:right w:w="120" w:type="dxa"/>
              <w:bottom w:w="100" w:type="dxa"/>
            </w:tcMar>
            <w:tcW w:w="1065" w:type="dxa"/>
            <w:vMerge w:val="continue"/>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20" w:type="dxa"/>
              <w:top w:w="100" w:type="dxa"/>
              <w:right w:w="120" w:type="dxa"/>
              <w:bottom w:w="100" w:type="dxa"/>
            </w:tcMar>
            <w:tcW w:w="960"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ascii="宋体" w:hAnsi="宋体" w:cs="Segoe UI Emoji"/>
                <w:color w:val="auto"/>
                <w:sz w:val="24"/>
                <w:szCs w:val="24"/>
                <w:highlight w:val="none"/>
              </w:rPr>
              <w:t xml:space="preserve">★</w:t>
            </w:r>
            <w:r>
              <w:rPr>
                <w:rFonts w:ascii="宋体" w:hAnsi="宋体"/>
                <w:color w:val="auto"/>
                <w:sz w:val="24"/>
                <w:szCs w:val="24"/>
                <w:highlight w:val="none"/>
              </w:rPr>
              <w:t xml:space="preserve">3.8</w:t>
            </w:r>
            <w:r/>
          </w:p>
        </w:tc>
        <w:tc>
          <w:tcPr>
            <w:tcMar>
              <w:left w:w="120" w:type="dxa"/>
              <w:top w:w="100" w:type="dxa"/>
              <w:right w:w="120" w:type="dxa"/>
              <w:bottom w:w="100" w:type="dxa"/>
            </w:tcMar>
            <w:tcW w:w="4273"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建设四轮汽车充电桩。</w:t>
            </w:r>
            <w:r/>
          </w:p>
        </w:tc>
        <w:tc>
          <w:tcPr>
            <w:tcMar>
              <w:left w:w="120" w:type="dxa"/>
              <w:top w:w="100" w:type="dxa"/>
              <w:right w:w="120" w:type="dxa"/>
              <w:bottom w:w="100" w:type="dxa"/>
            </w:tcMar>
            <w:tcW w:w="2560"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7kW慢充桩8台</w:t>
            </w:r>
            <w:r/>
          </w:p>
        </w:tc>
      </w:tr>
      <w:tr>
        <w:trPr>
          <w:jc w:val="center"/>
          <w:trHeight w:val="926"/>
        </w:trPr>
        <w:tc>
          <w:tcPr>
            <w:tcMar>
              <w:left w:w="120" w:type="dxa"/>
              <w:top w:w="100" w:type="dxa"/>
              <w:right w:w="120" w:type="dxa"/>
              <w:bottom w:w="100" w:type="dxa"/>
            </w:tcMar>
            <w:tcW w:w="106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能碳管理平台</w:t>
            </w:r>
            <w:r/>
          </w:p>
        </w:tc>
        <w:tc>
          <w:tcPr>
            <w:tcMar>
              <w:left w:w="120" w:type="dxa"/>
              <w:top w:w="100" w:type="dxa"/>
              <w:right w:w="120" w:type="dxa"/>
              <w:bottom w:w="100" w:type="dxa"/>
            </w:tcMar>
            <w:tcW w:w="960"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ascii="宋体" w:hAnsi="宋体" w:cs="Segoe UI Emoji"/>
                <w:color w:val="auto"/>
                <w:sz w:val="24"/>
                <w:szCs w:val="24"/>
                <w:highlight w:val="none"/>
              </w:rPr>
              <w:t xml:space="preserve">★</w:t>
            </w:r>
            <w:r>
              <w:rPr>
                <w:rFonts w:ascii="宋体" w:hAnsi="宋体"/>
                <w:color w:val="auto"/>
                <w:sz w:val="24"/>
                <w:szCs w:val="24"/>
                <w:highlight w:val="none"/>
              </w:rPr>
              <w:t xml:space="preserve">3.9</w:t>
            </w:r>
            <w:r/>
          </w:p>
        </w:tc>
        <w:tc>
          <w:tcPr>
            <w:tcMar>
              <w:left w:w="120" w:type="dxa"/>
              <w:top w:w="100" w:type="dxa"/>
              <w:right w:w="120" w:type="dxa"/>
              <w:bottom w:w="100" w:type="dxa"/>
            </w:tcMar>
            <w:tcW w:w="4273"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智慧管理运营平台：建设智慧管理运营平台，含综合能源监控系统、能源管理系统。</w:t>
            </w:r>
            <w:r/>
          </w:p>
        </w:tc>
        <w:tc>
          <w:tcPr>
            <w:tcMar>
              <w:left w:w="120" w:type="dxa"/>
              <w:top w:w="100" w:type="dxa"/>
              <w:right w:w="120" w:type="dxa"/>
              <w:bottom w:w="100" w:type="dxa"/>
            </w:tcMar>
            <w:tcW w:w="2560"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852"/>
        </w:trPr>
        <w:tc>
          <w:tcPr>
            <w:tcMar>
              <w:left w:w="120" w:type="dxa"/>
              <w:top w:w="100" w:type="dxa"/>
              <w:right w:w="120" w:type="dxa"/>
              <w:bottom w:w="100" w:type="dxa"/>
            </w:tcMar>
            <w:tcW w:w="1065" w:type="dxa"/>
            <w:vMerge w:val="continue"/>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20" w:type="dxa"/>
              <w:top w:w="100" w:type="dxa"/>
              <w:right w:w="120" w:type="dxa"/>
              <w:bottom w:w="100" w:type="dxa"/>
            </w:tcMar>
            <w:tcW w:w="960"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ascii="宋体" w:hAnsi="宋体" w:cs="Segoe UI Emoji"/>
                <w:color w:val="auto"/>
                <w:sz w:val="24"/>
                <w:szCs w:val="24"/>
                <w:highlight w:val="none"/>
              </w:rPr>
              <w:t xml:space="preserve">★</w:t>
            </w:r>
            <w:r>
              <w:rPr>
                <w:rFonts w:ascii="宋体" w:hAnsi="宋体"/>
                <w:color w:val="auto"/>
                <w:sz w:val="24"/>
                <w:szCs w:val="24"/>
                <w:highlight w:val="none"/>
              </w:rPr>
              <w:t xml:space="preserve">3.10</w:t>
            </w:r>
            <w:r/>
          </w:p>
        </w:tc>
        <w:tc>
          <w:tcPr>
            <w:tcMar>
              <w:left w:w="120" w:type="dxa"/>
              <w:top w:w="100" w:type="dxa"/>
              <w:right w:w="120" w:type="dxa"/>
              <w:bottom w:w="100" w:type="dxa"/>
            </w:tcMar>
            <w:tcW w:w="4273"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能碳管理系统：建立能碳管理模块，对用能及碳排放进行精细化管理。</w:t>
            </w:r>
            <w:r/>
          </w:p>
        </w:tc>
        <w:tc>
          <w:tcPr>
            <w:tcMar>
              <w:left w:w="120" w:type="dxa"/>
              <w:top w:w="100" w:type="dxa"/>
              <w:right w:w="120" w:type="dxa"/>
              <w:bottom w:w="100" w:type="dxa"/>
            </w:tcMar>
            <w:tcW w:w="2560"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682"/>
        </w:trPr>
        <w:tc>
          <w:tcPr>
            <w:tcMar>
              <w:left w:w="120" w:type="dxa"/>
              <w:top w:w="100" w:type="dxa"/>
              <w:right w:w="120" w:type="dxa"/>
              <w:bottom w:w="100" w:type="dxa"/>
            </w:tcMar>
            <w:tcW w:w="1065" w:type="dxa"/>
            <w:vMerge w:val="continue"/>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20" w:type="dxa"/>
              <w:top w:w="100" w:type="dxa"/>
              <w:right w:w="120" w:type="dxa"/>
              <w:bottom w:w="100" w:type="dxa"/>
            </w:tcMar>
            <w:tcW w:w="960"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ascii="宋体" w:hAnsi="宋体" w:cs="Segoe UI Emoji"/>
                <w:color w:val="auto"/>
                <w:sz w:val="24"/>
                <w:szCs w:val="24"/>
                <w:highlight w:val="none"/>
              </w:rPr>
              <w:t xml:space="preserve">★</w:t>
            </w:r>
            <w:r>
              <w:rPr>
                <w:rFonts w:ascii="宋体" w:hAnsi="宋体"/>
                <w:color w:val="auto"/>
                <w:sz w:val="24"/>
                <w:szCs w:val="24"/>
                <w:highlight w:val="none"/>
              </w:rPr>
              <w:t xml:space="preserve">3.11</w:t>
            </w:r>
            <w:r/>
          </w:p>
        </w:tc>
        <w:tc>
          <w:tcPr>
            <w:tcMar>
              <w:left w:w="120" w:type="dxa"/>
              <w:top w:w="100" w:type="dxa"/>
              <w:right w:w="120" w:type="dxa"/>
              <w:bottom w:w="100" w:type="dxa"/>
            </w:tcMar>
            <w:tcW w:w="4273" w:type="dxa"/>
            <w:textDirection w:val="lrTb"/>
            <w:noWrap w:val="false"/>
          </w:tcPr>
          <w:p>
            <w:pPr>
              <w:keepLines w:val="0"/>
              <w:keepNext w:val="0"/>
              <w:pageBreakBefore w:val="0"/>
              <w:spacing w:line="24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设备管理系统：建立设备管理模块，实现对设备、设施全生命周期管理。</w:t>
            </w:r>
            <w:r/>
          </w:p>
        </w:tc>
        <w:tc>
          <w:tcPr>
            <w:tcMar>
              <w:left w:w="120" w:type="dxa"/>
              <w:top w:w="100" w:type="dxa"/>
              <w:right w:w="120" w:type="dxa"/>
              <w:bottom w:w="100" w:type="dxa"/>
            </w:tcMar>
            <w:tcW w:w="2560" w:type="dxa"/>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大屏建设，预留整县制能源托管接入口</w:t>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1097"/>
        <w:spacing w:before="0" w:after="0"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3.1空调系统优化及改造</w:t>
      </w:r>
      <w:r/>
    </w:p>
    <w:p>
      <w:pPr>
        <w:pStyle w:val="1098"/>
        <w:ind w:firstLine="480"/>
        <w:rPr>
          <w:rFonts w:hint="eastAsia" w:ascii="宋体" w:hAnsi="宋体" w:eastAsia="宋体"/>
          <w:color w:val="auto"/>
          <w:szCs w:val="24"/>
          <w:highlight w:val="none"/>
        </w:rPr>
      </w:pPr>
      <w:r>
        <w:rPr>
          <w:rFonts w:hint="eastAsia" w:ascii="宋体" w:hAnsi="宋体" w:eastAsia="宋体"/>
          <w:color w:val="auto"/>
          <w:szCs w:val="24"/>
          <w:highlight w:val="none"/>
        </w:rPr>
        <w:t xml:space="preserve">1.项目现状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行政办公中心</w:t>
      </w:r>
      <w:r>
        <w:rPr>
          <w:rFonts w:ascii="宋体" w:hAnsi="宋体"/>
          <w:color w:val="auto"/>
          <w:sz w:val="24"/>
          <w:szCs w:val="24"/>
          <w:highlight w:val="none"/>
        </w:rPr>
        <w:t xml:space="preserve">采用分体式空调承担冷热负荷。</w:t>
      </w:r>
      <w:r>
        <w:rPr>
          <w:rFonts w:hint="eastAsia" w:ascii="宋体" w:hAnsi="宋体"/>
          <w:color w:val="auto"/>
          <w:sz w:val="24"/>
          <w:szCs w:val="24"/>
          <w:highlight w:val="none"/>
        </w:rPr>
        <w:t xml:space="preserve">商务服务</w:t>
      </w:r>
      <w:r>
        <w:rPr>
          <w:rFonts w:ascii="宋体" w:hAnsi="宋体"/>
          <w:color w:val="auto"/>
          <w:sz w:val="24"/>
          <w:szCs w:val="24"/>
          <w:highlight w:val="none"/>
        </w:rPr>
        <w:t xml:space="preserve">中心1-4层采用满液式水冷螺杆式冷水机组承担冷负荷，真空热水锅炉承担热负荷；4层以上采用多联机空调系统。分体式空调和多联机空调系统目前无集中智能控制，存在不能进行统一参数设定管理等情况，整体可能存在"无人空调"情况，导致能源浪费。分体式空调缺乏计划性运维，滤网积尘等导致换热效率低。多联机机组位置置于楼层平台主要通过空气换热导致换热效率低。中央空调系统主机未做自动化控制，缺乏智慧化管理，空调主机无法处于最高效运行状态。冷冻水循环泵组和冷却水循环泵组均以工频运行，未配备智能变频调控系统。</w:t>
      </w:r>
      <w:r/>
    </w:p>
    <w:p>
      <w:pPr>
        <w:pStyle w:val="1098"/>
        <w:ind w:firstLine="480"/>
        <w:rPr>
          <w:rFonts w:hint="eastAsia" w:ascii="宋体" w:hAnsi="宋体" w:eastAsia="宋体"/>
          <w:color w:val="auto"/>
          <w:szCs w:val="24"/>
          <w:highlight w:val="none"/>
        </w:rPr>
      </w:pPr>
      <w:r>
        <w:rPr>
          <w:rFonts w:hint="eastAsia" w:ascii="宋体" w:hAnsi="宋体" w:eastAsia="宋体"/>
          <w:color w:val="auto"/>
          <w:szCs w:val="24"/>
          <w:highlight w:val="none"/>
        </w:rPr>
        <w:t xml:space="preserve">2.改造目标、要求</w:t>
      </w:r>
      <w:r/>
    </w:p>
    <w:p>
      <w:pPr>
        <w:pStyle w:val="1098"/>
        <w:ind w:firstLine="480"/>
        <w:rPr>
          <w:rFonts w:hint="eastAsia" w:ascii="宋体" w:hAnsi="宋体" w:eastAsia="宋体"/>
          <w:color w:val="auto"/>
          <w:szCs w:val="24"/>
          <w:highlight w:val="none"/>
        </w:rPr>
      </w:pPr>
      <w:r>
        <w:rPr>
          <w:rFonts w:hint="eastAsia" w:ascii="宋体" w:hAnsi="宋体" w:eastAsia="宋体"/>
          <w:color w:val="auto"/>
          <w:szCs w:val="24"/>
          <w:highlight w:val="none"/>
        </w:rPr>
        <w:t xml:space="preserve">对空调系统实施节能改造，改造措施包括但不限于：</w:t>
      </w:r>
      <w:r/>
    </w:p>
    <w:p>
      <w:pPr>
        <w:pStyle w:val="1098"/>
        <w:numPr>
          <w:ilvl w:val="0"/>
          <w:numId w:val="0"/>
        </w:numPr>
        <w:ind w:left="0" w:firstLine="480"/>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(1)</w:t>
      </w:r>
      <w:r>
        <w:rPr>
          <w:rFonts w:hint="eastAsia" w:ascii="宋体" w:hAnsi="宋体" w:eastAsia="宋体"/>
          <w:color w:val="auto"/>
          <w:szCs w:val="24"/>
          <w:highlight w:val="none"/>
        </w:rPr>
        <w:t xml:space="preserve">分体式空调集中控制：对行政办公中心现有分体式空调增设集中控制系统。通过加装适配的智能控制器，精准实现定时启停控制、制冷制热模式智能切换、合理温度区间限定、按需分组及分区域精细化管控等多元控制功能，从根源上减少甚至避免空调空载运行、过度制冷制热造成的能源浪费。</w:t>
      </w:r>
      <w:r/>
    </w:p>
    <w:p>
      <w:pPr>
        <w:pStyle w:val="1098"/>
        <w:numPr>
          <w:ilvl w:val="0"/>
          <w:numId w:val="0"/>
        </w:numPr>
        <w:ind w:left="0" w:firstLine="480"/>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(2)</w:t>
      </w:r>
      <w:r>
        <w:rPr>
          <w:rFonts w:hint="eastAsia" w:ascii="宋体" w:hAnsi="宋体" w:eastAsia="宋体"/>
          <w:color w:val="auto"/>
          <w:szCs w:val="24"/>
          <w:highlight w:val="none"/>
        </w:rPr>
        <w:t xml:space="preserve">多联机空调集中控制：对商务中心多联机空调增设集中控制系统。要求末端的温度、风速、模式可调节控制，可设置节能控制策略。</w:t>
      </w:r>
      <w:r/>
    </w:p>
    <w:p>
      <w:pPr>
        <w:pStyle w:val="1098"/>
        <w:numPr>
          <w:ilvl w:val="0"/>
          <w:numId w:val="0"/>
        </w:numPr>
        <w:ind w:left="0" w:firstLine="480"/>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(3)</w:t>
      </w:r>
      <w:r>
        <w:rPr>
          <w:rFonts w:hint="eastAsia" w:ascii="宋体" w:hAnsi="宋体" w:eastAsia="宋体"/>
          <w:color w:val="auto"/>
          <w:szCs w:val="24"/>
          <w:highlight w:val="none"/>
        </w:rPr>
        <w:t xml:space="preserve">多联机智能雾化喷淋装置（选做项目）：对商务中心多联机空调室外机加装智能雾化喷淋系统，结合现场实际调整雾化喷淋头，最大程度满足机组降温需求。潜在投标人可自行决定是否实施该项目。</w:t>
      </w:r>
      <w:r/>
    </w:p>
    <w:p>
      <w:pPr>
        <w:pStyle w:val="1098"/>
        <w:numPr>
          <w:ilvl w:val="0"/>
          <w:numId w:val="0"/>
        </w:numPr>
        <w:ind w:left="0" w:firstLine="480"/>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(4)</w:t>
      </w:r>
      <w:r>
        <w:rPr>
          <w:rFonts w:hint="eastAsia" w:ascii="宋体" w:hAnsi="宋体" w:eastAsia="宋体"/>
          <w:color w:val="auto"/>
          <w:szCs w:val="24"/>
          <w:highlight w:val="none"/>
        </w:rPr>
        <w:t xml:space="preserve">中央空调系统增设智能能效控制系统：对商务中心水冷空调系统增设能效控制系统，通过AI人工智能手段，进行大数据分析，建立各时段的能耗模型，匹配最佳的冷量输出控制，最大限度地减少能源浪费。控制对象包括但不限于制冷主机、循环水泵及冷却塔，并对供水管网进行水力平衡调节。</w:t>
      </w:r>
      <w:r/>
    </w:p>
    <w:p>
      <w:pPr>
        <w:pStyle w:val="1098"/>
        <w:numPr>
          <w:ilvl w:val="0"/>
          <w:numId w:val="0"/>
        </w:numPr>
        <w:ind w:left="0" w:firstLine="480"/>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(5)</w:t>
      </w:r>
      <w:r>
        <w:rPr>
          <w:rFonts w:hint="eastAsia" w:ascii="宋体" w:hAnsi="宋体" w:eastAsia="宋体"/>
          <w:color w:val="auto"/>
          <w:szCs w:val="24"/>
          <w:highlight w:val="none"/>
        </w:rPr>
        <w:t xml:space="preserve">空调集中控制系统及智能能效控制系统应接入能碳管理平台。</w:t>
      </w:r>
      <w:r/>
    </w:p>
    <w:p>
      <w:pPr>
        <w:pStyle w:val="1097"/>
        <w:spacing w:before="0" w:after="0" w:line="360" w:lineRule="auto"/>
        <w:widowControl w:val="off"/>
        <w:rPr>
          <w:rFonts w:hint="eastAsia" w:ascii="宋体" w:hAnsi="宋体" w:eastAsia="宋体" w:cstheme="minorBidi"/>
          <w:color w:val="auto"/>
          <w:sz w:val="24"/>
          <w:szCs w:val="24"/>
          <w:highlight w:val="none"/>
        </w:rPr>
      </w:pPr>
      <w:r>
        <w:rPr>
          <w:rFonts w:ascii="宋体" w:hAnsi="宋体" w:eastAsia="宋体" w:cstheme="minorBidi"/>
          <w:color w:val="auto"/>
          <w:sz w:val="24"/>
          <w:szCs w:val="24"/>
          <w:highlight w:val="none"/>
        </w:rPr>
        <w:t xml:space="preserve">3.2供暖系统优化及改造</w:t>
      </w:r>
      <w:r/>
    </w:p>
    <w:p>
      <w:pPr>
        <w:pStyle w:val="1098"/>
        <w:ind w:firstLine="480"/>
        <w:rPr>
          <w:rFonts w:hint="eastAsia" w:ascii="宋体" w:hAnsi="宋体" w:eastAsia="宋体"/>
          <w:color w:val="auto"/>
          <w:szCs w:val="24"/>
          <w:highlight w:val="none"/>
        </w:rPr>
      </w:pPr>
      <w:r>
        <w:rPr>
          <w:rFonts w:hint="eastAsia" w:ascii="宋体" w:hAnsi="宋体" w:eastAsia="宋体"/>
          <w:color w:val="auto"/>
          <w:szCs w:val="24"/>
          <w:highlight w:val="none"/>
        </w:rPr>
        <w:t xml:space="preserve">1.项目现状</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商务</w:t>
      </w:r>
      <w:r>
        <w:rPr>
          <w:rFonts w:hint="eastAsia" w:ascii="宋体" w:hAnsi="宋体"/>
          <w:color w:val="auto"/>
          <w:sz w:val="24"/>
          <w:szCs w:val="24"/>
          <w:highlight w:val="none"/>
        </w:rPr>
        <w:t xml:space="preserve">服务</w:t>
      </w:r>
      <w:r>
        <w:rPr>
          <w:rFonts w:ascii="宋体" w:hAnsi="宋体"/>
          <w:color w:val="auto"/>
          <w:sz w:val="24"/>
          <w:szCs w:val="24"/>
          <w:highlight w:val="none"/>
        </w:rPr>
        <w:t xml:space="preserve">中心1-4层目前由真空热水锅炉承担热负荷，主要使用燃气作为热源，系统实际运行时基本开启两台，单台额定热功率0.93MW，末端制热效果未达理想状态。供暖水循环泵组采用两用一备模式，目前均以工频运行，未配备智能变频调控系统。</w:t>
      </w:r>
      <w:r/>
    </w:p>
    <w:p>
      <w:pPr>
        <w:pStyle w:val="1098"/>
        <w:ind w:firstLine="480"/>
        <w:rPr>
          <w:rFonts w:hint="eastAsia" w:ascii="宋体" w:hAnsi="宋体" w:eastAsia="宋体"/>
          <w:color w:val="auto"/>
          <w:szCs w:val="24"/>
          <w:highlight w:val="none"/>
        </w:rPr>
      </w:pPr>
      <w:r>
        <w:rPr>
          <w:rFonts w:hint="eastAsia" w:ascii="宋体" w:hAnsi="宋体" w:eastAsia="宋体"/>
          <w:color w:val="auto"/>
          <w:szCs w:val="24"/>
          <w:highlight w:val="none"/>
        </w:rPr>
        <w:t xml:space="preserve">2.改造目标、要求</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对供暖系统实施节能改造，改造措施包括但不限于：</w:t>
      </w:r>
      <w:r/>
    </w:p>
    <w:p>
      <w:pPr>
        <w:pStyle w:val="1098"/>
        <w:numPr>
          <w:ilvl w:val="0"/>
          <w:numId w:val="0"/>
        </w:numPr>
        <w:ind w:left="0" w:firstLine="480"/>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(1)</w:t>
      </w:r>
      <w:r>
        <w:rPr>
          <w:rFonts w:hint="eastAsia" w:ascii="宋体" w:hAnsi="宋体" w:eastAsia="宋体"/>
          <w:color w:val="auto"/>
          <w:szCs w:val="24"/>
          <w:highlight w:val="none"/>
        </w:rPr>
        <w:t xml:space="preserve">新增风冷热泵机组，总制热量不低于2130kW，替代原有热水锅炉，减少供暖燃气使用。原有锅炉系统保留；</w:t>
      </w:r>
      <w:r/>
    </w:p>
    <w:p>
      <w:pPr>
        <w:pStyle w:val="1098"/>
        <w:numPr>
          <w:ilvl w:val="0"/>
          <w:numId w:val="0"/>
        </w:numPr>
        <w:ind w:left="0" w:firstLine="480"/>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(2)</w:t>
      </w:r>
      <w:r>
        <w:rPr>
          <w:rFonts w:hint="eastAsia" w:ascii="宋体" w:hAnsi="宋体" w:eastAsia="宋体"/>
          <w:color w:val="auto"/>
          <w:szCs w:val="24"/>
          <w:highlight w:val="none"/>
        </w:rPr>
        <w:t xml:space="preserve">新增主机智能控制系统；</w:t>
      </w:r>
      <w:r/>
    </w:p>
    <w:p>
      <w:pPr>
        <w:pStyle w:val="1098"/>
        <w:numPr>
          <w:ilvl w:val="0"/>
          <w:numId w:val="0"/>
        </w:numPr>
        <w:ind w:left="0" w:firstLine="480"/>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(3)</w:t>
      </w:r>
      <w:r>
        <w:rPr>
          <w:rFonts w:hint="eastAsia" w:ascii="宋体" w:hAnsi="宋体" w:eastAsia="宋体"/>
          <w:color w:val="auto"/>
          <w:szCs w:val="24"/>
          <w:highlight w:val="none"/>
        </w:rPr>
        <w:t xml:space="preserve">利旧/新增水循环泵组，配套智能变频调控系统。</w:t>
      </w:r>
      <w:r/>
    </w:p>
    <w:p>
      <w:pPr>
        <w:pStyle w:val="1098"/>
        <w:numPr>
          <w:ilvl w:val="0"/>
          <w:numId w:val="0"/>
        </w:numPr>
        <w:ind w:left="0" w:firstLine="480"/>
        <w:rPr>
          <w:rFonts w:hint="eastAsia" w:ascii="宋体" w:hAnsi="宋体" w:eastAsia="宋体" w:cs="Times New Roman"/>
          <w:color w:val="auto"/>
          <w:szCs w:val="24"/>
          <w:highlight w:val="none"/>
        </w:rPr>
      </w:pPr>
      <w:r>
        <w:rPr>
          <w:rFonts w:hint="default" w:ascii="宋体" w:hAnsi="宋体" w:eastAsia="宋体" w:cs="Times New Roman"/>
          <w:color w:val="auto"/>
          <w:sz w:val="24"/>
          <w:szCs w:val="24"/>
          <w:lang w:val="en-US" w:eastAsia="zh-CN" w:bidi="ar-SA"/>
        </w:rPr>
        <w:t xml:space="preserve">(4)</w:t>
      </w:r>
      <w:r>
        <w:rPr>
          <w:rFonts w:hint="eastAsia" w:ascii="宋体" w:hAnsi="宋体" w:eastAsia="宋体" w:cs="Times New Roman"/>
          <w:color w:val="auto"/>
          <w:szCs w:val="24"/>
          <w:highlight w:val="none"/>
        </w:rPr>
        <w:t xml:space="preserve">供应商拟投入的空调机组COP或AFP须达到国家一级能效标准，需要提供机组能效检测报告。</w:t>
      </w:r>
      <w:r/>
    </w:p>
    <w:p>
      <w:pPr>
        <w:pStyle w:val="1097"/>
        <w:spacing w:before="0" w:after="0"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3.3照明系统优化及改造</w:t>
      </w:r>
      <w:r/>
    </w:p>
    <w:p>
      <w:pPr>
        <w:pStyle w:val="1098"/>
        <w:ind w:firstLine="480"/>
        <w:rPr>
          <w:rFonts w:hint="eastAsia" w:ascii="宋体" w:hAnsi="宋体" w:eastAsia="宋体"/>
          <w:color w:val="auto"/>
          <w:szCs w:val="24"/>
          <w:highlight w:val="none"/>
        </w:rPr>
      </w:pPr>
      <w:r>
        <w:rPr>
          <w:rFonts w:hint="eastAsia" w:ascii="宋体" w:hAnsi="宋体" w:eastAsia="宋体"/>
          <w:color w:val="auto"/>
          <w:szCs w:val="24"/>
          <w:highlight w:val="none"/>
        </w:rPr>
        <w:t xml:space="preserve">1.项目现状</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行政办公中心及商务中心照明系统大部分已采用LED灯具，但部分灯具老化、光衰严重影响照明效果，部分区域仍存在老旧低效荧光灯灯具。部分公共区域及走廊灯具日间常亮，无法随自然光感自动调节。</w:t>
      </w:r>
      <w:r/>
    </w:p>
    <w:p>
      <w:pPr>
        <w:pStyle w:val="1098"/>
        <w:ind w:firstLine="480"/>
        <w:rPr>
          <w:rFonts w:hint="eastAsia" w:ascii="宋体" w:hAnsi="宋体" w:eastAsia="宋体"/>
          <w:color w:val="auto"/>
          <w:szCs w:val="24"/>
          <w:highlight w:val="none"/>
        </w:rPr>
      </w:pPr>
      <w:r>
        <w:rPr>
          <w:rFonts w:hint="eastAsia" w:ascii="宋体" w:hAnsi="宋体" w:eastAsia="宋体"/>
          <w:color w:val="auto"/>
          <w:szCs w:val="24"/>
          <w:highlight w:val="none"/>
        </w:rPr>
        <w:t xml:space="preserve">2.改造目标、要求</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对目前仍在使用的传统非节能型灯具进行系统性、分批次的整体替换与升级改造，改造数量以实际需求为准。具体要求包括但不限于：</w:t>
      </w:r>
      <w:r/>
    </w:p>
    <w:p>
      <w:pPr>
        <w:pStyle w:val="1098"/>
        <w:numPr>
          <w:ilvl w:val="0"/>
          <w:numId w:val="0"/>
        </w:numPr>
        <w:ind w:left="0" w:firstLine="480"/>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(1)</w:t>
      </w:r>
      <w:r>
        <w:rPr>
          <w:rFonts w:hint="eastAsia" w:ascii="宋体" w:hAnsi="宋体" w:eastAsia="宋体"/>
          <w:color w:val="auto"/>
          <w:szCs w:val="24"/>
          <w:highlight w:val="none"/>
        </w:rPr>
        <w:t xml:space="preserve">更换高效节能灯源，替换现有普通LED光源，在保证照明亮度的前提下节约照明能耗。</w:t>
      </w:r>
      <w:r/>
    </w:p>
    <w:p>
      <w:pPr>
        <w:pStyle w:val="1098"/>
        <w:numPr>
          <w:ilvl w:val="0"/>
          <w:numId w:val="0"/>
        </w:numPr>
        <w:ind w:left="0" w:firstLine="480"/>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(2)</w:t>
      </w:r>
      <w:r>
        <w:rPr>
          <w:rFonts w:hint="eastAsia" w:ascii="宋体" w:hAnsi="宋体" w:eastAsia="宋体"/>
          <w:color w:val="auto"/>
          <w:szCs w:val="24"/>
          <w:highlight w:val="none"/>
        </w:rPr>
        <w:t xml:space="preserve">对公共区域及走廊照明增设感应控制或光感自动调节功能，不得影响使用。</w:t>
      </w:r>
      <w:r/>
    </w:p>
    <w:p>
      <w:pPr>
        <w:pStyle w:val="1098"/>
        <w:numPr>
          <w:ilvl w:val="0"/>
          <w:numId w:val="0"/>
        </w:numPr>
        <w:ind w:left="0" w:firstLine="480"/>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(3)</w:t>
      </w:r>
      <w:r>
        <w:rPr>
          <w:rFonts w:hint="eastAsia" w:ascii="宋体" w:hAnsi="宋体" w:eastAsia="宋体"/>
          <w:color w:val="auto"/>
          <w:szCs w:val="24"/>
          <w:highlight w:val="none"/>
        </w:rPr>
        <w:t xml:space="preserve">潜在投标人承担改造光源在托管服务期内的全部维修和更换工作。</w:t>
      </w:r>
      <w:r/>
    </w:p>
    <w:p>
      <w:pPr>
        <w:pStyle w:val="1097"/>
        <w:spacing w:before="0" w:after="0"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3.4供配电系统优化及改造</w:t>
      </w:r>
      <w:r/>
    </w:p>
    <w:p>
      <w:pPr>
        <w:pStyle w:val="1098"/>
        <w:ind w:firstLine="480"/>
        <w:rPr>
          <w:rFonts w:hint="eastAsia" w:ascii="宋体" w:hAnsi="宋体" w:eastAsia="宋体"/>
          <w:color w:val="auto"/>
          <w:szCs w:val="24"/>
          <w:highlight w:val="none"/>
        </w:rPr>
      </w:pPr>
      <w:r>
        <w:rPr>
          <w:rFonts w:hint="eastAsia" w:ascii="宋体" w:hAnsi="宋体" w:eastAsia="宋体"/>
          <w:color w:val="auto"/>
          <w:szCs w:val="24"/>
          <w:highlight w:val="none"/>
        </w:rPr>
        <w:t xml:space="preserve">1.项目现状</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行政办公中心和商务中心各设置1处配电房，各配备2台变压器，单台额定容量为2000KVA。当前采用手动抄表，供电公司按总表收费，暂未做分类分项计量。</w:t>
      </w:r>
      <w:r/>
    </w:p>
    <w:p>
      <w:pPr>
        <w:pStyle w:val="1098"/>
        <w:ind w:firstLine="480"/>
        <w:rPr>
          <w:rFonts w:hint="eastAsia" w:ascii="宋体" w:hAnsi="宋体" w:eastAsia="宋体"/>
          <w:color w:val="auto"/>
          <w:szCs w:val="24"/>
          <w:highlight w:val="none"/>
        </w:rPr>
      </w:pPr>
      <w:r>
        <w:rPr>
          <w:rFonts w:hint="eastAsia" w:ascii="宋体" w:hAnsi="宋体" w:eastAsia="宋体"/>
          <w:color w:val="auto"/>
          <w:szCs w:val="24"/>
          <w:highlight w:val="none"/>
        </w:rPr>
        <w:t xml:space="preserve">2.改造目标、要求</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增设计量表具及用电安全监测模块，实现分类分项计量和用电安全监测。具体要求包括但不限于：</w:t>
      </w:r>
      <w:r/>
    </w:p>
    <w:p>
      <w:pPr>
        <w:pStyle w:val="1098"/>
        <w:numPr>
          <w:ilvl w:val="0"/>
          <w:numId w:val="0"/>
        </w:numPr>
        <w:ind w:left="0" w:firstLine="480"/>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(1)</w:t>
      </w:r>
      <w:r>
        <w:rPr>
          <w:rFonts w:hint="eastAsia" w:ascii="宋体" w:hAnsi="宋体" w:eastAsia="宋体"/>
          <w:color w:val="auto"/>
          <w:szCs w:val="24"/>
          <w:highlight w:val="none"/>
        </w:rPr>
        <w:t xml:space="preserve">增设多功能电表，实现重点用能回路、区域及设备的用电量监测，电表数量不少于125块，电表精度不小于0.5S级，实现分类分项计量、自动统计。</w:t>
      </w:r>
      <w:r/>
    </w:p>
    <w:p>
      <w:pPr>
        <w:pStyle w:val="1098"/>
        <w:numPr>
          <w:ilvl w:val="0"/>
          <w:numId w:val="0"/>
        </w:numPr>
        <w:ind w:left="0" w:firstLine="480"/>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(2)</w:t>
      </w:r>
      <w:r>
        <w:rPr>
          <w:rFonts w:hint="eastAsia" w:ascii="宋体" w:hAnsi="宋体" w:eastAsia="宋体"/>
          <w:color w:val="auto"/>
          <w:szCs w:val="24"/>
          <w:highlight w:val="none"/>
        </w:rPr>
        <w:t xml:space="preserve">增设用电安全监测模块，监测一路剩余电流和四路温度，一路继电器输出，声光报警，485通讯，事件记录，1路RS485/MODBUS通讯，LCD显示，通过对配电回路的剩余电流、导线温度等火灾危险参数实施监控和管理，预防电气火灾的发生。</w:t>
      </w:r>
      <w:r/>
    </w:p>
    <w:p>
      <w:pPr>
        <w:pStyle w:val="1098"/>
        <w:numPr>
          <w:ilvl w:val="0"/>
          <w:numId w:val="0"/>
        </w:numPr>
        <w:ind w:left="0" w:firstLine="480"/>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(3)</w:t>
      </w:r>
      <w:r>
        <w:rPr>
          <w:rFonts w:hint="eastAsia" w:ascii="宋体" w:hAnsi="宋体" w:eastAsia="宋体"/>
          <w:color w:val="auto"/>
          <w:szCs w:val="24"/>
          <w:highlight w:val="none"/>
        </w:rPr>
        <w:t xml:space="preserve">计量数据应接入能碳管理平台。</w:t>
      </w:r>
      <w:r/>
    </w:p>
    <w:p>
      <w:pPr>
        <w:pStyle w:val="1097"/>
        <w:spacing w:before="0" w:after="0"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3.5给排水系统优化及改造</w:t>
      </w:r>
      <w:r/>
    </w:p>
    <w:p>
      <w:pPr>
        <w:pStyle w:val="1098"/>
        <w:ind w:firstLine="480"/>
        <w:rPr>
          <w:rFonts w:hint="eastAsia" w:ascii="宋体" w:hAnsi="宋体" w:eastAsia="宋体"/>
          <w:color w:val="auto"/>
          <w:szCs w:val="24"/>
          <w:highlight w:val="none"/>
        </w:rPr>
      </w:pPr>
      <w:r>
        <w:rPr>
          <w:rFonts w:hint="eastAsia" w:ascii="宋体" w:hAnsi="宋体" w:eastAsia="宋体"/>
          <w:color w:val="auto"/>
          <w:szCs w:val="24"/>
          <w:highlight w:val="none"/>
        </w:rPr>
        <w:t xml:space="preserve">1.项目现状</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行政办公中心及商务中心在用洁具基本为非节水洁具，出流量大容易导致用水量偏高。供水管网目前主要有市政计量水表，但无法实时采集用水数据，无法及时发现管网漏损情况。</w:t>
      </w:r>
      <w:r/>
    </w:p>
    <w:p>
      <w:pPr>
        <w:pStyle w:val="1098"/>
        <w:ind w:firstLine="480"/>
        <w:rPr>
          <w:rFonts w:hint="eastAsia" w:ascii="宋体" w:hAnsi="宋体" w:eastAsia="宋体"/>
          <w:color w:val="auto"/>
          <w:szCs w:val="24"/>
          <w:highlight w:val="none"/>
        </w:rPr>
      </w:pPr>
      <w:r>
        <w:rPr>
          <w:rFonts w:hint="eastAsia" w:ascii="宋体" w:hAnsi="宋体" w:eastAsia="宋体"/>
          <w:color w:val="auto"/>
          <w:szCs w:val="24"/>
          <w:highlight w:val="none"/>
        </w:rPr>
        <w:t xml:space="preserve">2.改造目标、要求</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对给排水系统实施节水改造，建设供水计量监测系统。具体要求包括但不限于：</w:t>
      </w:r>
      <w:r/>
    </w:p>
    <w:p>
      <w:pPr>
        <w:pStyle w:val="1098"/>
        <w:numPr>
          <w:ilvl w:val="0"/>
          <w:numId w:val="0"/>
        </w:numPr>
        <w:ind w:left="0" w:firstLine="480"/>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(1)</w:t>
      </w:r>
      <w:r>
        <w:rPr>
          <w:rFonts w:hint="eastAsia" w:ascii="宋体" w:hAnsi="宋体" w:eastAsia="宋体"/>
          <w:color w:val="auto"/>
          <w:szCs w:val="24"/>
          <w:highlight w:val="none"/>
        </w:rPr>
        <w:t xml:space="preserve">增设恒流式起泡器，改造在用的非节水龙头，改造数量根据实际需求调整。</w:t>
      </w:r>
      <w:r/>
    </w:p>
    <w:p>
      <w:pPr>
        <w:pStyle w:val="1098"/>
        <w:numPr>
          <w:ilvl w:val="0"/>
          <w:numId w:val="0"/>
        </w:numPr>
        <w:ind w:left="0" w:firstLine="480"/>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(2)</w:t>
      </w:r>
      <w:r>
        <w:rPr>
          <w:rFonts w:hint="eastAsia" w:ascii="宋体" w:hAnsi="宋体" w:eastAsia="宋体"/>
          <w:color w:val="auto"/>
          <w:szCs w:val="24"/>
          <w:highlight w:val="none"/>
        </w:rPr>
        <w:t xml:space="preserve">通过增设具有远传功能的一/二级计量水表，建设供水计量监测系统，形成一/二级水平衡在线分析全覆盖。在线监测水量，数据采集粒度为每小时（可设），根据上下级管网在线分析水平衡状态，查找自来水漏失和用水异常的状况，减少管网漏损率，及时处置跑冒滴漏。</w:t>
      </w:r>
      <w:r/>
    </w:p>
    <w:p>
      <w:pPr>
        <w:pStyle w:val="1098"/>
        <w:numPr>
          <w:ilvl w:val="0"/>
          <w:numId w:val="0"/>
        </w:numPr>
        <w:ind w:left="0" w:firstLine="480"/>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(3)</w:t>
      </w:r>
      <w:r>
        <w:rPr>
          <w:rFonts w:hint="eastAsia" w:ascii="宋体" w:hAnsi="宋体" w:eastAsia="宋体"/>
          <w:color w:val="auto"/>
          <w:szCs w:val="24"/>
          <w:highlight w:val="none"/>
        </w:rPr>
        <w:t xml:space="preserve">供水计量数据应接入能碳管理平台。</w:t>
      </w:r>
      <w:r/>
    </w:p>
    <w:p>
      <w:pPr>
        <w:pStyle w:val="1097"/>
        <w:spacing w:before="0" w:after="0"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3.6建设光伏发电系统</w:t>
      </w:r>
      <w:r/>
    </w:p>
    <w:p>
      <w:pPr>
        <w:pStyle w:val="1098"/>
        <w:ind w:firstLine="480"/>
        <w:rPr>
          <w:rFonts w:hint="eastAsia" w:ascii="宋体" w:hAnsi="宋体" w:eastAsia="宋体"/>
          <w:color w:val="auto"/>
          <w:szCs w:val="24"/>
          <w:highlight w:val="none"/>
        </w:rPr>
      </w:pPr>
      <w:r>
        <w:rPr>
          <w:rFonts w:hint="eastAsia" w:ascii="宋体" w:hAnsi="宋体" w:eastAsia="宋体"/>
          <w:color w:val="auto"/>
          <w:szCs w:val="24"/>
          <w:highlight w:val="none"/>
        </w:rPr>
        <w:t xml:space="preserve">1.项目现状</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商务中心大楼屋顶为平面屋顶，光照条件良好，可充分利用屋面空间建设太阳能光伏发电系统。行政中心大楼屋顶可利用空间较少。</w:t>
      </w:r>
      <w:r/>
    </w:p>
    <w:p>
      <w:pPr>
        <w:pStyle w:val="1098"/>
        <w:ind w:firstLine="480"/>
        <w:rPr>
          <w:rFonts w:hint="eastAsia" w:ascii="宋体" w:hAnsi="宋体" w:eastAsia="宋体"/>
          <w:color w:val="auto"/>
          <w:szCs w:val="24"/>
          <w:highlight w:val="none"/>
        </w:rPr>
      </w:pPr>
      <w:r>
        <w:rPr>
          <w:rFonts w:hint="eastAsia" w:ascii="宋体" w:hAnsi="宋体" w:eastAsia="宋体"/>
          <w:color w:val="auto"/>
          <w:szCs w:val="24"/>
          <w:highlight w:val="none"/>
        </w:rPr>
        <w:t xml:space="preserve">2.改造目标、要求</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利用各建筑楼顶可利用面积建设光伏发电系统，总装机容量不</w:t>
      </w:r>
      <w:r>
        <w:rPr>
          <w:rFonts w:hint="eastAsia" w:ascii="宋体" w:hAnsi="宋体"/>
          <w:color w:val="auto"/>
          <w:sz w:val="24"/>
          <w:szCs w:val="24"/>
          <w:highlight w:val="none"/>
        </w:rPr>
        <w:t xml:space="preserve">低于</w:t>
      </w:r>
      <w:bookmarkStart w:id="8" w:name="OLE_LINK27"/>
      <w:r>
        <w:rPr>
          <w:rFonts w:ascii="宋体" w:hAnsi="宋体"/>
          <w:color w:val="auto"/>
          <w:sz w:val="24"/>
          <w:szCs w:val="24"/>
          <w:highlight w:val="none"/>
        </w:rPr>
        <w:t xml:space="preserve">100kWp</w:t>
      </w:r>
      <w:bookmarkEnd w:id="8"/>
      <w:r>
        <w:rPr>
          <w:rFonts w:ascii="宋体" w:hAnsi="宋体"/>
          <w:color w:val="auto"/>
          <w:sz w:val="24"/>
          <w:szCs w:val="24"/>
          <w:highlight w:val="none"/>
        </w:rPr>
        <w:t xml:space="preserve">。具体要求包括但不限于：</w:t>
      </w:r>
      <w:r/>
    </w:p>
    <w:p>
      <w:pPr>
        <w:pStyle w:val="1098"/>
        <w:numPr>
          <w:ilvl w:val="0"/>
          <w:numId w:val="0"/>
        </w:numPr>
        <w:ind w:left="0" w:firstLine="480"/>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(1)</w:t>
      </w:r>
      <w:r>
        <w:rPr>
          <w:rFonts w:hint="eastAsia" w:ascii="宋体" w:hAnsi="宋体" w:eastAsia="宋体"/>
          <w:color w:val="auto"/>
          <w:szCs w:val="24"/>
          <w:highlight w:val="none"/>
        </w:rPr>
        <w:t xml:space="preserve">潜在投标人负责光伏发电系统的设计、安装、调试及并网接入工作。</w:t>
      </w:r>
      <w:r/>
    </w:p>
    <w:p>
      <w:pPr>
        <w:pStyle w:val="1098"/>
        <w:numPr>
          <w:ilvl w:val="0"/>
          <w:numId w:val="0"/>
        </w:numPr>
        <w:ind w:left="0" w:firstLine="480"/>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(2)</w:t>
      </w:r>
      <w:r>
        <w:rPr>
          <w:rFonts w:hint="eastAsia" w:ascii="宋体" w:hAnsi="宋体" w:eastAsia="宋体"/>
          <w:color w:val="auto"/>
          <w:szCs w:val="24"/>
          <w:highlight w:val="none"/>
        </w:rPr>
        <w:t xml:space="preserve">新建光伏系统所发电量全部自用，不上网。</w:t>
      </w:r>
      <w:r/>
    </w:p>
    <w:p>
      <w:pPr>
        <w:pStyle w:val="1098"/>
        <w:numPr>
          <w:ilvl w:val="0"/>
          <w:numId w:val="0"/>
        </w:numPr>
        <w:ind w:left="0" w:firstLine="480"/>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(3)</w:t>
      </w:r>
      <w:r>
        <w:rPr>
          <w:rFonts w:hint="eastAsia" w:ascii="宋体" w:hAnsi="宋体" w:eastAsia="宋体"/>
          <w:color w:val="auto"/>
          <w:szCs w:val="24"/>
          <w:highlight w:val="none"/>
        </w:rPr>
        <w:t xml:space="preserve">光伏发电数据应接入能碳管理平台。</w:t>
      </w:r>
      <w:r/>
    </w:p>
    <w:p>
      <w:pPr>
        <w:pStyle w:val="1097"/>
        <w:spacing w:before="0" w:after="0"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3.7定时控制改造</w:t>
      </w:r>
      <w:r/>
    </w:p>
    <w:p>
      <w:pPr>
        <w:pStyle w:val="1098"/>
        <w:ind w:firstLine="480"/>
        <w:rPr>
          <w:rFonts w:hint="eastAsia" w:ascii="宋体" w:hAnsi="宋体" w:eastAsia="宋体"/>
          <w:color w:val="auto"/>
          <w:szCs w:val="24"/>
          <w:highlight w:val="none"/>
        </w:rPr>
      </w:pPr>
      <w:r>
        <w:rPr>
          <w:rFonts w:hint="eastAsia" w:ascii="宋体" w:hAnsi="宋体" w:eastAsia="宋体"/>
          <w:color w:val="auto"/>
          <w:szCs w:val="24"/>
          <w:highlight w:val="none"/>
        </w:rPr>
        <w:t xml:space="preserve">1.项目现状</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当前在用开水器、厨房电热水器、小厨宝等设备主要服务行政办公中心及商务中心，管理状况良好。但部分设备非工作时段仍持续保温加热，造成无效的能源浪费，同时反复加热也会影响饮用水水质，不利于使用人员健康，还会加速设备内部结垢，降低设备加热效率，缩短设备使用寿命。</w:t>
      </w:r>
      <w:r/>
    </w:p>
    <w:p>
      <w:pPr>
        <w:pStyle w:val="1098"/>
        <w:ind w:firstLine="480"/>
        <w:rPr>
          <w:rFonts w:hint="eastAsia" w:ascii="宋体" w:hAnsi="宋体" w:eastAsia="宋体"/>
          <w:color w:val="auto"/>
          <w:szCs w:val="24"/>
          <w:highlight w:val="none"/>
        </w:rPr>
      </w:pPr>
      <w:r>
        <w:rPr>
          <w:rFonts w:hint="eastAsia" w:ascii="宋体" w:hAnsi="宋体" w:eastAsia="宋体"/>
          <w:color w:val="auto"/>
          <w:szCs w:val="24"/>
          <w:highlight w:val="none"/>
        </w:rPr>
        <w:t xml:space="preserve">2.改造目标、要求</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对开水器、厨房电热水器、小厨宝等设备加装定时控制装置，改造数量以实际需求为准。具体要求包括但不限于：</w:t>
      </w:r>
      <w:r/>
    </w:p>
    <w:p>
      <w:pPr>
        <w:pStyle w:val="1098"/>
        <w:numPr>
          <w:ilvl w:val="0"/>
          <w:numId w:val="0"/>
        </w:numPr>
        <w:ind w:left="0" w:firstLine="480"/>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(1)</w:t>
      </w:r>
      <w:r>
        <w:rPr>
          <w:rFonts w:hint="eastAsia" w:ascii="宋体" w:hAnsi="宋体" w:eastAsia="宋体"/>
          <w:color w:val="auto"/>
          <w:szCs w:val="24"/>
          <w:highlight w:val="none"/>
        </w:rPr>
        <w:t xml:space="preserve">通过设定固定工作时段，在非用水时段自动切断设备电源，避免非必要的保温能耗，减少无效用电消耗。</w:t>
      </w:r>
      <w:r/>
    </w:p>
    <w:p>
      <w:pPr>
        <w:pStyle w:val="1098"/>
        <w:numPr>
          <w:ilvl w:val="0"/>
          <w:numId w:val="0"/>
        </w:numPr>
        <w:ind w:left="0" w:firstLine="480"/>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(2)</w:t>
      </w:r>
      <w:r>
        <w:rPr>
          <w:rFonts w:hint="eastAsia" w:ascii="宋体" w:hAnsi="宋体" w:eastAsia="宋体"/>
          <w:color w:val="auto"/>
          <w:szCs w:val="24"/>
          <w:highlight w:val="none"/>
        </w:rPr>
        <w:t xml:space="preserve">定时控制装置应支持远程管控，并可接入能碳管理平台。</w:t>
      </w:r>
      <w:r/>
    </w:p>
    <w:p>
      <w:pPr>
        <w:pStyle w:val="1097"/>
        <w:spacing w:before="0" w:after="0"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3.8建设四轮汽车充电桩</w:t>
      </w:r>
      <w:r/>
    </w:p>
    <w:p>
      <w:pPr>
        <w:pStyle w:val="1098"/>
        <w:ind w:firstLine="480"/>
        <w:rPr>
          <w:rFonts w:hint="eastAsia" w:ascii="宋体" w:hAnsi="宋体" w:eastAsia="宋体"/>
          <w:color w:val="auto"/>
          <w:szCs w:val="24"/>
          <w:highlight w:val="none"/>
        </w:rPr>
      </w:pPr>
      <w:r>
        <w:rPr>
          <w:rFonts w:hint="eastAsia" w:ascii="宋体" w:hAnsi="宋体" w:eastAsia="宋体"/>
          <w:color w:val="auto"/>
          <w:szCs w:val="24"/>
          <w:highlight w:val="none"/>
        </w:rPr>
        <w:t xml:space="preserve">1.项目现状</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行政办公中心目前未配置新能源车辆充电设施。</w:t>
      </w:r>
      <w:r/>
    </w:p>
    <w:p>
      <w:pPr>
        <w:pStyle w:val="1098"/>
        <w:ind w:firstLine="480"/>
        <w:rPr>
          <w:rFonts w:hint="eastAsia" w:ascii="宋体" w:hAnsi="宋体" w:eastAsia="宋体"/>
          <w:color w:val="auto"/>
          <w:szCs w:val="24"/>
          <w:highlight w:val="none"/>
        </w:rPr>
      </w:pPr>
      <w:r>
        <w:rPr>
          <w:rFonts w:hint="eastAsia" w:ascii="宋体" w:hAnsi="宋体" w:eastAsia="宋体"/>
          <w:color w:val="auto"/>
          <w:szCs w:val="24"/>
          <w:highlight w:val="none"/>
        </w:rPr>
        <w:t xml:space="preserve">2.改造目标、要求</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建设新能源四轮汽车充电桩，充分满足单位内部新能源车辆日常补能需求。具体要求包括但不限于：</w:t>
      </w:r>
      <w:r/>
    </w:p>
    <w:p>
      <w:pPr>
        <w:pStyle w:val="1098"/>
        <w:numPr>
          <w:ilvl w:val="0"/>
          <w:numId w:val="0"/>
        </w:numPr>
        <w:ind w:left="0" w:firstLine="480"/>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(1)</w:t>
      </w:r>
      <w:r>
        <w:rPr>
          <w:rFonts w:hint="eastAsia" w:ascii="宋体" w:hAnsi="宋体" w:eastAsia="宋体"/>
          <w:color w:val="auto"/>
          <w:szCs w:val="24"/>
          <w:highlight w:val="none"/>
        </w:rPr>
        <w:t xml:space="preserve">建设慢充桩8台，单台功率7kW，满足职工长期停放慢充需求。</w:t>
      </w:r>
      <w:r/>
    </w:p>
    <w:p>
      <w:pPr>
        <w:pStyle w:val="1098"/>
        <w:numPr>
          <w:ilvl w:val="0"/>
          <w:numId w:val="0"/>
        </w:numPr>
        <w:ind w:left="0" w:firstLine="480"/>
        <w:rPr>
          <w:rFonts w:hint="eastAsia" w:ascii="宋体" w:hAnsi="宋体" w:eastAsia="宋体"/>
          <w:color w:val="auto"/>
          <w:szCs w:val="24"/>
          <w:highlight w:val="none"/>
        </w:rPr>
      </w:pPr>
      <w:r>
        <w:rPr>
          <w:rFonts w:hint="default" w:ascii="宋体" w:hAnsi="宋体" w:eastAsia="宋体" w:cstheme="minorBidi"/>
          <w:color w:val="auto"/>
          <w:sz w:val="24"/>
          <w:szCs w:val="24"/>
          <w:lang w:val="en-US" w:eastAsia="zh-CN" w:bidi="ar-SA"/>
        </w:rPr>
        <w:t xml:space="preserve">(2)</w:t>
      </w:r>
      <w:r>
        <w:rPr>
          <w:rFonts w:hint="eastAsia" w:ascii="宋体" w:hAnsi="宋体" w:eastAsia="宋体"/>
          <w:color w:val="auto"/>
          <w:szCs w:val="24"/>
          <w:highlight w:val="none"/>
        </w:rPr>
        <w:t xml:space="preserve">潜在投标人负责充电桩的设计、安装、调试及供电接入工作。</w:t>
      </w:r>
      <w:r/>
    </w:p>
    <w:p>
      <w:pPr>
        <w:pStyle w:val="1097"/>
        <w:spacing w:before="0" w:after="0"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3.9智慧管理运营平台</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智慧管理运营平台需采用面向互联网的软件技术架构进行设计，具有支持高并发、高可靠、高可伸缩、高可扩展、高安全等技术特点，向用户提供高效、可靠的业务流程、功能应用、数据分析等服务，具备先进的自动化运维能力。需具备物联网平台、数据中台、业务中台、技术中台相关能力，具体能力要求如下：</w:t>
      </w:r>
      <w:r/>
    </w:p>
    <w:p>
      <w:pPr>
        <w:pStyle w:val="1098"/>
        <w:ind w:firstLine="480"/>
        <w:rPr>
          <w:rFonts w:hint="eastAsia" w:ascii="宋体" w:hAnsi="宋体" w:eastAsia="宋体"/>
          <w:color w:val="auto"/>
          <w:szCs w:val="24"/>
          <w:highlight w:val="none"/>
        </w:rPr>
      </w:pPr>
      <w:r>
        <w:rPr>
          <w:rFonts w:hint="eastAsia" w:ascii="宋体" w:hAnsi="宋体" w:eastAsia="宋体"/>
          <w:color w:val="auto"/>
          <w:szCs w:val="24"/>
          <w:highlight w:val="none"/>
        </w:rPr>
        <w:t xml:space="preserve">1.物联网平台</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需具备物联网平台相关能力，可实现物联网设备统一集中采集和标准化管理，需支持多种常见物联网协议，快速低成本接入各类第三方设备，为建筑物联网设备集中管理提供支撑。要求能够对接入的各类物联网设备、物联网系统进行统一数据监测，可以根据告警类型、工作模式灵活配置数据告警，实现对故障诊断和处理的精细化管理。</w:t>
      </w:r>
      <w:r/>
    </w:p>
    <w:p>
      <w:pPr>
        <w:pStyle w:val="1098"/>
        <w:ind w:firstLine="480"/>
        <w:rPr>
          <w:rFonts w:hint="eastAsia" w:ascii="宋体" w:hAnsi="宋体" w:eastAsia="宋体"/>
          <w:color w:val="auto"/>
          <w:szCs w:val="24"/>
          <w:highlight w:val="none"/>
        </w:rPr>
      </w:pPr>
      <w:r>
        <w:rPr>
          <w:rFonts w:hint="eastAsia" w:ascii="宋体" w:hAnsi="宋体" w:eastAsia="宋体"/>
          <w:color w:val="auto"/>
          <w:szCs w:val="24"/>
          <w:highlight w:val="none"/>
        </w:rPr>
        <w:t xml:space="preserve">2.数据中台</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需具备数据中台能力，对建筑各类能耗数据进行集成构建，统一各类场景应用及第三方系统信息，将异构系统建的数据进行标准化处理。需具备数据采集、数据清洗、数据处理、数据存储、数据使用等完善的流程，支持根据采购人业务需要灵活调整运营指标体系和运营监督中心展示内容。</w:t>
      </w:r>
      <w:r/>
    </w:p>
    <w:p>
      <w:pPr>
        <w:pStyle w:val="1097"/>
        <w:spacing w:before="0" w:after="0"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3.10能碳管理系统</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建设能碳管理系统，实现用电、用水、用气分类分项计量，满足系统使用需求。通过全面的能耗采集，来分析建筑能耗现状，发现实际运营中存在的各类用能问题，实现能源精细化管理。同时为达到今后建筑智慧运营管理目的，该系统还应能继续开发并与其他第三方系统开放接口，与现有系统对接产生的费用由潜在投标人自行承担。</w:t>
      </w:r>
      <w:r/>
    </w:p>
    <w:p>
      <w:pPr>
        <w:pStyle w:val="1098"/>
        <w:ind w:firstLine="480"/>
        <w:rPr>
          <w:rFonts w:hint="eastAsia" w:ascii="宋体" w:hAnsi="宋体" w:eastAsia="宋体"/>
          <w:color w:val="auto"/>
          <w:szCs w:val="24"/>
          <w:highlight w:val="none"/>
        </w:rPr>
      </w:pPr>
      <w:r>
        <w:rPr>
          <w:rFonts w:hint="eastAsia" w:ascii="宋体" w:hAnsi="宋体" w:eastAsia="宋体"/>
          <w:color w:val="auto"/>
          <w:szCs w:val="24"/>
          <w:highlight w:val="none"/>
        </w:rPr>
        <w:t xml:space="preserve">1.用能情况展示</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（1）能耗门户：支持展示能耗同环比概览、仪表盘、能耗排名、重点区域用能、能源成本分析、告警事件分析、告警统计、关联分析等。</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（2）能耗排名：支持根据所选日期，对多个所选对象进行能耗排名，并以直观的方式展示，如柱状图。</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（3）报告报表：支持能耗报告报表的在线手动生成及自动生成；支持月度、季度、年度节能分析报告的功能。</w:t>
      </w:r>
      <w:r/>
    </w:p>
    <w:p>
      <w:pPr>
        <w:pStyle w:val="1098"/>
        <w:ind w:firstLine="480"/>
        <w:rPr>
          <w:rFonts w:hint="eastAsia" w:ascii="宋体" w:hAnsi="宋体" w:eastAsia="宋体"/>
          <w:color w:val="auto"/>
          <w:szCs w:val="24"/>
          <w:highlight w:val="none"/>
        </w:rPr>
      </w:pPr>
      <w:r>
        <w:rPr>
          <w:rFonts w:hint="eastAsia" w:ascii="宋体" w:hAnsi="宋体" w:eastAsia="宋体"/>
          <w:color w:val="auto"/>
          <w:szCs w:val="24"/>
          <w:highlight w:val="none"/>
        </w:rPr>
        <w:t xml:space="preserve">2.用能分析</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能耗分析：支持对已识别的能耗模型节点的能耗分析，包括提供对可设时间段、建筑区域等维度的能耗分析；支持分析下级能耗数据，可分析下属位置区域/功能区域的能耗组成，可分析能源分项的能耗组成。支持能耗的钻取分析，向下级节点及末端节点下钻分析能耗占比及对增长率进行排名。提供同比、环比分析，可分析能耗同比值、环比值。</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（2）告警管理：显示当前设备告警信息，支持条件查询相关告警信息。</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（3）成本管理：支持按不同能耗节点计算成本。</w:t>
      </w:r>
      <w:r/>
    </w:p>
    <w:p>
      <w:pPr>
        <w:pStyle w:val="1098"/>
        <w:ind w:firstLine="480"/>
        <w:rPr>
          <w:rFonts w:hint="eastAsia" w:ascii="宋体" w:hAnsi="宋体" w:eastAsia="宋体"/>
          <w:color w:val="auto"/>
          <w:szCs w:val="24"/>
          <w:highlight w:val="none"/>
        </w:rPr>
      </w:pPr>
      <w:r>
        <w:rPr>
          <w:rFonts w:hint="eastAsia" w:ascii="宋体" w:hAnsi="宋体" w:eastAsia="宋体"/>
          <w:color w:val="auto"/>
          <w:szCs w:val="24"/>
          <w:highlight w:val="none"/>
        </w:rPr>
        <w:t xml:space="preserve">3.碳排放管理</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（1）碳排放热力图功能：可以通过颜色渐变直观展示特定区域内的碳排放分布和密度。</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（2）区域电力负荷功能：可以监测和分析特定区域的电力使用情况。</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（3）能源供应结构功能：可以通过数据可视化工具，展示各种能源在总能源供应中的比例和趋势。</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（4）能源与碳排放趋势功能：可以展示特定区域或组织的能源使用量和碳排放量的历史趋势以及未来预测。</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（5）碳排放监测功能：可以跟踪碳排放量随时间的变化趋势，展示碳排放量的历史数据和预测数据。</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（6）碳排放配额使用功能：可以跟踪碳排放配额的使用情况，包括已使用、剩余和超过配额的情况。</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（7）新能源发电量监测功能：可以监测光伏等新能源系统的发电量数据。</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（8）减排量对比功能：可以展示节能减排量的对比分析数据。</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（9）重点用能单位监测功能：可以对重点用能单位的能耗和碳排放进行监测。</w:t>
      </w:r>
      <w:r/>
    </w:p>
    <w:p>
      <w:pPr>
        <w:pStyle w:val="1097"/>
        <w:spacing w:before="0" w:after="0"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3.11设备管理系统建设要求</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潜在投标人需在建设期内完成设备管理系统建设，以平台提供的空间设备信息为基础，实现对设备、设施全生命周期管理，建设预防式维护体系以提高运行效率。</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可按照分类、节能命令、遥控开关等进行批量远程操作，需显示空调使用的总体状况、空调运转汇总信息和能耗信息，需实现通过平台监测显示空调的基本信息，内机当前运行参数信息，其中包括室内温度、开关状态、运行模式、设定温度、累计用电量等，同时模拟内机面板和各控制状态按钮，对远程内机的开关状态、运转模式、设定温度、风向等进行控制。在策略管理上需能设置如制冷下限、制热上限、开关机时间等，任意多个策略可以组成一个策略组，策略组即绑定到内机实现策略控制的内容形式。同时具备能耗统计、运行统计及基础管理等功能。</w:t>
      </w:r>
      <w:r/>
    </w:p>
    <w:p>
      <w:pPr>
        <w:pStyle w:val="1096"/>
        <w:spacing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4.管理要求</w:t>
      </w:r>
      <w:r/>
    </w:p>
    <w:p>
      <w:pPr>
        <w:pStyle w:val="1097"/>
        <w:spacing w:before="0" w:after="0"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4.1人员组织</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节能服务公司（中标人）应为本项目配备经验丰富的项目团队，团队骨干成员应有能源系统管理、公共建筑节能改造、空调系统运维等相关经验。中标人应保证项目团队主要人员稳定性，在未经过采购人同意的情况下，中标人不得随意更换人员。采购人或中标人认为需要更换项目经理或项目团队成员时，均应提前两周向对方申明原因，中标人应同时提出新的符合合同要求的项目经理或项目团队成员人选，经采购人同意并办理交接手续后方可更换。</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节能服务公司（中标人）应配备专业技术团队为本项目提供专业技术支持服务，专业技术人员应来自不同的专业领域，如网络专家、暖通设备专家、电力系统专家以及其它专业业务专家等。</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节能服务公司（中标人）应当确保其工作人员或者其聘请的第三方在项目实施、运行的整个过程中遵守采购人的相关规章制度。</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维保费用应包括驻场服务人员（不少于1人）的运维管理费用，以及原有冷水机组和燃气锅炉的日常维护保养费用</w:t>
      </w:r>
      <w:r>
        <w:rPr>
          <w:rFonts w:hint="eastAsia" w:ascii="宋体" w:hAnsi="宋体"/>
          <w:color w:val="auto"/>
          <w:sz w:val="24"/>
          <w:szCs w:val="24"/>
          <w:highlight w:val="none"/>
        </w:rPr>
        <w:t xml:space="preserve">，包含</w:t>
      </w:r>
      <w:r>
        <w:rPr>
          <w:rFonts w:ascii="宋体" w:hAnsi="宋体"/>
          <w:color w:val="auto"/>
          <w:sz w:val="24"/>
          <w:szCs w:val="24"/>
          <w:highlight w:val="none"/>
        </w:rPr>
        <w:t xml:space="preserve">原有冷水机组和燃气锅炉</w:t>
      </w:r>
      <w:r>
        <w:rPr>
          <w:rFonts w:hint="eastAsia" w:ascii="宋体" w:hAnsi="宋体"/>
          <w:color w:val="auto"/>
          <w:sz w:val="24"/>
          <w:szCs w:val="24"/>
          <w:highlight w:val="none"/>
        </w:rPr>
        <w:t xml:space="preserve">人民币贰佰元以下的耗材费用</w:t>
      </w:r>
      <w:r>
        <w:rPr>
          <w:rFonts w:ascii="宋体" w:hAnsi="宋体"/>
          <w:color w:val="auto"/>
          <w:sz w:val="24"/>
          <w:szCs w:val="24"/>
          <w:highlight w:val="none"/>
        </w:rPr>
        <w:t xml:space="preserve">。</w:t>
      </w:r>
      <w:r>
        <w:rPr>
          <w:rFonts w:hint="eastAsia" w:ascii="宋体" w:hAnsi="宋体"/>
          <w:color w:val="auto"/>
          <w:sz w:val="24"/>
          <w:szCs w:val="24"/>
          <w:highlight w:val="none"/>
        </w:rPr>
        <w:t xml:space="preserve">如</w:t>
      </w:r>
      <w:r>
        <w:rPr>
          <w:rFonts w:ascii="宋体" w:hAnsi="宋体"/>
          <w:color w:val="auto"/>
          <w:sz w:val="24"/>
          <w:szCs w:val="24"/>
          <w:highlight w:val="none"/>
        </w:rPr>
        <w:t xml:space="preserve">原有冷水机组和燃气锅炉</w:t>
      </w:r>
      <w:r>
        <w:rPr>
          <w:rFonts w:hint="eastAsia" w:ascii="宋体" w:hAnsi="宋体"/>
          <w:color w:val="auto"/>
          <w:sz w:val="24"/>
          <w:szCs w:val="24"/>
          <w:highlight w:val="none"/>
        </w:rPr>
        <w:t xml:space="preserve">出现大修或耗材费用超过人民币贰佰元，由招标人负责。</w:t>
      </w:r>
      <w:r/>
    </w:p>
    <w:p>
      <w:pPr>
        <w:pStyle w:val="1097"/>
        <w:spacing w:before="0" w:after="0"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4.2进度管理</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潜在投标人应有详细计划，明确每个阶段的阶段目标、阶段性成果、验收依据、双方的责任和义务等。潜在投标人在投标文件中须有详细的节能改造施工方案，施工方案应明确施工项目、施工方式、施工投入设备设施规格、型号、品牌、安装位置及数量等，施工方案需经采购人同意或采购人委托的监理机构同意才能开工，潜在投标人应按项目方案文件规定的技术标准和要求以及本合同的规定，按时完成本项目的方案设计、建设。</w:t>
      </w:r>
      <w:r/>
    </w:p>
    <w:p>
      <w:pPr>
        <w:pStyle w:val="1097"/>
        <w:spacing w:before="0" w:after="0"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4.3风险管理</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实际运行过程中，风险随时可能出现，潜在投标人应根据项目实际情况加强风险管理，做好风险的识别，风险的量化分析，制定风险的应对预案。潜在投标人应当确保其工作人员和其聘请的第三方严格遵守采购人有关施工场地安全和卫生等方面的规定，并听从采购人合理的现场指挥。</w:t>
      </w:r>
      <w:r/>
    </w:p>
    <w:p>
      <w:pPr>
        <w:pStyle w:val="1097"/>
        <w:spacing w:before="0" w:after="0"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4.4服务质量</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潜在投标人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采购人在施工、管理、质量等方面的要求。潜在投标人应根据整个项目周期的工作计划，对阶段性工作成果进行审查和测试，并向项目单位提交阶段性工作成果。通过保证各阶段性成果的质量，最终保证整个项目的质量。潜在投标人应针对项目制定详细的质量管理方案。</w:t>
      </w:r>
      <w:r/>
    </w:p>
    <w:p>
      <w:pPr>
        <w:pStyle w:val="1097"/>
        <w:spacing w:before="0" w:after="0"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4.5文档要求</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潜在投标人应依照要求提供服务周期内的各类文档，除特别要求的文档，可采用电子文档的形式；潜在投标人应按照采购人规定的文档格式、文档要求，提交周期准时的相关文档，潜在投标人应提供所有的文档，主要包括：各项问题分析报告、典型经验总结、系统数据报告、系统数据分析报告、系统的优化建议方案等；除了常规报告类的文档，潜在投标人需按照服务要求提供相关技术方案等临时性文档，还应配合采购人进行相关项目验收的资料准备、各项规章制度的编制、完善等文档类工作。</w:t>
      </w:r>
      <w:r/>
    </w:p>
    <w:p>
      <w:pPr>
        <w:pStyle w:val="1097"/>
        <w:spacing w:before="0" w:after="0"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4.6知识产权</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对于结合采购人专门服务需求开发的部分，采购人享有知识产权。潜在投标人在项目服务过程中涉及第三方产品，若出现技术、经济或法律上的纠纷，应由潜在投标人全面承担并全权解决，确保不影响工作的正常开展。</w:t>
      </w:r>
      <w:r/>
    </w:p>
    <w:p>
      <w:pPr>
        <w:pStyle w:val="1097"/>
        <w:spacing w:before="0" w:after="0"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4.7合同变更要求</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如在项目服务过程中需要调整合同中规定的工作内容，需经潜在投标人与采购人共同同意，按合同变更程序办理。</w:t>
      </w:r>
      <w:r/>
    </w:p>
    <w:p>
      <w:pPr>
        <w:pStyle w:val="1097"/>
        <w:spacing w:before="0" w:after="0"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4.8保密要求</w:t>
      </w:r>
      <w:r/>
    </w:p>
    <w:p>
      <w:pPr>
        <w:ind w:left="0" w:firstLine="480"/>
        <w:keepLines w:val="0"/>
        <w:keepNext w:val="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1.潜在投标人必须严格遵守采购人信息安全方面的要求。对于参与项目的人员均需签订统一的信息保密协议。</w:t>
      </w:r>
      <w:r/>
    </w:p>
    <w:p>
      <w:pPr>
        <w:ind w:left="0" w:firstLine="480"/>
        <w:keepLines w:val="0"/>
        <w:keepNext w:val="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2.潜在投标人应对以下信息进行保密，具体包括：</w:t>
      </w:r>
      <w:r/>
    </w:p>
    <w:p>
      <w:pPr>
        <w:ind w:left="0" w:firstLine="480"/>
        <w:keepLines w:val="0"/>
        <w:keepNext w:val="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（1）项目信息：如业务流程、技术方案、业务数据（静态数据、动态数据、历史数据）、报表指标、技术指标、计算机软件、数据库、操作手册、技术资料等。</w:t>
      </w:r>
      <w:r/>
    </w:p>
    <w:p>
      <w:pPr>
        <w:ind w:left="0" w:firstLine="480"/>
        <w:keepLines w:val="0"/>
        <w:keepNext w:val="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（2）保密信息既包括书面认定为保密或专有的，又包括口头给予，随即被书面确认为保密或专有的信息。保密信息存储介质包括但不限于纸质文档、电子文档、光盘、U盘、服务器等文档。</w:t>
      </w:r>
      <w:r/>
    </w:p>
    <w:p>
      <w:pPr>
        <w:ind w:left="0" w:firstLine="480"/>
        <w:keepLines w:val="0"/>
        <w:keepNext w:val="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3.潜在投标人组建的项目成员在项目单位履行职责期间，必须遵守采购人规定的任何成文或不成文的保密规章、制度，履行与其工作岗位相应的保密职责。</w:t>
      </w:r>
      <w:r/>
    </w:p>
    <w:p>
      <w:pPr>
        <w:pStyle w:val="1096"/>
        <w:spacing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5.其他</w:t>
      </w:r>
      <w:r/>
    </w:p>
    <w:p>
      <w:pPr>
        <w:pStyle w:val="1098"/>
        <w:ind w:firstLine="482"/>
        <w:rPr>
          <w:rFonts w:hint="eastAsia" w:ascii="宋体" w:hAnsi="宋体" w:eastAsia="宋体"/>
          <w:b/>
          <w:color w:val="auto"/>
          <w:szCs w:val="24"/>
          <w:highlight w:val="none"/>
        </w:rPr>
      </w:pPr>
      <w:r>
        <w:rPr>
          <w:rFonts w:ascii="宋体" w:hAnsi="宋体" w:eastAsia="宋体" w:cs="Times New Roman"/>
          <w:b/>
          <w:bCs/>
          <w:color w:val="auto"/>
          <w:szCs w:val="24"/>
          <w:highlight w:val="none"/>
        </w:rPr>
        <w:t xml:space="preserve">5.1</w:t>
      </w:r>
      <w:r>
        <w:rPr>
          <w:rFonts w:hint="eastAsia" w:ascii="宋体" w:hAnsi="宋体" w:eastAsia="宋体"/>
          <w:color w:val="auto"/>
          <w:szCs w:val="24"/>
          <w:highlight w:val="none"/>
        </w:rPr>
        <w:t xml:space="preserve">本项目托管内容包括用电费用、用水费用、用气费用，潜在投标人须对睢宁县行政办公中心及商务中心水、电、气能源使用情况进行全方位的管理。</w:t>
      </w:r>
      <w:r/>
    </w:p>
    <w:p>
      <w:pPr>
        <w:pStyle w:val="1098"/>
        <w:ind w:firstLine="482"/>
        <w:rPr>
          <w:rFonts w:hint="eastAsia" w:ascii="宋体" w:hAnsi="宋体" w:eastAsia="宋体" w:cs="仿宋"/>
          <w:color w:val="auto"/>
          <w:szCs w:val="24"/>
          <w:highlight w:val="none"/>
        </w:rPr>
      </w:pPr>
      <w:r>
        <w:rPr>
          <w:rFonts w:ascii="宋体" w:hAnsi="宋体" w:eastAsia="宋体" w:cs="Times New Roman"/>
          <w:b/>
          <w:bCs/>
          <w:color w:val="auto"/>
          <w:szCs w:val="24"/>
          <w:highlight w:val="none"/>
        </w:rPr>
        <w:t xml:space="preserve">5.2</w:t>
      </w:r>
      <w:r>
        <w:rPr>
          <w:rFonts w:hint="eastAsia" w:ascii="宋体" w:hAnsi="宋体" w:eastAsia="宋体" w:cs="仿宋"/>
          <w:color w:val="auto"/>
          <w:szCs w:val="24"/>
          <w:highlight w:val="none"/>
        </w:rPr>
        <w:t xml:space="preserve">中标人在合同期限内仅拥有中标人所投资的所有设备的产权，采购人原能源设备所有权均归采购人所有。</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为持续降低项目整体能耗水平，提升能源使用效率，潜在投标人应在获得采购人同意下，对设备不断投入进行节能改造，包括但不仅限于空调、照明、动力等。</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在合同期限内，采购人投资的所有能源系统设备，其日常运营管理、维护保养及故障维修所产生的费用由采购人承担，潜在投标人投资的所有能源系统设备，其日常运营管理、维护保养及故障维修所产生的费用由潜在投标人承担。维保费用应包括驻场服务人员（不少于1人）的运维管理费用，以及原有冷水机组和燃气锅炉的日常维护保养费用</w:t>
      </w:r>
      <w:r>
        <w:rPr>
          <w:rFonts w:hint="eastAsia" w:ascii="宋体" w:hAnsi="宋体"/>
          <w:color w:val="auto"/>
          <w:sz w:val="24"/>
          <w:szCs w:val="24"/>
          <w:highlight w:val="none"/>
        </w:rPr>
        <w:t xml:space="preserve">，包含</w:t>
      </w:r>
      <w:r>
        <w:rPr>
          <w:rFonts w:ascii="宋体" w:hAnsi="宋体"/>
          <w:color w:val="auto"/>
          <w:sz w:val="24"/>
          <w:szCs w:val="24"/>
          <w:highlight w:val="none"/>
        </w:rPr>
        <w:t xml:space="preserve">原有冷水机组和燃气锅炉</w:t>
      </w:r>
      <w:r>
        <w:rPr>
          <w:rFonts w:hint="eastAsia" w:ascii="宋体" w:hAnsi="宋体"/>
          <w:color w:val="auto"/>
          <w:sz w:val="24"/>
          <w:szCs w:val="24"/>
          <w:highlight w:val="none"/>
        </w:rPr>
        <w:t xml:space="preserve">人民币贰佰元以下的耗材费用</w:t>
      </w:r>
      <w:r>
        <w:rPr>
          <w:rFonts w:ascii="宋体" w:hAnsi="宋体"/>
          <w:color w:val="auto"/>
          <w:sz w:val="24"/>
          <w:szCs w:val="24"/>
          <w:highlight w:val="none"/>
        </w:rPr>
        <w:t xml:space="preserve">。</w:t>
      </w:r>
      <w:r>
        <w:rPr>
          <w:rFonts w:hint="eastAsia" w:ascii="宋体" w:hAnsi="宋体"/>
          <w:color w:val="auto"/>
          <w:sz w:val="24"/>
          <w:szCs w:val="24"/>
          <w:highlight w:val="none"/>
        </w:rPr>
        <w:t xml:space="preserve">如</w:t>
      </w:r>
      <w:r>
        <w:rPr>
          <w:rFonts w:ascii="宋体" w:hAnsi="宋体"/>
          <w:color w:val="auto"/>
          <w:sz w:val="24"/>
          <w:szCs w:val="24"/>
          <w:highlight w:val="none"/>
        </w:rPr>
        <w:t xml:space="preserve">原有冷水机组和燃气锅炉</w:t>
      </w:r>
      <w:r>
        <w:rPr>
          <w:rFonts w:hint="eastAsia" w:ascii="宋体" w:hAnsi="宋体"/>
          <w:color w:val="auto"/>
          <w:sz w:val="24"/>
          <w:szCs w:val="24"/>
          <w:highlight w:val="none"/>
        </w:rPr>
        <w:t xml:space="preserve">出现大修或耗材费用超过人民币贰佰元，由招标人负责。</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合同期满后，潜在投标人所投项目财产的所有权无偿移交给采购人，潜在投标人应保证项目财产正常运行，项目财产的所有权移交时，应同时移交本项目继续运行所必需的资料。如该项目财产的继续使用需要潜在投标人的相关技术和相关知识产权的授权，潜在投标人应当无偿向采购人提供仅适用于本项目的所有授权。如该项目财产的继续使用涉及第三方的服务，该服务的费用由采购人承担。</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潜在投标人在合同期内须提供涉及第三方的服务或相关知识产权的所有权或使用权。潜在投标人须在投标文件中提供承诺，并承诺合同期满后将该部分所有权与硬件一并移交采购人。</w:t>
      </w:r>
      <w:r/>
    </w:p>
    <w:p>
      <w:pPr>
        <w:pStyle w:val="1098"/>
        <w:ind w:firstLine="482"/>
        <w:rPr>
          <w:rFonts w:hint="eastAsia" w:ascii="宋体" w:hAnsi="宋体" w:eastAsia="宋体" w:cs="Times New Roman"/>
          <w:color w:val="auto"/>
          <w:szCs w:val="24"/>
          <w:highlight w:val="none"/>
        </w:rPr>
      </w:pPr>
      <w:r>
        <w:rPr>
          <w:rFonts w:hint="eastAsia" w:ascii="宋体" w:hAnsi="宋体" w:eastAsia="宋体" w:cs="Times New Roman"/>
          <w:b/>
          <w:bCs/>
          <w:color w:val="auto"/>
          <w:szCs w:val="24"/>
          <w:highlight w:val="none"/>
        </w:rPr>
        <w:t xml:space="preserve">5.3</w:t>
      </w:r>
      <w:r>
        <w:rPr>
          <w:rFonts w:hint="eastAsia" w:ascii="宋体" w:hAnsi="宋体" w:eastAsia="宋体" w:cs="仿宋"/>
          <w:color w:val="auto"/>
          <w:szCs w:val="24"/>
          <w:highlight w:val="none"/>
        </w:rPr>
        <w:t xml:space="preserve">以上章节中的设备清单仅供参考，潜在投标人应认真踏勘现场和周边环境，了解一切可能影响合同能源管理及技术改造的因素，潜在投标人应对自行获取资料信息的正确性负责，因此产生的费用自行承担，一旦中标，不得以不完全了解项目现状为由提出额外的补偿、费用增加和延长工期等要求，提供承诺书加盖公章，格式自拟。</w:t>
      </w:r>
      <w:r/>
    </w:p>
    <w:p>
      <w:pPr>
        <w:pStyle w:val="1098"/>
        <w:ind w:firstLine="482"/>
        <w:rPr>
          <w:rFonts w:hint="eastAsia" w:ascii="宋体" w:hAnsi="宋体" w:eastAsia="宋体" w:cs="仿宋"/>
          <w:color w:val="auto"/>
          <w:szCs w:val="24"/>
          <w:highlight w:val="none"/>
        </w:rPr>
      </w:pPr>
      <w:r>
        <w:rPr>
          <w:rFonts w:hint="eastAsia" w:ascii="宋体" w:hAnsi="宋体" w:eastAsia="宋体" w:cs="Times New Roman"/>
          <w:b/>
          <w:bCs/>
          <w:color w:val="auto"/>
          <w:szCs w:val="24"/>
          <w:highlight w:val="none"/>
        </w:rPr>
        <w:t xml:space="preserve">5.4</w:t>
      </w:r>
      <w:r>
        <w:rPr>
          <w:rFonts w:hint="eastAsia" w:ascii="宋体" w:hAnsi="宋体" w:eastAsia="宋体" w:cs="仿宋"/>
          <w:color w:val="auto"/>
          <w:szCs w:val="24"/>
          <w:highlight w:val="none"/>
        </w:rPr>
        <w:t xml:space="preserve">潜在投标人在进行运维管理和技术改造时须遵守采购人的相关制度、管理及保密规定，提供承诺书加盖公章，格式自拟。</w:t>
      </w:r>
      <w:r/>
    </w:p>
    <w:p>
      <w:pPr>
        <w:pStyle w:val="1098"/>
        <w:ind w:firstLine="482"/>
        <w:rPr>
          <w:rFonts w:hint="eastAsia" w:ascii="宋体" w:hAnsi="宋体" w:eastAsia="宋体"/>
          <w:color w:val="auto"/>
          <w:szCs w:val="24"/>
          <w:highlight w:val="none"/>
        </w:rPr>
      </w:pPr>
      <w:r>
        <w:rPr>
          <w:rFonts w:hint="eastAsia" w:ascii="宋体" w:hAnsi="宋体" w:eastAsia="宋体" w:cs="Times New Roman"/>
          <w:b/>
          <w:bCs/>
          <w:color w:val="auto"/>
          <w:szCs w:val="24"/>
          <w:highlight w:val="none"/>
        </w:rPr>
        <w:t xml:space="preserve">5.5</w:t>
      </w:r>
      <w:r>
        <w:rPr>
          <w:rFonts w:ascii="宋体" w:hAnsi="宋体" w:eastAsia="宋体" w:cs="Times New Roman"/>
          <w:color w:val="auto"/>
          <w:szCs w:val="24"/>
          <w:highlight w:val="none"/>
        </w:rPr>
        <w:t xml:space="preserve">如单年度内发生用能设备增、减（5kW及以上），极端天气及设备损坏、遭外力破坏、用能面积变化、用能人数变化等原因导致的能源消耗发生重大变化，双方可协商能源费用调整方式，具体方式以书面补充协议形式确定。</w:t>
      </w:r>
      <w:r/>
    </w:p>
    <w:p>
      <w:pPr>
        <w:pStyle w:val="1098"/>
        <w:ind w:firstLine="482"/>
        <w:rPr>
          <w:rFonts w:hint="eastAsia" w:ascii="宋体" w:hAnsi="宋体" w:eastAsia="宋体" w:cs="Times New Roman"/>
          <w:color w:val="auto"/>
          <w:szCs w:val="24"/>
          <w:highlight w:val="none"/>
        </w:rPr>
      </w:pPr>
      <w:r>
        <w:rPr>
          <w:rFonts w:hint="eastAsia" w:ascii="宋体" w:hAnsi="宋体" w:eastAsia="宋体" w:cs="Times New Roman"/>
          <w:b/>
          <w:bCs/>
          <w:color w:val="auto"/>
          <w:szCs w:val="24"/>
          <w:highlight w:val="none"/>
        </w:rPr>
        <w:t xml:space="preserve">5.6</w:t>
      </w:r>
      <w:r>
        <w:rPr>
          <w:rFonts w:hint="eastAsia" w:ascii="宋体" w:hAnsi="宋体" w:eastAsia="宋体" w:cs="Times New Roman"/>
          <w:color w:val="auto"/>
          <w:szCs w:val="24"/>
          <w:highlight w:val="none"/>
        </w:rPr>
        <w:t xml:space="preserve">如单年度内能源单价发生变化，能源单价变化所造成的能源费用差额部分在每托管年度后的第一个月进行结算，具体方式以书面补充协议形式确定。</w:t>
      </w:r>
      <w:r/>
    </w:p>
    <w:p>
      <w:pPr>
        <w:pStyle w:val="1098"/>
        <w:ind w:firstLine="482"/>
        <w:rPr>
          <w:rFonts w:hint="eastAsia" w:ascii="宋体" w:hAnsi="宋体" w:eastAsia="宋体" w:cs="Times New Roman"/>
          <w:color w:val="auto"/>
          <w:szCs w:val="24"/>
          <w:highlight w:val="none"/>
        </w:rPr>
      </w:pPr>
      <w:r>
        <w:rPr>
          <w:rFonts w:hint="eastAsia" w:ascii="宋体" w:hAnsi="宋体" w:eastAsia="宋体" w:cs="Times New Roman"/>
          <w:b/>
          <w:bCs/>
          <w:color w:val="auto"/>
          <w:szCs w:val="24"/>
          <w:highlight w:val="none"/>
        </w:rPr>
        <w:t xml:space="preserve">5.7</w:t>
      </w:r>
      <w:r>
        <w:rPr>
          <w:rFonts w:hint="eastAsia" w:ascii="宋体" w:hAnsi="宋体" w:eastAsia="宋体" w:cs="Times New Roman"/>
          <w:color w:val="auto"/>
          <w:szCs w:val="24"/>
          <w:highlight w:val="none"/>
        </w:rPr>
        <w:t xml:space="preserve">因国家相关部门或能源供应公司给予采购人、潜在投标人优惠政策而降低的能源费用应根据优惠政策条件由双方各自受益。</w:t>
      </w:r>
      <w:r/>
    </w:p>
    <w:p>
      <w:pPr>
        <w:pStyle w:val="1098"/>
        <w:ind w:firstLine="482"/>
        <w:rPr>
          <w:rFonts w:hint="eastAsia" w:ascii="宋体" w:hAnsi="宋体" w:eastAsia="宋体" w:cs="Times New Roman"/>
          <w:color w:val="auto"/>
          <w:szCs w:val="24"/>
          <w:highlight w:val="none"/>
        </w:rPr>
      </w:pPr>
      <w:r>
        <w:rPr>
          <w:rFonts w:hint="eastAsia" w:ascii="宋体" w:hAnsi="宋体" w:eastAsia="宋体" w:cs="Times New Roman"/>
          <w:b/>
          <w:bCs/>
          <w:color w:val="auto"/>
          <w:szCs w:val="24"/>
          <w:highlight w:val="none"/>
        </w:rPr>
        <w:t xml:space="preserve">5.8</w:t>
      </w:r>
      <w:r>
        <w:rPr>
          <w:rFonts w:hint="eastAsia" w:ascii="宋体" w:hAnsi="宋体" w:eastAsia="宋体" w:cs="Times New Roman"/>
          <w:color w:val="auto"/>
          <w:szCs w:val="24"/>
          <w:highlight w:val="none"/>
        </w:rPr>
        <w:t xml:space="preserve">如潜在投标人需进行标书以外的节能改造项目，需经采购人同意并以书面补充协议形式确定，但不涉及已经确定的中标价格。</w:t>
      </w:r>
      <w:r/>
    </w:p>
    <w:p>
      <w:pPr>
        <w:pStyle w:val="1096"/>
        <w:spacing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6.考核内容</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供暖质量：供暖季保证每天室内温度满足18±2℃的条件，如采购人有合理的个性化需求，则以采购人需求为准。</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供冷质量：供冷季保证每天室内温度满足26±2℃的条件，空气相对湿度在40%-70%之间，如采购人有合理的个性化需求，则以采购人需求为准。</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服务要求：由于托管项目内用能的特殊性，所有用能设备系统以及智能监测管控系统的全部主动管控权由采购方合理管控，潜在投标人须在采购方认可的情况下对用能设备进行合理提醒、协助管控。托管期间，未经采购人允许，不得随意停止水、电、气的供应，不得随意关闭灯具、办公等设备，不得随意降低项目用水压力等参数。</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服务时间：提供365天×24小时的不间断运维服务指导，为采购人提供舒适满意的用能体验。</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故障响应时间：投标人投入设备发生故障应在2小时内予以响应，4小时内修复，因特殊零配件原因48小时内修复，并持续协助故障的最终解答或解决。</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项目保障：建立健全项目相关组织构架、设备、系统、记录、创新、奖惩等各环节、多维度的规章制度，并执行到位。</w:t>
      </w:r>
      <w:r/>
    </w:p>
    <w:p>
      <w:pPr>
        <w:pStyle w:val="1096"/>
        <w:spacing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7.质量要求</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符合国家相关技术规范和要求及采购人的要求。</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空调供应要求如下表所示：</w:t>
      </w:r>
      <w:r/>
    </w:p>
    <w:p>
      <w:pPr>
        <w:jc w:val="center"/>
        <w:spacing w:line="360" w:lineRule="auto"/>
        <w:rPr>
          <w:rFonts w:hint="eastAsia" w:ascii="宋体" w:hAnsi="宋体"/>
          <w:color w:val="auto"/>
          <w:sz w:val="24"/>
          <w:szCs w:val="24"/>
          <w:highlight w:val="none"/>
        </w:rPr>
      </w:pPr>
      <w:r>
        <w:rPr>
          <w:rFonts w:ascii="宋体" w:hAnsi="宋体"/>
          <w:b/>
          <w:bCs/>
          <w:color w:val="auto"/>
          <w:sz w:val="24"/>
          <w:szCs w:val="24"/>
          <w:highlight w:val="none"/>
        </w:rPr>
        <w:t xml:space="preserve">空调冷热供应要求</w:t>
      </w:r>
      <w:r/>
    </w:p>
    <w:tbl>
      <w:tblPr>
        <w:tblStyle w:val="764"/>
        <w:tblW w:w="8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2117"/>
        <w:gridCol w:w="6189"/>
      </w:tblGrid>
      <w:tr>
        <w:trPr>
          <w:jc w:val="center"/>
          <w:tblHeader/>
        </w:trPr>
        <w:tc>
          <w:tcPr>
            <w:tcMar>
              <w:left w:w="120" w:type="dxa"/>
              <w:top w:w="100" w:type="dxa"/>
              <w:right w:w="120" w:type="dxa"/>
              <w:bottom w:w="100" w:type="dxa"/>
            </w:tcMar>
            <w:tcW w:w="2117" w:type="dxa"/>
            <w:vAlign w:val="center"/>
            <w:textDirection w:val="lrTb"/>
            <w:noWrap w:val="false"/>
          </w:tcPr>
          <w:p>
            <w:pPr>
              <w:jc w:val="center"/>
              <w:spacing w:line="360" w:lineRule="auto"/>
              <w:rPr>
                <w:rFonts w:hint="eastAsia" w:ascii="宋体" w:hAnsi="宋体"/>
                <w:b/>
                <w:color w:val="auto"/>
                <w:sz w:val="24"/>
                <w:szCs w:val="24"/>
                <w:highlight w:val="none"/>
              </w:rPr>
            </w:pPr>
            <w:r>
              <w:rPr>
                <w:rFonts w:ascii="宋体" w:hAnsi="宋体"/>
                <w:b/>
                <w:bCs/>
                <w:color w:val="auto"/>
                <w:sz w:val="24"/>
                <w:szCs w:val="24"/>
                <w:highlight w:val="none"/>
              </w:rPr>
              <w:t xml:space="preserve">项目</w:t>
            </w:r>
            <w:r/>
          </w:p>
        </w:tc>
        <w:tc>
          <w:tcPr>
            <w:tcMar>
              <w:left w:w="120" w:type="dxa"/>
              <w:top w:w="100" w:type="dxa"/>
              <w:right w:w="120" w:type="dxa"/>
              <w:bottom w:w="100" w:type="dxa"/>
            </w:tcMar>
            <w:tcW w:w="6189" w:type="dxa"/>
            <w:vAlign w:val="center"/>
            <w:textDirection w:val="lrTb"/>
            <w:noWrap w:val="false"/>
          </w:tcPr>
          <w:p>
            <w:pPr>
              <w:jc w:val="center"/>
              <w:spacing w:line="360" w:lineRule="auto"/>
              <w:rPr>
                <w:rFonts w:hint="eastAsia" w:ascii="宋体" w:hAnsi="宋体"/>
                <w:b/>
                <w:color w:val="auto"/>
                <w:sz w:val="24"/>
                <w:szCs w:val="24"/>
                <w:highlight w:val="none"/>
              </w:rPr>
            </w:pPr>
            <w:r>
              <w:rPr>
                <w:rFonts w:ascii="宋体" w:hAnsi="宋体"/>
                <w:b/>
                <w:bCs/>
                <w:color w:val="auto"/>
                <w:sz w:val="24"/>
                <w:szCs w:val="24"/>
                <w:highlight w:val="none"/>
              </w:rPr>
              <w:t xml:space="preserve">内容条件</w:t>
            </w:r>
            <w:r/>
          </w:p>
        </w:tc>
      </w:tr>
      <w:tr>
        <w:trPr>
          <w:jc w:val="center"/>
        </w:trPr>
        <w:tc>
          <w:tcPr>
            <w:tcMar>
              <w:left w:w="120" w:type="dxa"/>
              <w:top w:w="100" w:type="dxa"/>
              <w:right w:w="120" w:type="dxa"/>
              <w:bottom w:w="100" w:type="dxa"/>
            </w:tcMar>
            <w:tcW w:w="2117" w:type="dxa"/>
            <w:vAlign w:val="center"/>
            <w:textDirection w:val="lrTb"/>
            <w:noWrap w:val="false"/>
          </w:tcPr>
          <w:p>
            <w:pP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供冷时间</w:t>
            </w:r>
            <w:r/>
          </w:p>
        </w:tc>
        <w:tc>
          <w:tcPr>
            <w:tcMar>
              <w:left w:w="120" w:type="dxa"/>
              <w:top w:w="100" w:type="dxa"/>
              <w:right w:w="120" w:type="dxa"/>
              <w:bottom w:w="100" w:type="dxa"/>
            </w:tcMar>
            <w:tcW w:w="6189" w:type="dxa"/>
            <w:vAlign w:val="center"/>
            <w:textDirection w:val="lrTb"/>
            <w:noWrap w:val="false"/>
          </w:tcPr>
          <w:p>
            <w:pP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5月</w:t>
            </w:r>
            <w:r>
              <w:rPr>
                <w:rFonts w:hint="eastAsia" w:ascii="宋体" w:hAnsi="宋体"/>
                <w:color w:val="auto"/>
                <w:sz w:val="24"/>
                <w:szCs w:val="24"/>
                <w:highlight w:val="none"/>
              </w:rPr>
              <w:t xml:space="preserve">20</w:t>
            </w:r>
            <w:r>
              <w:rPr>
                <w:rFonts w:ascii="宋体" w:hAnsi="宋体"/>
                <w:color w:val="auto"/>
                <w:sz w:val="24"/>
                <w:szCs w:val="24"/>
                <w:highlight w:val="none"/>
              </w:rPr>
              <w:t xml:space="preserve">日～9月30日</w:t>
            </w:r>
            <w:r/>
          </w:p>
        </w:tc>
      </w:tr>
      <w:tr>
        <w:trPr>
          <w:jc w:val="center"/>
        </w:trPr>
        <w:tc>
          <w:tcPr>
            <w:tcMar>
              <w:left w:w="120" w:type="dxa"/>
              <w:top w:w="100" w:type="dxa"/>
              <w:right w:w="120" w:type="dxa"/>
              <w:bottom w:w="100" w:type="dxa"/>
            </w:tcMar>
            <w:tcW w:w="2117" w:type="dxa"/>
            <w:vAlign w:val="center"/>
            <w:textDirection w:val="lrTb"/>
            <w:noWrap w:val="false"/>
          </w:tcPr>
          <w:p>
            <w:pP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供热时间</w:t>
            </w:r>
            <w:r/>
          </w:p>
        </w:tc>
        <w:tc>
          <w:tcPr>
            <w:tcMar>
              <w:left w:w="120" w:type="dxa"/>
              <w:top w:w="100" w:type="dxa"/>
              <w:right w:w="120" w:type="dxa"/>
              <w:bottom w:w="100" w:type="dxa"/>
            </w:tcMar>
            <w:tcW w:w="6189" w:type="dxa"/>
            <w:vAlign w:val="center"/>
            <w:textDirection w:val="lrTb"/>
            <w:noWrap w:val="false"/>
          </w:tcPr>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参照徐州市集中供热时间进行</w:t>
            </w:r>
            <w:r/>
          </w:p>
        </w:tc>
      </w:tr>
      <w:tr>
        <w:trPr>
          <w:jc w:val="center"/>
        </w:trPr>
        <w:tc>
          <w:tcPr>
            <w:tcMar>
              <w:left w:w="120" w:type="dxa"/>
              <w:top w:w="100" w:type="dxa"/>
              <w:right w:w="120" w:type="dxa"/>
              <w:bottom w:w="100" w:type="dxa"/>
            </w:tcMar>
            <w:tcW w:w="2117" w:type="dxa"/>
            <w:vAlign w:val="center"/>
            <w:textDirection w:val="lrTb"/>
            <w:noWrap w:val="false"/>
          </w:tcPr>
          <w:p>
            <w:pP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空调标准</w:t>
            </w:r>
            <w:r/>
          </w:p>
        </w:tc>
        <w:tc>
          <w:tcPr>
            <w:tcMar>
              <w:left w:w="120" w:type="dxa"/>
              <w:top w:w="100" w:type="dxa"/>
              <w:right w:w="120" w:type="dxa"/>
              <w:bottom w:w="100" w:type="dxa"/>
            </w:tcMar>
            <w:tcW w:w="6189" w:type="dxa"/>
            <w:vAlign w:val="center"/>
            <w:textDirection w:val="lrTb"/>
            <w:noWrap w:val="false"/>
          </w:tcPr>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夏季室内≥26℃且≤28℃，冬季室内≥18℃且≤20℃</w:t>
            </w:r>
            <w:r/>
          </w:p>
        </w:tc>
      </w:tr>
      <w:tr>
        <w:trPr>
          <w:jc w:val="center"/>
        </w:trPr>
        <w:tc>
          <w:tcPr>
            <w:tcMar>
              <w:left w:w="120" w:type="dxa"/>
              <w:top w:w="100" w:type="dxa"/>
              <w:right w:w="120" w:type="dxa"/>
              <w:bottom w:w="100" w:type="dxa"/>
            </w:tcMar>
            <w:tcW w:w="2117" w:type="dxa"/>
            <w:vAlign w:val="center"/>
            <w:textDirection w:val="lrTb"/>
            <w:noWrap w:val="false"/>
          </w:tcPr>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日供时段</w:t>
            </w:r>
            <w:r/>
          </w:p>
        </w:tc>
        <w:tc>
          <w:tcPr>
            <w:tcMar>
              <w:left w:w="120" w:type="dxa"/>
              <w:top w:w="100" w:type="dxa"/>
              <w:right w:w="120" w:type="dxa"/>
              <w:bottom w:w="100" w:type="dxa"/>
            </w:tcMar>
            <w:tcW w:w="6189" w:type="dxa"/>
            <w:vAlign w:val="center"/>
            <w:textDirection w:val="lrTb"/>
            <w:noWrap w:val="false"/>
          </w:tcPr>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供冷供热：8：00-18:00</w:t>
            </w:r>
            <w:r/>
          </w:p>
        </w:tc>
      </w:tr>
    </w:tbl>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注：</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1.供应期内，潜在投标人需保证24小时不间断供能。</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2.特殊情况时，供应标准由双方协商决定。</w:t>
      </w:r>
      <w:r/>
    </w:p>
    <w:p>
      <w:pPr>
        <w:pStyle w:val="1096"/>
        <w:spacing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8.服务期限</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平台部署及节能技改建设期为自开工日期起180日历天，建设验收合格后下月首日进入托管期，能源托管服务期限为10年。</w:t>
      </w:r>
      <w:r/>
    </w:p>
    <w:p>
      <w:pPr>
        <w:pStyle w:val="1096"/>
        <w:spacing w:line="360" w:lineRule="auto"/>
        <w:widowControl w:val="off"/>
        <w:rPr>
          <w:rFonts w:hint="eastAsia" w:ascii="宋体" w:hAnsi="宋体" w:eastAsia="宋体" w:cstheme="minorBidi"/>
          <w:color w:val="auto"/>
          <w:sz w:val="24"/>
          <w:szCs w:val="24"/>
          <w:highlight w:val="none"/>
        </w:rPr>
      </w:pPr>
      <w:r>
        <w:rPr>
          <w:rFonts w:ascii="宋体" w:hAnsi="宋体" w:eastAsia="宋体" w:cstheme="minorBidi"/>
          <w:color w:val="auto"/>
          <w:sz w:val="24"/>
          <w:szCs w:val="24"/>
          <w:highlight w:val="none"/>
        </w:rPr>
        <w:t xml:space="preserve">9.费用单价约定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参照建筑能耗基准值核定报告，商务中心</w:t>
      </w:r>
      <w:r>
        <w:rPr>
          <w:rFonts w:ascii="宋体" w:hAnsi="宋体"/>
          <w:color w:val="auto"/>
          <w:sz w:val="24"/>
          <w:szCs w:val="24"/>
          <w:highlight w:val="none"/>
        </w:rPr>
        <w:t xml:space="preserve">用电单价</w:t>
      </w:r>
      <w:r>
        <w:rPr>
          <w:rFonts w:hint="eastAsia" w:ascii="宋体" w:hAnsi="宋体"/>
          <w:color w:val="auto"/>
          <w:sz w:val="24"/>
          <w:szCs w:val="24"/>
          <w:highlight w:val="none"/>
        </w:rPr>
        <w:t xml:space="preserve">0.73</w:t>
      </w:r>
      <w:r>
        <w:rPr>
          <w:rFonts w:ascii="宋体" w:hAnsi="宋体"/>
          <w:color w:val="auto"/>
          <w:sz w:val="24"/>
          <w:szCs w:val="24"/>
          <w:highlight w:val="none"/>
        </w:rPr>
        <w:t xml:space="preserve">元/kWh，用水单价</w:t>
      </w:r>
      <w:r>
        <w:rPr>
          <w:rFonts w:hint="eastAsia" w:ascii="宋体" w:hAnsi="宋体"/>
          <w:color w:val="auto"/>
          <w:sz w:val="24"/>
          <w:szCs w:val="24"/>
          <w:highlight w:val="none"/>
        </w:rPr>
        <w:t xml:space="preserve">4.04</w:t>
      </w:r>
      <w:r>
        <w:rPr>
          <w:rFonts w:ascii="宋体" w:hAnsi="宋体"/>
          <w:color w:val="auto"/>
          <w:sz w:val="24"/>
          <w:szCs w:val="24"/>
          <w:highlight w:val="none"/>
        </w:rPr>
        <w:t xml:space="preserve">元/吨，</w:t>
      </w:r>
      <w:r>
        <w:rPr>
          <w:rFonts w:hint="eastAsia" w:ascii="宋体" w:hAnsi="宋体"/>
          <w:color w:val="auto"/>
          <w:sz w:val="24"/>
          <w:szCs w:val="24"/>
          <w:highlight w:val="none"/>
        </w:rPr>
        <w:t xml:space="preserve">天然气</w:t>
      </w:r>
      <w:r>
        <w:rPr>
          <w:rFonts w:ascii="宋体" w:hAnsi="宋体"/>
          <w:color w:val="auto"/>
          <w:sz w:val="24"/>
          <w:szCs w:val="24"/>
          <w:highlight w:val="none"/>
        </w:rPr>
        <w:t xml:space="preserve">用气单价</w:t>
      </w:r>
      <w:r>
        <w:rPr>
          <w:rFonts w:hint="eastAsia" w:ascii="宋体" w:hAnsi="宋体"/>
          <w:color w:val="auto"/>
          <w:sz w:val="24"/>
          <w:szCs w:val="24"/>
          <w:highlight w:val="none"/>
        </w:rPr>
        <w:t xml:space="preserve">4.78</w:t>
      </w:r>
      <w:r>
        <w:rPr>
          <w:rFonts w:ascii="宋体" w:hAnsi="宋体"/>
          <w:color w:val="auto"/>
          <w:sz w:val="24"/>
          <w:szCs w:val="24"/>
          <w:highlight w:val="none"/>
        </w:rPr>
        <w:t xml:space="preserve">元/m³，</w:t>
      </w:r>
      <w:r>
        <w:rPr>
          <w:rFonts w:hint="eastAsia" w:ascii="宋体" w:hAnsi="宋体"/>
          <w:color w:val="auto"/>
          <w:sz w:val="24"/>
          <w:szCs w:val="24"/>
          <w:highlight w:val="none"/>
        </w:rPr>
        <w:t xml:space="preserve">行政中心用电单价0.73</w:t>
      </w:r>
      <w:r>
        <w:rPr>
          <w:rFonts w:ascii="宋体" w:hAnsi="宋体"/>
          <w:color w:val="auto"/>
          <w:sz w:val="24"/>
          <w:szCs w:val="24"/>
          <w:highlight w:val="none"/>
        </w:rPr>
        <w:t xml:space="preserve">元/kWh，用水单价</w:t>
      </w:r>
      <w:r>
        <w:rPr>
          <w:rFonts w:hint="eastAsia" w:ascii="宋体" w:hAnsi="宋体"/>
          <w:color w:val="auto"/>
          <w:sz w:val="24"/>
          <w:szCs w:val="24"/>
          <w:highlight w:val="none"/>
        </w:rPr>
        <w:t xml:space="preserve">3.36</w:t>
      </w:r>
      <w:r>
        <w:rPr>
          <w:rFonts w:ascii="宋体" w:hAnsi="宋体"/>
          <w:color w:val="auto"/>
          <w:sz w:val="24"/>
          <w:szCs w:val="24"/>
          <w:highlight w:val="none"/>
        </w:rPr>
        <w:t xml:space="preserve">元/吨，</w:t>
      </w:r>
      <w:r>
        <w:rPr>
          <w:rFonts w:hint="eastAsia" w:ascii="宋体" w:hAnsi="宋体"/>
          <w:color w:val="auto"/>
          <w:sz w:val="24"/>
          <w:szCs w:val="24"/>
          <w:highlight w:val="none"/>
        </w:rPr>
        <w:t xml:space="preserve">天然气</w:t>
      </w:r>
      <w:r>
        <w:rPr>
          <w:rFonts w:ascii="宋体" w:hAnsi="宋体"/>
          <w:color w:val="auto"/>
          <w:sz w:val="24"/>
          <w:szCs w:val="24"/>
          <w:highlight w:val="none"/>
        </w:rPr>
        <w:t xml:space="preserve">用气单价</w:t>
      </w:r>
      <w:r>
        <w:rPr>
          <w:rFonts w:hint="eastAsia" w:ascii="宋体" w:hAnsi="宋体"/>
          <w:color w:val="auto"/>
          <w:sz w:val="24"/>
          <w:szCs w:val="24"/>
          <w:highlight w:val="none"/>
        </w:rPr>
        <w:t xml:space="preserve">4.32</w:t>
      </w:r>
      <w:r>
        <w:rPr>
          <w:rFonts w:ascii="宋体" w:hAnsi="宋体"/>
          <w:color w:val="auto"/>
          <w:sz w:val="24"/>
          <w:szCs w:val="24"/>
          <w:highlight w:val="none"/>
        </w:rPr>
        <w:t xml:space="preserve">元/m³</w:t>
      </w:r>
      <w:r>
        <w:rPr>
          <w:rFonts w:hint="eastAsia" w:ascii="宋体" w:hAnsi="宋体"/>
          <w:color w:val="auto"/>
          <w:sz w:val="24"/>
          <w:szCs w:val="24"/>
          <w:highlight w:val="none"/>
        </w:rPr>
        <w:t xml:space="preserve">，</w:t>
      </w:r>
      <w:r>
        <w:rPr>
          <w:rFonts w:ascii="宋体" w:hAnsi="宋体"/>
          <w:color w:val="auto"/>
          <w:sz w:val="24"/>
          <w:szCs w:val="24"/>
          <w:highlight w:val="none"/>
        </w:rPr>
        <w:t xml:space="preserve">后期逐月能源资源单价金额超过基准单价上下浮动的±3%时，以当期当月的实际单价进行调整确认，并在每托管年度后的第一个月进行统一结算。</w:t>
      </w:r>
      <w:r/>
    </w:p>
    <w:p>
      <w:pPr>
        <w:pStyle w:val="1096"/>
        <w:spacing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10.项目预算及最高限价</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人民币</w:t>
      </w:r>
      <w:r>
        <w:rPr>
          <w:rFonts w:hint="eastAsia" w:ascii="宋体" w:hAnsi="宋体"/>
          <w:color w:val="auto"/>
          <w:sz w:val="24"/>
          <w:szCs w:val="24"/>
          <w:highlight w:val="none"/>
        </w:rPr>
        <w:t xml:space="preserve">4415.6</w:t>
      </w:r>
      <w:r>
        <w:rPr>
          <w:rFonts w:ascii="宋体" w:hAnsi="宋体"/>
          <w:color w:val="auto"/>
          <w:sz w:val="24"/>
          <w:szCs w:val="24"/>
          <w:highlight w:val="none"/>
        </w:rPr>
        <w:t xml:space="preserve">万元/</w:t>
      </w:r>
      <w:r>
        <w:rPr>
          <w:rFonts w:hint="eastAsia" w:ascii="宋体" w:hAnsi="宋体"/>
          <w:color w:val="auto"/>
          <w:sz w:val="24"/>
          <w:szCs w:val="24"/>
          <w:highlight w:val="none"/>
        </w:rPr>
        <w:t xml:space="preserve">10</w:t>
      </w:r>
      <w:r>
        <w:rPr>
          <w:rFonts w:ascii="宋体" w:hAnsi="宋体"/>
          <w:color w:val="auto"/>
          <w:sz w:val="24"/>
          <w:szCs w:val="24"/>
          <w:highlight w:val="none"/>
        </w:rPr>
        <w:t xml:space="preserve">年（含</w:t>
      </w:r>
      <w:r>
        <w:rPr>
          <w:rFonts w:hint="eastAsia" w:ascii="宋体" w:hAnsi="宋体"/>
          <w:color w:val="auto"/>
          <w:sz w:val="24"/>
          <w:szCs w:val="24"/>
          <w:highlight w:val="none"/>
        </w:rPr>
        <w:t xml:space="preserve">能源</w:t>
      </w:r>
      <w:r>
        <w:rPr>
          <w:rFonts w:ascii="宋体" w:hAnsi="宋体"/>
          <w:color w:val="auto"/>
          <w:sz w:val="24"/>
          <w:szCs w:val="24"/>
          <w:highlight w:val="none"/>
        </w:rPr>
        <w:t xml:space="preserve">费用</w:t>
      </w:r>
      <w:r>
        <w:rPr>
          <w:rFonts w:hint="eastAsia" w:ascii="宋体" w:hAnsi="宋体"/>
          <w:color w:val="auto"/>
          <w:sz w:val="24"/>
          <w:szCs w:val="24"/>
          <w:highlight w:val="none"/>
        </w:rPr>
        <w:t xml:space="preserve">和</w:t>
      </w:r>
      <w:r>
        <w:rPr>
          <w:rFonts w:ascii="宋体" w:hAnsi="宋体"/>
          <w:color w:val="auto"/>
          <w:sz w:val="24"/>
          <w:szCs w:val="24"/>
          <w:highlight w:val="none"/>
        </w:rPr>
        <w:t xml:space="preserve">运维维保费用）。</w:t>
      </w:r>
      <w:r/>
    </w:p>
    <w:p>
      <w:pPr>
        <w:pStyle w:val="1096"/>
        <w:spacing w:line="360" w:lineRule="auto"/>
        <w:widowControl w:val="off"/>
        <w:rPr>
          <w:rFonts w:hint="eastAsia" w:ascii="宋体" w:hAnsi="宋体" w:eastAsia="宋体" w:cstheme="minorBidi"/>
          <w:color w:val="auto"/>
          <w:sz w:val="24"/>
          <w:szCs w:val="24"/>
          <w:highlight w:val="none"/>
        </w:rPr>
      </w:pPr>
      <w:r>
        <w:rPr>
          <w:rFonts w:ascii="宋体" w:hAnsi="宋体" w:eastAsia="宋体" w:cstheme="minorBidi"/>
          <w:color w:val="auto"/>
          <w:sz w:val="24"/>
          <w:szCs w:val="24"/>
          <w:highlight w:val="none"/>
        </w:rPr>
        <w:t xml:space="preserve">11.付款方式</w:t>
      </w:r>
      <w:r/>
    </w:p>
    <w:p>
      <w:pPr>
        <w:pStyle w:val="1097"/>
        <w:spacing w:before="0" w:after="0"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11.1付款方式</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合同期内，采购人按照合同约定按月支付能源托管费用给中标人。中标人必须根据实际发生能耗费用缴付至当地供电部门、自来水公司及燃气公司。中标人当月10个工作日内向采购人提供合法税务发票，综合能源服务及机电运维服务费发票。采购人在收到中标人合法税务发票后按财务流程以电汇方式向中标人指定账户按时支付每月的能源托管费用（年能源托管费用的1/12）。</w:t>
      </w:r>
      <w:r/>
    </w:p>
    <w:p>
      <w:pPr>
        <w:pStyle w:val="1097"/>
        <w:spacing w:before="0" w:after="0" w:line="360" w:lineRule="auto"/>
        <w:widowControl w:val="off"/>
        <w:rPr>
          <w:rFonts w:hint="eastAsia" w:ascii="宋体" w:hAnsi="宋体" w:eastAsia="宋体" w:cstheme="minorBidi"/>
          <w:color w:val="auto"/>
          <w:sz w:val="24"/>
          <w:szCs w:val="24"/>
          <w:highlight w:val="none"/>
        </w:rPr>
      </w:pPr>
      <w:r>
        <w:rPr>
          <w:rFonts w:hint="eastAsia" w:ascii="宋体" w:hAnsi="宋体" w:eastAsia="宋体" w:cstheme="minorBidi"/>
          <w:color w:val="auto"/>
          <w:sz w:val="24"/>
          <w:szCs w:val="24"/>
          <w:highlight w:val="none"/>
        </w:rPr>
        <w:t xml:space="preserve">11.2费用调整规则</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托管期间如遇供能部门调整能源单价，托管费用应按能耗基准单价与实际价格的差额进行调整（单价波动小于5%，不予调整），年底进行一次性结算，多退少补，时间段为单价调整的时间点至结算的时间点。</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托管期内可能存在的用能设备增减、业务范围（量）增减、极端天气及设备损坏、遭外力破坏等因素导致托管范围发生变化，包括但不限于以下情况时，双方可按如下约定进行费用调整（年底进行一次性结算，多退少补），乙方以书面形式向甲方提交合同费用调整说明（包含但不限制于用能设备及器具调整、业务面积或用途调整、工程施工用能、第三方经营业务服务范围扩大、不可抗力等因素引起的合同费用调整）。费用调整规则参考《公共机构能源费用托管实施规程》（JS/T301-2024）。</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说明：本项目中如涉及建筑机电安装工程专业承包、承装(修、试)电力设施许可证等市场准入类资质的，应严格执行国家相关法律法规的要求。采购人、中标供应商双方签订合同前，应包含上述市场准入类资质要求的条款，否则采购人有权拒绝签订合同并追究其相关法律责任。</w:t>
      </w:r>
      <w:r/>
    </w:p>
    <w:p>
      <w:p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3.其他要求：</w:t>
      </w:r>
      <w:r>
        <w:rPr>
          <w:rFonts w:hint="eastAsia" w:ascii="宋体" w:hAnsi="宋体" w:eastAsia="宋体" w:cs="宋体"/>
          <w:b/>
          <w:bCs/>
          <w:sz w:val="24"/>
          <w:szCs w:val="24"/>
          <w:highlight w:val="none"/>
        </w:rPr>
        <w:t xml:space="preserve">见招标文件第五章《拟签订的合同文本》。</w:t>
      </w:r>
      <w:r/>
    </w:p>
    <w:p>
      <w:pPr>
        <w:rPr>
          <w:rFonts w:hint="eastAsia" w:ascii="宋体" w:hAnsi="宋体" w:eastAsia="宋体" w:cs="宋体"/>
          <w:b/>
          <w:sz w:val="30"/>
          <w:highlight w:val="none"/>
        </w:rPr>
      </w:pPr>
      <w:r>
        <w:rPr>
          <w:rFonts w:hint="eastAsia" w:ascii="宋体" w:hAnsi="宋体" w:eastAsia="宋体" w:cs="宋体"/>
          <w:b/>
          <w:sz w:val="30"/>
          <w:highlight w:val="none"/>
        </w:rPr>
        <w:br w:type="page" w:clear="all"/>
      </w:r>
      <w:r/>
    </w:p>
    <w:p>
      <w:pPr>
        <w:jc w:val="center"/>
        <w:spacing w:line="360" w:lineRule="auto"/>
        <w:rPr>
          <w:rFonts w:hint="eastAsia" w:ascii="宋体" w:hAnsi="宋体" w:eastAsia="宋体" w:cs="宋体"/>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第七章 投标文件相关格式</w:t>
      </w:r>
      <w:r/>
    </w:p>
    <w:p>
      <w:pPr>
        <w:ind w:firstLine="0"/>
        <w:jc w:val="cente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一、投标函格式</w:t>
      </w:r>
      <w:r/>
    </w:p>
    <w:p>
      <w:pPr>
        <w:keepLines w:val="0"/>
        <w:keepNext w:val="0"/>
        <w:pageBreakBefore w:val="0"/>
        <w:spacing w:line="360" w:lineRule="auto"/>
        <w:widowControl w:val="off"/>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致：</w:t>
      </w:r>
      <w:r>
        <w:rPr>
          <w:rFonts w:hint="eastAsia" w:ascii="宋体" w:hAnsi="宋体" w:cs="宋体"/>
          <w:b/>
          <w:bCs/>
          <w:sz w:val="24"/>
          <w:szCs w:val="24"/>
          <w:highlight w:val="none"/>
          <w:u w:val="single"/>
          <w:lang w:eastAsia="zh-CN"/>
        </w:rPr>
        <w:t xml:space="preserve">睢宁县机关事务管理中心</w:t>
      </w:r>
      <w:r/>
    </w:p>
    <w:p>
      <w:pPr>
        <w:ind w:firstLine="60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]招标文件，</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(姓名)代表我方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（投标人的名称）全权处理本次投标的有关事宜。</w:t>
      </w:r>
      <w:r/>
    </w:p>
    <w:p>
      <w:pPr>
        <w:ind w:firstLine="60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据此函，投标人承诺并同意如下： </w:t>
      </w:r>
      <w:r/>
    </w:p>
    <w:p>
      <w:pPr>
        <w:ind w:firstLine="60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 投标人唯一投标报价见《开标一览表》。</w:t>
      </w:r>
      <w:r/>
    </w:p>
    <w:p>
      <w:pPr>
        <w:ind w:firstLine="60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 投标人将按招标文件的规定履行合同责任和义务。</w:t>
      </w:r>
      <w:r/>
    </w:p>
    <w:p>
      <w:pPr>
        <w:ind w:firstLine="60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 投标有效期为开标之日后90天。</w:t>
      </w:r>
      <w:r/>
    </w:p>
    <w:p>
      <w:pPr>
        <w:ind w:firstLine="60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 投标人在投标初始有效期内撤回投标，其投标保证金将不退还。</w:t>
      </w:r>
      <w:r/>
    </w:p>
    <w:p>
      <w:pPr>
        <w:ind w:firstLine="60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6.投标人同意提供按照贵方可能要求的与其投标有关的一切数据或资料，完全理解贵方不一定接受最低价的投标或收到的任何投标。</w:t>
      </w:r>
      <w:r/>
    </w:p>
    <w:p>
      <w:pPr>
        <w:ind w:firstLine="60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 投标人同意在授予合同后，按照有关规定支付公证费(如有)。</w:t>
      </w:r>
      <w:r/>
    </w:p>
    <w:p>
      <w:pPr>
        <w:ind w:right="29" w:firstLine="60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 采购人或采购代理机构有权将我单位本项目的《开标一览表》和《分项价格表》予以公示，公示的方式由江苏海外集团国际工程咨询有限公司确定。</w:t>
      </w:r>
      <w:r/>
    </w:p>
    <w:p>
      <w:pPr>
        <w:ind w:right="29" w:firstLine="60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 采购人有权对投标人投标文件的真实性进行核实，如投标人不能在采购人规定的时间内向采购人提供有效的证明文件，将被采购人视为放弃中标资格。</w:t>
      </w:r>
      <w:r/>
    </w:p>
    <w:p>
      <w:pPr>
        <w:ind w:firstLine="60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 与本投标有关的一切正式往来信函请寄：</w:t>
      </w:r>
      <w:r/>
    </w:p>
    <w:p>
      <w:pPr>
        <w:ind w:firstLine="120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 </w:t>
      </w:r>
      <w:r/>
    </w:p>
    <w:p>
      <w:pPr>
        <w:ind w:firstLine="120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电话： </w:t>
      </w:r>
      <w:r/>
    </w:p>
    <w:p>
      <w:pPr>
        <w:ind w:firstLine="270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270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270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270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br w:type="page" w:clear="all"/>
      </w:r>
      <w:r/>
    </w:p>
    <w:p>
      <w:pPr>
        <w:ind w:firstLine="640"/>
        <w:jc w:val="center"/>
        <w:spacing w:line="360" w:lineRule="auto"/>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二、开标一览表格式</w:t>
      </w:r>
      <w:r/>
    </w:p>
    <w:p>
      <w:pPr>
        <w:spacing w:line="47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 </w:t>
      </w:r>
      <w:r/>
    </w:p>
    <w:p>
      <w:pPr>
        <w:spacing w:line="51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项目编号：</w:t>
      </w:r>
      <w:r/>
    </w:p>
    <w:p>
      <w:pPr>
        <w:spacing w:line="51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项目名称： </w:t>
      </w:r>
      <w:r/>
    </w:p>
    <w:p>
      <w:pPr>
        <w:jc w:val="righ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货币单位：人民币元</w:t>
      </w:r>
      <w:r/>
    </w:p>
    <w:tbl>
      <w:tblPr>
        <w:tblStyle w:val="764"/>
        <w:tblW w:w="85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76"/>
        <w:gridCol w:w="2119"/>
        <w:gridCol w:w="2321"/>
      </w:tblGrid>
      <w:tr>
        <w:trPr>
          <w:trHeight w:val="1163"/>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p>
        </w:tc>
        <w:tc>
          <w:tcPr>
            <w:tcMar>
              <w:left w:w="108" w:type="dxa"/>
              <w:top w:w="0" w:type="dxa"/>
              <w:right w:w="108" w:type="dxa"/>
              <w:bottom w:w="0" w:type="dxa"/>
            </w:tcMar>
            <w:tcW w:w="2119"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项目内容</w:t>
            </w:r>
            <w:r/>
          </w:p>
        </w:tc>
        <w:tc>
          <w:tcPr>
            <w:tcMar>
              <w:left w:w="108" w:type="dxa"/>
              <w:top w:w="0" w:type="dxa"/>
              <w:right w:w="108" w:type="dxa"/>
              <w:bottom w:w="0" w:type="dxa"/>
            </w:tcMar>
            <w:tcW w:w="2321"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总价（小写）</w:t>
            </w:r>
            <w:r/>
          </w:p>
        </w:tc>
      </w:tr>
      <w:tr>
        <w:trPr>
          <w:trHeight w:val="1214"/>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睢宁县行政办公中心及商务中心能源费用托管服务项目</w:t>
            </w:r>
            <w:r/>
          </w:p>
        </w:tc>
        <w:tc>
          <w:tcPr>
            <w:tcMar>
              <w:left w:w="108" w:type="dxa"/>
              <w:top w:w="0" w:type="dxa"/>
              <w:right w:w="108" w:type="dxa"/>
              <w:bottom w:w="0" w:type="dxa"/>
            </w:tcMar>
            <w:tcW w:w="2119"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详见投标文件</w:t>
            </w:r>
            <w:r/>
          </w:p>
        </w:tc>
        <w:tc>
          <w:tcPr>
            <w:tcMar>
              <w:left w:w="108" w:type="dxa"/>
              <w:top w:w="0" w:type="dxa"/>
              <w:right w:w="108" w:type="dxa"/>
              <w:bottom w:w="0" w:type="dxa"/>
            </w:tcMar>
            <w:tcW w:w="2321"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947"/>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总价（大写）：</w:t>
            </w:r>
            <w:r/>
          </w:p>
        </w:tc>
        <w:tc>
          <w:tcPr>
            <w:gridSpan w:val="2"/>
            <w:tcMar>
              <w:left w:w="108" w:type="dxa"/>
              <w:top w:w="0" w:type="dxa"/>
              <w:right w:w="108" w:type="dxa"/>
              <w:bottom w:w="0" w:type="dxa"/>
            </w:tcMar>
            <w:tcW w:w="4440"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bl>
    <w:p>
      <w:pPr>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0"/>
          <w:szCs w:val="22"/>
          <w:highlight w:val="none"/>
        </w:rPr>
      </w:r>
      <w:r/>
    </w:p>
    <w:p>
      <w:pPr>
        <w:ind w:firstLine="3300"/>
        <w:spacing w:line="47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投标人：</w:t>
      </w:r>
      <w:r>
        <w:rPr>
          <w:rFonts w:hint="eastAsia" w:ascii="宋体" w:hAnsi="宋体" w:eastAsia="宋体" w:cs="宋体"/>
          <w:sz w:val="28"/>
          <w:szCs w:val="22"/>
          <w:highlight w:val="none"/>
          <w:u w:val="single"/>
        </w:rPr>
        <w:t xml:space="preserve">     </w:t>
      </w:r>
      <w:r>
        <w:rPr>
          <w:rFonts w:hint="eastAsia" w:ascii="宋体" w:hAnsi="宋体" w:eastAsia="宋体" w:cs="宋体"/>
          <w:sz w:val="28"/>
          <w:szCs w:val="22"/>
          <w:highlight w:val="none"/>
        </w:rPr>
        <w:t xml:space="preserve">（电子签章）</w:t>
      </w:r>
      <w:r/>
    </w:p>
    <w:p>
      <w:pPr>
        <w:ind w:firstLine="3900"/>
        <w:spacing w:line="47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 </w:t>
      </w:r>
      <w:r/>
    </w:p>
    <w:p>
      <w:pPr>
        <w:ind w:firstLine="3300"/>
        <w:spacing w:line="47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日期：  年  月  日</w:t>
      </w:r>
      <w:r/>
    </w:p>
    <w:p>
      <w:pPr>
        <w:spacing w:line="47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 </w:t>
      </w:r>
      <w:r/>
    </w:p>
    <w:p>
      <w:pPr>
        <w:spacing w:line="47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 </w:t>
      </w:r>
      <w:r/>
    </w:p>
    <w:p>
      <w:pPr>
        <w:spacing w:line="47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 </w:t>
      </w:r>
      <w:r/>
    </w:p>
    <w:p>
      <w:pPr>
        <w:spacing w:line="47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 </w:t>
      </w:r>
      <w:r/>
    </w:p>
    <w:p>
      <w:pPr>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0"/>
          <w:szCs w:val="22"/>
          <w:highlight w:val="none"/>
        </w:rPr>
        <w:br w:type="page" w:clear="all"/>
      </w:r>
      <w:r/>
    </w:p>
    <w:p>
      <w:pPr>
        <w:ind w:firstLine="600"/>
        <w:jc w:val="center"/>
        <w:spacing w:line="360" w:lineRule="auto"/>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三、分项价格表格式</w:t>
      </w:r>
      <w:r/>
    </w:p>
    <w:p>
      <w:pPr>
        <w:ind w:firstLine="600"/>
        <w:spacing w:line="479" w:lineRule="atLeast"/>
        <w:rPr>
          <w:rFonts w:hint="eastAsia" w:ascii="宋体" w:hAnsi="宋体" w:eastAsia="宋体" w:cs="宋体"/>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格式自拟</w:t>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1、如果不提供详细分项报价将视为没有实质性响应招标文件。</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2、投标人对以上数据的真实性负责。</w:t>
      </w:r>
      <w:r/>
    </w:p>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br w:type="page" w:clear="all"/>
      </w:r>
      <w:r/>
    </w:p>
    <w:p>
      <w:pPr>
        <w:jc w:val="center"/>
        <w:spacing w:line="360" w:lineRule="auto"/>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四、偏离表格式</w:t>
      </w:r>
      <w:r/>
    </w:p>
    <w:p>
      <w:pPr>
        <w:ind w:firstLine="600"/>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p>
    <w:tbl>
      <w:tblPr>
        <w:tblStyle w:val="764"/>
        <w:tblW w:w="8679" w:type="dxa"/>
        <w:tblInd w:w="-3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eastAsia="宋体" w:cs="宋体"/>
          <w:sz w:val="24"/>
          <w:szCs w:val="24"/>
          <w:highlight w:val="none"/>
        </w:rPr>
        <w:t xml:space="preserve">：投标人的投标文件中的内容与招标文件（含招标文件的澄清或者修改的内容）的要求不同时，逐条列在偏离表中，否则将</w:t>
      </w:r>
      <w:r>
        <w:rPr>
          <w:rFonts w:hint="eastAsia" w:ascii="宋体" w:hAnsi="宋体" w:eastAsia="宋体" w:cs="宋体"/>
          <w:sz w:val="24"/>
          <w:szCs w:val="24"/>
          <w:highlight w:val="none"/>
          <w:lang w:eastAsia="zh-CN"/>
        </w:rPr>
        <w:t xml:space="preserve">视为</w:t>
      </w:r>
      <w:r>
        <w:rPr>
          <w:rFonts w:hint="eastAsia" w:ascii="宋体" w:hAnsi="宋体" w:eastAsia="宋体" w:cs="宋体"/>
          <w:sz w:val="24"/>
          <w:szCs w:val="24"/>
          <w:highlight w:val="none"/>
        </w:rPr>
        <w:t xml:space="preserve">投标人接受招标文件的要求。</w:t>
      </w:r>
      <w:r/>
    </w:p>
    <w:p>
      <w:pPr>
        <w:ind w:firstLine="2850"/>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900"/>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600"/>
        <w:spacing w:line="479" w:lineRule="atLeast"/>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  </w:t>
      </w:r>
      <w:r/>
    </w:p>
    <w:p>
      <w:pPr>
        <w:jc w:val="center"/>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sectPr>
          <w:headerReference w:type="default" r:id="rId11"/>
          <w:footnotePr/>
          <w:endnotePr/>
          <w:type w:val="nextPage"/>
          <w:pgSz w:w="11906" w:h="16838" w:orient="portrait"/>
          <w:pgMar w:top="1440" w:right="1803" w:bottom="1440" w:left="1803" w:header="851" w:footer="680" w:gutter="0"/>
          <w:cols w:num="1" w:sep="0" w:space="1701" w:equalWidth="1"/>
          <w:docGrid w:linePitch="360"/>
        </w:sectPr>
      </w:pPr>
      <w:r>
        <w:rPr>
          <w:rFonts w:hint="eastAsia" w:ascii="宋体" w:hAnsi="宋体" w:eastAsia="宋体" w:cs="宋体"/>
          <w:b/>
          <w:bCs/>
          <w:sz w:val="24"/>
          <w:szCs w:val="24"/>
          <w:highlight w:val="none"/>
        </w:rPr>
      </w:r>
      <w:r/>
    </w:p>
    <w:p>
      <w:pPr>
        <w:jc w:val="center"/>
        <w:spacing w:line="360" w:lineRule="auto"/>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五、授权委托书格式</w:t>
      </w:r>
      <w:r>
        <w:rPr>
          <w:rFonts w:hint="eastAsia" w:ascii="宋体" w:hAnsi="宋体" w:eastAsia="宋体" w:cs="宋体"/>
          <w:sz w:val="28"/>
          <w:szCs w:val="22"/>
          <w:highlight w:val="none"/>
        </w:rPr>
        <w:t xml:space="preserve"> </w:t>
      </w:r>
      <w:r/>
    </w:p>
    <w:p>
      <w:pPr>
        <w:spacing w:line="479" w:lineRule="atLeast"/>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委托人：</w:t>
      </w:r>
      <w:r/>
    </w:p>
    <w:p>
      <w:pPr>
        <w:spacing w:line="479" w:lineRule="atLeast"/>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地址：</w:t>
      </w:r>
      <w:r/>
    </w:p>
    <w:p>
      <w:pPr>
        <w:spacing w:line="479" w:lineRule="atLeast"/>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法定代表人：               职务：</w:t>
      </w:r>
      <w:r/>
    </w:p>
    <w:p>
      <w:pPr>
        <w:spacing w:line="479" w:lineRule="atLeast"/>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统一社会信用代码：</w:t>
      </w:r>
      <w:r/>
    </w:p>
    <w:p>
      <w:pPr>
        <w:spacing w:line="479" w:lineRule="atLeast"/>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受托人：        性别：男（女）</w:t>
      </w:r>
      <w:r/>
    </w:p>
    <w:p>
      <w:pPr>
        <w:spacing w:line="479" w:lineRule="atLeast"/>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年龄：  岁      民族：  族</w:t>
      </w:r>
      <w:r/>
    </w:p>
    <w:p>
      <w:pPr>
        <w:spacing w:line="479" w:lineRule="atLeast"/>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职务：</w:t>
      </w:r>
      <w:r/>
    </w:p>
    <w:p>
      <w:pPr>
        <w:spacing w:line="479" w:lineRule="atLeast"/>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身份证号：</w:t>
      </w:r>
      <w:r/>
    </w:p>
    <w:p>
      <w:pPr>
        <w:ind w:firstLine="600"/>
        <w:spacing w:line="479" w:lineRule="atLeast"/>
        <w:rPr>
          <w:rFonts w:hint="eastAsia" w:ascii="宋体" w:hAnsi="宋体"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兹委托（</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）全权代表我企业（公司）参与（</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）项目（项目编号：</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）的招、投标活动及签订合同。（</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）以我企业（公司）名义所为的法律行为及签署的文件，我企业（公司）均予以认可。有关法律责任均由我企业（公司）承担。（</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）无转委托权。</w:t>
      </w:r>
      <w:r/>
    </w:p>
    <w:p>
      <w:pPr>
        <w:ind w:firstLine="600"/>
        <w:spacing w:line="479" w:lineRule="atLeast"/>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委托期限自</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年</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月</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日起至</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年</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月</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日止。</w:t>
      </w:r>
      <w:r/>
    </w:p>
    <w:p>
      <w:pPr>
        <w:ind w:firstLine="630"/>
        <w:spacing w:line="479" w:lineRule="atLeast"/>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特此授权委托。</w:t>
      </w:r>
      <w:r/>
    </w:p>
    <w:p>
      <w:pPr>
        <w:ind w:firstLine="600"/>
        <w:spacing w:line="479" w:lineRule="atLeast"/>
        <w:rPr>
          <w:rFonts w:hint="eastAsia" w:ascii="宋体" w:hAnsi="宋体"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r>
      <w:r/>
    </w:p>
    <w:p>
      <w:pPr>
        <w:ind w:firstLine="600"/>
        <w:spacing w:line="479" w:lineRule="atLeast"/>
        <w:rPr>
          <w:rFonts w:hint="eastAsia" w:ascii="宋体" w:hAnsi="宋体" w:eastAsia="宋体" w:cs="宋体"/>
          <w:b/>
          <w:bCs/>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highlight w:val="none"/>
        </w:rPr>
        <w:t xml:space="preserve">委托人（电子签章）：</w:t>
      </w:r>
      <w:r/>
    </w:p>
    <w:p>
      <w:pPr>
        <w:ind w:firstLine="600"/>
        <w:spacing w:line="479" w:lineRule="atLeast"/>
        <w:rPr>
          <w:rFonts w:hint="eastAsia" w:ascii="宋体" w:hAnsi="宋体"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r>
      <w:r/>
    </w:p>
    <w:p>
      <w:pPr>
        <w:ind w:firstLine="600"/>
        <w:spacing w:line="479" w:lineRule="atLeast"/>
        <w:rPr>
          <w:rFonts w:hint="eastAsia" w:ascii="宋体" w:hAnsi="宋体" w:eastAsia="宋体" w:cs="宋体"/>
          <w:b/>
          <w:bCs/>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highlight w:val="none"/>
        </w:rPr>
        <w:t xml:space="preserve">法定代表人（签字或盖章）：</w:t>
      </w:r>
      <w:r/>
    </w:p>
    <w:p>
      <w:pPr>
        <w:ind w:firstLine="600"/>
        <w:spacing w:line="479" w:lineRule="atLeast"/>
        <w:rPr>
          <w:rFonts w:hint="eastAsia" w:ascii="宋体" w:hAnsi="宋体" w:eastAsia="宋体" w:cs="宋体"/>
          <w:b/>
          <w:bCs/>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highlight w:val="none"/>
        </w:rPr>
      </w:r>
      <w:r/>
    </w:p>
    <w:p>
      <w:pPr>
        <w:ind w:firstLine="600"/>
        <w:spacing w:line="479" w:lineRule="atLeast"/>
        <w:rPr>
          <w:rFonts w:hint="eastAsia" w:ascii="宋体" w:hAnsi="宋体" w:eastAsia="宋体" w:cs="宋体"/>
          <w:b/>
          <w:bCs/>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highlight w:val="none"/>
        </w:rPr>
        <w:t xml:space="preserve">受托人（签字或盖章）：</w:t>
      </w:r>
      <w:r/>
    </w:p>
    <w:p>
      <w:pPr>
        <w:ind w:firstLine="600"/>
        <w:spacing w:line="479" w:lineRule="atLeast"/>
        <w:rPr>
          <w:rFonts w:hint="eastAsia" w:ascii="宋体" w:hAnsi="宋体"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r>
      <w:r/>
    </w:p>
    <w:p>
      <w:pPr>
        <w:pStyle w:val="777"/>
        <w:ind w:left="0" w:firstLine="602"/>
        <w:rPr>
          <w:rFonts w:hint="eastAsia" w:ascii="宋体" w:hAnsi="宋体" w:eastAsia="宋体" w:cs="宋体"/>
          <w:sz w:val="24"/>
          <w:szCs w:val="21"/>
          <w:highlight w:val="none"/>
        </w:rPr>
      </w:pPr>
      <w:r>
        <w:rPr>
          <w:rFonts w:hint="eastAsia" w:ascii="宋体" w:hAnsi="宋体" w:eastAsia="宋体" w:cs="宋体"/>
          <w:b/>
          <w:bCs/>
          <w:sz w:val="24"/>
          <w:szCs w:val="21"/>
          <w:highlight w:val="none"/>
        </w:rPr>
        <w:t xml:space="preserve">受托人联系方式：            邮箱：</w:t>
      </w:r>
      <w:r/>
    </w:p>
    <w:p>
      <w:pPr>
        <w:ind w:right="600" w:firstLine="6150"/>
        <w:spacing w:line="479" w:lineRule="atLeast"/>
        <w:rPr>
          <w:rFonts w:hint="eastAsia" w:ascii="宋体" w:hAnsi="宋体" w:eastAsia="宋体" w:cs="宋体"/>
          <w:b/>
          <w:bCs/>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highlight w:val="none"/>
        </w:rPr>
        <w:t xml:space="preserve">年  月 日</w:t>
      </w:r>
      <w:r>
        <w:rPr>
          <w:rFonts w:hint="eastAsia" w:ascii="宋体" w:hAnsi="宋体" w:eastAsia="宋体" w:cs="宋体"/>
          <w:sz w:val="24"/>
          <w:szCs w:val="21"/>
          <w:highlight w:val="none"/>
        </w:rPr>
        <w:t xml:space="preserve"> </w:t>
      </w:r>
      <w:r/>
    </w:p>
    <w:p>
      <w:pPr>
        <w:spacing w:line="479" w:lineRule="atLeast"/>
        <w:rPr>
          <w:rFonts w:hint="eastAsia" w:ascii="宋体" w:hAnsi="宋体" w:eastAsia="宋体" w:cs="宋体"/>
          <w:b/>
          <w:bCs/>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highlight w:val="none"/>
        </w:rPr>
      </w:r>
      <w:r/>
    </w:p>
    <w:p>
      <w:pPr>
        <w:spacing w:line="479" w:lineRule="atLeast"/>
        <w:rPr>
          <w:rFonts w:hint="eastAsia" w:ascii="宋体" w:hAnsi="宋体" w:eastAsia="宋体" w:cs="宋体"/>
          <w:b/>
          <w:bCs/>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highlight w:val="none"/>
        </w:rPr>
        <w:t xml:space="preserve">(受托人身份证扫描件附后)</w:t>
      </w:r>
      <w:r/>
    </w:p>
    <w:p>
      <w:pPr>
        <w:ind w:firstLine="4470"/>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highlight w:val="none"/>
        </w:rPr>
        <w:t xml:space="preserve"> </w:t>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737" w:gutter="0"/>
          <w:cols w:num="1" w:sep="0" w:space="720" w:equalWidth="1"/>
          <w:docGrid w:linePitch="360"/>
        </w:sectPr>
      </w:pPr>
      <w:r>
        <w:rPr>
          <w:rFonts w:hint="eastAsia" w:ascii="宋体" w:hAnsi="宋体" w:eastAsia="宋体" w:cs="宋体"/>
          <w:b/>
          <w:bCs/>
          <w:sz w:val="28"/>
          <w:szCs w:val="28"/>
          <w:highlight w:val="none"/>
        </w:rPr>
      </w:r>
      <w:r/>
    </w:p>
    <w:p>
      <w:pPr>
        <w:ind w:firstLine="600"/>
        <w:jc w:val="center"/>
        <w:spacing w:before="100" w:after="100" w:line="360" w:lineRule="auto"/>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六、中小企业声明函格式</w:t>
      </w:r>
      <w:r/>
    </w:p>
    <w:p>
      <w:pPr>
        <w:spacing w:before="100" w:after="100" w:line="288"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before="100" w:after="10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p>
    <w:p>
      <w:pPr>
        <w:spacing w:before="100" w:after="10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w:t>
      </w:r>
      <w:r>
        <w:rPr>
          <w:rFonts w:hint="eastAsia" w:ascii="宋体" w:hAnsi="宋体" w:eastAsia="宋体" w:cs="宋体"/>
          <w:sz w:val="24"/>
          <w:szCs w:val="24"/>
          <w:highlight w:val="none"/>
          <w:lang w:eastAsia="zh-CN"/>
        </w:rPr>
        <w:t xml:space="preserve">〔2020〕46号</w:t>
      </w:r>
      <w:r>
        <w:rPr>
          <w:rFonts w:hint="eastAsia" w:ascii="宋体" w:hAnsi="宋体" w:eastAsia="宋体" w:cs="宋体"/>
          <w:sz w:val="24"/>
          <w:szCs w:val="24"/>
          <w:highlight w:val="none"/>
        </w:rPr>
        <w:t xml:space="preserve">）的规定，本公司参加（</w:t>
      </w:r>
      <w:r>
        <w:rPr>
          <w:rFonts w:hint="eastAsia" w:ascii="宋体" w:hAnsi="宋体" w:cs="宋体"/>
          <w:sz w:val="24"/>
          <w:szCs w:val="24"/>
          <w:highlight w:val="none"/>
          <w:u w:val="single"/>
          <w:lang w:eastAsia="zh-CN"/>
        </w:rPr>
        <w:t xml:space="preserve">睢宁县机关事务管理中心</w:t>
      </w:r>
      <w:r>
        <w:rPr>
          <w:rFonts w:hint="eastAsia" w:ascii="宋体" w:hAnsi="宋体" w:eastAsia="宋体" w:cs="宋体"/>
          <w:sz w:val="24"/>
          <w:szCs w:val="24"/>
          <w:highlight w:val="none"/>
        </w:rPr>
        <w:t xml:space="preserve">）的（</w:t>
      </w:r>
      <w:r>
        <w:rPr>
          <w:rFonts w:hint="eastAsia" w:ascii="宋体" w:hAnsi="宋体" w:cs="宋体"/>
          <w:sz w:val="24"/>
          <w:szCs w:val="24"/>
          <w:highlight w:val="none"/>
          <w:u w:val="single"/>
          <w:lang w:eastAsia="zh-CN"/>
        </w:rPr>
        <w:t xml:space="preserve">睢宁县行政办公中心及商务中心能源费用托管服务项目</w:t>
      </w:r>
      <w:r>
        <w:rPr>
          <w:rFonts w:hint="eastAsia" w:ascii="宋体" w:hAnsi="宋体" w:eastAsia="宋体" w:cs="宋体"/>
          <w:sz w:val="24"/>
          <w:szCs w:val="24"/>
          <w:highlight w:val="none"/>
        </w:rPr>
        <w:t xml:space="preserve">）采购活动，</w:t>
      </w:r>
      <w:r>
        <w:rPr>
          <w:rFonts w:hint="eastAsia" w:ascii="宋体" w:hAnsi="宋体" w:cs="宋体"/>
          <w:sz w:val="24"/>
          <w:szCs w:val="24"/>
          <w:highlight w:val="none"/>
          <w:lang w:val="en-US" w:eastAsia="zh-CN"/>
        </w:rPr>
        <w:t xml:space="preserve">服务</w:t>
      </w:r>
      <w:r>
        <w:rPr>
          <w:rFonts w:hint="eastAsia" w:ascii="宋体" w:hAnsi="宋体" w:eastAsia="宋体" w:cs="宋体"/>
          <w:sz w:val="24"/>
          <w:szCs w:val="24"/>
          <w:highlight w:val="none"/>
        </w:rPr>
        <w:t xml:space="preserve">全部由符合政策要求的中小企业</w:t>
      </w:r>
      <w:r>
        <w:rPr>
          <w:rFonts w:hint="eastAsia" w:ascii="宋体" w:hAnsi="宋体" w:cs="宋体"/>
          <w:sz w:val="24"/>
          <w:szCs w:val="24"/>
          <w:highlight w:val="none"/>
          <w:lang w:val="en-US" w:eastAsia="zh-CN"/>
        </w:rPr>
        <w:t xml:space="preserve">承接</w:t>
      </w:r>
      <w:r>
        <w:rPr>
          <w:rFonts w:hint="eastAsia" w:ascii="宋体" w:hAnsi="宋体" w:eastAsia="宋体" w:cs="宋体"/>
          <w:sz w:val="24"/>
          <w:szCs w:val="24"/>
          <w:highlight w:val="none"/>
        </w:rPr>
        <w:t xml:space="preserve">。相关企业的具体情况如下：</w:t>
      </w:r>
      <w:r/>
    </w:p>
    <w:p>
      <w:pPr>
        <w:pStyle w:val="841"/>
        <w:ind w:left="0"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eastAsia="zh-CN"/>
        </w:rPr>
        <w:t xml:space="preserve">睢宁县行政办公中心及商务中心能源费用托管服务项目</w:t>
      </w:r>
      <w:r>
        <w:rPr>
          <w:rFonts w:hint="eastAsia" w:ascii="宋体" w:hAnsi="宋体" w:eastAsia="宋体" w:cs="宋体"/>
          <w:sz w:val="24"/>
          <w:szCs w:val="24"/>
          <w:highlight w:val="none"/>
        </w:rPr>
        <w:t xml:space="preserve">），属于（其他未列明）行业；承建（承接）企业为（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color w:val="ff0000"/>
          <w:sz w:val="24"/>
          <w:szCs w:val="24"/>
          <w:highlight w:val="none"/>
        </w:rPr>
        <w:t xml:space="preserve">请勾选！</w:t>
      </w:r>
      <w:r>
        <w:rPr>
          <w:rFonts w:hint="eastAsia" w:ascii="宋体" w:hAnsi="宋体" w:eastAsia="宋体" w:cs="宋体"/>
          <w:sz w:val="24"/>
          <w:szCs w:val="24"/>
          <w:highlight w:val="none"/>
        </w:rPr>
        <w:t xml:space="preserve">）；</w:t>
      </w:r>
      <w:r/>
    </w:p>
    <w:p>
      <w:pPr>
        <w:pStyle w:val="841"/>
        <w:ind w:left="0"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p>
    <w:p>
      <w:pPr>
        <w:pStyle w:val="841"/>
        <w:ind w:left="0"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841"/>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41"/>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企业名称（电子签章）：</w:t>
      </w:r>
      <w:r/>
    </w:p>
    <w:p>
      <w:pPr>
        <w:pStyle w:val="841"/>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日期：  年  月  日</w:t>
      </w:r>
      <w:r/>
    </w:p>
    <w:p>
      <w:pPr>
        <w:pStyle w:val="841"/>
        <w:ind w:left="0"/>
        <w:jc w:val="left"/>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41"/>
        <w:ind w:left="0"/>
        <w:jc w:val="left"/>
        <w:spacing w:after="0" w:line="288"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说明：</w:t>
      </w:r>
      <w:r/>
    </w:p>
    <w:p>
      <w:pPr>
        <w:pStyle w:val="841"/>
        <w:ind w:left="0"/>
        <w:spacing w:after="0" w:line="288"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eastAsia="宋体" w:cs="宋体"/>
          <w:b/>
          <w:bCs/>
          <w:sz w:val="24"/>
          <w:szCs w:val="24"/>
          <w:highlight w:val="none"/>
          <w:lang w:eastAsia="zh-CN"/>
        </w:rPr>
        <w:t xml:space="preserve">〔2011〕300号</w:t>
      </w:r>
      <w:r>
        <w:rPr>
          <w:rFonts w:hint="eastAsia" w:ascii="宋体" w:hAnsi="宋体" w:eastAsia="宋体" w:cs="宋体"/>
          <w:b/>
          <w:bCs/>
          <w:sz w:val="24"/>
          <w:szCs w:val="24"/>
          <w:highlight w:val="none"/>
        </w:rPr>
        <w:t xml:space="preserve">）的规定为准。</w:t>
      </w:r>
      <w:r/>
    </w:p>
    <w:p>
      <w:pPr>
        <w:pStyle w:val="841"/>
        <w:ind w:left="0"/>
        <w:spacing w:after="0" w:line="288"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2、从业人员、营业收入、资产总额填报投标人上一年度数据，无上一年度数据的新成立企业可不填报。</w:t>
      </w:r>
      <w:r/>
    </w:p>
    <w:p>
      <w:pPr>
        <w:pStyle w:val="841"/>
        <w:ind w:left="0"/>
        <w:spacing w:after="0" w:line="288"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3、中标、成交投标人为小型、微型企业的，采购人或者其委托的采购代理机构有权随中标、成交结果同时公告其《中小企业声明函》，接受社会监督。</w:t>
      </w:r>
      <w:r/>
    </w:p>
    <w:p>
      <w:pPr>
        <w:pStyle w:val="841"/>
        <w:ind w:left="0"/>
        <w:spacing w:after="0" w:line="288"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4、执行江苏省财政厅关于进一步加大政府采购支持中小企业力度的通知（苏财购〔2022〕45号）的规定。</w:t>
      </w:r>
      <w:r/>
    </w:p>
    <w:p>
      <w:pPr>
        <w:pStyle w:val="841"/>
        <w:ind w:left="0"/>
        <w:spacing w:after="0" w:line="288"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5、投标人提供的《中小企业声明函》与事实不符的，依照《中华人民共和国政府采购法》第七十七条第一款的规定追究法律责任。</w:t>
      </w:r>
      <w:r/>
    </w:p>
    <w:p>
      <w:pPr>
        <w:jc w:val="left"/>
        <w:spacing w:line="288"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为方便中小企业和社会各界使用自测结果，</w:t>
      </w:r>
      <w:r>
        <w:rPr>
          <w:rFonts w:hint="eastAsia" w:ascii="宋体" w:hAnsi="宋体" w:eastAsia="宋体" w:cs="宋体"/>
          <w:sz w:val="24"/>
          <w:szCs w:val="24"/>
          <w:highlight w:val="none"/>
          <w:lang w:val="en-US" w:eastAsia="zh-CN"/>
        </w:rPr>
        <w:t xml:space="preserve">微信</w:t>
      </w:r>
      <w:r>
        <w:rPr>
          <w:rFonts w:hint="eastAsia" w:ascii="宋体" w:hAnsi="宋体" w:eastAsia="宋体" w:cs="宋体"/>
          <w:sz w:val="24"/>
          <w:szCs w:val="24"/>
          <w:highlight w:val="none"/>
        </w:rPr>
        <w:t xml:space="preserve">小程序增加自测结果打印功能，测试者可按照</w:t>
      </w:r>
      <w:r>
        <w:rPr>
          <w:rFonts w:hint="eastAsia" w:ascii="宋体" w:hAnsi="宋体" w:eastAsia="宋体" w:cs="宋体"/>
          <w:sz w:val="24"/>
          <w:szCs w:val="24"/>
          <w:highlight w:val="none"/>
          <w:lang w:val="en-US" w:eastAsia="zh-CN"/>
        </w:rPr>
        <w:t xml:space="preserve">微信</w:t>
      </w:r>
      <w:r>
        <w:rPr>
          <w:rFonts w:hint="eastAsia" w:ascii="宋体" w:hAnsi="宋体" w:eastAsia="宋体" w:cs="宋体"/>
          <w:sz w:val="24"/>
          <w:szCs w:val="24"/>
          <w:highlight w:val="none"/>
        </w:rPr>
        <w:t xml:space="preserve">小程序填写测试企业有关信息并完成自测后，保存自测结果自行打印。如有疑问，可与市工信局中小企业综合协调处咨询联系。联系电话：0516-83861958</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
        <w:jc w:val="center"/>
        <w:spacing w:line="47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0"/>
          <w:szCs w:val="22"/>
          <w:highlight w:val="none"/>
        </w:rPr>
        <mc:AlternateContent>
          <mc:Choice Requires="wpg">
            <w:drawing>
              <wp:inline xmlns:wp="http://schemas.openxmlformats.org/drawingml/2006/wordprocessingDrawing" distT="0" distB="0" distL="0" distR="0">
                <wp:extent cx="2188845" cy="3851275"/>
                <wp:effectExtent l="0" t="0" r="1905" b="15875"/>
                <wp:docPr id="4"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descr="D:\Tencent\微信\WeChat Files\wxid_1c6io8gl77vj22\FileStorage\Temp\912730e80772119968377d556d5bbbe.jpg"/>
                        <pic:cNvPicPr>
                          <a:picLocks noChangeAspect="1"/>
                        </pic:cNvPicPr>
                        <pic:nvPr/>
                      </pic:nvPicPr>
                      <pic:blipFill>
                        <a:blip r:embed="rId17"/>
                        <a:srcRect l="0" t="4827" r="0" b="0"/>
                        <a:stretch/>
                      </pic:blipFill>
                      <pic:spPr bwMode="auto">
                        <a:xfrm>
                          <a:off x="0" y="0"/>
                          <a:ext cx="2188845" cy="3851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2.3pt;height:303.2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sz w:val="20"/>
          <w:szCs w:val="22"/>
          <w:highlight w:val="none"/>
        </w:rPr>
        <w:br w:type="page" w:clear="all"/>
      </w:r>
      <w:r/>
    </w:p>
    <w:p>
      <w:pPr>
        <w:ind w:firstLine="600"/>
        <w:jc w:val="center"/>
        <w:spacing w:line="360" w:lineRule="auto"/>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七、残疾人福利性单位声明函格式</w:t>
      </w:r>
      <w:r/>
    </w:p>
    <w:p>
      <w:pPr>
        <w:jc w:val="center"/>
        <w:spacing w:line="360" w:lineRule="auto"/>
        <w:rPr>
          <w:rFonts w:hint="eastAsia" w:ascii="宋体" w:hAnsi="宋体" w:eastAsia="宋体" w:cs="宋体"/>
          <w:color w:val="ff0000"/>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pacing w:val="6"/>
          <w:sz w:val="24"/>
          <w:szCs w:val="21"/>
          <w:highlight w:val="none"/>
        </w:rPr>
        <w:t xml:space="preserve">（如投标人不属于残疾人福利性单位不需要提供此声明函）</w:t>
      </w:r>
      <w:r/>
    </w:p>
    <w:p>
      <w:pPr>
        <w:spacing w:line="360" w:lineRule="auto"/>
        <w:rPr>
          <w:rFonts w:hint="eastAsia" w:ascii="宋体" w:hAnsi="宋体" w:eastAsia="宋体" w:cs="宋体"/>
          <w:spacing w:val="6"/>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1"/>
          <w:highlight w:val="none"/>
        </w:rPr>
      </w:r>
      <w:r/>
    </w:p>
    <w:p>
      <w:pPr>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1"/>
          <w:highlight w:val="none"/>
        </w:rPr>
        <w:t xml:space="preserve">项目编号：</w:t>
      </w:r>
      <w:r/>
    </w:p>
    <w:p>
      <w:pPr>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1"/>
          <w:highlight w:val="none"/>
        </w:rPr>
        <w:t xml:space="preserve">项目名称：</w:t>
      </w:r>
      <w:r/>
    </w:p>
    <w:p>
      <w:pPr>
        <w:ind w:firstLine="624"/>
        <w:spacing w:line="360" w:lineRule="auto"/>
        <w:rPr>
          <w:rFonts w:hint="eastAsia" w:ascii="宋体" w:hAnsi="宋体" w:eastAsia="宋体" w:cs="宋体"/>
          <w:spacing w:val="6"/>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1"/>
          <w:highlight w:val="none"/>
        </w:rPr>
      </w:r>
      <w:r/>
    </w:p>
    <w:p>
      <w:pPr>
        <w:ind w:firstLine="624"/>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spacing w:val="6"/>
          <w:sz w:val="24"/>
          <w:szCs w:val="21"/>
          <w:highlight w:val="none"/>
          <w:lang w:eastAsia="zh-CN"/>
        </w:rPr>
        <w:t xml:space="preserve">〔2017〕141号</w:t>
      </w:r>
      <w:r>
        <w:rPr>
          <w:rFonts w:hint="eastAsia" w:ascii="宋体" w:hAnsi="宋体" w:eastAsia="宋体" w:cs="宋体"/>
          <w:spacing w:val="6"/>
          <w:sz w:val="24"/>
          <w:szCs w:val="21"/>
          <w:highlight w:val="none"/>
        </w:rPr>
        <w:t xml:space="preserve">）的规定，本单位为符合条件的残疾人福利性单位，且本单位参加</w:t>
      </w:r>
      <w:r>
        <w:rPr>
          <w:rFonts w:hint="eastAsia" w:ascii="宋体" w:hAnsi="宋体" w:eastAsia="宋体" w:cs="宋体"/>
          <w:sz w:val="24"/>
          <w:szCs w:val="21"/>
          <w:highlight w:val="none"/>
        </w:rPr>
        <w:t xml:space="preserve">______</w:t>
      </w:r>
      <w:r>
        <w:rPr>
          <w:rFonts w:hint="eastAsia" w:ascii="宋体" w:hAnsi="宋体" w:eastAsia="宋体" w:cs="宋体"/>
          <w:spacing w:val="6"/>
          <w:sz w:val="24"/>
          <w:szCs w:val="21"/>
          <w:highlight w:val="none"/>
        </w:rPr>
        <w:t xml:space="preserve">单位的</w:t>
      </w:r>
      <w:r>
        <w:rPr>
          <w:rFonts w:hint="eastAsia" w:ascii="宋体" w:hAnsi="宋体" w:eastAsia="宋体" w:cs="宋体"/>
          <w:sz w:val="24"/>
          <w:szCs w:val="21"/>
          <w:highlight w:val="none"/>
        </w:rPr>
        <w:t xml:space="preserve">______</w:t>
      </w:r>
      <w:r>
        <w:rPr>
          <w:rFonts w:hint="eastAsia" w:ascii="宋体" w:hAnsi="宋体" w:eastAsia="宋体" w:cs="宋体"/>
          <w:spacing w:val="6"/>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1"/>
          <w:highlight w:val="none"/>
        </w:rPr>
        <w:t xml:space="preserve">本单位对上述声明的真实性负责。如有虚假，将依法承担相应责任。</w:t>
      </w:r>
      <w:r/>
    </w:p>
    <w:p>
      <w:pPr>
        <w:ind w:firstLine="624"/>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1"/>
          <w:highlight w:val="none"/>
        </w:rPr>
        <w:t xml:space="preserve"> </w:t>
      </w:r>
      <w:r/>
    </w:p>
    <w:p>
      <w:pPr>
        <w:ind w:firstLine="624"/>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1"/>
          <w:highlight w:val="none"/>
        </w:rPr>
        <w:t xml:space="preserve"> </w:t>
      </w:r>
      <w:r/>
    </w:p>
    <w:p>
      <w:pPr>
        <w:ind w:firstLine="255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投标人：</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（电子签章）</w:t>
      </w:r>
      <w:r/>
    </w:p>
    <w:p>
      <w:pPr>
        <w:ind w:firstLine="450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 </w:t>
      </w:r>
      <w:r/>
    </w:p>
    <w:p>
      <w:pPr>
        <w:ind w:firstLine="240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日期： 年 月 日</w:t>
      </w:r>
      <w:r/>
    </w:p>
    <w:p>
      <w:pPr>
        <w:ind w:firstLine="4500"/>
        <w:spacing w:line="47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 </w:t>
      </w:r>
      <w:r/>
    </w:p>
    <w:p>
      <w:pPr>
        <w:ind w:firstLine="600"/>
        <w:jc w:val="center"/>
        <w:spacing w:line="47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0"/>
          <w:szCs w:val="22"/>
          <w:highlight w:val="none"/>
        </w:rPr>
        <w:br w:type="page" w:clear="all"/>
      </w:r>
      <w:r/>
    </w:p>
    <w:p>
      <w:pPr>
        <w:jc w:val="center"/>
        <w:spacing w:line="360" w:lineRule="auto"/>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 </w:t>
      </w:r>
      <w:r/>
    </w:p>
    <w:p>
      <w:pPr>
        <w:ind w:firstLine="60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我单位在参加</w:t>
      </w:r>
      <w:r>
        <w:rPr>
          <w:rFonts w:hint="eastAsia" w:ascii="宋体" w:hAnsi="宋体" w:cs="宋体"/>
          <w:sz w:val="24"/>
          <w:szCs w:val="21"/>
          <w:highlight w:val="none"/>
          <w:u w:val="single"/>
          <w:lang w:eastAsia="zh-CN"/>
        </w:rPr>
        <w:t xml:space="preserve">睢宁县行政办公中心及商务中心能源费用托管服务项目</w:t>
      </w:r>
      <w:r>
        <w:rPr>
          <w:rFonts w:hint="eastAsia" w:ascii="宋体" w:hAnsi="宋体" w:eastAsia="宋体" w:cs="宋体"/>
          <w:sz w:val="24"/>
          <w:szCs w:val="21"/>
          <w:highlight w:val="none"/>
        </w:rPr>
        <w:t xml:space="preserve">项目（项目编号：</w:t>
      </w:r>
      <w:r>
        <w:rPr>
          <w:rFonts w:hint="eastAsia" w:ascii="宋体" w:hAnsi="宋体" w:cs="宋体"/>
          <w:sz w:val="24"/>
          <w:szCs w:val="21"/>
          <w:highlight w:val="none"/>
          <w:u w:val="single"/>
          <w:lang w:eastAsia="zh-CN"/>
        </w:rPr>
        <w:t xml:space="preserve">JSZC-320324-HWZX-G2026-0454</w:t>
      </w:r>
      <w:r>
        <w:rPr>
          <w:rFonts w:hint="eastAsia" w:ascii="宋体" w:hAnsi="宋体" w:eastAsia="宋体" w:cs="宋体"/>
          <w:sz w:val="24"/>
          <w:szCs w:val="21"/>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我单位对上述声明的真实性负责。如有虚假，将依法承担相应责任。</w:t>
      </w:r>
      <w:r/>
    </w:p>
    <w:p>
      <w:pPr>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 </w:t>
      </w:r>
      <w:r/>
    </w:p>
    <w:p>
      <w:pPr>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 </w:t>
      </w:r>
      <w:r/>
    </w:p>
    <w:p>
      <w:pPr>
        <w:ind w:firstLine="285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投标人：</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（电子签章）</w:t>
      </w:r>
      <w:r/>
    </w:p>
    <w:p>
      <w:pPr>
        <w:ind w:firstLine="450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 </w:t>
      </w:r>
      <w:r/>
    </w:p>
    <w:p>
      <w:pPr>
        <w:ind w:firstLine="3000"/>
        <w:spacing w:line="360" w:lineRule="auto"/>
        <w:rPr>
          <w:rFonts w:hint="eastAsia" w:ascii="宋体" w:hAnsi="宋体" w:eastAsia="宋体" w:cs="宋体"/>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rPr>
        <w:t xml:space="preserve">日期： 年 月 日</w:t>
      </w:r>
      <w:r/>
    </w:p>
    <w:p>
      <w:pPr>
        <w:ind w:firstLine="3000"/>
        <w:spacing w:line="360" w:lineRule="auto"/>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0"/>
          <w:szCs w:val="22"/>
          <w:highlight w:val="none"/>
        </w:rPr>
      </w:r>
      <w:r/>
    </w:p>
    <w:p>
      <w:pPr>
        <w:jc w:val="center"/>
        <w:spacing w:line="85"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szCs w:val="22"/>
          <w:highlight w:val="none"/>
        </w:rPr>
        <w:t xml:space="preserve"> </w:t>
      </w:r>
      <w:r/>
    </w:p>
    <w:p>
      <w:pPr>
        <w:jc w:val="center"/>
        <w:spacing w:line="85"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szCs w:val="22"/>
          <w:highlight w:val="none"/>
        </w:rPr>
        <w:t xml:space="preserve"> </w:t>
      </w:r>
      <w:r/>
    </w:p>
    <w:p>
      <w:pPr>
        <w:jc w:val="center"/>
        <w:spacing w:line="85"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szCs w:val="22"/>
          <w:highlight w:val="none"/>
        </w:rPr>
        <w:t xml:space="preserve"> </w:t>
      </w:r>
      <w:r/>
    </w:p>
    <w:p>
      <w:pPr>
        <w:jc w:val="center"/>
        <w:spacing w:line="85"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szCs w:val="22"/>
          <w:highlight w:val="none"/>
        </w:rPr>
        <w:t xml:space="preserve"> </w:t>
      </w:r>
      <w:r/>
    </w:p>
    <w:p>
      <w:pPr>
        <w:jc w:val="center"/>
        <w:spacing w:line="85"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szCs w:val="22"/>
          <w:highlight w:val="none"/>
        </w:rPr>
        <w:t xml:space="preserve"> </w:t>
      </w:r>
      <w:r/>
    </w:p>
    <w:p>
      <w:pPr>
        <w:jc w:val="center"/>
        <w:spacing w:line="85"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szCs w:val="22"/>
          <w:highlight w:val="none"/>
        </w:rPr>
        <w:t xml:space="preserve"> </w:t>
      </w:r>
      <w:r/>
    </w:p>
    <w:p>
      <w:pPr>
        <w:jc w:val="center"/>
        <w:spacing w:line="85"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szCs w:val="22"/>
          <w:highlight w:val="none"/>
        </w:rPr>
        <w:t xml:space="preserve"> </w:t>
      </w:r>
      <w:r/>
    </w:p>
    <w:p>
      <w:pPr>
        <w:jc w:val="center"/>
        <w:spacing w:line="85"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szCs w:val="22"/>
          <w:highlight w:val="none"/>
        </w:rPr>
        <w:t xml:space="preserve"> </w:t>
      </w:r>
      <w:r/>
    </w:p>
    <w:p>
      <w:pPr>
        <w:jc w:val="center"/>
        <w:spacing w:line="85"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szCs w:val="22"/>
          <w:highlight w:val="none"/>
        </w:rPr>
        <w:t xml:space="preserve"> </w:t>
      </w:r>
      <w:r/>
    </w:p>
    <w:p>
      <w:pPr>
        <w:jc w:val="center"/>
        <w:spacing w:line="85"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szCs w:val="22"/>
          <w:highlight w:val="none"/>
        </w:rPr>
        <w:t xml:space="preserve"> </w:t>
      </w:r>
      <w:r/>
    </w:p>
    <w:p>
      <w:pPr>
        <w:jc w:val="center"/>
        <w:spacing w:line="85"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szCs w:val="22"/>
          <w:highlight w:val="none"/>
        </w:rPr>
        <w:t xml:space="preserve"> </w:t>
      </w:r>
      <w:r/>
    </w:p>
    <w:p>
      <w:pPr>
        <w:jc w:val="center"/>
        <w:spacing w:line="85"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szCs w:val="22"/>
          <w:highlight w:val="none"/>
        </w:rPr>
        <w:t xml:space="preserve"> </w:t>
      </w:r>
      <w:r/>
    </w:p>
    <w:p>
      <w:pPr>
        <w:jc w:val="center"/>
        <w:spacing w:line="85"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szCs w:val="22"/>
          <w:highlight w:val="none"/>
        </w:rPr>
        <w:t xml:space="preserve"> </w:t>
      </w:r>
      <w:r/>
    </w:p>
    <w:p>
      <w:pPr>
        <w:jc w:val="center"/>
        <w:spacing w:line="85"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szCs w:val="22"/>
          <w:highlight w:val="none"/>
        </w:rPr>
        <w:t xml:space="preserve"> </w:t>
      </w:r>
      <w:r/>
    </w:p>
    <w:p>
      <w:pPr>
        <w:jc w:val="center"/>
        <w:spacing w:line="85"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szCs w:val="22"/>
          <w:highlight w:val="none"/>
        </w:rPr>
        <w:t xml:space="preserve"> </w:t>
      </w:r>
      <w:r/>
    </w:p>
    <w:p>
      <w:pPr>
        <w:ind w:firstLine="600"/>
        <w:jc w:val="center"/>
        <w:spacing w:line="479" w:lineRule="atLeast"/>
        <w:rPr>
          <w:rFonts w:hint="eastAsia" w:ascii="宋体" w:hAnsi="宋体" w:eastAsia="宋体" w:cs="宋体"/>
          <w:sz w:val="28"/>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737" w:gutter="0"/>
          <w:cols w:num="1" w:sep="0" w:space="1701" w:equalWidth="1"/>
          <w:docGrid w:linePitch="360"/>
        </w:sectPr>
      </w:pPr>
      <w:r>
        <w:rPr>
          <w:rFonts w:hint="eastAsia" w:ascii="宋体" w:hAnsi="宋体" w:eastAsia="宋体" w:cs="宋体"/>
          <w:sz w:val="28"/>
          <w:szCs w:val="22"/>
          <w:highlight w:val="none"/>
        </w:rPr>
      </w:r>
      <w:r/>
    </w:p>
    <w:p>
      <w:pPr>
        <w:pStyle w:val="773"/>
        <w:ind w:firstLine="560"/>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九、具备履行合同所必需的设备和专业技术能力的书面声明（附证明材料扫描件）格式</w:t>
      </w:r>
      <w:r/>
    </w:p>
    <w:p>
      <w:pPr>
        <w:pStyle w:val="773"/>
        <w:ind w:firstLine="480"/>
        <w:spacing w:line="3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773"/>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项目名称：</w:t>
      </w:r>
      <w:r/>
    </w:p>
    <w:p>
      <w:pPr>
        <w:pStyle w:val="773"/>
        <w:ind w:firstLine="480"/>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项目编号：</w:t>
      </w:r>
      <w:r/>
    </w:p>
    <w:p>
      <w:pPr>
        <w:pStyle w:val="773"/>
        <w:ind w:firstLine="48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投标人郑重声明：投标人具备履行合同（项目名称：             ，项目编号：              ）所必需的设备和专业技术能力，具体为：</w:t>
      </w:r>
      <w:r/>
    </w:p>
    <w:p>
      <w:pPr>
        <w:pStyle w:val="773"/>
        <w:ind w:firstLine="48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w:t>
      </w:r>
      <w:r/>
    </w:p>
    <w:p>
      <w:pPr>
        <w:pStyle w:val="773"/>
        <w:ind w:firstLine="48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（证明材料扫描件附后）</w:t>
      </w:r>
      <w:r/>
    </w:p>
    <w:p>
      <w:pPr>
        <w:pStyle w:val="773"/>
        <w:ind w:firstLine="48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（证明材料扫描件附后）</w:t>
      </w:r>
      <w:r/>
    </w:p>
    <w:p>
      <w:pPr>
        <w:pStyle w:val="773"/>
        <w:ind w:firstLine="48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（证明材料扫描件附后）</w:t>
      </w:r>
      <w:r/>
    </w:p>
    <w:p>
      <w:pPr>
        <w:pStyle w:val="773"/>
        <w:ind w:firstLine="48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p>
    <w:p>
      <w:pPr>
        <w:pStyle w:val="773"/>
        <w:ind w:firstLine="48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专业技术能力：</w:t>
      </w:r>
      <w:r/>
    </w:p>
    <w:p>
      <w:pPr>
        <w:pStyle w:val="773"/>
        <w:ind w:firstLine="48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（证明材料扫描件附后）</w:t>
      </w:r>
      <w:r/>
    </w:p>
    <w:p>
      <w:pPr>
        <w:pStyle w:val="773"/>
        <w:ind w:firstLine="48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（证明材料扫描件附后）</w:t>
      </w:r>
      <w:r/>
    </w:p>
    <w:p>
      <w:pPr>
        <w:pStyle w:val="773"/>
        <w:ind w:firstLine="48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（证明材料扫描件附后）</w:t>
      </w:r>
      <w:r/>
    </w:p>
    <w:p>
      <w:pPr>
        <w:pStyle w:val="773"/>
        <w:ind w:firstLine="48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p>
    <w:p>
      <w:pPr>
        <w:pStyle w:val="773"/>
        <w:ind w:firstLine="48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pStyle w:val="773"/>
        <w:ind w:firstLine="48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投标人对上述声明的真实性负责。如有虚假，将依法承担相应责任。</w:t>
      </w:r>
      <w:r/>
    </w:p>
    <w:p>
      <w:pPr>
        <w:pStyle w:val="773"/>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3"/>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3"/>
        <w:jc w:val="righ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pStyle w:val="773"/>
        <w:ind w:firstLine="48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773"/>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3"/>
        <w:ind w:firstLine="3360"/>
        <w:jc w:val="cente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    年    月   日</w:t>
      </w:r>
      <w:r/>
    </w:p>
    <w:p>
      <w:pPr>
        <w:pStyle w:val="841"/>
        <w:rPr>
          <w:rFonts w:hint="eastAsia" w:ascii="宋体" w:hAnsi="宋体" w:eastAsia="宋体" w:cs="宋体"/>
          <w:sz w:val="20"/>
          <w:szCs w:val="22"/>
          <w:highlight w:val="none"/>
        </w:rPr>
      </w:pPr>
      <w:r>
        <w:rPr>
          <w:rFonts w:hint="eastAsia" w:ascii="宋体" w:hAnsi="宋体" w:eastAsia="宋体" w:cs="宋体"/>
          <w:sz w:val="20"/>
          <w:szCs w:val="22"/>
          <w:highlight w:val="none"/>
        </w:rPr>
      </w:r>
      <w:r/>
    </w:p>
    <w:p>
      <w:pPr>
        <w:pStyle w:val="842"/>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842"/>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842"/>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842"/>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841"/>
        <w:rPr>
          <w:rFonts w:hint="eastAsia" w:ascii="宋体" w:hAnsi="宋体" w:eastAsia="宋体" w:cs="宋体"/>
          <w:sz w:val="24"/>
          <w:szCs w:val="32"/>
          <w:highlight w:val="none"/>
        </w:rPr>
      </w:pPr>
      <w:r>
        <w:rPr>
          <w:rFonts w:hint="eastAsia" w:ascii="宋体" w:hAnsi="宋体" w:eastAsia="宋体" w:cs="宋体"/>
          <w:b/>
          <w:iCs/>
          <w:sz w:val="24"/>
          <w:szCs w:val="32"/>
          <w:highlight w:val="none"/>
        </w:rPr>
        <w:t xml:space="preserve">说明：以联合体形式提交</w:t>
      </w:r>
      <w:r>
        <w:rPr>
          <w:rFonts w:hint="eastAsia" w:ascii="宋体" w:hAnsi="宋体" w:eastAsia="宋体" w:cs="宋体"/>
          <w:b/>
          <w:bCs/>
          <w:sz w:val="24"/>
          <w:szCs w:val="32"/>
          <w:highlight w:val="none"/>
        </w:rPr>
        <w:t xml:space="preserve">投标文件</w:t>
      </w:r>
      <w:r>
        <w:rPr>
          <w:rFonts w:hint="eastAsia" w:ascii="宋体" w:hAnsi="宋体" w:eastAsia="宋体" w:cs="宋体"/>
          <w:b/>
          <w:iCs/>
          <w:sz w:val="24"/>
          <w:szCs w:val="32"/>
          <w:highlight w:val="none"/>
        </w:rPr>
        <w:t xml:space="preserve">的，联合体各方均须提供。联合体牵头单位加盖电子签章，其他联合体成员提供加盖公章的原件的扫描件。</w:t>
      </w:r>
      <w:r/>
    </w:p>
    <w:p>
      <w:pPr>
        <w:pStyle w:val="1091"/>
        <w:jc w:val="both"/>
        <w:spacing w:before="0" w:beforeAutospacing="0" w:after="0" w:afterAutospacing="0" w:line="520" w:lineRule="atLeast"/>
        <w:shd w:val="clear" w:color="auto" w:fill="ffffff"/>
        <w:rPr>
          <w:rFonts w:hint="eastAsia" w:ascii="宋体" w:hAnsi="宋体" w:eastAsia="宋体" w:cs="宋体"/>
          <w:b/>
          <w:bCs/>
          <w:sz w:val="32"/>
          <w:szCs w:val="32"/>
          <w:highlight w:val="none"/>
        </w:rPr>
        <w:sectPr>
          <w:footnotePr/>
          <w:endnotePr/>
          <w:type w:val="nextPage"/>
          <w:pgSz w:w="11906" w:h="16838" w:orient="portrait"/>
          <w:pgMar w:top="1393" w:right="1418" w:bottom="1474" w:left="1474"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line="360" w:lineRule="auto"/>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十、预付款保函支付条款模板</w:t>
      </w:r>
      <w:r/>
    </w:p>
    <w:p>
      <w:pPr>
        <w:ind w:firstLine="605"/>
        <w:rPr>
          <w:rFonts w:hint="eastAsia" w:ascii="宋体" w:hAnsi="宋体" w:eastAsia="宋体" w:cs="宋体"/>
          <w:b/>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2"/>
          <w:highlight w:val="none"/>
        </w:rPr>
      </w:r>
      <w:r/>
    </w:p>
    <w:p>
      <w:pPr>
        <w:spacing w:line="288"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符合条件一：提交预付款保函的</w:t>
      </w:r>
      <w:r/>
    </w:p>
    <w:p>
      <w:pPr>
        <w:ind w:firstLine="602"/>
        <w:spacing w:line="288"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个工作日内，由甲方根据审批流程办理政府采购资金结算手续，经审核后支付给乙方合同价款的百分之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2"/>
        <w:spacing w:line="288"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firstLine="602"/>
        <w:spacing w:line="288"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（2）合同标的全部交付并安装完毕并验收合格后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个工作日内，由甲方根据审批流程办理政府采购资金结算手续，经审核后支付合同价款的百分之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288"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w:t>
      </w:r>
      <w:r/>
    </w:p>
    <w:p>
      <w:pPr>
        <w:spacing w:line="288"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符合条件二：不提交预付款保函的</w:t>
      </w:r>
      <w:r/>
    </w:p>
    <w:p>
      <w:pPr>
        <w:ind w:firstLine="602"/>
        <w:spacing w:line="288"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个工作日内，由甲方根据审批流程办理政府采购资金结算手续，经审核后支付合同价款的百分之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2"/>
        <w:spacing w:line="288"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firstLine="602"/>
        <w:spacing w:line="288"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（2）合同标的全部交付并安装完毕并验收合格后，由甲方根据审批流程办理政府采购资金结算手续，经审核后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288"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w:t>
      </w:r>
      <w:r/>
    </w:p>
    <w:p>
      <w:pPr>
        <w:ind w:firstLine="605"/>
        <w:spacing w:line="288"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eastAsia="宋体" w:cs="宋体"/>
          <w:b/>
          <w:sz w:val="24"/>
          <w:szCs w:val="24"/>
          <w:highlight w:val="none"/>
          <w:lang w:eastAsia="zh-CN"/>
        </w:rPr>
        <w:t xml:space="preserve">：</w:t>
      </w:r>
      <w:r/>
    </w:p>
    <w:p>
      <w:pPr>
        <w:ind w:firstLine="602"/>
        <w:spacing w:line="288"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1、付款条件一中，出具预付款保函后支付的合同款应当与保函金额一致。</w:t>
      </w:r>
      <w:r/>
    </w:p>
    <w:p>
      <w:pPr>
        <w:ind w:firstLine="602"/>
        <w:spacing w:line="288"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2、付款条件二中，预付款比例设定应符合《关于做好政府采购支持企业发展有关事项的通知》(苏财购〔2020〕52号)要求。</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pStyle w:val="771"/>
        <w:ind w:firstLine="0"/>
        <w:jc w:val="center"/>
        <w:rPr>
          <w:rFonts w:hint="eastAsia" w:ascii="宋体" w:hAnsi="宋体" w:eastAsia="宋体" w:cs="宋体"/>
          <w:b/>
          <w:bCs/>
          <w:sz w:val="28"/>
          <w:szCs w:val="28"/>
          <w:highlight w:val="none"/>
        </w:rPr>
      </w:pPr>
      <w:r>
        <w:rPr>
          <w:rFonts w:hint="eastAsia" w:ascii="宋体" w:hAnsi="宋体" w:eastAsia="宋体" w:cs="宋体"/>
          <w:b/>
          <w:sz w:val="28"/>
          <w:szCs w:val="28"/>
          <w:highlight w:val="none"/>
        </w:rPr>
        <w:t xml:space="preserve">十</w:t>
      </w:r>
      <w:r>
        <w:rPr>
          <w:rFonts w:hint="eastAsia" w:hAnsi="宋体" w:cs="宋体"/>
          <w:b/>
          <w:sz w:val="28"/>
          <w:szCs w:val="28"/>
          <w:highlight w:val="none"/>
          <w:lang w:val="en-US" w:eastAsia="zh-CN"/>
        </w:rPr>
        <w:t xml:space="preserve">一</w:t>
      </w:r>
      <w:bookmarkStart w:id="9" w:name="_GoBack"/>
      <w:r/>
      <w:bookmarkEnd w:id="9"/>
      <w:r>
        <w:rPr>
          <w:rFonts w:hint="eastAsia" w:ascii="宋体" w:hAnsi="宋体" w:eastAsia="宋体" w:cs="宋体"/>
          <w:b/>
          <w:sz w:val="28"/>
          <w:szCs w:val="28"/>
          <w:highlight w:val="none"/>
        </w:rPr>
        <w:t xml:space="preserve">、</w:t>
      </w:r>
      <w:r>
        <w:rPr>
          <w:rFonts w:hint="eastAsia" w:ascii="宋体" w:hAnsi="宋体" w:eastAsia="宋体" w:cs="宋体"/>
          <w:b/>
          <w:bCs/>
          <w:sz w:val="28"/>
          <w:szCs w:val="28"/>
          <w:highlight w:val="none"/>
        </w:rPr>
        <w:t xml:space="preserve">联合体协议书（格式）</w:t>
      </w:r>
      <w:r/>
    </w:p>
    <w:p>
      <w:pPr>
        <w:pStyle w:val="773"/>
        <w:ind w:right="-23" w:firstLine="1124"/>
        <w:jc w:val="left"/>
        <w:spacing w:line="360" w:lineRule="auto"/>
        <w:tabs>
          <w:tab w:val="left" w:pos="2200" w:leader="none"/>
          <w:tab w:val="left" w:pos="6000" w:leader="none"/>
        </w:tabs>
        <w:rPr>
          <w:rFonts w:hint="eastAsia" w:ascii="宋体" w:hAnsi="宋体" w:eastAsia="宋体" w:cs="宋体"/>
          <w:position w:val="-4"/>
          <w:sz w:val="22"/>
          <w:szCs w:val="22"/>
          <w:highlight w:val="none"/>
          <w:u w:val="single"/>
        </w:rPr>
      </w:pPr>
      <w:r>
        <w:rPr>
          <w:rFonts w:hint="eastAsia" w:ascii="宋体" w:hAnsi="宋体" w:eastAsia="宋体" w:cs="宋体"/>
          <w:position w:val="-4"/>
          <w:sz w:val="22"/>
          <w:szCs w:val="22"/>
          <w:highlight w:val="none"/>
          <w:u w:val="single"/>
        </w:rPr>
      </w:r>
      <w:r/>
    </w:p>
    <w:p>
      <w:pPr>
        <w:pStyle w:val="773"/>
        <w:ind w:right="-23"/>
        <w:jc w:val="left"/>
        <w:spacing w:line="360" w:lineRule="auto"/>
        <w:tabs>
          <w:tab w:val="left" w:pos="2200" w:leader="none"/>
          <w:tab w:val="left" w:pos="6000" w:leader="none"/>
        </w:tabs>
        <w:rPr>
          <w:rFonts w:hint="eastAsia" w:ascii="宋体" w:hAnsi="宋体" w:eastAsia="宋体" w:cs="宋体"/>
          <w:position w:val="-4"/>
          <w:sz w:val="24"/>
          <w:szCs w:val="24"/>
          <w:highlight w:val="none"/>
        </w:rPr>
      </w:pPr>
      <w:r>
        <w:rPr>
          <w:rFonts w:hint="eastAsia" w:ascii="宋体" w:hAnsi="宋体" w:eastAsia="宋体" w:cs="宋体"/>
          <w:position w:val="-4"/>
          <w:sz w:val="24"/>
          <w:szCs w:val="24"/>
          <w:highlight w:val="none"/>
          <w:u w:val="single"/>
        </w:rPr>
        <w:t xml:space="preserve"> </w:t>
      </w:r>
      <w:r>
        <w:rPr>
          <w:rFonts w:hint="eastAsia" w:ascii="宋体" w:hAnsi="宋体" w:eastAsia="宋体" w:cs="宋体"/>
          <w:position w:val="-4"/>
          <w:sz w:val="24"/>
          <w:szCs w:val="24"/>
          <w:highlight w:val="none"/>
          <w:u w:val="single"/>
        </w:rPr>
        <w:tab/>
      </w:r>
      <w:r>
        <w:rPr>
          <w:rFonts w:hint="eastAsia" w:ascii="宋体" w:hAnsi="宋体" w:eastAsia="宋体" w:cs="宋体"/>
          <w:position w:val="-4"/>
          <w:sz w:val="24"/>
          <w:szCs w:val="24"/>
          <w:highlight w:val="none"/>
        </w:rPr>
        <w:t xml:space="preserve">（所</w:t>
      </w:r>
      <w:r>
        <w:rPr>
          <w:rFonts w:hint="eastAsia" w:ascii="宋体" w:hAnsi="宋体" w:eastAsia="宋体" w:cs="宋体"/>
          <w:spacing w:val="-2"/>
          <w:position w:val="-4"/>
          <w:sz w:val="24"/>
          <w:szCs w:val="24"/>
          <w:highlight w:val="none"/>
        </w:rPr>
        <w:t xml:space="preserve">有</w:t>
      </w:r>
      <w:r>
        <w:rPr>
          <w:rFonts w:hint="eastAsia" w:ascii="宋体" w:hAnsi="宋体" w:eastAsia="宋体" w:cs="宋体"/>
          <w:position w:val="-4"/>
          <w:sz w:val="24"/>
          <w:szCs w:val="24"/>
          <w:highlight w:val="none"/>
        </w:rPr>
        <w:t xml:space="preserve">成员单位名称）自愿组</w:t>
      </w:r>
      <w:r>
        <w:rPr>
          <w:rFonts w:hint="eastAsia" w:ascii="宋体" w:hAnsi="宋体" w:eastAsia="宋体" w:cs="宋体"/>
          <w:spacing w:val="1"/>
          <w:position w:val="-4"/>
          <w:sz w:val="24"/>
          <w:szCs w:val="24"/>
          <w:highlight w:val="none"/>
        </w:rPr>
        <w:t xml:space="preserve">成</w:t>
      </w:r>
      <w:r>
        <w:rPr>
          <w:rFonts w:hint="eastAsia" w:ascii="宋体" w:hAnsi="宋体" w:eastAsia="宋体" w:cs="宋体"/>
          <w:position w:val="-4"/>
          <w:sz w:val="24"/>
          <w:szCs w:val="24"/>
          <w:highlight w:val="none"/>
          <w:u w:val="single"/>
        </w:rPr>
        <w:tab/>
      </w:r>
      <w:r>
        <w:rPr>
          <w:rFonts w:hint="eastAsia" w:ascii="宋体" w:hAnsi="宋体" w:eastAsia="宋体" w:cs="宋体"/>
          <w:position w:val="-4"/>
          <w:sz w:val="24"/>
          <w:szCs w:val="24"/>
          <w:highlight w:val="none"/>
          <w:u w:val="single"/>
        </w:rPr>
        <w:t xml:space="preserve">      </w:t>
      </w:r>
      <w:r>
        <w:rPr>
          <w:rFonts w:hint="eastAsia" w:ascii="宋体" w:hAnsi="宋体" w:eastAsia="宋体" w:cs="宋体"/>
          <w:position w:val="-4"/>
          <w:sz w:val="24"/>
          <w:szCs w:val="24"/>
          <w:highlight w:val="none"/>
        </w:rPr>
        <w:t xml:space="preserve">（联合体名称）联合体，共同</w:t>
      </w:r>
      <w:r>
        <w:rPr>
          <w:rFonts w:hint="eastAsia" w:ascii="宋体" w:hAnsi="宋体" w:eastAsia="宋体" w:cs="宋体"/>
          <w:position w:val="-2"/>
          <w:sz w:val="24"/>
          <w:szCs w:val="24"/>
          <w:highlight w:val="none"/>
        </w:rPr>
        <w:t xml:space="preserve">参加</w:t>
      </w:r>
      <w:r>
        <w:rPr>
          <w:rFonts w:hint="eastAsia" w:ascii="宋体" w:hAnsi="宋体" w:eastAsia="宋体" w:cs="宋体"/>
          <w:position w:val="-2"/>
          <w:sz w:val="24"/>
          <w:szCs w:val="24"/>
          <w:highlight w:val="none"/>
          <w:u w:val="single"/>
        </w:rPr>
        <w:t xml:space="preserve">    </w:t>
      </w:r>
      <w:r>
        <w:rPr>
          <w:rFonts w:hint="eastAsia" w:ascii="宋体" w:hAnsi="宋体" w:eastAsia="宋体" w:cs="宋体"/>
          <w:spacing w:val="1"/>
          <w:position w:val="-2"/>
          <w:sz w:val="24"/>
          <w:szCs w:val="24"/>
          <w:highlight w:val="none"/>
          <w:u w:val="single"/>
        </w:rPr>
        <w:t xml:space="preserve">    </w:t>
      </w:r>
      <w:r>
        <w:rPr>
          <w:rFonts w:hint="eastAsia" w:ascii="宋体" w:hAnsi="宋体" w:eastAsia="宋体" w:cs="宋体"/>
          <w:spacing w:val="-2"/>
          <w:position w:val="-2"/>
          <w:sz w:val="24"/>
          <w:szCs w:val="24"/>
          <w:highlight w:val="none"/>
        </w:rPr>
        <w:t xml:space="preserve">（</w:t>
      </w:r>
      <w:r>
        <w:rPr>
          <w:rFonts w:hint="eastAsia" w:ascii="宋体" w:hAnsi="宋体" w:eastAsia="宋体" w:cs="宋体"/>
          <w:position w:val="-2"/>
          <w:sz w:val="24"/>
          <w:szCs w:val="24"/>
          <w:highlight w:val="none"/>
        </w:rPr>
        <w:t xml:space="preserve">项目</w:t>
      </w:r>
      <w:r>
        <w:rPr>
          <w:rFonts w:hint="eastAsia" w:ascii="宋体" w:hAnsi="宋体" w:eastAsia="宋体" w:cs="宋体"/>
          <w:spacing w:val="-2"/>
          <w:position w:val="-2"/>
          <w:sz w:val="24"/>
          <w:szCs w:val="24"/>
          <w:highlight w:val="none"/>
        </w:rPr>
        <w:t xml:space="preserve">名</w:t>
      </w:r>
      <w:r>
        <w:rPr>
          <w:rFonts w:hint="eastAsia" w:ascii="宋体" w:hAnsi="宋体" w:eastAsia="宋体" w:cs="宋体"/>
          <w:position w:val="-2"/>
          <w:sz w:val="24"/>
          <w:szCs w:val="24"/>
          <w:highlight w:val="none"/>
        </w:rPr>
        <w:t xml:space="preserve">称</w:t>
      </w:r>
      <w:r>
        <w:rPr>
          <w:rFonts w:hint="eastAsia" w:ascii="宋体" w:hAnsi="宋体" w:eastAsia="宋体" w:cs="宋体"/>
          <w:spacing w:val="-2"/>
          <w:position w:val="-2"/>
          <w:sz w:val="24"/>
          <w:szCs w:val="24"/>
          <w:highlight w:val="none"/>
        </w:rPr>
        <w:t xml:space="preserve">）</w:t>
      </w:r>
      <w:r>
        <w:rPr>
          <w:rFonts w:hint="eastAsia" w:ascii="宋体" w:hAnsi="宋体" w:eastAsia="宋体" w:cs="宋体"/>
          <w:spacing w:val="-2"/>
          <w:position w:val="-2"/>
          <w:sz w:val="24"/>
          <w:szCs w:val="24"/>
          <w:highlight w:val="none"/>
          <w:u w:val="single"/>
        </w:rPr>
        <w:t xml:space="preserve">       </w:t>
      </w:r>
      <w:r>
        <w:rPr>
          <w:rFonts w:hint="eastAsia" w:ascii="宋体" w:hAnsi="宋体" w:eastAsia="宋体" w:cs="宋体"/>
          <w:spacing w:val="-2"/>
          <w:position w:val="-2"/>
          <w:sz w:val="24"/>
          <w:szCs w:val="24"/>
          <w:highlight w:val="none"/>
        </w:rPr>
        <w:t xml:space="preserve">（项目编号）</w:t>
      </w:r>
      <w:r>
        <w:rPr>
          <w:rFonts w:hint="eastAsia" w:ascii="宋体" w:hAnsi="宋体" w:eastAsia="宋体" w:cs="宋体"/>
          <w:position w:val="-2"/>
          <w:sz w:val="24"/>
          <w:szCs w:val="24"/>
          <w:highlight w:val="none"/>
        </w:rPr>
        <w:t xml:space="preserve">的投标活动</w:t>
      </w:r>
      <w:r>
        <w:rPr>
          <w:rFonts w:hint="eastAsia" w:ascii="宋体" w:hAnsi="宋体" w:eastAsia="宋体" w:cs="宋体"/>
          <w:spacing w:val="-2"/>
          <w:position w:val="-2"/>
          <w:sz w:val="24"/>
          <w:szCs w:val="24"/>
          <w:highlight w:val="none"/>
        </w:rPr>
        <w:t xml:space="preserve">。</w:t>
      </w:r>
      <w:r>
        <w:rPr>
          <w:rFonts w:hint="eastAsia" w:ascii="宋体" w:hAnsi="宋体" w:eastAsia="宋体" w:cs="宋体"/>
          <w:position w:val="-2"/>
          <w:sz w:val="24"/>
          <w:szCs w:val="24"/>
          <w:highlight w:val="none"/>
        </w:rPr>
        <w:t xml:space="preserve">现</w:t>
      </w:r>
      <w:r>
        <w:rPr>
          <w:rFonts w:hint="eastAsia" w:ascii="宋体" w:hAnsi="宋体" w:eastAsia="宋体" w:cs="宋体"/>
          <w:spacing w:val="-2"/>
          <w:position w:val="-2"/>
          <w:sz w:val="24"/>
          <w:szCs w:val="24"/>
          <w:highlight w:val="none"/>
        </w:rPr>
        <w:t xml:space="preserve">就</w:t>
      </w:r>
      <w:r>
        <w:rPr>
          <w:rFonts w:hint="eastAsia" w:ascii="宋体" w:hAnsi="宋体" w:eastAsia="宋体" w:cs="宋体"/>
          <w:position w:val="-2"/>
          <w:sz w:val="24"/>
          <w:szCs w:val="24"/>
          <w:highlight w:val="none"/>
        </w:rPr>
        <w:t xml:space="preserve">联</w:t>
      </w:r>
      <w:r>
        <w:rPr>
          <w:rFonts w:hint="eastAsia" w:ascii="宋体" w:hAnsi="宋体" w:eastAsia="宋体" w:cs="宋体"/>
          <w:spacing w:val="-2"/>
          <w:position w:val="-2"/>
          <w:sz w:val="24"/>
          <w:szCs w:val="24"/>
          <w:highlight w:val="none"/>
        </w:rPr>
        <w:t xml:space="preserve">合</w:t>
      </w:r>
      <w:r>
        <w:rPr>
          <w:rFonts w:hint="eastAsia" w:ascii="宋体" w:hAnsi="宋体" w:eastAsia="宋体" w:cs="宋体"/>
          <w:spacing w:val="2"/>
          <w:position w:val="-2"/>
          <w:sz w:val="24"/>
          <w:szCs w:val="24"/>
          <w:highlight w:val="none"/>
        </w:rPr>
        <w:t xml:space="preserve">体</w:t>
      </w:r>
      <w:r>
        <w:rPr>
          <w:rFonts w:hint="eastAsia" w:ascii="宋体" w:hAnsi="宋体" w:eastAsia="宋体" w:cs="宋体"/>
          <w:position w:val="-2"/>
          <w:sz w:val="24"/>
          <w:szCs w:val="24"/>
          <w:highlight w:val="none"/>
        </w:rPr>
        <w:t xml:space="preserve">投</w:t>
      </w:r>
      <w:r>
        <w:rPr>
          <w:rFonts w:hint="eastAsia" w:ascii="宋体" w:hAnsi="宋体" w:eastAsia="宋体" w:cs="宋体"/>
          <w:spacing w:val="2"/>
          <w:position w:val="-2"/>
          <w:sz w:val="24"/>
          <w:szCs w:val="24"/>
          <w:highlight w:val="none"/>
        </w:rPr>
        <w:t xml:space="preserve">标</w:t>
      </w:r>
      <w:r>
        <w:rPr>
          <w:rFonts w:hint="eastAsia" w:ascii="宋体" w:hAnsi="宋体" w:eastAsia="宋体" w:cs="宋体"/>
          <w:position w:val="-2"/>
          <w:sz w:val="24"/>
          <w:szCs w:val="24"/>
          <w:highlight w:val="none"/>
        </w:rPr>
        <w:t xml:space="preserve">事</w:t>
      </w:r>
      <w:r>
        <w:rPr>
          <w:rFonts w:hint="eastAsia" w:ascii="宋体" w:hAnsi="宋体" w:eastAsia="宋体" w:cs="宋体"/>
          <w:spacing w:val="2"/>
          <w:position w:val="-2"/>
          <w:sz w:val="24"/>
          <w:szCs w:val="24"/>
          <w:highlight w:val="none"/>
        </w:rPr>
        <w:t xml:space="preserve">宜订</w:t>
      </w:r>
      <w:r>
        <w:rPr>
          <w:rFonts w:hint="eastAsia" w:ascii="宋体" w:hAnsi="宋体" w:eastAsia="宋体" w:cs="宋体"/>
          <w:position w:val="-2"/>
          <w:sz w:val="24"/>
          <w:szCs w:val="24"/>
          <w:highlight w:val="none"/>
        </w:rPr>
        <w:t xml:space="preserve">立</w:t>
      </w:r>
      <w:r>
        <w:rPr>
          <w:rFonts w:hint="eastAsia" w:ascii="宋体" w:hAnsi="宋体" w:eastAsia="宋体" w:cs="宋体"/>
          <w:spacing w:val="2"/>
          <w:position w:val="-2"/>
          <w:sz w:val="24"/>
          <w:szCs w:val="24"/>
          <w:highlight w:val="none"/>
        </w:rPr>
        <w:t xml:space="preserve">如</w:t>
      </w:r>
      <w:r>
        <w:rPr>
          <w:rFonts w:hint="eastAsia" w:ascii="宋体" w:hAnsi="宋体" w:eastAsia="宋体" w:cs="宋体"/>
          <w:position w:val="-2"/>
          <w:sz w:val="24"/>
          <w:szCs w:val="24"/>
          <w:highlight w:val="none"/>
        </w:rPr>
        <w:t xml:space="preserve">下</w:t>
      </w:r>
      <w:r>
        <w:rPr>
          <w:rFonts w:hint="eastAsia" w:ascii="宋体" w:hAnsi="宋体" w:eastAsia="宋体" w:cs="宋体"/>
          <w:spacing w:val="2"/>
          <w:position w:val="-2"/>
          <w:sz w:val="24"/>
          <w:szCs w:val="24"/>
          <w:highlight w:val="none"/>
        </w:rPr>
        <w:t xml:space="preserve">协</w:t>
      </w:r>
      <w:r>
        <w:rPr>
          <w:rFonts w:hint="eastAsia" w:ascii="宋体" w:hAnsi="宋体" w:eastAsia="宋体" w:cs="宋体"/>
          <w:position w:val="-2"/>
          <w:sz w:val="24"/>
          <w:szCs w:val="24"/>
          <w:highlight w:val="none"/>
        </w:rPr>
        <w:t xml:space="preserve">议。</w:t>
      </w:r>
      <w:r/>
    </w:p>
    <w:p>
      <w:pPr>
        <w:pStyle w:val="773"/>
        <w:ind w:left="520" w:right="-20"/>
        <w:jc w:val="left"/>
        <w:spacing w:line="360" w:lineRule="auto"/>
        <w:tabs>
          <w:tab w:val="left" w:pos="2660" w:leader="none"/>
          <w:tab w:val="left" w:pos="5600" w:leader="none"/>
        </w:tabs>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1、</w:t>
      </w:r>
      <w:r>
        <w:rPr>
          <w:rFonts w:hint="eastAsia" w:ascii="宋体" w:hAnsi="宋体" w:eastAsia="宋体" w:cs="宋体"/>
          <w:position w:val="-1"/>
          <w:sz w:val="24"/>
          <w:szCs w:val="24"/>
          <w:highlight w:val="none"/>
          <w:u w:val="single"/>
        </w:rPr>
        <w:t xml:space="preserve"> </w:t>
      </w:r>
      <w:r>
        <w:rPr>
          <w:rFonts w:hint="eastAsia" w:ascii="宋体" w:hAnsi="宋体" w:eastAsia="宋体" w:cs="宋体"/>
          <w:position w:val="-1"/>
          <w:sz w:val="24"/>
          <w:szCs w:val="24"/>
          <w:highlight w:val="none"/>
          <w:u w:val="single"/>
        </w:rPr>
        <w:tab/>
      </w:r>
      <w:r>
        <w:rPr>
          <w:rFonts w:hint="eastAsia" w:ascii="宋体" w:hAnsi="宋体" w:eastAsia="宋体" w:cs="宋体"/>
          <w:spacing w:val="-2"/>
          <w:position w:val="-1"/>
          <w:sz w:val="24"/>
          <w:szCs w:val="24"/>
          <w:highlight w:val="none"/>
        </w:rPr>
        <w:t xml:space="preserve">（</w:t>
      </w:r>
      <w:r>
        <w:rPr>
          <w:rFonts w:hint="eastAsia" w:ascii="宋体" w:hAnsi="宋体" w:eastAsia="宋体" w:cs="宋体"/>
          <w:position w:val="-1"/>
          <w:sz w:val="24"/>
          <w:szCs w:val="24"/>
          <w:highlight w:val="none"/>
        </w:rPr>
        <w:t xml:space="preserve">某成</w:t>
      </w:r>
      <w:r>
        <w:rPr>
          <w:rFonts w:hint="eastAsia" w:ascii="宋体" w:hAnsi="宋体" w:eastAsia="宋体" w:cs="宋体"/>
          <w:spacing w:val="-2"/>
          <w:position w:val="-1"/>
          <w:sz w:val="24"/>
          <w:szCs w:val="24"/>
          <w:highlight w:val="none"/>
        </w:rPr>
        <w:t xml:space="preserve">员</w:t>
      </w:r>
      <w:r>
        <w:rPr>
          <w:rFonts w:hint="eastAsia" w:ascii="宋体" w:hAnsi="宋体" w:eastAsia="宋体" w:cs="宋体"/>
          <w:position w:val="-1"/>
          <w:sz w:val="24"/>
          <w:szCs w:val="24"/>
          <w:highlight w:val="none"/>
        </w:rPr>
        <w:t xml:space="preserve">单</w:t>
      </w:r>
      <w:r>
        <w:rPr>
          <w:rFonts w:hint="eastAsia" w:ascii="宋体" w:hAnsi="宋体" w:eastAsia="宋体" w:cs="宋体"/>
          <w:spacing w:val="-2"/>
          <w:position w:val="-1"/>
          <w:sz w:val="24"/>
          <w:szCs w:val="24"/>
          <w:highlight w:val="none"/>
        </w:rPr>
        <w:t xml:space="preserve">位</w:t>
      </w:r>
      <w:r>
        <w:rPr>
          <w:rFonts w:hint="eastAsia" w:ascii="宋体" w:hAnsi="宋体" w:eastAsia="宋体" w:cs="宋体"/>
          <w:position w:val="-1"/>
          <w:sz w:val="24"/>
          <w:szCs w:val="24"/>
          <w:highlight w:val="none"/>
        </w:rPr>
        <w:t xml:space="preserve">名</w:t>
      </w:r>
      <w:r>
        <w:rPr>
          <w:rFonts w:hint="eastAsia" w:ascii="宋体" w:hAnsi="宋体" w:eastAsia="宋体" w:cs="宋体"/>
          <w:spacing w:val="-2"/>
          <w:position w:val="-1"/>
          <w:sz w:val="24"/>
          <w:szCs w:val="24"/>
          <w:highlight w:val="none"/>
        </w:rPr>
        <w:t xml:space="preserve">称</w:t>
      </w:r>
      <w:r>
        <w:rPr>
          <w:rFonts w:hint="eastAsia" w:ascii="宋体" w:hAnsi="宋体" w:eastAsia="宋体" w:cs="宋体"/>
          <w:position w:val="-1"/>
          <w:sz w:val="24"/>
          <w:szCs w:val="24"/>
          <w:highlight w:val="none"/>
        </w:rPr>
        <w:t xml:space="preserve">）</w:t>
      </w:r>
      <w:r>
        <w:rPr>
          <w:rFonts w:hint="eastAsia" w:ascii="宋体" w:hAnsi="宋体" w:eastAsia="宋体" w:cs="宋体"/>
          <w:spacing w:val="-3"/>
          <w:position w:val="-1"/>
          <w:sz w:val="24"/>
          <w:szCs w:val="24"/>
          <w:highlight w:val="none"/>
        </w:rPr>
        <w:t xml:space="preserve">为</w:t>
      </w:r>
      <w:r>
        <w:rPr>
          <w:rFonts w:hint="eastAsia" w:ascii="宋体" w:hAnsi="宋体" w:eastAsia="宋体" w:cs="宋体"/>
          <w:position w:val="-1"/>
          <w:sz w:val="24"/>
          <w:szCs w:val="24"/>
          <w:highlight w:val="none"/>
          <w:u w:val="single"/>
        </w:rPr>
        <w:t xml:space="preserve">     </w:t>
      </w:r>
      <w:r>
        <w:rPr>
          <w:rFonts w:hint="eastAsia" w:ascii="宋体" w:hAnsi="宋体" w:eastAsia="宋体" w:cs="宋体"/>
          <w:spacing w:val="1"/>
          <w:position w:val="-1"/>
          <w:sz w:val="24"/>
          <w:szCs w:val="24"/>
          <w:highlight w:val="none"/>
          <w:u w:val="single"/>
        </w:rPr>
        <w:t xml:space="preserve"> </w:t>
      </w:r>
      <w:r>
        <w:rPr>
          <w:rFonts w:hint="eastAsia" w:ascii="宋体" w:hAnsi="宋体" w:eastAsia="宋体" w:cs="宋体"/>
          <w:position w:val="-1"/>
          <w:sz w:val="24"/>
          <w:szCs w:val="24"/>
          <w:highlight w:val="none"/>
          <w:u w:val="single"/>
        </w:rPr>
        <w:tab/>
      </w:r>
      <w:r>
        <w:rPr>
          <w:rFonts w:hint="eastAsia" w:ascii="宋体" w:hAnsi="宋体" w:eastAsia="宋体" w:cs="宋体"/>
          <w:spacing w:val="-2"/>
          <w:position w:val="-1"/>
          <w:sz w:val="24"/>
          <w:szCs w:val="24"/>
          <w:highlight w:val="none"/>
        </w:rPr>
        <w:t xml:space="preserve">（</w:t>
      </w:r>
      <w:r>
        <w:rPr>
          <w:rFonts w:hint="eastAsia" w:ascii="宋体" w:hAnsi="宋体" w:eastAsia="宋体" w:cs="宋体"/>
          <w:position w:val="-1"/>
          <w:sz w:val="24"/>
          <w:szCs w:val="24"/>
          <w:highlight w:val="none"/>
        </w:rPr>
        <w:t xml:space="preserve">项目名称</w:t>
      </w:r>
      <w:r>
        <w:rPr>
          <w:rFonts w:hint="eastAsia" w:ascii="宋体" w:hAnsi="宋体" w:eastAsia="宋体" w:cs="宋体"/>
          <w:spacing w:val="-2"/>
          <w:position w:val="-1"/>
          <w:sz w:val="24"/>
          <w:szCs w:val="24"/>
          <w:highlight w:val="none"/>
        </w:rPr>
        <w:t xml:space="preserve">）</w:t>
      </w:r>
      <w:r>
        <w:rPr>
          <w:rFonts w:hint="eastAsia" w:ascii="宋体" w:hAnsi="宋体" w:eastAsia="宋体" w:cs="宋体"/>
          <w:position w:val="-1"/>
          <w:sz w:val="24"/>
          <w:szCs w:val="24"/>
          <w:highlight w:val="none"/>
        </w:rPr>
        <w:t xml:space="preserve">牵</w:t>
      </w:r>
      <w:r>
        <w:rPr>
          <w:rFonts w:hint="eastAsia" w:ascii="宋体" w:hAnsi="宋体" w:eastAsia="宋体" w:cs="宋体"/>
          <w:spacing w:val="-2"/>
          <w:position w:val="-1"/>
          <w:sz w:val="24"/>
          <w:szCs w:val="24"/>
          <w:highlight w:val="none"/>
        </w:rPr>
        <w:t xml:space="preserve">头单位</w:t>
      </w:r>
      <w:r>
        <w:rPr>
          <w:rFonts w:hint="eastAsia" w:ascii="宋体" w:hAnsi="宋体" w:eastAsia="宋体" w:cs="宋体"/>
          <w:position w:val="-1"/>
          <w:sz w:val="24"/>
          <w:szCs w:val="24"/>
          <w:highlight w:val="none"/>
        </w:rPr>
        <w:t xml:space="preserve">。</w:t>
      </w:r>
      <w:r/>
    </w:p>
    <w:p>
      <w:pPr>
        <w:pStyle w:val="773"/>
        <w:ind w:right="-20" w:firstLine="480"/>
        <w:jc w:val="left"/>
        <w:spacing w:line="360" w:lineRule="auto"/>
        <w:tabs>
          <w:tab w:val="left" w:pos="72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2、联合体各成员授权牵头人代表联合体参加招标采购活动，签署文件，提交和接收相关的资料、信息及指示，进行合同谈判活动，负责合同实施阶段的组织和协调工作，以及处理与本采购项目有关的一切事宜。</w:t>
      </w:r>
      <w:r/>
    </w:p>
    <w:p>
      <w:pPr>
        <w:pStyle w:val="773"/>
        <w:ind w:right="-20" w:firstLine="480"/>
        <w:jc w:val="left"/>
        <w:spacing w:line="360" w:lineRule="auto"/>
        <w:tabs>
          <w:tab w:val="left" w:pos="72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3、联合体牵头人在本项目中签署的一切文件和处理的一切事宜，联合体各成员均予以承认。联合体各成员将严格按照招标文件、投标文件和合同的要求全面履行义务，并向采购人承担连带责任。任一成员方</w:t>
      </w:r>
      <w:r>
        <w:rPr>
          <w:rFonts w:hint="eastAsia" w:ascii="宋体" w:hAnsi="宋体" w:eastAsia="宋体" w:cs="宋体"/>
          <w:sz w:val="24"/>
          <w:szCs w:val="24"/>
          <w:highlight w:val="none"/>
          <w:lang w:val="en-US" w:eastAsia="zh-CN"/>
        </w:rPr>
        <w:t xml:space="preserve">违约</w:t>
      </w:r>
      <w:r>
        <w:rPr>
          <w:rFonts w:hint="eastAsia" w:ascii="宋体" w:hAnsi="宋体" w:eastAsia="宋体" w:cs="宋体"/>
          <w:sz w:val="24"/>
          <w:szCs w:val="24"/>
          <w:highlight w:val="none"/>
        </w:rPr>
        <w:t xml:space="preserve">时，采购人有权要求联合体整体承担连带责任，并可直接向任一成员方主张全部权利。</w:t>
      </w:r>
      <w:r/>
    </w:p>
    <w:p>
      <w:pPr>
        <w:pStyle w:val="773"/>
        <w:ind w:left="520" w:right="-20"/>
        <w:jc w:val="left"/>
        <w:spacing w:line="360" w:lineRule="auto"/>
        <w:tabs>
          <w:tab w:val="left" w:pos="2660" w:leader="none"/>
          <w:tab w:val="left" w:pos="5600" w:leader="none"/>
        </w:tabs>
        <w:rPr>
          <w:rFonts w:hint="eastAsia" w:ascii="宋体" w:hAnsi="宋体" w:eastAsia="宋体" w:cs="宋体"/>
          <w:position w:val="-1"/>
          <w:sz w:val="24"/>
          <w:szCs w:val="24"/>
          <w:highlight w:val="none"/>
        </w:rPr>
      </w:pPr>
      <w:r>
        <w:rPr>
          <w:rFonts w:hint="eastAsia" w:ascii="宋体" w:hAnsi="宋体" w:eastAsia="宋体" w:cs="宋体"/>
          <w:position w:val="-1"/>
          <w:sz w:val="24"/>
          <w:szCs w:val="24"/>
          <w:highlight w:val="none"/>
        </w:rPr>
        <w:t xml:space="preserve">4、联合体各成员单位内部的职责分工如下： </w:t>
      </w:r>
      <w:r/>
    </w:p>
    <w:p>
      <w:pPr>
        <w:pStyle w:val="773"/>
        <w:ind w:left="520" w:right="-20"/>
        <w:jc w:val="left"/>
        <w:spacing w:line="360" w:lineRule="auto"/>
        <w:tabs>
          <w:tab w:val="left" w:pos="2660" w:leader="none"/>
          <w:tab w:val="left" w:pos="5600" w:leader="none"/>
        </w:tabs>
        <w:rPr>
          <w:rFonts w:hint="eastAsia" w:ascii="宋体" w:hAnsi="宋体" w:eastAsia="宋体" w:cs="宋体"/>
          <w:position w:val="-1"/>
          <w:sz w:val="24"/>
          <w:szCs w:val="24"/>
          <w:highlight w:val="none"/>
        </w:rPr>
      </w:pPr>
      <w:r>
        <w:rPr>
          <w:rFonts w:hint="eastAsia" w:ascii="宋体" w:hAnsi="宋体" w:eastAsia="宋体" w:cs="宋体"/>
          <w:position w:val="-1"/>
          <w:sz w:val="24"/>
          <w:szCs w:val="24"/>
          <w:highlight w:val="none"/>
        </w:rPr>
        <w:t xml:space="preserve">联合体牵头单位负责</w:t>
      </w:r>
      <w:r>
        <w:rPr>
          <w:rFonts w:hint="eastAsia" w:ascii="宋体" w:hAnsi="宋体" w:eastAsia="宋体" w:cs="宋体"/>
          <w:position w:val="-1"/>
          <w:sz w:val="24"/>
          <w:szCs w:val="24"/>
          <w:highlight w:val="none"/>
          <w:u w:val="single"/>
        </w:rPr>
        <w:t xml:space="preserve">                              </w:t>
      </w:r>
      <w:r>
        <w:rPr>
          <w:rFonts w:hint="eastAsia" w:ascii="宋体" w:hAnsi="宋体" w:eastAsia="宋体" w:cs="宋体"/>
          <w:position w:val="-1"/>
          <w:sz w:val="24"/>
          <w:szCs w:val="24"/>
          <w:highlight w:val="none"/>
        </w:rPr>
        <w:t xml:space="preserve">；</w:t>
      </w:r>
      <w:r/>
    </w:p>
    <w:p>
      <w:pPr>
        <w:pStyle w:val="773"/>
        <w:ind w:left="520" w:right="-20"/>
        <w:jc w:val="left"/>
        <w:spacing w:line="360" w:lineRule="auto"/>
        <w:tabs>
          <w:tab w:val="left" w:pos="2660" w:leader="none"/>
          <w:tab w:val="left" w:pos="5600" w:leader="none"/>
        </w:tabs>
        <w:rPr>
          <w:rFonts w:hint="eastAsia" w:ascii="宋体" w:hAnsi="宋体" w:eastAsia="宋体" w:cs="宋体"/>
          <w:position w:val="-1"/>
          <w:sz w:val="24"/>
          <w:szCs w:val="24"/>
          <w:highlight w:val="none"/>
        </w:rPr>
      </w:pPr>
      <w:r>
        <w:rPr>
          <w:rFonts w:hint="eastAsia" w:ascii="宋体" w:hAnsi="宋体" w:eastAsia="宋体" w:cs="宋体"/>
          <w:position w:val="-1"/>
          <w:sz w:val="24"/>
          <w:szCs w:val="24"/>
          <w:highlight w:val="none"/>
        </w:rPr>
        <w:t xml:space="preserve">联合体成员负责</w:t>
      </w:r>
      <w:r>
        <w:rPr>
          <w:rFonts w:hint="eastAsia" w:ascii="宋体" w:hAnsi="宋体" w:eastAsia="宋体" w:cs="宋体"/>
          <w:position w:val="-1"/>
          <w:sz w:val="24"/>
          <w:szCs w:val="24"/>
          <w:highlight w:val="none"/>
          <w:u w:val="single"/>
        </w:rPr>
        <w:t xml:space="preserve">                              </w:t>
      </w:r>
      <w:r>
        <w:rPr>
          <w:rFonts w:hint="eastAsia" w:ascii="宋体" w:hAnsi="宋体" w:eastAsia="宋体" w:cs="宋体"/>
          <w:position w:val="-1"/>
          <w:sz w:val="24"/>
          <w:szCs w:val="24"/>
          <w:highlight w:val="none"/>
        </w:rPr>
        <w:t xml:space="preserve">；</w:t>
      </w:r>
      <w:r/>
    </w:p>
    <w:p>
      <w:pPr>
        <w:pStyle w:val="841"/>
        <w:numPr>
          <w:ilvl w:val="255"/>
          <w:numId w:val="0"/>
        </w:numPr>
        <w:ind w:left="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5、联合体各成员单位内部根据职责分工占合同金额比例如下： </w:t>
      </w:r>
      <w:r/>
    </w:p>
    <w:p>
      <w:pPr>
        <w:pStyle w:val="841"/>
        <w:ind w:left="4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联合体牵头单位占合同金额：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841"/>
        <w:ind w:left="4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联合体成员单位占合同金额：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pStyle w:val="773"/>
        <w:ind w:right="-20" w:firstLine="518"/>
        <w:jc w:val="left"/>
        <w:spacing w:line="360" w:lineRule="auto"/>
        <w:tabs>
          <w:tab w:val="left" w:pos="2660" w:leader="none"/>
          <w:tab w:val="left" w:pos="5600" w:leader="none"/>
        </w:tabs>
        <w:rPr>
          <w:rFonts w:hint="eastAsia" w:ascii="宋体" w:hAnsi="宋体" w:eastAsia="宋体" w:cs="宋体"/>
          <w:position w:val="-1"/>
          <w:sz w:val="24"/>
          <w:szCs w:val="24"/>
          <w:highlight w:val="none"/>
        </w:rPr>
      </w:pPr>
      <w:r>
        <w:rPr>
          <w:rFonts w:hint="eastAsia" w:ascii="宋体" w:hAnsi="宋体" w:eastAsia="宋体" w:cs="宋体"/>
          <w:position w:val="-1"/>
          <w:sz w:val="24"/>
          <w:szCs w:val="24"/>
          <w:highlight w:val="none"/>
        </w:rPr>
        <w:t xml:space="preserve">6、投标工作和联合体在中标后项目实施过程中的有关费用按各自承担的工作量分摊。 </w:t>
      </w:r>
      <w:r/>
    </w:p>
    <w:p>
      <w:pPr>
        <w:pStyle w:val="773"/>
        <w:ind w:right="-20" w:firstLine="518"/>
        <w:jc w:val="left"/>
        <w:spacing w:line="360" w:lineRule="auto"/>
        <w:tabs>
          <w:tab w:val="left" w:pos="2660" w:leader="none"/>
          <w:tab w:val="left" w:pos="5600" w:leader="none"/>
        </w:tabs>
        <w:rPr>
          <w:rFonts w:hint="eastAsia" w:ascii="宋体" w:hAnsi="宋体" w:eastAsia="宋体" w:cs="宋体"/>
          <w:position w:val="-1"/>
          <w:sz w:val="24"/>
          <w:szCs w:val="24"/>
          <w:highlight w:val="none"/>
        </w:rPr>
      </w:pPr>
      <w:r>
        <w:rPr>
          <w:rFonts w:hint="eastAsia" w:ascii="宋体" w:hAnsi="宋体" w:eastAsia="宋体" w:cs="宋体"/>
          <w:position w:val="-1"/>
          <w:sz w:val="24"/>
          <w:szCs w:val="24"/>
          <w:highlight w:val="none"/>
        </w:rPr>
        <w:t xml:space="preserve">7、联合体主办单位的项目负责人为</w:t>
      </w:r>
      <w:r>
        <w:rPr>
          <w:rFonts w:hint="eastAsia" w:ascii="宋体" w:hAnsi="宋体" w:eastAsia="宋体" w:cs="宋体"/>
          <w:position w:val="-1"/>
          <w:sz w:val="24"/>
          <w:szCs w:val="24"/>
          <w:highlight w:val="none"/>
          <w:u w:val="single"/>
        </w:rPr>
        <w:t xml:space="preserve">       </w:t>
      </w:r>
      <w:r>
        <w:rPr>
          <w:rFonts w:hint="eastAsia" w:ascii="宋体" w:hAnsi="宋体" w:eastAsia="宋体" w:cs="宋体"/>
          <w:position w:val="-1"/>
          <w:sz w:val="24"/>
          <w:szCs w:val="24"/>
          <w:highlight w:val="none"/>
        </w:rPr>
        <w:t xml:space="preserve">，联合体协办单位的项目负责人为</w:t>
      </w:r>
      <w:r>
        <w:rPr>
          <w:rFonts w:hint="eastAsia" w:ascii="宋体" w:hAnsi="宋体" w:eastAsia="宋体" w:cs="宋体"/>
          <w:position w:val="-1"/>
          <w:sz w:val="24"/>
          <w:szCs w:val="24"/>
          <w:highlight w:val="none"/>
          <w:u w:val="single"/>
        </w:rPr>
        <w:t xml:space="preserve">       </w:t>
      </w:r>
      <w:r>
        <w:rPr>
          <w:rFonts w:hint="eastAsia" w:ascii="宋体" w:hAnsi="宋体" w:eastAsia="宋体" w:cs="宋体"/>
          <w:position w:val="-1"/>
          <w:sz w:val="24"/>
          <w:szCs w:val="24"/>
          <w:highlight w:val="none"/>
        </w:rPr>
        <w:t xml:space="preserve">。 </w:t>
      </w:r>
      <w:r/>
    </w:p>
    <w:p>
      <w:pPr>
        <w:pStyle w:val="773"/>
        <w:ind w:right="-20" w:firstLine="518"/>
        <w:jc w:val="left"/>
        <w:spacing w:line="360" w:lineRule="auto"/>
        <w:tabs>
          <w:tab w:val="left" w:pos="2660" w:leader="none"/>
          <w:tab w:val="left" w:pos="5600" w:leader="none"/>
        </w:tabs>
        <w:rPr>
          <w:rFonts w:hint="eastAsia" w:ascii="宋体" w:hAnsi="宋体" w:eastAsia="宋体" w:cs="宋体"/>
          <w:position w:val="-1"/>
          <w:sz w:val="24"/>
          <w:szCs w:val="24"/>
          <w:highlight w:val="none"/>
        </w:rPr>
      </w:pPr>
      <w:r>
        <w:rPr>
          <w:rFonts w:hint="eastAsia" w:ascii="宋体" w:hAnsi="宋体" w:eastAsia="宋体" w:cs="宋体"/>
          <w:position w:val="-1"/>
          <w:sz w:val="24"/>
          <w:szCs w:val="24"/>
          <w:highlight w:val="none"/>
        </w:rPr>
        <w:t xml:space="preserve">8、联合体中标后，本联合体协议是合同的附件，对联合体各成员单位有合同约束力。 </w:t>
      </w:r>
      <w:r/>
    </w:p>
    <w:p>
      <w:pPr>
        <w:pStyle w:val="773"/>
        <w:ind w:left="520" w:right="-20"/>
        <w:jc w:val="left"/>
        <w:spacing w:line="360" w:lineRule="auto"/>
        <w:tabs>
          <w:tab w:val="left" w:pos="2660" w:leader="none"/>
          <w:tab w:val="left" w:pos="5600" w:leader="none"/>
        </w:tabs>
        <w:rPr>
          <w:rFonts w:hint="eastAsia" w:ascii="宋体" w:hAnsi="宋体" w:eastAsia="宋体" w:cs="宋体"/>
          <w:position w:val="-1"/>
          <w:sz w:val="24"/>
          <w:szCs w:val="24"/>
          <w:highlight w:val="none"/>
        </w:rPr>
      </w:pPr>
      <w:r>
        <w:rPr>
          <w:rFonts w:hint="eastAsia" w:ascii="宋体" w:hAnsi="宋体" w:eastAsia="宋体" w:cs="宋体"/>
          <w:position w:val="-1"/>
          <w:sz w:val="24"/>
          <w:szCs w:val="24"/>
          <w:highlight w:val="none"/>
        </w:rPr>
        <w:t xml:space="preserve">9、本协议书自签署之日起生效，联合体未中标或者合同履行完毕后自动失效。 </w:t>
      </w:r>
      <w:r/>
    </w:p>
    <w:p>
      <w:pPr>
        <w:pStyle w:val="773"/>
        <w:ind w:left="520" w:right="-20"/>
        <w:jc w:val="left"/>
        <w:spacing w:line="360" w:lineRule="auto"/>
        <w:tabs>
          <w:tab w:val="left" w:pos="2660" w:leader="none"/>
          <w:tab w:val="left" w:pos="5600" w:leader="none"/>
        </w:tabs>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10、本协议书一式</w:t>
      </w:r>
      <w:r>
        <w:rPr>
          <w:rFonts w:hint="eastAsia" w:ascii="宋体" w:hAnsi="宋体" w:eastAsia="宋体" w:cs="宋体"/>
          <w:position w:val="-1"/>
          <w:sz w:val="24"/>
          <w:szCs w:val="24"/>
          <w:highlight w:val="none"/>
          <w:u w:val="single"/>
        </w:rPr>
        <w:t xml:space="preserve">     </w:t>
      </w:r>
      <w:r>
        <w:rPr>
          <w:rFonts w:hint="eastAsia" w:ascii="宋体" w:hAnsi="宋体" w:eastAsia="宋体" w:cs="宋体"/>
          <w:position w:val="-1"/>
          <w:sz w:val="24"/>
          <w:szCs w:val="24"/>
          <w:highlight w:val="none"/>
        </w:rPr>
        <w:t xml:space="preserve">份，签约双方各持</w:t>
      </w:r>
      <w:r>
        <w:rPr>
          <w:rFonts w:hint="eastAsia" w:ascii="宋体" w:hAnsi="宋体" w:eastAsia="宋体" w:cs="宋体"/>
          <w:position w:val="-1"/>
          <w:sz w:val="24"/>
          <w:szCs w:val="24"/>
          <w:highlight w:val="none"/>
          <w:u w:val="single"/>
        </w:rPr>
        <w:t xml:space="preserve">    </w:t>
      </w:r>
      <w:r>
        <w:rPr>
          <w:rFonts w:hint="eastAsia" w:ascii="宋体" w:hAnsi="宋体" w:eastAsia="宋体" w:cs="宋体"/>
          <w:position w:val="-1"/>
          <w:sz w:val="24"/>
          <w:szCs w:val="24"/>
          <w:highlight w:val="none"/>
        </w:rPr>
        <w:t xml:space="preserve">份。</w:t>
      </w:r>
      <w:r/>
    </w:p>
    <w:p>
      <w:pPr>
        <w:pStyle w:val="773"/>
        <w:ind w:right="-20" w:firstLine="480"/>
        <w:jc w:val="left"/>
        <w:spacing w:line="360" w:lineRule="auto"/>
        <w:tabs>
          <w:tab w:val="left" w:pos="7240" w:leader="none"/>
        </w:tabs>
        <w:rPr>
          <w:rFonts w:hint="eastAsia" w:ascii="宋体" w:hAnsi="宋体" w:eastAsia="宋体" w:cs="宋体"/>
          <w:position w:val="-4"/>
          <w:sz w:val="24"/>
          <w:szCs w:val="24"/>
          <w:highlight w:val="none"/>
        </w:rPr>
      </w:pPr>
      <w:r>
        <w:rPr>
          <w:rFonts w:hint="eastAsia" w:ascii="宋体" w:hAnsi="宋体" w:eastAsia="宋体" w:cs="宋体"/>
          <w:sz w:val="24"/>
          <w:szCs w:val="24"/>
          <w:highlight w:val="none"/>
        </w:rPr>
        <w:t xml:space="preserve">注：本协议书由法定代表人签字的，应附法定代表人身份证明；由委托代理人签字的，应附授权委托书。</w:t>
      </w:r>
      <w:r>
        <w:rPr>
          <w:rFonts w:hint="eastAsia" w:ascii="宋体" w:hAnsi="宋体" w:eastAsia="宋体" w:cs="宋体"/>
          <w:position w:val="-4"/>
          <w:sz w:val="24"/>
          <w:szCs w:val="24"/>
          <w:highlight w:val="none"/>
        </w:rPr>
        <w:t xml:space="preserve">                     </w:t>
      </w:r>
      <w:r/>
    </w:p>
    <w:p>
      <w:pPr>
        <w:pStyle w:val="773"/>
        <w:ind w:right="-20" w:firstLine="2640"/>
        <w:jc w:val="right"/>
        <w:spacing w:line="360" w:lineRule="auto"/>
        <w:tabs>
          <w:tab w:val="left" w:pos="7240" w:leader="none"/>
        </w:tabs>
        <w:rPr>
          <w:rFonts w:hint="eastAsia" w:ascii="宋体" w:hAnsi="宋体" w:eastAsia="宋体" w:cs="宋体"/>
          <w:position w:val="-4"/>
          <w:sz w:val="24"/>
          <w:szCs w:val="24"/>
          <w:highlight w:val="none"/>
        </w:rPr>
      </w:pPr>
      <w:r>
        <w:rPr>
          <w:rFonts w:hint="eastAsia" w:ascii="宋体" w:hAnsi="宋体" w:eastAsia="宋体" w:cs="宋体"/>
          <w:position w:val="-4"/>
          <w:sz w:val="24"/>
          <w:szCs w:val="24"/>
          <w:highlight w:val="none"/>
        </w:rPr>
      </w:r>
      <w:r/>
    </w:p>
    <w:p>
      <w:pPr>
        <w:pStyle w:val="773"/>
        <w:ind w:right="-20"/>
        <w:jc w:val="right"/>
        <w:spacing w:line="360" w:lineRule="auto"/>
        <w:tabs>
          <w:tab w:val="left" w:pos="7240" w:leader="none"/>
        </w:tabs>
        <w:rPr>
          <w:rFonts w:hint="eastAsia" w:ascii="宋体" w:hAnsi="宋体" w:eastAsia="宋体" w:cs="宋体"/>
          <w:sz w:val="24"/>
          <w:szCs w:val="24"/>
          <w:highlight w:val="none"/>
        </w:rPr>
      </w:pPr>
      <w:r>
        <w:rPr>
          <w:rFonts w:hint="eastAsia" w:ascii="宋体" w:hAnsi="宋体" w:eastAsia="宋体" w:cs="宋体"/>
          <w:position w:val="-4"/>
          <w:sz w:val="24"/>
          <w:szCs w:val="24"/>
          <w:highlight w:val="none"/>
        </w:rPr>
        <w:t xml:space="preserve">联合</w:t>
      </w:r>
      <w:r>
        <w:rPr>
          <w:rFonts w:hint="eastAsia" w:ascii="宋体" w:hAnsi="宋体" w:eastAsia="宋体" w:cs="宋体"/>
          <w:spacing w:val="-2"/>
          <w:position w:val="-4"/>
          <w:sz w:val="24"/>
          <w:szCs w:val="24"/>
          <w:highlight w:val="none"/>
        </w:rPr>
        <w:t xml:space="preserve">体</w:t>
      </w:r>
      <w:r>
        <w:rPr>
          <w:rFonts w:hint="eastAsia" w:ascii="宋体" w:hAnsi="宋体" w:eastAsia="宋体" w:cs="宋体"/>
          <w:position w:val="-4"/>
          <w:sz w:val="24"/>
          <w:szCs w:val="24"/>
          <w:highlight w:val="none"/>
        </w:rPr>
        <w:t xml:space="preserve">牵</w:t>
      </w:r>
      <w:r>
        <w:rPr>
          <w:rFonts w:hint="eastAsia" w:ascii="宋体" w:hAnsi="宋体" w:eastAsia="宋体" w:cs="宋体"/>
          <w:spacing w:val="-2"/>
          <w:position w:val="-4"/>
          <w:sz w:val="24"/>
          <w:szCs w:val="24"/>
          <w:highlight w:val="none"/>
        </w:rPr>
        <w:t xml:space="preserve">头</w:t>
      </w:r>
      <w:r>
        <w:rPr>
          <w:rFonts w:hint="eastAsia" w:ascii="宋体" w:hAnsi="宋体" w:eastAsia="宋体" w:cs="宋体"/>
          <w:position w:val="-4"/>
          <w:sz w:val="24"/>
          <w:szCs w:val="24"/>
          <w:highlight w:val="none"/>
        </w:rPr>
        <w:t xml:space="preserve">人</w:t>
      </w:r>
      <w:r>
        <w:rPr>
          <w:rFonts w:hint="eastAsia" w:ascii="宋体" w:hAnsi="宋体" w:eastAsia="宋体" w:cs="宋体"/>
          <w:spacing w:val="-2"/>
          <w:position w:val="-4"/>
          <w:sz w:val="24"/>
          <w:szCs w:val="24"/>
          <w:highlight w:val="none"/>
        </w:rPr>
        <w:t xml:space="preserve">名</w:t>
      </w:r>
      <w:r>
        <w:rPr>
          <w:rFonts w:hint="eastAsia" w:ascii="宋体" w:hAnsi="宋体" w:eastAsia="宋体" w:cs="宋体"/>
          <w:position w:val="-4"/>
          <w:sz w:val="24"/>
          <w:szCs w:val="24"/>
          <w:highlight w:val="none"/>
        </w:rPr>
        <w:t xml:space="preserve">称</w:t>
      </w:r>
      <w:r>
        <w:rPr>
          <w:rFonts w:hint="eastAsia" w:ascii="宋体" w:hAnsi="宋体" w:eastAsia="宋体" w:cs="宋体"/>
          <w:spacing w:val="-3"/>
          <w:position w:val="-4"/>
          <w:sz w:val="24"/>
          <w:szCs w:val="24"/>
          <w:highlight w:val="none"/>
        </w:rPr>
        <w:t xml:space="preserve">：</w:t>
      </w:r>
      <w:r>
        <w:rPr>
          <w:rFonts w:hint="eastAsia" w:ascii="宋体" w:hAnsi="宋体" w:eastAsia="宋体" w:cs="宋体"/>
          <w:position w:val="-4"/>
          <w:sz w:val="24"/>
          <w:szCs w:val="24"/>
          <w:highlight w:val="none"/>
          <w:u w:val="single"/>
        </w:rPr>
        <w:t xml:space="preserve"> </w:t>
      </w:r>
      <w:r>
        <w:rPr>
          <w:rFonts w:hint="eastAsia" w:ascii="宋体" w:hAnsi="宋体" w:eastAsia="宋体" w:cs="宋体"/>
          <w:spacing w:val="1"/>
          <w:position w:val="-4"/>
          <w:sz w:val="24"/>
          <w:szCs w:val="24"/>
          <w:highlight w:val="none"/>
          <w:u w:val="single"/>
        </w:rPr>
        <w:t xml:space="preserve">           </w:t>
      </w:r>
      <w:r>
        <w:rPr>
          <w:rFonts w:hint="eastAsia" w:ascii="宋体" w:hAnsi="宋体" w:eastAsia="宋体" w:cs="宋体"/>
          <w:position w:val="-4"/>
          <w:sz w:val="24"/>
          <w:szCs w:val="24"/>
          <w:highlight w:val="none"/>
        </w:rPr>
        <w:t xml:space="preserve">（盖</w:t>
      </w:r>
      <w:r>
        <w:rPr>
          <w:rFonts w:hint="eastAsia" w:ascii="宋体" w:hAnsi="宋体" w:eastAsia="宋体" w:cs="宋体"/>
          <w:spacing w:val="-2"/>
          <w:position w:val="-4"/>
          <w:sz w:val="24"/>
          <w:szCs w:val="24"/>
          <w:highlight w:val="none"/>
        </w:rPr>
        <w:t xml:space="preserve">单</w:t>
      </w:r>
      <w:r>
        <w:rPr>
          <w:rFonts w:hint="eastAsia" w:ascii="宋体" w:hAnsi="宋体" w:eastAsia="宋体" w:cs="宋体"/>
          <w:position w:val="-4"/>
          <w:sz w:val="24"/>
          <w:szCs w:val="24"/>
          <w:highlight w:val="none"/>
        </w:rPr>
        <w:t xml:space="preserve">位</w:t>
      </w:r>
      <w:r>
        <w:rPr>
          <w:rFonts w:hint="eastAsia" w:ascii="宋体" w:hAnsi="宋体" w:eastAsia="宋体" w:cs="宋体"/>
          <w:spacing w:val="-2"/>
          <w:position w:val="-4"/>
          <w:sz w:val="24"/>
          <w:szCs w:val="24"/>
          <w:highlight w:val="none"/>
        </w:rPr>
        <w:t xml:space="preserve">章</w:t>
      </w:r>
      <w:r>
        <w:rPr>
          <w:rFonts w:hint="eastAsia" w:ascii="宋体" w:hAnsi="宋体" w:eastAsia="宋体" w:cs="宋体"/>
          <w:position w:val="-4"/>
          <w:sz w:val="24"/>
          <w:szCs w:val="24"/>
          <w:highlight w:val="none"/>
        </w:rPr>
        <w:t xml:space="preserve">）</w:t>
      </w:r>
      <w:r/>
    </w:p>
    <w:p>
      <w:pPr>
        <w:pStyle w:val="773"/>
        <w:ind w:right="-20"/>
        <w:jc w:val="center"/>
        <w:spacing w:line="360" w:lineRule="auto"/>
        <w:tabs>
          <w:tab w:val="left" w:pos="6400" w:leader="none"/>
        </w:tabs>
        <w:rPr>
          <w:rFonts w:hint="eastAsia" w:ascii="宋体" w:hAnsi="宋体" w:eastAsia="宋体" w:cs="宋体"/>
          <w:sz w:val="24"/>
          <w:szCs w:val="24"/>
          <w:highlight w:val="none"/>
        </w:rPr>
      </w:pPr>
      <w:r>
        <w:rPr>
          <w:rFonts w:hint="eastAsia" w:ascii="宋体" w:hAnsi="宋体" w:eastAsia="宋体" w:cs="宋体"/>
          <w:position w:val="-2"/>
          <w:sz w:val="24"/>
          <w:szCs w:val="24"/>
          <w:highlight w:val="none"/>
        </w:rPr>
        <w:t xml:space="preserve">                 法定</w:t>
      </w:r>
      <w:r>
        <w:rPr>
          <w:rFonts w:hint="eastAsia" w:ascii="宋体" w:hAnsi="宋体" w:eastAsia="宋体" w:cs="宋体"/>
          <w:spacing w:val="-2"/>
          <w:position w:val="-2"/>
          <w:sz w:val="24"/>
          <w:szCs w:val="24"/>
          <w:highlight w:val="none"/>
        </w:rPr>
        <w:t xml:space="preserve">代</w:t>
      </w:r>
      <w:r>
        <w:rPr>
          <w:rFonts w:hint="eastAsia" w:ascii="宋体" w:hAnsi="宋体" w:eastAsia="宋体" w:cs="宋体"/>
          <w:position w:val="-2"/>
          <w:sz w:val="24"/>
          <w:szCs w:val="24"/>
          <w:highlight w:val="none"/>
        </w:rPr>
        <w:t xml:space="preserve">表</w:t>
      </w:r>
      <w:r>
        <w:rPr>
          <w:rFonts w:hint="eastAsia" w:ascii="宋体" w:hAnsi="宋体" w:eastAsia="宋体" w:cs="宋体"/>
          <w:spacing w:val="-2"/>
          <w:position w:val="-2"/>
          <w:sz w:val="24"/>
          <w:szCs w:val="24"/>
          <w:highlight w:val="none"/>
        </w:rPr>
        <w:t xml:space="preserve">人</w:t>
      </w:r>
      <w:r>
        <w:rPr>
          <w:rFonts w:hint="eastAsia" w:ascii="宋体" w:hAnsi="宋体" w:eastAsia="宋体" w:cs="宋体"/>
          <w:position w:val="-2"/>
          <w:sz w:val="24"/>
          <w:szCs w:val="24"/>
          <w:highlight w:val="none"/>
        </w:rPr>
        <w:t xml:space="preserve">或</w:t>
      </w:r>
      <w:r>
        <w:rPr>
          <w:rFonts w:hint="eastAsia" w:ascii="宋体" w:hAnsi="宋体" w:eastAsia="宋体" w:cs="宋体"/>
          <w:spacing w:val="-2"/>
          <w:position w:val="-2"/>
          <w:sz w:val="24"/>
          <w:szCs w:val="24"/>
          <w:highlight w:val="none"/>
        </w:rPr>
        <w:t xml:space="preserve">其</w:t>
      </w:r>
      <w:r>
        <w:rPr>
          <w:rFonts w:hint="eastAsia" w:ascii="宋体" w:hAnsi="宋体" w:eastAsia="宋体" w:cs="宋体"/>
          <w:position w:val="-2"/>
          <w:sz w:val="24"/>
          <w:szCs w:val="24"/>
          <w:highlight w:val="none"/>
        </w:rPr>
        <w:t xml:space="preserve">委</w:t>
      </w:r>
      <w:r>
        <w:rPr>
          <w:rFonts w:hint="eastAsia" w:ascii="宋体" w:hAnsi="宋体" w:eastAsia="宋体" w:cs="宋体"/>
          <w:spacing w:val="-2"/>
          <w:position w:val="-2"/>
          <w:sz w:val="24"/>
          <w:szCs w:val="24"/>
          <w:highlight w:val="none"/>
        </w:rPr>
        <w:t xml:space="preserve">托</w:t>
      </w:r>
      <w:r>
        <w:rPr>
          <w:rFonts w:hint="eastAsia" w:ascii="宋体" w:hAnsi="宋体" w:eastAsia="宋体" w:cs="宋体"/>
          <w:position w:val="-2"/>
          <w:sz w:val="24"/>
          <w:szCs w:val="24"/>
          <w:highlight w:val="none"/>
        </w:rPr>
        <w:t xml:space="preserve">代</w:t>
      </w:r>
      <w:r>
        <w:rPr>
          <w:rFonts w:hint="eastAsia" w:ascii="宋体" w:hAnsi="宋体" w:eastAsia="宋体" w:cs="宋体"/>
          <w:spacing w:val="-2"/>
          <w:position w:val="-2"/>
          <w:sz w:val="24"/>
          <w:szCs w:val="24"/>
          <w:highlight w:val="none"/>
        </w:rPr>
        <w:t xml:space="preserve">理</w:t>
      </w:r>
      <w:r>
        <w:rPr>
          <w:rFonts w:hint="eastAsia" w:ascii="宋体" w:hAnsi="宋体" w:eastAsia="宋体" w:cs="宋体"/>
          <w:position w:val="-2"/>
          <w:sz w:val="24"/>
          <w:szCs w:val="24"/>
          <w:highlight w:val="none"/>
        </w:rPr>
        <w:t xml:space="preserve">人：</w:t>
      </w:r>
      <w:r>
        <w:rPr>
          <w:rFonts w:hint="eastAsia" w:ascii="宋体" w:hAnsi="宋体" w:eastAsia="宋体" w:cs="宋体"/>
          <w:position w:val="-2"/>
          <w:sz w:val="24"/>
          <w:szCs w:val="24"/>
          <w:highlight w:val="none"/>
          <w:u w:val="single"/>
        </w:rPr>
        <w:t xml:space="preserve"> </w:t>
      </w:r>
      <w:r>
        <w:rPr>
          <w:rFonts w:hint="eastAsia" w:ascii="宋体" w:hAnsi="宋体" w:eastAsia="宋体" w:cs="宋体"/>
          <w:spacing w:val="1"/>
          <w:position w:val="-2"/>
          <w:sz w:val="24"/>
          <w:szCs w:val="24"/>
          <w:highlight w:val="none"/>
          <w:u w:val="single"/>
        </w:rPr>
        <w:t xml:space="preserve"> </w:t>
      </w:r>
      <w:r>
        <w:rPr>
          <w:rFonts w:hint="eastAsia" w:ascii="宋体" w:hAnsi="宋体" w:eastAsia="宋体" w:cs="宋体"/>
          <w:position w:val="-2"/>
          <w:sz w:val="24"/>
          <w:szCs w:val="24"/>
          <w:highlight w:val="none"/>
        </w:rPr>
        <w:t xml:space="preserve">（签</w:t>
      </w:r>
      <w:r>
        <w:rPr>
          <w:rFonts w:hint="eastAsia" w:ascii="宋体" w:hAnsi="宋体" w:eastAsia="宋体" w:cs="宋体"/>
          <w:spacing w:val="-2"/>
          <w:position w:val="-2"/>
          <w:sz w:val="24"/>
          <w:szCs w:val="24"/>
          <w:highlight w:val="none"/>
        </w:rPr>
        <w:t xml:space="preserve">字或盖章</w:t>
      </w:r>
      <w:r>
        <w:rPr>
          <w:rFonts w:hint="eastAsia" w:ascii="宋体" w:hAnsi="宋体" w:eastAsia="宋体" w:cs="宋体"/>
          <w:position w:val="-2"/>
          <w:sz w:val="24"/>
          <w:szCs w:val="24"/>
          <w:highlight w:val="none"/>
        </w:rPr>
        <w:t xml:space="preserve">）</w:t>
      </w:r>
      <w:r/>
    </w:p>
    <w:p>
      <w:pPr>
        <w:pStyle w:val="773"/>
        <w:ind w:left="2511" w:right="-20"/>
        <w:jc w:val="left"/>
        <w:spacing w:line="360" w:lineRule="auto"/>
        <w:tabs>
          <w:tab w:val="left" w:pos="7240" w:leader="none"/>
        </w:tabs>
        <w:rPr>
          <w:rFonts w:hint="eastAsia" w:ascii="宋体" w:hAnsi="宋体" w:eastAsia="宋体" w:cs="宋体"/>
          <w:position w:val="-2"/>
          <w:sz w:val="24"/>
          <w:szCs w:val="24"/>
          <w:highlight w:val="none"/>
        </w:rPr>
      </w:pPr>
      <w:r>
        <w:rPr>
          <w:rFonts w:hint="eastAsia" w:ascii="宋体" w:hAnsi="宋体" w:eastAsia="宋体" w:cs="宋体"/>
          <w:position w:val="-2"/>
          <w:sz w:val="24"/>
          <w:szCs w:val="24"/>
          <w:highlight w:val="none"/>
        </w:rPr>
      </w:r>
      <w:r/>
    </w:p>
    <w:p>
      <w:pPr>
        <w:pStyle w:val="773"/>
        <w:ind w:left="2511" w:right="-20"/>
        <w:spacing w:line="360" w:lineRule="auto"/>
        <w:tabs>
          <w:tab w:val="left" w:pos="7240" w:leader="none"/>
        </w:tabs>
        <w:rPr>
          <w:rFonts w:hint="eastAsia" w:ascii="宋体" w:hAnsi="宋体" w:eastAsia="宋体" w:cs="宋体"/>
          <w:sz w:val="24"/>
          <w:szCs w:val="24"/>
          <w:highlight w:val="none"/>
        </w:rPr>
      </w:pPr>
      <w:r>
        <w:rPr>
          <w:rFonts w:hint="eastAsia" w:ascii="宋体" w:hAnsi="宋体" w:eastAsia="宋体" w:cs="宋体"/>
          <w:position w:val="-2"/>
          <w:sz w:val="24"/>
          <w:szCs w:val="24"/>
          <w:highlight w:val="none"/>
        </w:rPr>
        <w:t xml:space="preserve">联合</w:t>
      </w:r>
      <w:r>
        <w:rPr>
          <w:rFonts w:hint="eastAsia" w:ascii="宋体" w:hAnsi="宋体" w:eastAsia="宋体" w:cs="宋体"/>
          <w:spacing w:val="-2"/>
          <w:position w:val="-2"/>
          <w:sz w:val="24"/>
          <w:szCs w:val="24"/>
          <w:highlight w:val="none"/>
        </w:rPr>
        <w:t xml:space="preserve">体</w:t>
      </w:r>
      <w:r>
        <w:rPr>
          <w:rFonts w:hint="eastAsia" w:ascii="宋体" w:hAnsi="宋体" w:eastAsia="宋体" w:cs="宋体"/>
          <w:position w:val="-2"/>
          <w:sz w:val="24"/>
          <w:szCs w:val="24"/>
          <w:highlight w:val="none"/>
        </w:rPr>
        <w:t xml:space="preserve">成</w:t>
      </w:r>
      <w:r>
        <w:rPr>
          <w:rFonts w:hint="eastAsia" w:ascii="宋体" w:hAnsi="宋体" w:eastAsia="宋体" w:cs="宋体"/>
          <w:spacing w:val="-2"/>
          <w:position w:val="-2"/>
          <w:sz w:val="24"/>
          <w:szCs w:val="24"/>
          <w:highlight w:val="none"/>
        </w:rPr>
        <w:t xml:space="preserve">员</w:t>
      </w:r>
      <w:r>
        <w:rPr>
          <w:rFonts w:hint="eastAsia" w:ascii="宋体" w:hAnsi="宋体" w:eastAsia="宋体" w:cs="宋体"/>
          <w:position w:val="-2"/>
          <w:sz w:val="24"/>
          <w:szCs w:val="24"/>
          <w:highlight w:val="none"/>
        </w:rPr>
        <w:t xml:space="preserve">名</w:t>
      </w:r>
      <w:r>
        <w:rPr>
          <w:rFonts w:hint="eastAsia" w:ascii="宋体" w:hAnsi="宋体" w:eastAsia="宋体" w:cs="宋体"/>
          <w:spacing w:val="-2"/>
          <w:position w:val="-2"/>
          <w:sz w:val="24"/>
          <w:szCs w:val="24"/>
          <w:highlight w:val="none"/>
        </w:rPr>
        <w:t xml:space="preserve">称</w:t>
      </w:r>
      <w:r>
        <w:rPr>
          <w:rFonts w:hint="eastAsia" w:ascii="宋体" w:hAnsi="宋体" w:eastAsia="宋体" w:cs="宋体"/>
          <w:position w:val="-2"/>
          <w:sz w:val="24"/>
          <w:szCs w:val="24"/>
          <w:highlight w:val="none"/>
        </w:rPr>
        <w:t xml:space="preserve">：</w:t>
      </w:r>
      <w:r>
        <w:rPr>
          <w:rFonts w:hint="eastAsia" w:ascii="宋体" w:hAnsi="宋体" w:eastAsia="宋体" w:cs="宋体"/>
          <w:position w:val="-2"/>
          <w:sz w:val="24"/>
          <w:szCs w:val="24"/>
          <w:highlight w:val="none"/>
          <w:u w:val="single"/>
        </w:rPr>
        <w:t xml:space="preserve"> </w:t>
      </w:r>
      <w:r>
        <w:rPr>
          <w:rFonts w:hint="eastAsia" w:ascii="宋体" w:hAnsi="宋体" w:eastAsia="宋体" w:cs="宋体"/>
          <w:spacing w:val="1"/>
          <w:position w:val="-2"/>
          <w:sz w:val="24"/>
          <w:szCs w:val="24"/>
          <w:highlight w:val="none"/>
          <w:u w:val="single"/>
        </w:rPr>
        <w:t xml:space="preserve">             </w:t>
      </w:r>
      <w:r>
        <w:rPr>
          <w:rFonts w:hint="eastAsia" w:ascii="宋体" w:hAnsi="宋体" w:eastAsia="宋体" w:cs="宋体"/>
          <w:position w:val="-2"/>
          <w:sz w:val="24"/>
          <w:szCs w:val="24"/>
          <w:highlight w:val="none"/>
        </w:rPr>
        <w:t xml:space="preserve">（盖</w:t>
      </w:r>
      <w:r>
        <w:rPr>
          <w:rFonts w:hint="eastAsia" w:ascii="宋体" w:hAnsi="宋体" w:eastAsia="宋体" w:cs="宋体"/>
          <w:spacing w:val="-2"/>
          <w:position w:val="-2"/>
          <w:sz w:val="24"/>
          <w:szCs w:val="24"/>
          <w:highlight w:val="none"/>
        </w:rPr>
        <w:t xml:space="preserve">单</w:t>
      </w:r>
      <w:r>
        <w:rPr>
          <w:rFonts w:hint="eastAsia" w:ascii="宋体" w:hAnsi="宋体" w:eastAsia="宋体" w:cs="宋体"/>
          <w:position w:val="-2"/>
          <w:sz w:val="24"/>
          <w:szCs w:val="24"/>
          <w:highlight w:val="none"/>
        </w:rPr>
        <w:t xml:space="preserve">位</w:t>
      </w:r>
      <w:r>
        <w:rPr>
          <w:rFonts w:hint="eastAsia" w:ascii="宋体" w:hAnsi="宋体" w:eastAsia="宋体" w:cs="宋体"/>
          <w:spacing w:val="-2"/>
          <w:position w:val="-2"/>
          <w:sz w:val="24"/>
          <w:szCs w:val="24"/>
          <w:highlight w:val="none"/>
        </w:rPr>
        <w:t xml:space="preserve">章</w:t>
      </w:r>
      <w:r>
        <w:rPr>
          <w:rFonts w:hint="eastAsia" w:ascii="宋体" w:hAnsi="宋体" w:eastAsia="宋体" w:cs="宋体"/>
          <w:position w:val="-2"/>
          <w:sz w:val="24"/>
          <w:szCs w:val="24"/>
          <w:highlight w:val="none"/>
        </w:rPr>
        <w:t xml:space="preserve">）</w:t>
      </w:r>
      <w:r/>
    </w:p>
    <w:p>
      <w:pPr>
        <w:pStyle w:val="773"/>
        <w:ind w:left="2511" w:right="-20"/>
        <w:spacing w:line="360" w:lineRule="auto"/>
        <w:tabs>
          <w:tab w:val="left" w:pos="6180" w:leader="none"/>
        </w:tabs>
        <w:rPr>
          <w:rFonts w:hint="eastAsia" w:ascii="宋体" w:hAnsi="宋体" w:eastAsia="宋体" w:cs="宋体"/>
          <w:sz w:val="24"/>
          <w:szCs w:val="24"/>
          <w:highlight w:val="none"/>
        </w:rPr>
      </w:pPr>
      <w:r>
        <w:rPr>
          <w:rFonts w:hint="eastAsia" w:ascii="宋体" w:hAnsi="宋体" w:eastAsia="宋体" w:cs="宋体"/>
          <w:position w:val="-2"/>
          <w:sz w:val="24"/>
          <w:szCs w:val="24"/>
          <w:highlight w:val="none"/>
        </w:rPr>
        <w:t xml:space="preserve">法定</w:t>
      </w:r>
      <w:r>
        <w:rPr>
          <w:rFonts w:hint="eastAsia" w:ascii="宋体" w:hAnsi="宋体" w:eastAsia="宋体" w:cs="宋体"/>
          <w:spacing w:val="-2"/>
          <w:position w:val="-2"/>
          <w:sz w:val="24"/>
          <w:szCs w:val="24"/>
          <w:highlight w:val="none"/>
        </w:rPr>
        <w:t xml:space="preserve">代</w:t>
      </w:r>
      <w:r>
        <w:rPr>
          <w:rFonts w:hint="eastAsia" w:ascii="宋体" w:hAnsi="宋体" w:eastAsia="宋体" w:cs="宋体"/>
          <w:position w:val="-2"/>
          <w:sz w:val="24"/>
          <w:szCs w:val="24"/>
          <w:highlight w:val="none"/>
        </w:rPr>
        <w:t xml:space="preserve">表</w:t>
      </w:r>
      <w:r>
        <w:rPr>
          <w:rFonts w:hint="eastAsia" w:ascii="宋体" w:hAnsi="宋体" w:eastAsia="宋体" w:cs="宋体"/>
          <w:spacing w:val="-2"/>
          <w:position w:val="-2"/>
          <w:sz w:val="24"/>
          <w:szCs w:val="24"/>
          <w:highlight w:val="none"/>
        </w:rPr>
        <w:t xml:space="preserve">人</w:t>
      </w:r>
      <w:r>
        <w:rPr>
          <w:rFonts w:hint="eastAsia" w:ascii="宋体" w:hAnsi="宋体" w:eastAsia="宋体" w:cs="宋体"/>
          <w:position w:val="-2"/>
          <w:sz w:val="24"/>
          <w:szCs w:val="24"/>
          <w:highlight w:val="none"/>
        </w:rPr>
        <w:t xml:space="preserve">或</w:t>
      </w:r>
      <w:r>
        <w:rPr>
          <w:rFonts w:hint="eastAsia" w:ascii="宋体" w:hAnsi="宋体" w:eastAsia="宋体" w:cs="宋体"/>
          <w:spacing w:val="-2"/>
          <w:position w:val="-2"/>
          <w:sz w:val="24"/>
          <w:szCs w:val="24"/>
          <w:highlight w:val="none"/>
        </w:rPr>
        <w:t xml:space="preserve">其</w:t>
      </w:r>
      <w:r>
        <w:rPr>
          <w:rFonts w:hint="eastAsia" w:ascii="宋体" w:hAnsi="宋体" w:eastAsia="宋体" w:cs="宋体"/>
          <w:position w:val="-2"/>
          <w:sz w:val="24"/>
          <w:szCs w:val="24"/>
          <w:highlight w:val="none"/>
        </w:rPr>
        <w:t xml:space="preserve">委</w:t>
      </w:r>
      <w:r>
        <w:rPr>
          <w:rFonts w:hint="eastAsia" w:ascii="宋体" w:hAnsi="宋体" w:eastAsia="宋体" w:cs="宋体"/>
          <w:spacing w:val="-2"/>
          <w:position w:val="-2"/>
          <w:sz w:val="24"/>
          <w:szCs w:val="24"/>
          <w:highlight w:val="none"/>
        </w:rPr>
        <w:t xml:space="preserve">托</w:t>
      </w:r>
      <w:r>
        <w:rPr>
          <w:rFonts w:hint="eastAsia" w:ascii="宋体" w:hAnsi="宋体" w:eastAsia="宋体" w:cs="宋体"/>
          <w:position w:val="-2"/>
          <w:sz w:val="24"/>
          <w:szCs w:val="24"/>
          <w:highlight w:val="none"/>
        </w:rPr>
        <w:t xml:space="preserve">代</w:t>
      </w:r>
      <w:r>
        <w:rPr>
          <w:rFonts w:hint="eastAsia" w:ascii="宋体" w:hAnsi="宋体" w:eastAsia="宋体" w:cs="宋体"/>
          <w:spacing w:val="-2"/>
          <w:position w:val="-2"/>
          <w:sz w:val="24"/>
          <w:szCs w:val="24"/>
          <w:highlight w:val="none"/>
        </w:rPr>
        <w:t xml:space="preserve">理</w:t>
      </w:r>
      <w:r>
        <w:rPr>
          <w:rFonts w:hint="eastAsia" w:ascii="宋体" w:hAnsi="宋体" w:eastAsia="宋体" w:cs="宋体"/>
          <w:position w:val="-2"/>
          <w:sz w:val="24"/>
          <w:szCs w:val="24"/>
          <w:highlight w:val="none"/>
        </w:rPr>
        <w:t xml:space="preserve">人：</w:t>
      </w:r>
      <w:r>
        <w:rPr>
          <w:rFonts w:hint="eastAsia" w:ascii="宋体" w:hAnsi="宋体" w:eastAsia="宋体" w:cs="宋体"/>
          <w:position w:val="-2"/>
          <w:sz w:val="24"/>
          <w:szCs w:val="24"/>
          <w:highlight w:val="none"/>
          <w:u w:val="single"/>
        </w:rPr>
        <w:t xml:space="preserve"> </w:t>
      </w:r>
      <w:r>
        <w:rPr>
          <w:rFonts w:hint="eastAsia" w:ascii="宋体" w:hAnsi="宋体" w:eastAsia="宋体" w:cs="宋体"/>
          <w:spacing w:val="1"/>
          <w:position w:val="-2"/>
          <w:sz w:val="24"/>
          <w:szCs w:val="24"/>
          <w:highlight w:val="none"/>
          <w:u w:val="single"/>
        </w:rPr>
        <w:t xml:space="preserve"> </w:t>
      </w:r>
      <w:r>
        <w:rPr>
          <w:rFonts w:hint="eastAsia" w:ascii="宋体" w:hAnsi="宋体" w:eastAsia="宋体" w:cs="宋体"/>
          <w:position w:val="-2"/>
          <w:sz w:val="24"/>
          <w:szCs w:val="24"/>
          <w:highlight w:val="none"/>
        </w:rPr>
        <w:t xml:space="preserve">（</w:t>
      </w:r>
      <w:r>
        <w:rPr>
          <w:rFonts w:hint="eastAsia" w:ascii="宋体" w:hAnsi="宋体" w:eastAsia="宋体" w:cs="宋体"/>
          <w:spacing w:val="-2"/>
          <w:position w:val="-2"/>
          <w:sz w:val="24"/>
          <w:szCs w:val="24"/>
          <w:highlight w:val="none"/>
        </w:rPr>
        <w:t xml:space="preserve">签</w:t>
      </w:r>
      <w:r>
        <w:rPr>
          <w:rFonts w:hint="eastAsia" w:ascii="宋体" w:hAnsi="宋体" w:eastAsia="宋体" w:cs="宋体"/>
          <w:position w:val="-2"/>
          <w:sz w:val="24"/>
          <w:szCs w:val="24"/>
          <w:highlight w:val="none"/>
        </w:rPr>
        <w:t xml:space="preserve">字或盖章）</w:t>
      </w:r>
      <w:r/>
    </w:p>
    <w:p>
      <w:pPr>
        <w:pStyle w:val="839"/>
        <w:ind w:left="0" w:firstLine="0"/>
        <w:jc w:val="right"/>
        <w:rPr>
          <w:rFonts w:hint="eastAsia" w:ascii="宋体" w:hAnsi="宋体" w:eastAsia="宋体" w:cs="宋体"/>
          <w:position w:val="-1"/>
          <w:sz w:val="24"/>
          <w:szCs w:val="24"/>
          <w:highlight w:val="none"/>
        </w:rPr>
      </w:pPr>
      <w:r>
        <w:rPr>
          <w:rFonts w:hint="eastAsia" w:ascii="宋体" w:hAnsi="宋体" w:eastAsia="宋体" w:cs="宋体"/>
          <w:position w:val="-1"/>
          <w:sz w:val="24"/>
          <w:szCs w:val="24"/>
          <w:highlight w:val="none"/>
          <w:u w:val="single"/>
        </w:rPr>
        <w:tab/>
      </w:r>
      <w:r>
        <w:rPr>
          <w:rFonts w:hint="eastAsia" w:ascii="宋体" w:hAnsi="宋体" w:eastAsia="宋体" w:cs="宋体"/>
          <w:position w:val="-1"/>
          <w:sz w:val="24"/>
          <w:szCs w:val="24"/>
          <w:highlight w:val="none"/>
        </w:rPr>
        <w:t xml:space="preserve">年</w:t>
      </w:r>
      <w:r>
        <w:rPr>
          <w:rFonts w:hint="eastAsia" w:ascii="宋体" w:hAnsi="宋体" w:eastAsia="宋体" w:cs="宋体"/>
          <w:position w:val="-1"/>
          <w:sz w:val="24"/>
          <w:szCs w:val="24"/>
          <w:highlight w:val="none"/>
          <w:u w:val="single"/>
        </w:rPr>
        <w:t xml:space="preserve"> </w:t>
      </w:r>
      <w:r>
        <w:rPr>
          <w:rFonts w:hint="eastAsia" w:ascii="宋体" w:hAnsi="宋体" w:eastAsia="宋体" w:cs="宋体"/>
          <w:spacing w:val="1"/>
          <w:position w:val="-1"/>
          <w:sz w:val="24"/>
          <w:szCs w:val="24"/>
          <w:highlight w:val="none"/>
          <w:u w:val="single"/>
        </w:rPr>
        <w:t xml:space="preserve"> </w:t>
      </w:r>
      <w:r>
        <w:rPr>
          <w:rFonts w:hint="eastAsia" w:ascii="宋体" w:hAnsi="宋体" w:eastAsia="宋体" w:cs="宋体"/>
          <w:position w:val="-1"/>
          <w:sz w:val="24"/>
          <w:szCs w:val="24"/>
          <w:highlight w:val="none"/>
          <w:u w:val="single"/>
        </w:rPr>
        <w:tab/>
      </w:r>
      <w:r>
        <w:rPr>
          <w:rFonts w:hint="eastAsia" w:ascii="宋体" w:hAnsi="宋体" w:eastAsia="宋体" w:cs="宋体"/>
          <w:spacing w:val="-2"/>
          <w:position w:val="-1"/>
          <w:sz w:val="24"/>
          <w:szCs w:val="24"/>
          <w:highlight w:val="none"/>
        </w:rPr>
        <w:t xml:space="preserve">月</w:t>
      </w:r>
      <w:r>
        <w:rPr>
          <w:rFonts w:hint="eastAsia" w:ascii="宋体" w:hAnsi="宋体" w:eastAsia="宋体" w:cs="宋体"/>
          <w:position w:val="-1"/>
          <w:sz w:val="24"/>
          <w:szCs w:val="24"/>
          <w:highlight w:val="none"/>
          <w:u w:val="single"/>
        </w:rPr>
        <w:t xml:space="preserve"> </w:t>
      </w:r>
      <w:r>
        <w:rPr>
          <w:rFonts w:hint="eastAsia" w:ascii="宋体" w:hAnsi="宋体" w:eastAsia="宋体" w:cs="宋体"/>
          <w:spacing w:val="1"/>
          <w:position w:val="-1"/>
          <w:sz w:val="24"/>
          <w:szCs w:val="24"/>
          <w:highlight w:val="none"/>
          <w:u w:val="single"/>
        </w:rPr>
        <w:t xml:space="preserve"> </w:t>
      </w:r>
      <w:r>
        <w:rPr>
          <w:rFonts w:hint="eastAsia" w:ascii="宋体" w:hAnsi="宋体" w:eastAsia="宋体" w:cs="宋体"/>
          <w:position w:val="-1"/>
          <w:sz w:val="24"/>
          <w:szCs w:val="24"/>
          <w:highlight w:val="none"/>
          <w:u w:val="single"/>
        </w:rPr>
        <w:tab/>
      </w:r>
      <w:r>
        <w:rPr>
          <w:rFonts w:hint="eastAsia" w:ascii="宋体" w:hAnsi="宋体" w:eastAsia="宋体" w:cs="宋体"/>
          <w:position w:val="-1"/>
          <w:sz w:val="24"/>
          <w:szCs w:val="24"/>
          <w:highlight w:val="none"/>
        </w:rPr>
        <w:t xml:space="preserve">日</w:t>
      </w:r>
      <w:r/>
    </w:p>
    <w:p>
      <w:pPr>
        <w:ind w:firstLine="602"/>
        <w:spacing w:line="288"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新宋体">
    <w:panose1 w:val="02010609030101010101"/>
  </w:font>
  <w:font w:name="仿宋">
    <w:panose1 w:val="02010609060101010101"/>
  </w:font>
  <w:font w:name="Courier New">
    <w:panose1 w:val="02070309020205020404"/>
  </w:font>
  <w:font w:name="微软雅黑">
    <w:panose1 w:val="020B0503020204020204"/>
  </w:font>
  <w:font w:name="Calibri">
    <w:panose1 w:val="020F0502020204030204"/>
  </w:font>
  <w:font w:name="黑体">
    <w:panose1 w:val="02010609060101010101"/>
  </w:font>
  <w:font w:name="楷体_GB2312">
    <w:panose1 w:val="02010609060101010101"/>
  </w:font>
  <w:font w:name="Segoe UI Emoji">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74015" cy="438150"/>
              <wp:effectExtent l="6350" t="6350" r="6350" b="635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373737" cy="438112"/>
                      </a:xfrm>
                      <a:prstGeom prst="rect">
                        <a:avLst/>
                      </a:prstGeom>
                      <a:noFill/>
                      <a:ln>
                        <a:noFill/>
                      </a:ln>
                    </wps:spPr>
                    <wps:txbx>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9.4pt;height:34.5pt;mso-wrap-distance-left:9.0pt;mso-wrap-distance-top:0.0pt;mso-wrap-distance-right:9.0pt;mso-wrap-distance-bottom:0.0pt;visibility:visible;" filled="f" stroked="f">
              <v:textbox inset="0,0,0,0">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left" w:pos="109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784"/>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25</w:t>
                          </w:r>
                          <w:r>
                            <w:fldChar w:fldCharType="end"/>
                          </w:r>
                          <w:r>
                            <w:t xml:space="preserve"> 页</w:t>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784"/>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25</w:t>
                    </w:r>
                    <w:r>
                      <w:fldChar w:fldCharType="end"/>
                    </w:r>
                    <w:r>
                      <w:t xml:space="preserve"> 页</w:t>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right"/>
      <w:rPr>
        <w:rFonts w:hint="eastAsia"/>
        <w:lang w:eastAsia="zh-CN"/>
      </w:rPr>
      <w:pBdr>
        <w:bottom w:val="single" w:color="000000" w:sz="4" w:space="0"/>
      </w:pBdr>
    </w:pPr>
    <w:r>
      <w:rPr>
        <w:rFonts w:hint="eastAsia"/>
        <w:lang w:eastAsia="zh-CN"/>
      </w:rPr>
    </w:r>
    <w:r/>
  </w:p>
  <w:p>
    <w:pPr>
      <w:pStyle w:val="940"/>
      <w:jc w:val="right"/>
      <w:pBdr>
        <w:bottom w:val="single" w:color="000000" w:sz="4" w:space="0"/>
      </w:pBdr>
    </w:pPr>
    <w:r>
      <w:rPr>
        <w:rFonts w:hint="eastAsia"/>
        <w:lang w:eastAsia="zh-CN"/>
      </w:rPr>
      <w:t xml:space="preserve">睢宁县行政办公中心及商务中心能源费用托管服务项目</w:t>
    </w:r>
    <w:r>
      <w:rPr>
        <w:rFonts w:hint="eastAsia"/>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right"/>
    </w:pPr>
    <w:r>
      <w:rPr>
        <w:rFonts w:hint="eastAsia" w:ascii="宋体" w:hAnsi="宋体"/>
      </w:rPr>
      <w:t xml:space="preserve">徐州市睢宁县行政办公中心及商务中心能源费用托管服务项目招标文件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睢宁县行政办公中心及商务中心能源费用托管服务项目</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87"/>
      <w:isLgl w:val="false"/>
      <w:suff w:val="tab"/>
      <w:lvlText w:val="%1."/>
      <w:lvlJc w:val="left"/>
      <w:pPr>
        <w:ind w:left="720" w:hanging="720"/>
        <w:tabs>
          <w:tab w:val="left" w:pos="720" w:leader="none"/>
        </w:tabs>
      </w:pPr>
    </w:lvl>
    <w:lvl w:ilvl="1">
      <w:start w:val="1"/>
      <w:numFmt w:val="decimal"/>
      <w:isLgl w:val="false"/>
      <w:suff w:val="tab"/>
      <w:lvlText w:val="%2."/>
      <w:lvlJc w:val="left"/>
      <w:pPr>
        <w:ind w:left="1440" w:hanging="720"/>
        <w:tabs>
          <w:tab w:val="left" w:pos="1440" w:leader="none"/>
        </w:tabs>
      </w:pPr>
    </w:lvl>
    <w:lvl w:ilvl="2">
      <w:start w:val="1"/>
      <w:numFmt w:val="decimal"/>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abstractNum w:abstractNumId="1">
    <w:multiLevelType w:val="hybridMultilevel"/>
    <w:lvl w:ilvl="0">
      <w:start w:val="1"/>
      <w:numFmt w:val="upperLetter"/>
      <w:pStyle w:val="1085"/>
      <w:isLgl w:val="false"/>
      <w:suff w:val="nothing"/>
      <w:lvlText w:val="附　录　%1"/>
      <w:lvlJc w:val="left"/>
      <w:pPr>
        <w:ind w:left="0" w:firstLine="0"/>
      </w:pPr>
      <w:rPr>
        <w:rFonts w:hint="eastAsia" w:ascii="黑体" w:hAnsi="Times New Roman" w:eastAsia="黑体"/>
        <w:b w:val="0"/>
        <w:i w:val="0"/>
        <w:spacing w:val="0"/>
        <w:sz w:val="21"/>
      </w:rPr>
    </w:lvl>
    <w:lvl w:ilvl="1">
      <w:start w:val="1"/>
      <w:numFmt w:val="decimal"/>
      <w:isLgl w:val="false"/>
      <w:suff w:val="nothing"/>
      <w:lvlText w:val="%1.%2　"/>
      <w:lvlJc w:val="left"/>
      <w:pPr>
        <w:ind w:left="0" w:firstLine="0"/>
      </w:pPr>
      <w:rPr>
        <w:rFonts w:hint="eastAsia" w:ascii="黑体" w:hAnsi="Times New Roman" w:eastAsia="黑体"/>
        <w:b w:val="0"/>
        <w:i w:val="0"/>
        <w:spacing w:val="0"/>
        <w:sz w:val="21"/>
      </w:rPr>
    </w:lvl>
    <w:lvl w:ilvl="2">
      <w:start w:val="1"/>
      <w:numFmt w:val="decimal"/>
      <w:isLgl w:val="false"/>
      <w:suff w:val="nothing"/>
      <w:lvlText w:val="%1.%2.%3　"/>
      <w:lvlJc w:val="left"/>
      <w:pPr>
        <w:ind w:left="284"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4">
    <w:name w:val="Heading 1"/>
    <w:basedOn w:val="753"/>
    <w:next w:val="753"/>
    <w:link w:val="844"/>
    <w:uiPriority w:val="9"/>
    <w:qFormat/>
    <w:pPr>
      <w:keepLines/>
      <w:keepNext/>
      <w:spacing w:before="480" w:after="200"/>
      <w:outlineLvl w:val="0"/>
    </w:pPr>
    <w:rPr>
      <w:rFonts w:ascii="Arial" w:hAnsi="Arial" w:eastAsia="Arial" w:cs="Arial"/>
      <w:sz w:val="40"/>
      <w:szCs w:val="40"/>
    </w:rPr>
  </w:style>
  <w:style w:type="paragraph" w:styleId="755">
    <w:name w:val="Heading 2"/>
    <w:basedOn w:val="753"/>
    <w:next w:val="753"/>
    <w:link w:val="845"/>
    <w:uiPriority w:val="9"/>
    <w:unhideWhenUsed/>
    <w:qFormat/>
    <w:pPr>
      <w:keepLines/>
      <w:keepNext/>
      <w:spacing w:before="360" w:after="200"/>
      <w:outlineLvl w:val="1"/>
    </w:pPr>
    <w:rPr>
      <w:rFonts w:ascii="Arial" w:hAnsi="Arial" w:eastAsia="Arial" w:cs="Arial"/>
      <w:sz w:val="34"/>
    </w:rPr>
  </w:style>
  <w:style w:type="paragraph" w:styleId="756">
    <w:name w:val="Heading 3"/>
    <w:basedOn w:val="754"/>
    <w:next w:val="753"/>
    <w:link w:val="846"/>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53"/>
    <w:next w:val="753"/>
    <w:link w:val="847"/>
    <w:uiPriority w:val="9"/>
    <w:unhideWhenUsed/>
    <w:qFormat/>
    <w:pPr>
      <w:keepLines/>
      <w:keepNext/>
      <w:spacing w:before="320" w:after="200"/>
      <w:outlineLvl w:val="3"/>
    </w:pPr>
    <w:rPr>
      <w:rFonts w:ascii="Arial" w:hAnsi="Arial" w:eastAsia="Arial" w:cs="Arial"/>
      <w:b/>
      <w:bCs/>
      <w:sz w:val="26"/>
      <w:szCs w:val="26"/>
    </w:rPr>
  </w:style>
  <w:style w:type="paragraph" w:styleId="758">
    <w:name w:val="Heading 5"/>
    <w:basedOn w:val="753"/>
    <w:next w:val="753"/>
    <w:link w:val="848"/>
    <w:uiPriority w:val="9"/>
    <w:unhideWhenUsed/>
    <w:qFormat/>
    <w:pPr>
      <w:keepLines/>
      <w:keepNext/>
      <w:spacing w:before="320" w:after="200"/>
      <w:outlineLvl w:val="4"/>
    </w:pPr>
    <w:rPr>
      <w:rFonts w:ascii="Arial" w:hAnsi="Arial" w:eastAsia="Arial" w:cs="Arial"/>
      <w:b/>
      <w:bCs/>
      <w:sz w:val="24"/>
    </w:rPr>
  </w:style>
  <w:style w:type="paragraph" w:styleId="759">
    <w:name w:val="Heading 6"/>
    <w:basedOn w:val="753"/>
    <w:next w:val="753"/>
    <w:link w:val="849"/>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53"/>
    <w:next w:val="753"/>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53"/>
    <w:next w:val="753"/>
    <w:link w:val="851"/>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53"/>
    <w:next w:val="753"/>
    <w:link w:val="852"/>
    <w:uiPriority w:val="9"/>
    <w:unhideWhenUsed/>
    <w:qFormat/>
    <w:pPr>
      <w:keepLines/>
      <w:keepNext/>
      <w:spacing w:before="320" w:after="200"/>
      <w:outlineLvl w:val="8"/>
    </w:pPr>
    <w:rPr>
      <w:rFonts w:ascii="Arial" w:hAnsi="Arial" w:eastAsia="Arial" w:cs="Arial"/>
      <w:i/>
      <w:iCs/>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toc 7"/>
    <w:basedOn w:val="753"/>
    <w:next w:val="753"/>
    <w:uiPriority w:val="39"/>
    <w:unhideWhenUsed/>
    <w:qFormat/>
    <w:pPr>
      <w:ind w:left="1701"/>
      <w:spacing w:after="57"/>
    </w:pPr>
  </w:style>
  <w:style w:type="paragraph" w:styleId="766">
    <w:name w:val="Caption"/>
    <w:basedOn w:val="753"/>
    <w:next w:val="7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7">
    <w:name w:val="annotation text"/>
    <w:basedOn w:val="753"/>
    <w:uiPriority w:val="99"/>
    <w:semiHidden/>
    <w:unhideWhenUsed/>
    <w:qFormat/>
    <w:pPr>
      <w:jc w:val="left"/>
    </w:pPr>
  </w:style>
  <w:style w:type="paragraph" w:styleId="768">
    <w:name w:val="Body Text"/>
    <w:basedOn w:val="753"/>
    <w:next w:val="769"/>
    <w:uiPriority w:val="99"/>
    <w:qFormat/>
    <w:rPr>
      <w:rFonts w:ascii="楷体_GB2312" w:hAnsi="Arial" w:eastAsia="楷体_GB2312"/>
      <w:sz w:val="28"/>
      <w:szCs w:val="28"/>
    </w:rPr>
  </w:style>
  <w:style w:type="paragraph" w:styleId="769" w:customStyle="1">
    <w:name w:val="一级条标题"/>
    <w:basedOn w:val="770"/>
    <w:next w:val="771"/>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770" w:customStyle="1">
    <w:name w:val="章标题"/>
    <w:next w:val="753"/>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71" w:customStyle="1">
    <w:name w:val="段"/>
    <w:basedOn w:val="772"/>
    <w:next w:val="773"/>
    <w:uiPriority w:val="0"/>
    <w:qFormat/>
    <w:pPr>
      <w:ind w:firstLine="200"/>
      <w:widowControl/>
    </w:pPr>
    <w:rPr>
      <w:sz w:val="20"/>
    </w:rPr>
  </w:style>
  <w:style w:type="paragraph" w:styleId="772" w:customStyle="1">
    <w:name w:val="正文1"/>
    <w:basedOn w:val="773"/>
    <w:next w:val="774"/>
    <w:uiPriority w:val="0"/>
    <w:qFormat/>
    <w:pPr>
      <w:jc w:val="left"/>
      <w:spacing w:line="360" w:lineRule="atLeast"/>
    </w:pPr>
    <w:rPr>
      <w:rFonts w:ascii="宋体" w:hAnsi="Calibri"/>
      <w:sz w:val="24"/>
      <w:szCs w:val="20"/>
    </w:rPr>
  </w:style>
  <w:style w:type="paragraph" w:styleId="773" w:customStyle="1">
    <w:name w:val="正文111"/>
    <w:next w:val="7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4" w:customStyle="1">
    <w:name w:val="正文文本1"/>
    <w:basedOn w:val="775"/>
    <w:next w:val="773"/>
    <w:uiPriority w:val="99"/>
    <w:qFormat/>
    <w:pPr>
      <w:spacing w:after="120"/>
    </w:pPr>
    <w:rPr>
      <w:rFonts w:ascii="Calibri" w:hAnsi="Calibri"/>
    </w:rPr>
  </w:style>
  <w:style w:type="paragraph" w:styleId="775" w:customStyle="1">
    <w:name w:val="正文11"/>
    <w:next w:val="7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6" w:customStyle="1">
    <w:name w:val="正文文本 21"/>
    <w:basedOn w:val="773"/>
    <w:uiPriority w:val="0"/>
    <w:qFormat/>
    <w:pPr>
      <w:jc w:val="center"/>
      <w:widowControl/>
    </w:pPr>
    <w:rPr>
      <w:rFonts w:ascii="楷体_GB2312" w:eastAsia="楷体_GB2312"/>
      <w:sz w:val="28"/>
      <w:szCs w:val="28"/>
    </w:rPr>
  </w:style>
  <w:style w:type="paragraph" w:styleId="777">
    <w:name w:val="Block Text"/>
    <w:basedOn w:val="753"/>
    <w:uiPriority w:val="99"/>
    <w:unhideWhenUsed/>
    <w:qFormat/>
    <w:pPr>
      <w:ind w:left="1440" w:right="1440"/>
      <w:spacing w:after="120"/>
    </w:pPr>
  </w:style>
  <w:style w:type="paragraph" w:styleId="778">
    <w:name w:val="index 4"/>
    <w:basedOn w:val="753"/>
    <w:next w:val="753"/>
    <w:uiPriority w:val="0"/>
    <w:qFormat/>
    <w:pPr>
      <w:ind w:left="1260"/>
    </w:pPr>
  </w:style>
  <w:style w:type="paragraph" w:styleId="779">
    <w:name w:val="toc 5"/>
    <w:basedOn w:val="753"/>
    <w:next w:val="753"/>
    <w:uiPriority w:val="39"/>
    <w:unhideWhenUsed/>
    <w:qFormat/>
    <w:pPr>
      <w:ind w:left="1134"/>
      <w:spacing w:after="57"/>
    </w:pPr>
  </w:style>
  <w:style w:type="paragraph" w:styleId="780">
    <w:name w:val="toc 3"/>
    <w:basedOn w:val="753"/>
    <w:next w:val="753"/>
    <w:uiPriority w:val="39"/>
    <w:unhideWhenUsed/>
    <w:qFormat/>
    <w:pPr>
      <w:ind w:left="567"/>
      <w:spacing w:after="57"/>
    </w:pPr>
  </w:style>
  <w:style w:type="paragraph" w:styleId="781">
    <w:name w:val="Plain Text"/>
    <w:basedOn w:val="753"/>
    <w:uiPriority w:val="0"/>
    <w:qFormat/>
    <w:rPr>
      <w:rFonts w:ascii="宋体" w:hAnsi="Courier New"/>
    </w:rPr>
  </w:style>
  <w:style w:type="paragraph" w:styleId="782">
    <w:name w:val="toc 8"/>
    <w:basedOn w:val="753"/>
    <w:next w:val="753"/>
    <w:uiPriority w:val="39"/>
    <w:unhideWhenUsed/>
    <w:qFormat/>
    <w:pPr>
      <w:ind w:left="1984"/>
      <w:spacing w:after="57"/>
    </w:pPr>
  </w:style>
  <w:style w:type="paragraph" w:styleId="783">
    <w:name w:val="endnote text"/>
    <w:basedOn w:val="753"/>
    <w:link w:val="864"/>
    <w:uiPriority w:val="99"/>
    <w:semiHidden/>
    <w:unhideWhenUsed/>
    <w:qFormat/>
    <w:rPr>
      <w:sz w:val="20"/>
    </w:rPr>
  </w:style>
  <w:style w:type="paragraph" w:styleId="784">
    <w:name w:val="Footer"/>
    <w:basedOn w:val="753"/>
    <w:link w:val="862"/>
    <w:uiPriority w:val="99"/>
    <w:unhideWhenUsed/>
    <w:qFormat/>
    <w:pPr>
      <w:tabs>
        <w:tab w:val="center" w:pos="7143" w:leader="none"/>
        <w:tab w:val="right" w:pos="14287" w:leader="none"/>
      </w:tabs>
    </w:pPr>
  </w:style>
  <w:style w:type="paragraph" w:styleId="785">
    <w:name w:val="Header"/>
    <w:basedOn w:val="753"/>
    <w:link w:val="861"/>
    <w:uiPriority w:val="99"/>
    <w:unhideWhenUsed/>
    <w:qFormat/>
    <w:pPr>
      <w:tabs>
        <w:tab w:val="center" w:pos="7143" w:leader="none"/>
        <w:tab w:val="right" w:pos="14287" w:leader="none"/>
      </w:tabs>
    </w:pPr>
  </w:style>
  <w:style w:type="paragraph" w:styleId="786">
    <w:name w:val="toc 1"/>
    <w:basedOn w:val="753"/>
    <w:next w:val="753"/>
    <w:uiPriority w:val="39"/>
    <w:unhideWhenUsed/>
    <w:qFormat/>
    <w:pPr>
      <w:spacing w:after="57"/>
    </w:pPr>
  </w:style>
  <w:style w:type="paragraph" w:styleId="787">
    <w:name w:val="toc 4"/>
    <w:basedOn w:val="753"/>
    <w:next w:val="753"/>
    <w:uiPriority w:val="39"/>
    <w:unhideWhenUsed/>
    <w:qFormat/>
    <w:pPr>
      <w:ind w:left="850"/>
      <w:spacing w:after="57"/>
    </w:pPr>
  </w:style>
  <w:style w:type="paragraph" w:styleId="788">
    <w:name w:val="Subtitle"/>
    <w:basedOn w:val="753"/>
    <w:next w:val="753"/>
    <w:link w:val="856"/>
    <w:uiPriority w:val="11"/>
    <w:qFormat/>
    <w:pPr>
      <w:spacing w:before="200" w:after="200"/>
    </w:pPr>
    <w:rPr>
      <w:sz w:val="24"/>
    </w:rPr>
  </w:style>
  <w:style w:type="paragraph" w:styleId="789">
    <w:name w:val="footnote text"/>
    <w:basedOn w:val="753"/>
    <w:link w:val="863"/>
    <w:uiPriority w:val="99"/>
    <w:semiHidden/>
    <w:unhideWhenUsed/>
    <w:qFormat/>
    <w:pPr>
      <w:spacing w:after="40"/>
    </w:pPr>
    <w:rPr>
      <w:sz w:val="18"/>
    </w:rPr>
  </w:style>
  <w:style w:type="paragraph" w:styleId="790">
    <w:name w:val="toc 6"/>
    <w:basedOn w:val="753"/>
    <w:next w:val="753"/>
    <w:uiPriority w:val="39"/>
    <w:unhideWhenUsed/>
    <w:qFormat/>
    <w:pPr>
      <w:ind w:left="1417"/>
      <w:spacing w:after="57"/>
    </w:pPr>
  </w:style>
  <w:style w:type="paragraph" w:styleId="791">
    <w:name w:val="table of figures"/>
    <w:basedOn w:val="753"/>
    <w:next w:val="753"/>
    <w:uiPriority w:val="99"/>
    <w:unhideWhenUsed/>
    <w:qFormat/>
  </w:style>
  <w:style w:type="paragraph" w:styleId="792">
    <w:name w:val="toc 2"/>
    <w:basedOn w:val="753"/>
    <w:next w:val="753"/>
    <w:uiPriority w:val="39"/>
    <w:unhideWhenUsed/>
    <w:qFormat/>
    <w:pPr>
      <w:ind w:left="283"/>
      <w:spacing w:after="57"/>
    </w:pPr>
  </w:style>
  <w:style w:type="paragraph" w:styleId="793">
    <w:name w:val="toc 9"/>
    <w:basedOn w:val="753"/>
    <w:next w:val="753"/>
    <w:uiPriority w:val="39"/>
    <w:unhideWhenUsed/>
    <w:qFormat/>
    <w:pPr>
      <w:ind w:left="2268"/>
      <w:spacing w:after="57"/>
    </w:pPr>
  </w:style>
  <w:style w:type="paragraph" w:styleId="794">
    <w:name w:val="Title"/>
    <w:basedOn w:val="753"/>
    <w:next w:val="753"/>
    <w:link w:val="855"/>
    <w:uiPriority w:val="10"/>
    <w:qFormat/>
    <w:pPr>
      <w:contextualSpacing/>
      <w:spacing w:before="300" w:after="200"/>
    </w:pPr>
    <w:rPr>
      <w:sz w:val="48"/>
      <w:szCs w:val="48"/>
    </w:rPr>
  </w:style>
  <w:style w:type="table" w:styleId="7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endnote reference"/>
    <w:uiPriority w:val="99"/>
    <w:semiHidden/>
    <w:unhideWhenUsed/>
    <w:qFormat/>
    <w:rPr>
      <w:vertAlign w:val="superscript"/>
    </w:rPr>
  </w:style>
  <w:style w:type="character" w:styleId="797">
    <w:name w:val="Hyperlink"/>
    <w:uiPriority w:val="99"/>
    <w:unhideWhenUsed/>
    <w:qFormat/>
    <w:rPr>
      <w:color w:val="0000ff" w:themeColor="hyperlink"/>
      <w:u w:val="single"/>
      <w14:textFill>
        <w14:solidFill>
          <w14:schemeClr w14:val="hlink"/>
        </w14:solidFill>
      </w14:textFill>
    </w:rPr>
  </w:style>
  <w:style w:type="character" w:styleId="798">
    <w:name w:val="annotation reference"/>
    <w:basedOn w:val="763"/>
    <w:uiPriority w:val="99"/>
    <w:semiHidden/>
    <w:unhideWhenUsed/>
    <w:qFormat/>
    <w:rPr>
      <w:sz w:val="21"/>
      <w:szCs w:val="21"/>
    </w:rPr>
  </w:style>
  <w:style w:type="character" w:styleId="799">
    <w:name w:val="footnote reference"/>
    <w:uiPriority w:val="99"/>
    <w:unhideWhenUsed/>
    <w:qFormat/>
    <w:rPr>
      <w:vertAlign w:val="superscript"/>
    </w:rPr>
  </w:style>
  <w:style w:type="character" w:styleId="800" w:customStyle="1">
    <w:name w:val="Heading 1 Char"/>
    <w:basedOn w:val="763"/>
    <w:uiPriority w:val="9"/>
    <w:qFormat/>
    <w:rPr>
      <w:rFonts w:ascii="Arial" w:hAnsi="Arial" w:eastAsia="Arial" w:cs="Arial"/>
      <w:sz w:val="40"/>
      <w:szCs w:val="40"/>
    </w:rPr>
  </w:style>
  <w:style w:type="character" w:styleId="801" w:customStyle="1">
    <w:name w:val="Heading 2 Char"/>
    <w:basedOn w:val="763"/>
    <w:uiPriority w:val="9"/>
    <w:qFormat/>
    <w:rPr>
      <w:rFonts w:ascii="Arial" w:hAnsi="Arial" w:eastAsia="Arial" w:cs="Arial"/>
      <w:sz w:val="34"/>
    </w:rPr>
  </w:style>
  <w:style w:type="character" w:styleId="802" w:customStyle="1">
    <w:name w:val="Heading 3 Char"/>
    <w:basedOn w:val="763"/>
    <w:uiPriority w:val="9"/>
    <w:qFormat/>
    <w:rPr>
      <w:rFonts w:ascii="Arial" w:hAnsi="Arial" w:eastAsia="Arial" w:cs="Arial"/>
      <w:sz w:val="30"/>
      <w:szCs w:val="30"/>
    </w:rPr>
  </w:style>
  <w:style w:type="character" w:styleId="803" w:customStyle="1">
    <w:name w:val="Heading 4 Char"/>
    <w:basedOn w:val="763"/>
    <w:uiPriority w:val="9"/>
    <w:qFormat/>
    <w:rPr>
      <w:rFonts w:ascii="Arial" w:hAnsi="Arial" w:eastAsia="Arial" w:cs="Arial"/>
      <w:b/>
      <w:bCs/>
      <w:sz w:val="26"/>
      <w:szCs w:val="26"/>
    </w:rPr>
  </w:style>
  <w:style w:type="character" w:styleId="804" w:customStyle="1">
    <w:name w:val="Heading 5 Char"/>
    <w:basedOn w:val="763"/>
    <w:uiPriority w:val="9"/>
    <w:qFormat/>
    <w:rPr>
      <w:rFonts w:ascii="Arial" w:hAnsi="Arial" w:eastAsia="Arial" w:cs="Arial"/>
      <w:b/>
      <w:bCs/>
      <w:sz w:val="24"/>
      <w:szCs w:val="24"/>
    </w:rPr>
  </w:style>
  <w:style w:type="character" w:styleId="805" w:customStyle="1">
    <w:name w:val="Heading 6 Char"/>
    <w:basedOn w:val="763"/>
    <w:uiPriority w:val="9"/>
    <w:qFormat/>
    <w:rPr>
      <w:rFonts w:ascii="Arial" w:hAnsi="Arial" w:eastAsia="Arial" w:cs="Arial"/>
      <w:b/>
      <w:bCs/>
      <w:sz w:val="22"/>
      <w:szCs w:val="22"/>
    </w:rPr>
  </w:style>
  <w:style w:type="character" w:styleId="806" w:customStyle="1">
    <w:name w:val="Heading 7 Char"/>
    <w:basedOn w:val="763"/>
    <w:uiPriority w:val="9"/>
    <w:qFormat/>
    <w:rPr>
      <w:rFonts w:ascii="Arial" w:hAnsi="Arial" w:eastAsia="Arial" w:cs="Arial"/>
      <w:b/>
      <w:bCs/>
      <w:i/>
      <w:iCs/>
      <w:sz w:val="22"/>
      <w:szCs w:val="22"/>
    </w:rPr>
  </w:style>
  <w:style w:type="character" w:styleId="807" w:customStyle="1">
    <w:name w:val="Heading 8 Char"/>
    <w:basedOn w:val="763"/>
    <w:uiPriority w:val="9"/>
    <w:qFormat/>
    <w:rPr>
      <w:rFonts w:ascii="Arial" w:hAnsi="Arial" w:eastAsia="Arial" w:cs="Arial"/>
      <w:i/>
      <w:iCs/>
      <w:sz w:val="22"/>
      <w:szCs w:val="22"/>
    </w:rPr>
  </w:style>
  <w:style w:type="character" w:styleId="808" w:customStyle="1">
    <w:name w:val="Heading 9 Char"/>
    <w:basedOn w:val="763"/>
    <w:uiPriority w:val="9"/>
    <w:qFormat/>
    <w:rPr>
      <w:rFonts w:ascii="Arial" w:hAnsi="Arial" w:eastAsia="Arial" w:cs="Arial"/>
      <w:i/>
      <w:iCs/>
      <w:sz w:val="21"/>
      <w:szCs w:val="21"/>
    </w:rPr>
  </w:style>
  <w:style w:type="character" w:styleId="809" w:customStyle="1">
    <w:name w:val="Title Char"/>
    <w:basedOn w:val="763"/>
    <w:uiPriority w:val="10"/>
    <w:qFormat/>
    <w:rPr>
      <w:sz w:val="48"/>
      <w:szCs w:val="48"/>
    </w:rPr>
  </w:style>
  <w:style w:type="character" w:styleId="810" w:customStyle="1">
    <w:name w:val="Subtitle Char"/>
    <w:basedOn w:val="763"/>
    <w:uiPriority w:val="11"/>
    <w:qFormat/>
    <w:rPr>
      <w:sz w:val="24"/>
      <w:szCs w:val="24"/>
    </w:rPr>
  </w:style>
  <w:style w:type="character" w:styleId="811" w:customStyle="1">
    <w:name w:val="Quote Char"/>
    <w:uiPriority w:val="29"/>
    <w:qFormat/>
    <w:rPr>
      <w:i/>
    </w:rPr>
  </w:style>
  <w:style w:type="character" w:styleId="812" w:customStyle="1">
    <w:name w:val="Intense Quote Char"/>
    <w:uiPriority w:val="30"/>
    <w:qFormat/>
    <w:rPr>
      <w:i/>
    </w:rPr>
  </w:style>
  <w:style w:type="character" w:styleId="813" w:customStyle="1">
    <w:name w:val="Header Char"/>
    <w:basedOn w:val="763"/>
    <w:uiPriority w:val="99"/>
    <w:qFormat/>
  </w:style>
  <w:style w:type="character" w:styleId="814" w:customStyle="1">
    <w:name w:val="Caption Char"/>
    <w:uiPriority w:val="99"/>
    <w:qFormat/>
  </w:style>
  <w:style w:type="table" w:styleId="815" w:customStyle="1">
    <w:name w:val="Plain Table 1"/>
    <w:basedOn w:val="7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basedOn w:val="76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basedOn w:val="76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2"/>
    <w:basedOn w:val="7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3"/>
    <w:basedOn w:val="7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4"/>
    <w:basedOn w:val="76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5 Dark"/>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6 Colorful"/>
    <w:basedOn w:val="76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7 Colorful"/>
    <w:basedOn w:val="76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1 Light"/>
    <w:basedOn w:val="76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2"/>
    <w:basedOn w:val="76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3"/>
    <w:basedOn w:val="7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w:basedOn w:val="7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5 Dark"/>
    <w:basedOn w:val="76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basedOn w:val="76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7 Colorful"/>
    <w:basedOn w:val="76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4" w:customStyle="1">
    <w:name w:val="Footnote Text Char"/>
    <w:uiPriority w:val="99"/>
    <w:qFormat/>
    <w:rPr>
      <w:sz w:val="18"/>
    </w:rPr>
  </w:style>
  <w:style w:type="character" w:styleId="835" w:customStyle="1">
    <w:name w:val="Endnote Text Char"/>
    <w:uiPriority w:val="99"/>
    <w:qFormat/>
    <w:rPr>
      <w:sz w:val="20"/>
    </w:rPr>
  </w:style>
  <w:style w:type="paragraph" w:styleId="836" w:customStyle="1">
    <w:name w:val="TOC Heading"/>
    <w:uiPriority w:val="39"/>
    <w:unhideWhenUsed/>
    <w:qFormat/>
    <w:rPr>
      <w:rFonts w:hint="default" w:ascii="Times New Roman" w:hAnsi="Times New Roman" w:eastAsia="宋体" w:cs="Times New Roman"/>
    </w:rPr>
  </w:style>
  <w:style w:type="paragraph" w:styleId="837" w:customStyle="1">
    <w:name w:val="信息标题1"/>
    <w:basedOn w:val="753"/>
    <w:next w:val="83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38" w:customStyle="1">
    <w:name w:val="正文文本12"/>
    <w:basedOn w:val="753"/>
    <w:next w:val="753"/>
    <w:uiPriority w:val="99"/>
    <w:qFormat/>
    <w:pPr>
      <w:spacing w:after="120"/>
    </w:pPr>
  </w:style>
  <w:style w:type="paragraph" w:styleId="839" w:customStyle="1">
    <w:name w:val="文本块11"/>
    <w:basedOn w:val="840"/>
    <w:uiPriority w:val="0"/>
    <w:qFormat/>
    <w:pPr>
      <w:ind w:left="256" w:right="6" w:firstLine="624"/>
    </w:pPr>
    <w:rPr>
      <w:rFonts w:ascii="Arial" w:hAnsi="Arial" w:eastAsia="仿宋"/>
      <w:sz w:val="28"/>
    </w:rPr>
  </w:style>
  <w:style w:type="paragraph" w:styleId="840" w:customStyle="1">
    <w:name w:val="正文12"/>
    <w:next w:val="7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1" w:customStyle="1">
    <w:name w:val="正文文本缩进1"/>
    <w:basedOn w:val="775"/>
    <w:next w:val="842"/>
    <w:uiPriority w:val="0"/>
    <w:qFormat/>
    <w:pPr>
      <w:ind w:left="420"/>
      <w:spacing w:after="120"/>
    </w:pPr>
    <w:rPr>
      <w:rFonts w:ascii="Calibri" w:hAnsi="Calibri"/>
    </w:rPr>
  </w:style>
  <w:style w:type="paragraph" w:styleId="842" w:customStyle="1">
    <w:name w:val="寄信人地址1"/>
    <w:basedOn w:val="773"/>
    <w:uiPriority w:val="0"/>
    <w:qFormat/>
    <w:rPr>
      <w:rFonts w:ascii="Arial" w:hAnsi="Arial"/>
    </w:rPr>
  </w:style>
  <w:style w:type="paragraph" w:styleId="843" w:customStyle="1">
    <w:name w:val="目录 11"/>
    <w:basedOn w:val="775"/>
    <w:next w:val="775"/>
    <w:uiPriority w:val="0"/>
    <w:qFormat/>
    <w:pPr>
      <w:jc w:val="left"/>
      <w:spacing w:after="100" w:line="259" w:lineRule="auto"/>
      <w:widowControl/>
    </w:pPr>
    <w:rPr>
      <w:rFonts w:ascii="Calibri" w:hAnsi="Calibri"/>
      <w:sz w:val="22"/>
      <w:szCs w:val="22"/>
    </w:rPr>
  </w:style>
  <w:style w:type="character" w:styleId="844" w:customStyle="1">
    <w:name w:val="标题 1 字符1"/>
    <w:link w:val="754"/>
    <w:uiPriority w:val="9"/>
    <w:qFormat/>
    <w:rPr>
      <w:rFonts w:ascii="Arial" w:hAnsi="Arial" w:eastAsia="Arial" w:cs="Arial"/>
      <w:sz w:val="40"/>
      <w:szCs w:val="40"/>
    </w:rPr>
  </w:style>
  <w:style w:type="character" w:styleId="845" w:customStyle="1">
    <w:name w:val="标题 2 字符1"/>
    <w:link w:val="755"/>
    <w:uiPriority w:val="9"/>
    <w:qFormat/>
    <w:rPr>
      <w:rFonts w:ascii="Arial" w:hAnsi="Arial" w:eastAsia="Arial" w:cs="Arial"/>
      <w:sz w:val="34"/>
    </w:rPr>
  </w:style>
  <w:style w:type="character" w:styleId="846" w:customStyle="1">
    <w:name w:val="标题 3 字符1"/>
    <w:link w:val="756"/>
    <w:uiPriority w:val="9"/>
    <w:qFormat/>
    <w:rPr>
      <w:rFonts w:ascii="Arial" w:hAnsi="Arial" w:eastAsia="Arial" w:cs="Arial"/>
      <w:sz w:val="30"/>
      <w:szCs w:val="30"/>
    </w:rPr>
  </w:style>
  <w:style w:type="character" w:styleId="847" w:customStyle="1">
    <w:name w:val="标题 4 字符1"/>
    <w:link w:val="757"/>
    <w:uiPriority w:val="9"/>
    <w:qFormat/>
    <w:rPr>
      <w:rFonts w:ascii="Arial" w:hAnsi="Arial" w:eastAsia="Arial" w:cs="Arial"/>
      <w:b/>
      <w:bCs/>
      <w:sz w:val="26"/>
      <w:szCs w:val="26"/>
    </w:rPr>
  </w:style>
  <w:style w:type="character" w:styleId="848" w:customStyle="1">
    <w:name w:val="标题 5 字符1"/>
    <w:link w:val="758"/>
    <w:uiPriority w:val="9"/>
    <w:qFormat/>
    <w:rPr>
      <w:rFonts w:ascii="Arial" w:hAnsi="Arial" w:eastAsia="Arial" w:cs="Arial"/>
      <w:b/>
      <w:bCs/>
      <w:sz w:val="24"/>
      <w:szCs w:val="24"/>
    </w:rPr>
  </w:style>
  <w:style w:type="character" w:styleId="849" w:customStyle="1">
    <w:name w:val="标题 6 字符1"/>
    <w:link w:val="759"/>
    <w:uiPriority w:val="9"/>
    <w:qFormat/>
    <w:rPr>
      <w:rFonts w:ascii="Arial" w:hAnsi="Arial" w:eastAsia="Arial" w:cs="Arial"/>
      <w:b/>
      <w:bCs/>
      <w:sz w:val="22"/>
      <w:szCs w:val="22"/>
    </w:rPr>
  </w:style>
  <w:style w:type="character" w:styleId="850" w:customStyle="1">
    <w:name w:val="标题 7 字符1"/>
    <w:link w:val="760"/>
    <w:uiPriority w:val="9"/>
    <w:qFormat/>
    <w:rPr>
      <w:rFonts w:ascii="Arial" w:hAnsi="Arial" w:eastAsia="Arial" w:cs="Arial"/>
      <w:b/>
      <w:bCs/>
      <w:i/>
      <w:iCs/>
      <w:sz w:val="22"/>
      <w:szCs w:val="22"/>
    </w:rPr>
  </w:style>
  <w:style w:type="character" w:styleId="851" w:customStyle="1">
    <w:name w:val="标题 8 字符1"/>
    <w:link w:val="761"/>
    <w:uiPriority w:val="9"/>
    <w:qFormat/>
    <w:rPr>
      <w:rFonts w:ascii="Arial" w:hAnsi="Arial" w:eastAsia="Arial" w:cs="Arial"/>
      <w:i/>
      <w:iCs/>
      <w:sz w:val="22"/>
      <w:szCs w:val="22"/>
    </w:rPr>
  </w:style>
  <w:style w:type="character" w:styleId="852" w:customStyle="1">
    <w:name w:val="标题 9 字符1"/>
    <w:link w:val="762"/>
    <w:uiPriority w:val="9"/>
    <w:qFormat/>
    <w:rPr>
      <w:rFonts w:ascii="Arial" w:hAnsi="Arial" w:eastAsia="Arial" w:cs="Arial"/>
      <w:i/>
      <w:iCs/>
      <w:sz w:val="21"/>
      <w:szCs w:val="21"/>
    </w:rPr>
  </w:style>
  <w:style w:type="paragraph" w:styleId="853">
    <w:name w:val="List Paragraph"/>
    <w:basedOn w:val="753"/>
    <w:next w:val="783"/>
    <w:uiPriority w:val="34"/>
    <w:qFormat/>
    <w:pPr>
      <w:contextualSpacing/>
      <w:ind w:left="720"/>
    </w:pPr>
  </w:style>
  <w:style w:type="paragraph" w:styleId="854">
    <w:name w:val="No Spacing"/>
    <w:uiPriority w:val="1"/>
    <w:qFormat/>
    <w:rPr>
      <w:rFonts w:hint="default" w:ascii="Times New Roman" w:hAnsi="Times New Roman" w:eastAsia="宋体" w:cs="Times New Roman"/>
      <w:lang w:val="en-US" w:eastAsia="zh-CN" w:bidi="ar-SA"/>
    </w:rPr>
  </w:style>
  <w:style w:type="character" w:styleId="855" w:customStyle="1">
    <w:name w:val="标题 字符1"/>
    <w:link w:val="794"/>
    <w:uiPriority w:val="10"/>
    <w:qFormat/>
    <w:rPr>
      <w:sz w:val="48"/>
      <w:szCs w:val="48"/>
    </w:rPr>
  </w:style>
  <w:style w:type="character" w:styleId="856" w:customStyle="1">
    <w:name w:val="副标题 字符1"/>
    <w:link w:val="788"/>
    <w:uiPriority w:val="11"/>
    <w:qFormat/>
    <w:rPr>
      <w:sz w:val="24"/>
      <w:szCs w:val="24"/>
    </w:rPr>
  </w:style>
  <w:style w:type="paragraph" w:styleId="857">
    <w:name w:val="Quote"/>
    <w:basedOn w:val="753"/>
    <w:next w:val="753"/>
    <w:link w:val="858"/>
    <w:uiPriority w:val="29"/>
    <w:qFormat/>
    <w:pPr>
      <w:ind w:left="720" w:right="720"/>
    </w:pPr>
    <w:rPr>
      <w:i/>
    </w:rPr>
  </w:style>
  <w:style w:type="character" w:styleId="858" w:customStyle="1">
    <w:name w:val="引用 字符1"/>
    <w:link w:val="857"/>
    <w:uiPriority w:val="29"/>
    <w:qFormat/>
    <w:rPr>
      <w:i/>
    </w:rPr>
  </w:style>
  <w:style w:type="paragraph" w:styleId="859">
    <w:name w:val="Intense Quote"/>
    <w:basedOn w:val="753"/>
    <w:next w:val="753"/>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明显引用 字符1"/>
    <w:link w:val="859"/>
    <w:uiPriority w:val="30"/>
    <w:qFormat/>
    <w:rPr>
      <w:i/>
    </w:rPr>
  </w:style>
  <w:style w:type="character" w:styleId="861" w:customStyle="1">
    <w:name w:val="页眉 字符1"/>
    <w:link w:val="785"/>
    <w:uiPriority w:val="99"/>
    <w:qFormat/>
  </w:style>
  <w:style w:type="character" w:styleId="862" w:customStyle="1">
    <w:name w:val="页脚 字符1"/>
    <w:link w:val="784"/>
    <w:uiPriority w:val="99"/>
    <w:qFormat/>
  </w:style>
  <w:style w:type="character" w:styleId="863" w:customStyle="1">
    <w:name w:val="脚注文本 字符1"/>
    <w:link w:val="789"/>
    <w:uiPriority w:val="99"/>
    <w:qFormat/>
    <w:rPr>
      <w:sz w:val="18"/>
    </w:rPr>
  </w:style>
  <w:style w:type="character" w:styleId="864" w:customStyle="1">
    <w:name w:val="尾注文本 字符1"/>
    <w:link w:val="783"/>
    <w:uiPriority w:val="99"/>
    <w:qFormat/>
    <w:rPr>
      <w:sz w:val="20"/>
    </w:rPr>
  </w:style>
  <w:style w:type="paragraph" w:styleId="865" w:customStyle="1">
    <w:name w:val="标题 111"/>
    <w:basedOn w:val="753"/>
    <w:next w:val="753"/>
    <w:link w:val="898"/>
    <w:uiPriority w:val="9"/>
    <w:qFormat/>
    <w:pPr>
      <w:keepLines/>
      <w:keepNext/>
      <w:spacing w:before="480" w:after="200"/>
      <w:outlineLvl w:val="0"/>
    </w:pPr>
    <w:rPr>
      <w:rFonts w:ascii="Arial" w:hAnsi="Arial" w:eastAsia="Arial" w:cs="Arial"/>
      <w:sz w:val="40"/>
      <w:szCs w:val="40"/>
    </w:rPr>
  </w:style>
  <w:style w:type="paragraph" w:styleId="866" w:customStyle="1">
    <w:name w:val="标题 211"/>
    <w:basedOn w:val="753"/>
    <w:next w:val="753"/>
    <w:link w:val="887"/>
    <w:uiPriority w:val="9"/>
    <w:qFormat/>
    <w:pPr>
      <w:keepLines/>
      <w:keepNext/>
      <w:spacing w:before="360" w:after="200"/>
      <w:outlineLvl w:val="1"/>
    </w:pPr>
    <w:rPr>
      <w:rFonts w:ascii="Arial" w:hAnsi="Arial" w:eastAsia="Arial" w:cs="Arial"/>
      <w:sz w:val="34"/>
    </w:rPr>
  </w:style>
  <w:style w:type="paragraph" w:styleId="867" w:customStyle="1">
    <w:name w:val="标题 31"/>
    <w:basedOn w:val="753"/>
    <w:next w:val="753"/>
    <w:link w:val="882"/>
    <w:uiPriority w:val="9"/>
    <w:qFormat/>
    <w:pPr>
      <w:keepLines/>
      <w:keepNext/>
      <w:spacing w:before="320" w:after="200"/>
      <w:outlineLvl w:val="2"/>
    </w:pPr>
    <w:rPr>
      <w:rFonts w:ascii="Arial" w:hAnsi="Arial" w:eastAsia="Arial" w:cs="Arial"/>
      <w:sz w:val="30"/>
      <w:szCs w:val="30"/>
    </w:rPr>
  </w:style>
  <w:style w:type="paragraph" w:styleId="868" w:customStyle="1">
    <w:name w:val="标题 41"/>
    <w:basedOn w:val="753"/>
    <w:next w:val="753"/>
    <w:link w:val="888"/>
    <w:uiPriority w:val="9"/>
    <w:qFormat/>
    <w:pPr>
      <w:keepLines/>
      <w:keepNext/>
      <w:spacing w:before="320" w:after="200"/>
      <w:outlineLvl w:val="3"/>
    </w:pPr>
    <w:rPr>
      <w:rFonts w:ascii="Arial" w:hAnsi="Arial" w:eastAsia="Arial" w:cs="Arial"/>
      <w:b/>
      <w:bCs/>
      <w:sz w:val="26"/>
      <w:szCs w:val="26"/>
    </w:rPr>
  </w:style>
  <w:style w:type="paragraph" w:styleId="869" w:customStyle="1">
    <w:name w:val="标题 51"/>
    <w:basedOn w:val="753"/>
    <w:next w:val="753"/>
    <w:link w:val="892"/>
    <w:uiPriority w:val="9"/>
    <w:qFormat/>
    <w:pPr>
      <w:keepLines/>
      <w:keepNext/>
      <w:spacing w:before="320" w:after="200"/>
      <w:outlineLvl w:val="4"/>
    </w:pPr>
    <w:rPr>
      <w:rFonts w:ascii="Arial" w:hAnsi="Arial" w:eastAsia="Arial" w:cs="Arial"/>
      <w:b/>
      <w:bCs/>
      <w:sz w:val="24"/>
    </w:rPr>
  </w:style>
  <w:style w:type="paragraph" w:styleId="870" w:customStyle="1">
    <w:name w:val="标题 61"/>
    <w:basedOn w:val="753"/>
    <w:next w:val="753"/>
    <w:link w:val="899"/>
    <w:uiPriority w:val="9"/>
    <w:qFormat/>
    <w:pPr>
      <w:keepLines/>
      <w:keepNext/>
      <w:spacing w:before="320" w:after="200"/>
      <w:outlineLvl w:val="5"/>
    </w:pPr>
    <w:rPr>
      <w:rFonts w:ascii="Arial" w:hAnsi="Arial" w:eastAsia="Arial" w:cs="Arial"/>
      <w:b/>
      <w:bCs/>
      <w:sz w:val="22"/>
      <w:szCs w:val="22"/>
    </w:rPr>
  </w:style>
  <w:style w:type="paragraph" w:styleId="871" w:customStyle="1">
    <w:name w:val="标题 71"/>
    <w:basedOn w:val="753"/>
    <w:next w:val="753"/>
    <w:link w:val="903"/>
    <w:uiPriority w:val="9"/>
    <w:qFormat/>
    <w:pPr>
      <w:keepLines/>
      <w:keepNext/>
      <w:spacing w:before="320" w:after="200"/>
      <w:outlineLvl w:val="6"/>
    </w:pPr>
    <w:rPr>
      <w:rFonts w:ascii="Arial" w:hAnsi="Arial" w:eastAsia="Arial" w:cs="Arial"/>
      <w:b/>
      <w:bCs/>
      <w:i/>
      <w:iCs/>
      <w:sz w:val="22"/>
      <w:szCs w:val="22"/>
    </w:rPr>
  </w:style>
  <w:style w:type="paragraph" w:styleId="872" w:customStyle="1">
    <w:name w:val="标题 81"/>
    <w:basedOn w:val="753"/>
    <w:next w:val="753"/>
    <w:link w:val="902"/>
    <w:uiPriority w:val="9"/>
    <w:qFormat/>
    <w:pPr>
      <w:keepLines/>
      <w:keepNext/>
      <w:spacing w:before="320" w:after="200"/>
      <w:outlineLvl w:val="7"/>
    </w:pPr>
    <w:rPr>
      <w:rFonts w:ascii="Arial" w:hAnsi="Arial" w:eastAsia="Arial" w:cs="Arial"/>
      <w:i/>
      <w:iCs/>
      <w:sz w:val="22"/>
      <w:szCs w:val="22"/>
    </w:rPr>
  </w:style>
  <w:style w:type="paragraph" w:styleId="873" w:customStyle="1">
    <w:name w:val="标题 91"/>
    <w:basedOn w:val="753"/>
    <w:next w:val="753"/>
    <w:link w:val="891"/>
    <w:uiPriority w:val="9"/>
    <w:qFormat/>
    <w:pPr>
      <w:keepLines/>
      <w:keepNext/>
      <w:spacing w:before="320" w:after="200"/>
      <w:outlineLvl w:val="8"/>
    </w:pPr>
    <w:rPr>
      <w:rFonts w:ascii="Arial" w:hAnsi="Arial" w:eastAsia="Arial" w:cs="Arial"/>
      <w:i/>
      <w:iCs/>
      <w:szCs w:val="21"/>
    </w:rPr>
  </w:style>
  <w:style w:type="character" w:styleId="874" w:customStyle="1">
    <w:name w:val="默认段落字体11"/>
    <w:uiPriority w:val="1"/>
    <w:unhideWhenUsed/>
    <w:qFormat/>
  </w:style>
  <w:style w:type="table" w:styleId="875" w:customStyle="1">
    <w:name w:val="普通表格11"/>
    <w:uiPriority w:val="99"/>
    <w:unhideWhenUsed/>
    <w:qFormat/>
    <w:tblPr>
      <w:tblCellMar>
        <w:left w:w="0" w:type="dxa"/>
        <w:top w:w="0" w:type="dxa"/>
        <w:right w:w="0" w:type="dxa"/>
        <w:bottom w:w="0" w:type="dxa"/>
      </w:tblCellMar>
    </w:tblPr>
  </w:style>
  <w:style w:type="character" w:styleId="876" w:customStyle="1">
    <w:name w:val="脚注引用1"/>
    <w:uiPriority w:val="99"/>
    <w:unhideWhenUsed/>
    <w:qFormat/>
    <w:rPr>
      <w:vertAlign w:val="superscript"/>
    </w:rPr>
  </w:style>
  <w:style w:type="character" w:styleId="877" w:customStyle="1">
    <w:name w:val="尾注引用1"/>
    <w:uiPriority w:val="99"/>
    <w:unhideWhenUsed/>
    <w:qFormat/>
    <w:rPr>
      <w:vertAlign w:val="superscript"/>
    </w:rPr>
  </w:style>
  <w:style w:type="character" w:styleId="878" w:customStyle="1">
    <w:name w:val="超链接11"/>
    <w:uiPriority w:val="99"/>
    <w:unhideWhenUsed/>
    <w:qFormat/>
    <w:rPr>
      <w:color w:val="0000ff"/>
      <w:u w:val="single"/>
    </w:rPr>
  </w:style>
  <w:style w:type="character" w:styleId="879" w:customStyle="1">
    <w:name w:val="Footer Char"/>
    <w:uiPriority w:val="99"/>
    <w:qFormat/>
  </w:style>
  <w:style w:type="character" w:styleId="880" w:customStyle="1">
    <w:name w:val="批注框文本 字符"/>
    <w:link w:val="881"/>
    <w:uiPriority w:val="0"/>
    <w:qFormat/>
    <w:rPr>
      <w:rFonts w:ascii="Times New Roman" w:hAnsi="Times New Roman" w:eastAsia="宋体" w:cs="Times New Roman"/>
      <w:sz w:val="18"/>
      <w:szCs w:val="18"/>
    </w:rPr>
  </w:style>
  <w:style w:type="paragraph" w:styleId="881" w:customStyle="1">
    <w:name w:val="批注框文本1"/>
    <w:basedOn w:val="753"/>
    <w:link w:val="880"/>
    <w:uiPriority w:val="0"/>
    <w:qFormat/>
    <w:rPr>
      <w:sz w:val="18"/>
      <w:szCs w:val="18"/>
    </w:rPr>
  </w:style>
  <w:style w:type="character" w:styleId="882" w:customStyle="1">
    <w:name w:val="标题 3 字符"/>
    <w:link w:val="867"/>
    <w:uiPriority w:val="9"/>
    <w:qFormat/>
    <w:rPr>
      <w:rFonts w:ascii="Arial" w:hAnsi="Arial" w:eastAsia="Arial" w:cs="Arial"/>
      <w:sz w:val="30"/>
      <w:szCs w:val="30"/>
    </w:rPr>
  </w:style>
  <w:style w:type="character" w:styleId="883" w:customStyle="1">
    <w:name w:val="标题 字符"/>
    <w:link w:val="884"/>
    <w:uiPriority w:val="10"/>
    <w:qFormat/>
    <w:rPr>
      <w:sz w:val="48"/>
      <w:szCs w:val="48"/>
    </w:rPr>
  </w:style>
  <w:style w:type="paragraph" w:styleId="884" w:customStyle="1">
    <w:name w:val="标题1"/>
    <w:basedOn w:val="753"/>
    <w:next w:val="753"/>
    <w:link w:val="883"/>
    <w:uiPriority w:val="10"/>
    <w:qFormat/>
    <w:pPr>
      <w:contextualSpacing/>
      <w:spacing w:before="300" w:after="200"/>
    </w:pPr>
    <w:rPr>
      <w:sz w:val="48"/>
      <w:szCs w:val="48"/>
    </w:rPr>
  </w:style>
  <w:style w:type="character" w:styleId="885" w:customStyle="1">
    <w:name w:val="副标题 字符"/>
    <w:link w:val="886"/>
    <w:uiPriority w:val="11"/>
    <w:qFormat/>
    <w:rPr>
      <w:sz w:val="24"/>
      <w:szCs w:val="24"/>
    </w:rPr>
  </w:style>
  <w:style w:type="paragraph" w:styleId="886" w:customStyle="1">
    <w:name w:val="副标题1"/>
    <w:basedOn w:val="753"/>
    <w:next w:val="753"/>
    <w:link w:val="885"/>
    <w:uiPriority w:val="11"/>
    <w:qFormat/>
    <w:pPr>
      <w:spacing w:before="200" w:after="200"/>
    </w:pPr>
    <w:rPr>
      <w:sz w:val="24"/>
    </w:rPr>
  </w:style>
  <w:style w:type="character" w:styleId="887" w:customStyle="1">
    <w:name w:val="标题 2 字符"/>
    <w:link w:val="866"/>
    <w:uiPriority w:val="9"/>
    <w:qFormat/>
    <w:rPr>
      <w:rFonts w:ascii="Arial" w:hAnsi="Arial" w:eastAsia="Arial" w:cs="Arial"/>
      <w:sz w:val="34"/>
    </w:rPr>
  </w:style>
  <w:style w:type="character" w:styleId="888" w:customStyle="1">
    <w:name w:val="标题 4 字符"/>
    <w:link w:val="868"/>
    <w:uiPriority w:val="9"/>
    <w:qFormat/>
    <w:rPr>
      <w:rFonts w:ascii="Arial" w:hAnsi="Arial" w:eastAsia="Arial" w:cs="Arial"/>
      <w:b/>
      <w:bCs/>
      <w:sz w:val="26"/>
      <w:szCs w:val="26"/>
    </w:rPr>
  </w:style>
  <w:style w:type="character" w:styleId="889" w:customStyle="1">
    <w:name w:val="页眉 字符"/>
    <w:link w:val="890"/>
    <w:uiPriority w:val="99"/>
    <w:qFormat/>
  </w:style>
  <w:style w:type="paragraph" w:styleId="890" w:customStyle="1">
    <w:name w:val="页眉11"/>
    <w:basedOn w:val="753"/>
    <w:link w:val="889"/>
    <w:uiPriority w:val="99"/>
    <w:unhideWhenUsed/>
    <w:qFormat/>
    <w:pPr>
      <w:tabs>
        <w:tab w:val="center" w:pos="7143" w:leader="none"/>
        <w:tab w:val="right" w:pos="14287" w:leader="none"/>
      </w:tabs>
    </w:pPr>
  </w:style>
  <w:style w:type="character" w:styleId="891" w:customStyle="1">
    <w:name w:val="标题 9 字符"/>
    <w:link w:val="873"/>
    <w:uiPriority w:val="9"/>
    <w:qFormat/>
    <w:rPr>
      <w:rFonts w:ascii="Arial" w:hAnsi="Arial" w:eastAsia="Arial" w:cs="Arial"/>
      <w:i/>
      <w:iCs/>
      <w:sz w:val="21"/>
      <w:szCs w:val="21"/>
    </w:rPr>
  </w:style>
  <w:style w:type="character" w:styleId="892" w:customStyle="1">
    <w:name w:val="标题 5 字符"/>
    <w:link w:val="869"/>
    <w:uiPriority w:val="9"/>
    <w:qFormat/>
    <w:rPr>
      <w:rFonts w:ascii="Arial" w:hAnsi="Arial" w:eastAsia="Arial" w:cs="Arial"/>
      <w:b/>
      <w:bCs/>
      <w:sz w:val="24"/>
      <w:szCs w:val="24"/>
    </w:rPr>
  </w:style>
  <w:style w:type="character" w:styleId="893" w:customStyle="1">
    <w:name w:val="font121"/>
    <w:uiPriority w:val="0"/>
    <w:qFormat/>
    <w:rPr>
      <w:rFonts w:hint="eastAsia" w:ascii="宋体" w:hAnsi="宋体" w:eastAsia="宋体" w:cs="宋体"/>
      <w:color w:val="000000"/>
      <w:sz w:val="18"/>
      <w:szCs w:val="18"/>
      <w:u w:val="none"/>
    </w:rPr>
  </w:style>
  <w:style w:type="character" w:styleId="894" w:customStyle="1">
    <w:name w:val="明显引用 字符"/>
    <w:link w:val="895"/>
    <w:uiPriority w:val="30"/>
    <w:qFormat/>
    <w:rPr>
      <w:i/>
    </w:rPr>
  </w:style>
  <w:style w:type="paragraph" w:styleId="895" w:customStyle="1">
    <w:name w:val="明显引用1"/>
    <w:basedOn w:val="753"/>
    <w:next w:val="753"/>
    <w:link w:val="8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customStyle="1">
    <w:name w:val="引用 字符"/>
    <w:link w:val="897"/>
    <w:uiPriority w:val="29"/>
    <w:qFormat/>
    <w:rPr>
      <w:i/>
    </w:rPr>
  </w:style>
  <w:style w:type="paragraph" w:styleId="897" w:customStyle="1">
    <w:name w:val="引用1"/>
    <w:basedOn w:val="753"/>
    <w:next w:val="753"/>
    <w:link w:val="896"/>
    <w:uiPriority w:val="29"/>
    <w:qFormat/>
    <w:pPr>
      <w:ind w:left="720" w:right="720"/>
    </w:pPr>
    <w:rPr>
      <w:i/>
    </w:rPr>
  </w:style>
  <w:style w:type="character" w:styleId="898" w:customStyle="1">
    <w:name w:val="标题 1 字符"/>
    <w:link w:val="865"/>
    <w:uiPriority w:val="9"/>
    <w:qFormat/>
    <w:rPr>
      <w:rFonts w:ascii="Arial" w:hAnsi="Arial" w:eastAsia="Arial" w:cs="Arial"/>
      <w:sz w:val="40"/>
      <w:szCs w:val="40"/>
    </w:rPr>
  </w:style>
  <w:style w:type="character" w:styleId="899" w:customStyle="1">
    <w:name w:val="标题 6 字符"/>
    <w:link w:val="870"/>
    <w:uiPriority w:val="9"/>
    <w:qFormat/>
    <w:rPr>
      <w:rFonts w:ascii="Arial" w:hAnsi="Arial" w:eastAsia="Arial" w:cs="Arial"/>
      <w:b/>
      <w:bCs/>
      <w:sz w:val="22"/>
      <w:szCs w:val="22"/>
    </w:rPr>
  </w:style>
  <w:style w:type="character" w:styleId="900" w:customStyle="1">
    <w:name w:val="页脚 字符"/>
    <w:link w:val="901"/>
    <w:uiPriority w:val="99"/>
    <w:qFormat/>
  </w:style>
  <w:style w:type="paragraph" w:styleId="901" w:customStyle="1">
    <w:name w:val="页脚11"/>
    <w:basedOn w:val="753"/>
    <w:link w:val="900"/>
    <w:uiPriority w:val="99"/>
    <w:unhideWhenUsed/>
    <w:qFormat/>
    <w:pPr>
      <w:tabs>
        <w:tab w:val="center" w:pos="7143" w:leader="none"/>
        <w:tab w:val="right" w:pos="14287" w:leader="none"/>
      </w:tabs>
    </w:pPr>
  </w:style>
  <w:style w:type="character" w:styleId="902" w:customStyle="1">
    <w:name w:val="标题 8 字符"/>
    <w:link w:val="872"/>
    <w:uiPriority w:val="9"/>
    <w:qFormat/>
    <w:rPr>
      <w:rFonts w:ascii="Arial" w:hAnsi="Arial" w:eastAsia="Arial" w:cs="Arial"/>
      <w:i/>
      <w:iCs/>
      <w:sz w:val="22"/>
      <w:szCs w:val="22"/>
    </w:rPr>
  </w:style>
  <w:style w:type="character" w:styleId="903" w:customStyle="1">
    <w:name w:val="标题 7 字符"/>
    <w:link w:val="871"/>
    <w:uiPriority w:val="9"/>
    <w:qFormat/>
    <w:rPr>
      <w:rFonts w:ascii="Arial" w:hAnsi="Arial" w:eastAsia="Arial" w:cs="Arial"/>
      <w:b/>
      <w:bCs/>
      <w:i/>
      <w:iCs/>
      <w:sz w:val="22"/>
      <w:szCs w:val="22"/>
    </w:rPr>
  </w:style>
  <w:style w:type="character" w:styleId="904" w:customStyle="1">
    <w:name w:val="脚注文本 字符"/>
    <w:link w:val="905"/>
    <w:uiPriority w:val="99"/>
    <w:qFormat/>
    <w:rPr>
      <w:sz w:val="18"/>
    </w:rPr>
  </w:style>
  <w:style w:type="paragraph" w:styleId="905" w:customStyle="1">
    <w:name w:val="脚注文本11"/>
    <w:basedOn w:val="753"/>
    <w:link w:val="904"/>
    <w:uiPriority w:val="99"/>
    <w:unhideWhenUsed/>
    <w:qFormat/>
    <w:pPr>
      <w:spacing w:after="40"/>
    </w:pPr>
    <w:rPr>
      <w:sz w:val="18"/>
    </w:rPr>
  </w:style>
  <w:style w:type="character" w:styleId="906" w:customStyle="1">
    <w:name w:val="尾注文本 字符"/>
    <w:link w:val="907"/>
    <w:uiPriority w:val="99"/>
    <w:qFormat/>
    <w:rPr>
      <w:sz w:val="20"/>
    </w:rPr>
  </w:style>
  <w:style w:type="paragraph" w:styleId="907" w:customStyle="1">
    <w:name w:val="尾注文本1"/>
    <w:basedOn w:val="753"/>
    <w:link w:val="906"/>
    <w:uiPriority w:val="99"/>
    <w:unhideWhenUsed/>
    <w:qFormat/>
    <w:rPr>
      <w:sz w:val="20"/>
    </w:rPr>
  </w:style>
  <w:style w:type="character" w:styleId="908" w:customStyle="1">
    <w:name w:val="默认段落字体1"/>
    <w:uiPriority w:val="1"/>
    <w:unhideWhenUsed/>
    <w:qFormat/>
  </w:style>
  <w:style w:type="character" w:styleId="909" w:customStyle="1">
    <w:name w:val="超链接1"/>
    <w:uiPriority w:val="99"/>
    <w:unhideWhenUsed/>
    <w:qFormat/>
    <w:rPr>
      <w:color w:val="0000ff"/>
      <w:u w:val="single"/>
    </w:rPr>
  </w:style>
  <w:style w:type="character" w:styleId="910" w:customStyle="1">
    <w:name w:val="批注引用1"/>
    <w:uiPriority w:val="0"/>
    <w:qFormat/>
    <w:rPr>
      <w:sz w:val="21"/>
      <w:szCs w:val="21"/>
    </w:rPr>
  </w:style>
  <w:style w:type="character" w:styleId="911" w:customStyle="1">
    <w:name w:val="批注文字 字符"/>
    <w:link w:val="912"/>
    <w:uiPriority w:val="0"/>
    <w:qFormat/>
    <w:rPr>
      <w:rFonts w:ascii="Times New Roman" w:hAnsi="Times New Roman" w:eastAsia="宋体" w:cs="Times New Roman"/>
      <w:sz w:val="21"/>
      <w:szCs w:val="24"/>
    </w:rPr>
  </w:style>
  <w:style w:type="paragraph" w:styleId="912" w:customStyle="1">
    <w:name w:val="批注文字1"/>
    <w:basedOn w:val="753"/>
    <w:link w:val="911"/>
    <w:uiPriority w:val="0"/>
    <w:qFormat/>
    <w:pPr>
      <w:jc w:val="left"/>
    </w:pPr>
  </w:style>
  <w:style w:type="character" w:styleId="913" w:customStyle="1">
    <w:name w:val="批注主题 字符"/>
    <w:link w:val="914"/>
    <w:uiPriority w:val="0"/>
    <w:qFormat/>
    <w:rPr>
      <w:rFonts w:ascii="Times New Roman" w:hAnsi="Times New Roman" w:eastAsia="宋体" w:cs="Times New Roman"/>
      <w:b/>
      <w:bCs/>
      <w:sz w:val="21"/>
      <w:szCs w:val="24"/>
    </w:rPr>
  </w:style>
  <w:style w:type="paragraph" w:styleId="914" w:customStyle="1">
    <w:name w:val="批注主题1"/>
    <w:basedOn w:val="912"/>
    <w:next w:val="912"/>
    <w:link w:val="913"/>
    <w:uiPriority w:val="0"/>
    <w:qFormat/>
    <w:rPr>
      <w:b/>
      <w:bCs/>
    </w:rPr>
  </w:style>
  <w:style w:type="character" w:styleId="915" w:customStyle="1">
    <w:name w:val="font11"/>
    <w:uiPriority w:val="0"/>
    <w:qFormat/>
    <w:rPr>
      <w:rFonts w:hint="eastAsia" w:ascii="黑体" w:hAnsi="宋体" w:eastAsia="黑体" w:cs="黑体"/>
      <w:color w:val="000000"/>
      <w:sz w:val="18"/>
      <w:szCs w:val="18"/>
      <w:u w:val="none"/>
    </w:rPr>
  </w:style>
  <w:style w:type="character" w:styleId="916" w:customStyle="1">
    <w:name w:val="wyg1"/>
    <w:uiPriority w:val="6"/>
    <w:qFormat/>
    <w:rPr>
      <w:color w:val="000000"/>
      <w:sz w:val="20"/>
      <w:szCs w:val="20"/>
      <w:u w:val="none"/>
    </w:rPr>
  </w:style>
  <w:style w:type="character" w:styleId="917" w:customStyle="1">
    <w:name w:val="NormalCharacter1"/>
    <w:uiPriority w:val="0"/>
    <w:semiHidden/>
    <w:qFormat/>
    <w:rPr>
      <w:sz w:val="28"/>
      <w:lang w:val="en-US" w:eastAsia="zh-CN" w:bidi="ar-SA"/>
    </w:rPr>
  </w:style>
  <w:style w:type="character" w:styleId="918" w:customStyle="1">
    <w:name w:val="font21"/>
    <w:uiPriority w:val="0"/>
    <w:qFormat/>
    <w:rPr>
      <w:rFonts w:hint="eastAsia" w:ascii="宋体" w:hAnsi="宋体" w:eastAsia="宋体" w:cs="宋体"/>
      <w:b/>
      <w:bCs/>
      <w:color w:val="000000"/>
      <w:sz w:val="28"/>
      <w:szCs w:val="28"/>
      <w:u w:val="none"/>
    </w:rPr>
  </w:style>
  <w:style w:type="character" w:styleId="919" w:customStyle="1">
    <w:name w:val="font131"/>
    <w:uiPriority w:val="0"/>
    <w:qFormat/>
    <w:rPr>
      <w:rFonts w:hint="eastAsia" w:ascii="宋体" w:hAnsi="宋体" w:eastAsia="宋体" w:cs="宋体"/>
      <w:color w:val="000000"/>
      <w:sz w:val="20"/>
      <w:szCs w:val="20"/>
      <w:u w:val="none"/>
    </w:rPr>
  </w:style>
  <w:style w:type="character" w:styleId="920" w:customStyle="1">
    <w:name w:val="font41"/>
    <w:uiPriority w:val="0"/>
    <w:qFormat/>
    <w:rPr>
      <w:rFonts w:ascii="Arial" w:hAnsi="Arial" w:cs="Arial"/>
      <w:color w:val="000000"/>
      <w:sz w:val="22"/>
      <w:szCs w:val="22"/>
      <w:u w:val="none"/>
    </w:rPr>
  </w:style>
  <w:style w:type="character" w:styleId="921" w:customStyle="1">
    <w:name w:val="NormalCharacter11"/>
    <w:uiPriority w:val="0"/>
    <w:semiHidden/>
    <w:qFormat/>
    <w:rPr>
      <w:rFonts w:ascii="Times New Roman" w:hAnsi="Times New Roman"/>
      <w:sz w:val="21"/>
      <w:szCs w:val="24"/>
      <w:lang w:val="en-US" w:eastAsia="zh-CN" w:bidi="ar-SA"/>
    </w:rPr>
  </w:style>
  <w:style w:type="paragraph" w:styleId="922" w:customStyle="1">
    <w:name w:val="题注1"/>
    <w:basedOn w:val="753"/>
    <w:next w:val="753"/>
    <w:uiPriority w:val="35"/>
    <w:qFormat/>
    <w:pPr>
      <w:spacing w:line="276" w:lineRule="auto"/>
    </w:pPr>
    <w:rPr>
      <w:b/>
      <w:bCs/>
      <w:color w:val="4f81bd"/>
      <w:sz w:val="18"/>
      <w:szCs w:val="18"/>
    </w:rPr>
  </w:style>
  <w:style w:type="paragraph" w:styleId="923" w:customStyle="1">
    <w:name w:val="目录 91"/>
    <w:basedOn w:val="753"/>
    <w:next w:val="753"/>
    <w:uiPriority w:val="39"/>
    <w:unhideWhenUsed/>
    <w:qFormat/>
    <w:pPr>
      <w:ind w:left="2268"/>
      <w:spacing w:after="57"/>
    </w:pPr>
  </w:style>
  <w:style w:type="paragraph" w:styleId="924" w:customStyle="1">
    <w:name w:val="正文缩进11"/>
    <w:basedOn w:val="753"/>
    <w:uiPriority w:val="0"/>
    <w:unhideWhenUsed/>
    <w:qFormat/>
    <w:pPr>
      <w:ind w:firstLine="420"/>
    </w:pPr>
  </w:style>
  <w:style w:type="paragraph" w:styleId="925" w:customStyle="1">
    <w:name w:val="目录 71"/>
    <w:basedOn w:val="753"/>
    <w:next w:val="753"/>
    <w:uiPriority w:val="39"/>
    <w:unhideWhenUsed/>
    <w:qFormat/>
    <w:pPr>
      <w:ind w:left="1701"/>
      <w:spacing w:after="57"/>
    </w:pPr>
  </w:style>
  <w:style w:type="paragraph" w:styleId="926" w:customStyle="1">
    <w:name w:val="图表目录1"/>
    <w:basedOn w:val="753"/>
    <w:next w:val="753"/>
    <w:uiPriority w:val="99"/>
    <w:unhideWhenUsed/>
    <w:qFormat/>
  </w:style>
  <w:style w:type="paragraph" w:styleId="927" w:customStyle="1">
    <w:name w:val="目录 31"/>
    <w:basedOn w:val="753"/>
    <w:next w:val="753"/>
    <w:uiPriority w:val="39"/>
    <w:unhideWhenUsed/>
    <w:qFormat/>
    <w:pPr>
      <w:ind w:left="567"/>
      <w:spacing w:after="57"/>
    </w:pPr>
  </w:style>
  <w:style w:type="paragraph" w:styleId="928" w:customStyle="1">
    <w:name w:val="目录 61"/>
    <w:basedOn w:val="753"/>
    <w:next w:val="753"/>
    <w:uiPriority w:val="39"/>
    <w:unhideWhenUsed/>
    <w:qFormat/>
    <w:pPr>
      <w:ind w:left="1417"/>
      <w:spacing w:after="57"/>
    </w:pPr>
  </w:style>
  <w:style w:type="paragraph" w:styleId="929" w:customStyle="1">
    <w:name w:val="目录 41"/>
    <w:basedOn w:val="753"/>
    <w:next w:val="753"/>
    <w:uiPriority w:val="39"/>
    <w:unhideWhenUsed/>
    <w:qFormat/>
    <w:pPr>
      <w:ind w:left="850"/>
      <w:spacing w:after="57"/>
    </w:pPr>
  </w:style>
  <w:style w:type="paragraph" w:styleId="930" w:customStyle="1">
    <w:name w:val="正文缩进1"/>
    <w:basedOn w:val="753"/>
    <w:uiPriority w:val="0"/>
    <w:qFormat/>
    <w:pPr>
      <w:ind w:firstLine="420"/>
    </w:pPr>
  </w:style>
  <w:style w:type="paragraph" w:styleId="931" w:customStyle="1">
    <w:name w:val="目录 21"/>
    <w:basedOn w:val="753"/>
    <w:next w:val="753"/>
    <w:uiPriority w:val="39"/>
    <w:unhideWhenUsed/>
    <w:qFormat/>
    <w:pPr>
      <w:ind w:left="283"/>
      <w:spacing w:after="57"/>
    </w:pPr>
  </w:style>
  <w:style w:type="paragraph" w:styleId="932" w:customStyle="1">
    <w:name w:val="目录 51"/>
    <w:basedOn w:val="753"/>
    <w:next w:val="753"/>
    <w:uiPriority w:val="39"/>
    <w:unhideWhenUsed/>
    <w:qFormat/>
    <w:pPr>
      <w:ind w:left="1134"/>
      <w:spacing w:after="57"/>
    </w:pPr>
  </w:style>
  <w:style w:type="paragraph" w:styleId="933" w:customStyle="1">
    <w:name w:val="目录 111"/>
    <w:basedOn w:val="753"/>
    <w:next w:val="753"/>
    <w:uiPriority w:val="39"/>
    <w:unhideWhenUsed/>
    <w:qFormat/>
    <w:pPr>
      <w:spacing w:after="57"/>
    </w:pPr>
  </w:style>
  <w:style w:type="paragraph" w:styleId="934" w:customStyle="1">
    <w:name w:val="目录 81"/>
    <w:basedOn w:val="753"/>
    <w:next w:val="753"/>
    <w:uiPriority w:val="39"/>
    <w:unhideWhenUsed/>
    <w:qFormat/>
    <w:pPr>
      <w:ind w:left="1984"/>
      <w:spacing w:after="57"/>
    </w:pPr>
  </w:style>
  <w:style w:type="paragraph" w:styleId="935" w:customStyle="1">
    <w:name w:val="普通(网站)1"/>
    <w:basedOn w:val="753"/>
    <w:uiPriority w:val="0"/>
    <w:qFormat/>
    <w:pPr>
      <w:jc w:val="left"/>
      <w:spacing w:before="100" w:beforeAutospacing="1" w:after="100" w:afterAutospacing="1"/>
      <w:widowControl/>
    </w:pPr>
    <w:rPr>
      <w:rFonts w:ascii="宋体" w:hAnsi="宋体" w:cs="宋体"/>
      <w:color w:val="000000"/>
      <w:sz w:val="24"/>
      <w:szCs w:val="20"/>
    </w:rPr>
  </w:style>
  <w:style w:type="paragraph" w:styleId="936" w:customStyle="1">
    <w:name w:val="列表段落1"/>
    <w:basedOn w:val="753"/>
    <w:uiPriority w:val="34"/>
    <w:qFormat/>
    <w:pPr>
      <w:contextualSpacing/>
      <w:ind w:left="720"/>
    </w:pPr>
  </w:style>
  <w:style w:type="paragraph" w:styleId="937" w:customStyle="1">
    <w:name w:val="TOC 标题1"/>
    <w:uiPriority w:val="39"/>
    <w:unhideWhenUsed/>
    <w:qFormat/>
    <w:rPr>
      <w:rFonts w:hint="default" w:ascii="Calibri" w:hAnsi="Calibri" w:eastAsia="宋体" w:cs="Times New Roman"/>
      <w:lang w:val="en-US" w:eastAsia="zh-CN" w:bidi="ar-SA"/>
    </w:rPr>
  </w:style>
  <w:style w:type="paragraph" w:styleId="938" w:customStyle="1">
    <w:name w:val="索引 51"/>
    <w:basedOn w:val="772"/>
    <w:next w:val="772"/>
    <w:uiPriority w:val="0"/>
    <w:qFormat/>
    <w:pPr>
      <w:ind w:left="798"/>
    </w:pPr>
    <w:rPr>
      <w:rFonts w:ascii="Calibri"/>
    </w:rPr>
  </w:style>
  <w:style w:type="paragraph" w:styleId="939" w:customStyle="1">
    <w:name w:val="脚注文本1"/>
    <w:basedOn w:val="772"/>
    <w:next w:val="938"/>
    <w:uiPriority w:val="0"/>
    <w:qFormat/>
    <w:rPr>
      <w:rFonts w:eastAsia="Times New Roman"/>
      <w:sz w:val="18"/>
      <w:szCs w:val="18"/>
    </w:rPr>
  </w:style>
  <w:style w:type="paragraph" w:styleId="940" w:customStyle="1">
    <w:name w:val="页眉1"/>
    <w:basedOn w:val="753"/>
    <w:uiPriority w:val="99"/>
    <w:qFormat/>
    <w:pPr>
      <w:jc w:val="center"/>
      <w:tabs>
        <w:tab w:val="center" w:pos="4153" w:leader="none"/>
        <w:tab w:val="right" w:pos="8306" w:leader="none"/>
      </w:tabs>
      <w:pBdr>
        <w:bottom w:val="single" w:color="000000" w:sz="6" w:space="1"/>
      </w:pBdr>
    </w:pPr>
    <w:rPr>
      <w:sz w:val="18"/>
      <w:szCs w:val="18"/>
    </w:rPr>
  </w:style>
  <w:style w:type="paragraph" w:styleId="941" w:customStyle="1">
    <w:name w:val="标题 21"/>
    <w:basedOn w:val="753"/>
    <w:next w:val="753"/>
    <w:uiPriority w:val="0"/>
    <w:qFormat/>
    <w:pPr>
      <w:jc w:val="left"/>
      <w:keepLines/>
      <w:keepNext/>
      <w:spacing w:before="50"/>
      <w:tabs>
        <w:tab w:val="left" w:pos="0" w:leader="none"/>
      </w:tabs>
    </w:pPr>
    <w:rPr>
      <w:rFonts w:ascii="Arial" w:hAnsi="Arial" w:eastAsia="黑体"/>
      <w:sz w:val="32"/>
      <w:szCs w:val="20"/>
    </w:rPr>
  </w:style>
  <w:style w:type="paragraph" w:styleId="942" w:customStyle="1">
    <w:name w:val="无间隔1"/>
    <w:uiPriority w:val="1"/>
    <w:qFormat/>
    <w:rPr>
      <w:rFonts w:hint="default" w:ascii="Calibri" w:hAnsi="Calibri" w:eastAsia="宋体" w:cs="Times New Roman"/>
      <w:lang w:val="en-US" w:eastAsia="zh-CN" w:bidi="ar-SA"/>
    </w:rPr>
  </w:style>
  <w:style w:type="paragraph" w:styleId="943" w:customStyle="1">
    <w:name w:val="EnvelopeReturn1"/>
    <w:basedOn w:val="753"/>
    <w:uiPriority w:val="0"/>
    <w:qFormat/>
    <w:rPr>
      <w:rFonts w:ascii="Arial" w:hAnsi="Arial"/>
    </w:rPr>
  </w:style>
  <w:style w:type="paragraph" w:styleId="944" w:customStyle="1">
    <w:name w:val="EnvelopeReturn11"/>
    <w:basedOn w:val="753"/>
    <w:uiPriority w:val="0"/>
    <w:qFormat/>
    <w:rPr>
      <w:rFonts w:ascii="Arial" w:hAnsi="Arial"/>
    </w:rPr>
  </w:style>
  <w:style w:type="paragraph" w:styleId="945" w:customStyle="1">
    <w:name w:val="文本块1"/>
    <w:basedOn w:val="753"/>
    <w:uiPriority w:val="99"/>
    <w:unhideWhenUsed/>
    <w:qFormat/>
    <w:pPr>
      <w:ind w:left="1440" w:right="1440"/>
      <w:spacing w:after="120"/>
    </w:pPr>
  </w:style>
  <w:style w:type="paragraph" w:styleId="946" w:customStyle="1">
    <w:name w:val="标题 11"/>
    <w:basedOn w:val="753"/>
    <w:next w:val="753"/>
    <w:uiPriority w:val="0"/>
    <w:qFormat/>
    <w:pPr>
      <w:jc w:val="center"/>
      <w:keepLines/>
      <w:keepNext/>
      <w:spacing w:line="578" w:lineRule="auto"/>
      <w:outlineLvl w:val="0"/>
    </w:pPr>
    <w:rPr>
      <w:rFonts w:eastAsia="新宋体"/>
      <w:b/>
      <w:bCs/>
      <w:sz w:val="30"/>
      <w:szCs w:val="44"/>
    </w:rPr>
  </w:style>
  <w:style w:type="paragraph" w:styleId="947" w:customStyle="1">
    <w:name w:val="BodyTextIndent1"/>
    <w:basedOn w:val="753"/>
    <w:next w:val="943"/>
    <w:uiPriority w:val="0"/>
    <w:qFormat/>
    <w:pPr>
      <w:ind w:left="420"/>
      <w:spacing w:after="120"/>
    </w:pPr>
  </w:style>
  <w:style w:type="paragraph" w:styleId="948" w:customStyle="1">
    <w:name w:val="页脚1"/>
    <w:basedOn w:val="753"/>
    <w:uiPriority w:val="99"/>
    <w:qFormat/>
    <w:pPr>
      <w:jc w:val="left"/>
      <w:tabs>
        <w:tab w:val="center" w:pos="4153" w:leader="none"/>
        <w:tab w:val="right" w:pos="8306" w:leader="none"/>
      </w:tabs>
    </w:pPr>
    <w:rPr>
      <w:sz w:val="18"/>
      <w:szCs w:val="18"/>
    </w:rPr>
  </w:style>
  <w:style w:type="paragraph" w:styleId="949" w:customStyle="1">
    <w:name w:val="正文缩进2"/>
    <w:basedOn w:val="753"/>
    <w:uiPriority w:val="0"/>
    <w:qFormat/>
    <w:pPr>
      <w:ind w:firstLine="420"/>
    </w:pPr>
  </w:style>
  <w:style w:type="paragraph" w:styleId="950" w:customStyle="1">
    <w:name w:val="BodyTextIndent11"/>
    <w:basedOn w:val="753"/>
    <w:next w:val="944"/>
    <w:uiPriority w:val="0"/>
    <w:qFormat/>
    <w:pPr>
      <w:ind w:left="420"/>
      <w:spacing w:after="120"/>
    </w:pPr>
  </w:style>
  <w:style w:type="paragraph" w:styleId="951" w:customStyle="1">
    <w:name w:val="Body text|21"/>
    <w:basedOn w:val="753"/>
    <w:uiPriority w:val="0"/>
    <w:qFormat/>
    <w:pPr>
      <w:spacing w:before="500" w:after="260" w:line="200" w:lineRule="exact"/>
      <w:shd w:val="clear" w:color="auto" w:fill="ffffff"/>
    </w:pPr>
    <w:rPr>
      <w:rFonts w:ascii="PMingLiU" w:hAnsi="PMingLiU" w:eastAsia="PMingLiU" w:cs="PMingLiU"/>
      <w:spacing w:val="10"/>
      <w:sz w:val="20"/>
      <w:szCs w:val="20"/>
    </w:rPr>
  </w:style>
  <w:style w:type="table" w:styleId="952" w:customStyle="1">
    <w:name w:val="Grid Table 4 - Accent 2"/>
    <w:uiPriority w:val="59"/>
    <w:qFormat/>
    <w:tblPr>
      <w:tblCellMar>
        <w:left w:w="0" w:type="dxa"/>
        <w:top w:w="0" w:type="dxa"/>
        <w:right w:w="0" w:type="dxa"/>
        <w:bottom w:w="0" w:type="dxa"/>
      </w:tblCellMar>
    </w:tblPr>
  </w:style>
  <w:style w:type="table" w:styleId="953" w:customStyle="1">
    <w:name w:val="Lined - Accent 3"/>
    <w:uiPriority w:val="99"/>
    <w:qFormat/>
    <w:rPr>
      <w:color w:val="404040"/>
    </w:rPr>
    <w:tblPr>
      <w:tblCellMar>
        <w:left w:w="0" w:type="dxa"/>
        <w:top w:w="0" w:type="dxa"/>
        <w:right w:w="0" w:type="dxa"/>
        <w:bottom w:w="0" w:type="dxa"/>
      </w:tblCellMar>
    </w:tblPr>
  </w:style>
  <w:style w:type="table" w:styleId="954" w:customStyle="1">
    <w:name w:val="网格型11"/>
    <w:uiPriority w:val="59"/>
    <w:qFormat/>
    <w:tblPr>
      <w:tblCellMar>
        <w:left w:w="0" w:type="dxa"/>
        <w:top w:w="0" w:type="dxa"/>
        <w:right w:w="0" w:type="dxa"/>
        <w:bottom w:w="0" w:type="dxa"/>
      </w:tblCellMar>
    </w:tblPr>
  </w:style>
  <w:style w:type="table" w:styleId="955" w:customStyle="1">
    <w:name w:val="List Table 6 Colorful - Accent 1"/>
    <w:uiPriority w:val="99"/>
    <w:qFormat/>
    <w:tblPr>
      <w:tblCellMar>
        <w:left w:w="0" w:type="dxa"/>
        <w:top w:w="0" w:type="dxa"/>
        <w:right w:w="0" w:type="dxa"/>
        <w:bottom w:w="0" w:type="dxa"/>
      </w:tblCellMar>
    </w:tblPr>
  </w:style>
  <w:style w:type="table" w:styleId="956" w:customStyle="1">
    <w:name w:val="Grid Table 2 - Accent 4"/>
    <w:uiPriority w:val="99"/>
    <w:qFormat/>
    <w:tblPr>
      <w:tblCellMar>
        <w:left w:w="0" w:type="dxa"/>
        <w:top w:w="0" w:type="dxa"/>
        <w:right w:w="0" w:type="dxa"/>
        <w:bottom w:w="0" w:type="dxa"/>
      </w:tblCellMar>
    </w:tblPr>
  </w:style>
  <w:style w:type="table" w:styleId="957" w:customStyle="1">
    <w:name w:val="List Table 3 - Accent 5"/>
    <w:uiPriority w:val="99"/>
    <w:qFormat/>
    <w:tblPr>
      <w:tblCellMar>
        <w:left w:w="0" w:type="dxa"/>
        <w:top w:w="0" w:type="dxa"/>
        <w:right w:w="0" w:type="dxa"/>
        <w:bottom w:w="0" w:type="dxa"/>
      </w:tblCellMar>
    </w:tblPr>
  </w:style>
  <w:style w:type="table" w:styleId="958" w:customStyle="1">
    <w:name w:val="普通表格1"/>
    <w:uiPriority w:val="99"/>
    <w:unhideWhenUsed/>
    <w:qFormat/>
    <w:tblPr>
      <w:tblCellMar>
        <w:left w:w="0" w:type="dxa"/>
        <w:top w:w="0" w:type="dxa"/>
        <w:right w:w="0" w:type="dxa"/>
        <w:bottom w:w="0" w:type="dxa"/>
      </w:tblCellMar>
    </w:tblPr>
  </w:style>
  <w:style w:type="table" w:styleId="959" w:customStyle="1">
    <w:name w:val="List Table 3 - Accent 3"/>
    <w:uiPriority w:val="99"/>
    <w:qFormat/>
    <w:tblPr>
      <w:tblCellMar>
        <w:left w:w="0" w:type="dxa"/>
        <w:top w:w="0" w:type="dxa"/>
        <w:right w:w="0" w:type="dxa"/>
        <w:bottom w:w="0" w:type="dxa"/>
      </w:tblCellMar>
    </w:tblPr>
  </w:style>
  <w:style w:type="table" w:styleId="960" w:customStyle="1">
    <w:name w:val="List Table 4 - Accent 2"/>
    <w:uiPriority w:val="99"/>
    <w:qFormat/>
    <w:tblPr>
      <w:tblCellMar>
        <w:left w:w="0" w:type="dxa"/>
        <w:top w:w="0" w:type="dxa"/>
        <w:right w:w="0" w:type="dxa"/>
        <w:bottom w:w="0" w:type="dxa"/>
      </w:tblCellMar>
    </w:tblPr>
  </w:style>
  <w:style w:type="table" w:styleId="961" w:customStyle="1">
    <w:name w:val="List Table 6 Colorful - Accent 2"/>
    <w:uiPriority w:val="99"/>
    <w:qFormat/>
    <w:tblPr>
      <w:tblCellMar>
        <w:left w:w="0" w:type="dxa"/>
        <w:top w:w="0" w:type="dxa"/>
        <w:right w:w="0" w:type="dxa"/>
        <w:bottom w:w="0" w:type="dxa"/>
      </w:tblCellMar>
    </w:tblPr>
  </w:style>
  <w:style w:type="table" w:styleId="962" w:customStyle="1">
    <w:name w:val="List Table 4 - Accent 4"/>
    <w:uiPriority w:val="99"/>
    <w:qFormat/>
    <w:tblPr>
      <w:tblCellMar>
        <w:left w:w="0" w:type="dxa"/>
        <w:top w:w="0" w:type="dxa"/>
        <w:right w:w="0" w:type="dxa"/>
        <w:bottom w:w="0" w:type="dxa"/>
      </w:tblCellMar>
    </w:tblPr>
  </w:style>
  <w:style w:type="table" w:styleId="963" w:customStyle="1">
    <w:name w:val="List Table 5 Dark - Accent 3"/>
    <w:uiPriority w:val="99"/>
    <w:qFormat/>
    <w:tblPr>
      <w:tblCellMar>
        <w:left w:w="0" w:type="dxa"/>
        <w:top w:w="0" w:type="dxa"/>
        <w:right w:w="0" w:type="dxa"/>
        <w:bottom w:w="0" w:type="dxa"/>
      </w:tblCellMar>
    </w:tblPr>
  </w:style>
  <w:style w:type="table" w:styleId="964" w:customStyle="1">
    <w:name w:val="清单表 21"/>
    <w:uiPriority w:val="99"/>
    <w:qFormat/>
    <w:tblPr>
      <w:tblCellMar>
        <w:left w:w="0" w:type="dxa"/>
        <w:top w:w="0" w:type="dxa"/>
        <w:right w:w="0" w:type="dxa"/>
        <w:bottom w:w="0" w:type="dxa"/>
      </w:tblCellMar>
    </w:tblPr>
  </w:style>
  <w:style w:type="table" w:styleId="965" w:customStyle="1">
    <w:name w:val="List Table 5 Dark - Accent 1"/>
    <w:uiPriority w:val="99"/>
    <w:qFormat/>
    <w:tblPr>
      <w:tblCellMar>
        <w:left w:w="0" w:type="dxa"/>
        <w:top w:w="0" w:type="dxa"/>
        <w:right w:w="0" w:type="dxa"/>
        <w:bottom w:w="0" w:type="dxa"/>
      </w:tblCellMar>
    </w:tblPr>
  </w:style>
  <w:style w:type="table" w:styleId="966" w:customStyle="1">
    <w:name w:val="Grid Table 7 Colorful - Accent 5"/>
    <w:uiPriority w:val="99"/>
    <w:qFormat/>
    <w:tblPr>
      <w:tblCellMar>
        <w:left w:w="0" w:type="dxa"/>
        <w:top w:w="0" w:type="dxa"/>
        <w:right w:w="0" w:type="dxa"/>
        <w:bottom w:w="0" w:type="dxa"/>
      </w:tblCellMar>
    </w:tblPr>
  </w:style>
  <w:style w:type="table" w:styleId="967" w:customStyle="1">
    <w:name w:val="List Table 2 - Accent 5"/>
    <w:uiPriority w:val="99"/>
    <w:qFormat/>
    <w:tblPr>
      <w:tblCellMar>
        <w:left w:w="0" w:type="dxa"/>
        <w:top w:w="0" w:type="dxa"/>
        <w:right w:w="0" w:type="dxa"/>
        <w:bottom w:w="0" w:type="dxa"/>
      </w:tblCellMar>
    </w:tblPr>
  </w:style>
  <w:style w:type="table" w:styleId="968" w:customStyle="1">
    <w:name w:val="清单表 5 深色1"/>
    <w:uiPriority w:val="99"/>
    <w:qFormat/>
    <w:tblPr>
      <w:tblCellMar>
        <w:left w:w="0" w:type="dxa"/>
        <w:top w:w="0" w:type="dxa"/>
        <w:right w:w="0" w:type="dxa"/>
        <w:bottom w:w="0" w:type="dxa"/>
      </w:tblCellMar>
    </w:tblPr>
  </w:style>
  <w:style w:type="table" w:styleId="969" w:customStyle="1">
    <w:name w:val="List Table 1 Light - Accent 5"/>
    <w:uiPriority w:val="99"/>
    <w:qFormat/>
    <w:tblPr>
      <w:tblCellMar>
        <w:left w:w="0" w:type="dxa"/>
        <w:top w:w="0" w:type="dxa"/>
        <w:right w:w="0" w:type="dxa"/>
        <w:bottom w:w="0" w:type="dxa"/>
      </w:tblCellMar>
    </w:tblPr>
  </w:style>
  <w:style w:type="table" w:styleId="970" w:customStyle="1">
    <w:name w:val="Grid Table 7 Colorful - Accent 3"/>
    <w:uiPriority w:val="99"/>
    <w:qFormat/>
    <w:tblPr>
      <w:tblCellMar>
        <w:left w:w="0" w:type="dxa"/>
        <w:top w:w="0" w:type="dxa"/>
        <w:right w:w="0" w:type="dxa"/>
        <w:bottom w:w="0" w:type="dxa"/>
      </w:tblCellMar>
    </w:tblPr>
  </w:style>
  <w:style w:type="table" w:styleId="971" w:customStyle="1">
    <w:name w:val="List Table 3 - Accent 6"/>
    <w:uiPriority w:val="99"/>
    <w:qFormat/>
    <w:tblPr>
      <w:tblCellMar>
        <w:left w:w="0" w:type="dxa"/>
        <w:top w:w="0" w:type="dxa"/>
        <w:right w:w="0" w:type="dxa"/>
        <w:bottom w:w="0" w:type="dxa"/>
      </w:tblCellMar>
    </w:tblPr>
  </w:style>
  <w:style w:type="table" w:styleId="972" w:customStyle="1">
    <w:name w:val="List Table 5 Dark - Accent 6"/>
    <w:uiPriority w:val="99"/>
    <w:qFormat/>
    <w:tblPr>
      <w:tblCellMar>
        <w:left w:w="0" w:type="dxa"/>
        <w:top w:w="0" w:type="dxa"/>
        <w:right w:w="0" w:type="dxa"/>
        <w:bottom w:w="0" w:type="dxa"/>
      </w:tblCellMar>
    </w:tblPr>
  </w:style>
  <w:style w:type="table" w:styleId="973" w:customStyle="1">
    <w:name w:val="List Table 4 - Accent 3"/>
    <w:uiPriority w:val="99"/>
    <w:qFormat/>
    <w:tblPr>
      <w:tblCellMar>
        <w:left w:w="0" w:type="dxa"/>
        <w:top w:w="0" w:type="dxa"/>
        <w:right w:w="0" w:type="dxa"/>
        <w:bottom w:w="0" w:type="dxa"/>
      </w:tblCellMar>
    </w:tblPr>
  </w:style>
  <w:style w:type="table" w:styleId="974" w:customStyle="1">
    <w:name w:val="List Table 5 Dark - Accent 2"/>
    <w:uiPriority w:val="99"/>
    <w:qFormat/>
    <w:tblPr>
      <w:tblCellMar>
        <w:left w:w="0" w:type="dxa"/>
        <w:top w:w="0" w:type="dxa"/>
        <w:right w:w="0" w:type="dxa"/>
        <w:bottom w:w="0" w:type="dxa"/>
      </w:tblCellMar>
    </w:tblPr>
  </w:style>
  <w:style w:type="table" w:styleId="975" w:customStyle="1">
    <w:name w:val="List Table 2 - Accent 3"/>
    <w:uiPriority w:val="99"/>
    <w:qFormat/>
    <w:tblPr>
      <w:tblCellMar>
        <w:left w:w="0" w:type="dxa"/>
        <w:top w:w="0" w:type="dxa"/>
        <w:right w:w="0" w:type="dxa"/>
        <w:bottom w:w="0" w:type="dxa"/>
      </w:tblCellMar>
    </w:tblPr>
  </w:style>
  <w:style w:type="table" w:styleId="976" w:customStyle="1">
    <w:name w:val="网格表 7 彩色1"/>
    <w:uiPriority w:val="99"/>
    <w:qFormat/>
    <w:tblPr>
      <w:tblCellMar>
        <w:left w:w="0" w:type="dxa"/>
        <w:top w:w="0" w:type="dxa"/>
        <w:right w:w="0" w:type="dxa"/>
        <w:bottom w:w="0" w:type="dxa"/>
      </w:tblCellMar>
    </w:tblPr>
  </w:style>
  <w:style w:type="table" w:styleId="977" w:customStyle="1">
    <w:name w:val="List Table 4 - Accent 5"/>
    <w:uiPriority w:val="99"/>
    <w:qFormat/>
    <w:tblPr>
      <w:tblCellMar>
        <w:left w:w="0" w:type="dxa"/>
        <w:top w:w="0" w:type="dxa"/>
        <w:right w:w="0" w:type="dxa"/>
        <w:bottom w:w="0" w:type="dxa"/>
      </w:tblCellMar>
    </w:tblPr>
  </w:style>
  <w:style w:type="table" w:styleId="978" w:customStyle="1">
    <w:name w:val="网格型1"/>
    <w:basedOn w:val="958"/>
    <w:uiPriority w:val="39"/>
    <w:qFormat/>
    <w:tblPr/>
  </w:style>
  <w:style w:type="table" w:styleId="979" w:customStyle="1">
    <w:name w:val="List Table 1 Light - Accent 4"/>
    <w:uiPriority w:val="99"/>
    <w:qFormat/>
    <w:tblPr>
      <w:tblCellMar>
        <w:left w:w="0" w:type="dxa"/>
        <w:top w:w="0" w:type="dxa"/>
        <w:right w:w="0" w:type="dxa"/>
        <w:bottom w:w="0" w:type="dxa"/>
      </w:tblCellMar>
    </w:tblPr>
  </w:style>
  <w:style w:type="table" w:styleId="980" w:customStyle="1">
    <w:name w:val="List Table 6 Colorful - Accent 3"/>
    <w:uiPriority w:val="99"/>
    <w:qFormat/>
    <w:tblPr>
      <w:tblCellMar>
        <w:left w:w="0" w:type="dxa"/>
        <w:top w:w="0" w:type="dxa"/>
        <w:right w:w="0" w:type="dxa"/>
        <w:bottom w:w="0" w:type="dxa"/>
      </w:tblCellMar>
    </w:tblPr>
  </w:style>
  <w:style w:type="table" w:styleId="981" w:customStyle="1">
    <w:name w:val="List Table 3 - Accent 2"/>
    <w:uiPriority w:val="99"/>
    <w:qFormat/>
    <w:tblPr>
      <w:tblCellMar>
        <w:left w:w="0" w:type="dxa"/>
        <w:top w:w="0" w:type="dxa"/>
        <w:right w:w="0" w:type="dxa"/>
        <w:bottom w:w="0" w:type="dxa"/>
      </w:tblCellMar>
    </w:tblPr>
  </w:style>
  <w:style w:type="table" w:styleId="982" w:customStyle="1">
    <w:name w:val="清单表 1 浅色1"/>
    <w:uiPriority w:val="99"/>
    <w:qFormat/>
    <w:tblPr>
      <w:tblCellMar>
        <w:left w:w="0" w:type="dxa"/>
        <w:top w:w="0" w:type="dxa"/>
        <w:right w:w="0" w:type="dxa"/>
        <w:bottom w:w="0" w:type="dxa"/>
      </w:tblCellMar>
    </w:tblPr>
  </w:style>
  <w:style w:type="table" w:styleId="983" w:customStyle="1">
    <w:name w:val="清单表 6 彩色1"/>
    <w:uiPriority w:val="99"/>
    <w:qFormat/>
    <w:tblPr>
      <w:tblCellMar>
        <w:left w:w="0" w:type="dxa"/>
        <w:top w:w="0" w:type="dxa"/>
        <w:right w:w="0" w:type="dxa"/>
        <w:bottom w:w="0" w:type="dxa"/>
      </w:tblCellMar>
    </w:tblPr>
  </w:style>
  <w:style w:type="table" w:styleId="984" w:customStyle="1">
    <w:name w:val="Grid Table 7 Colorful - Accent 2"/>
    <w:uiPriority w:val="99"/>
    <w:qFormat/>
    <w:tblPr>
      <w:tblCellMar>
        <w:left w:w="0" w:type="dxa"/>
        <w:top w:w="0" w:type="dxa"/>
        <w:right w:w="0" w:type="dxa"/>
        <w:bottom w:w="0" w:type="dxa"/>
      </w:tblCellMar>
    </w:tblPr>
  </w:style>
  <w:style w:type="table" w:styleId="985" w:customStyle="1">
    <w:name w:val="List Table 2 - Accent 4"/>
    <w:uiPriority w:val="99"/>
    <w:qFormat/>
    <w:tblPr>
      <w:tblCellMar>
        <w:left w:w="0" w:type="dxa"/>
        <w:top w:w="0" w:type="dxa"/>
        <w:right w:w="0" w:type="dxa"/>
        <w:bottom w:w="0" w:type="dxa"/>
      </w:tblCellMar>
    </w:tblPr>
  </w:style>
  <w:style w:type="table" w:styleId="986" w:customStyle="1">
    <w:name w:val="Grid Table 6 Colorful - Accent 1"/>
    <w:uiPriority w:val="99"/>
    <w:qFormat/>
    <w:tblPr>
      <w:tblCellMar>
        <w:left w:w="0" w:type="dxa"/>
        <w:top w:w="0" w:type="dxa"/>
        <w:right w:w="0" w:type="dxa"/>
        <w:bottom w:w="0" w:type="dxa"/>
      </w:tblCellMar>
    </w:tblPr>
  </w:style>
  <w:style w:type="table" w:styleId="987" w:customStyle="1">
    <w:name w:val="Grid Table 3 - Accent 2"/>
    <w:uiPriority w:val="99"/>
    <w:qFormat/>
    <w:tblPr>
      <w:tblCellMar>
        <w:left w:w="0" w:type="dxa"/>
        <w:top w:w="0" w:type="dxa"/>
        <w:right w:w="0" w:type="dxa"/>
        <w:bottom w:w="0" w:type="dxa"/>
      </w:tblCellMar>
    </w:tblPr>
  </w:style>
  <w:style w:type="table" w:styleId="988" w:customStyle="1">
    <w:name w:val="Grid Table 5 Dark- Accent 4"/>
    <w:uiPriority w:val="99"/>
    <w:qFormat/>
    <w:tblPr>
      <w:tblCellMar>
        <w:left w:w="0" w:type="dxa"/>
        <w:top w:w="0" w:type="dxa"/>
        <w:right w:w="0" w:type="dxa"/>
        <w:bottom w:w="0" w:type="dxa"/>
      </w:tblCellMar>
    </w:tblPr>
  </w:style>
  <w:style w:type="table" w:styleId="989" w:customStyle="1">
    <w:name w:val="List Table 7 Colorful - Accent 2"/>
    <w:uiPriority w:val="99"/>
    <w:qFormat/>
    <w:tblPr>
      <w:tblCellMar>
        <w:left w:w="0" w:type="dxa"/>
        <w:top w:w="0" w:type="dxa"/>
        <w:right w:w="0" w:type="dxa"/>
        <w:bottom w:w="0" w:type="dxa"/>
      </w:tblCellMar>
    </w:tblPr>
  </w:style>
  <w:style w:type="table" w:styleId="990" w:customStyle="1">
    <w:name w:val="Grid Table 6 Colorful - Accent 4"/>
    <w:uiPriority w:val="99"/>
    <w:qFormat/>
    <w:tblPr>
      <w:tblCellMar>
        <w:left w:w="0" w:type="dxa"/>
        <w:top w:w="0" w:type="dxa"/>
        <w:right w:w="0" w:type="dxa"/>
        <w:bottom w:w="0" w:type="dxa"/>
      </w:tblCellMar>
    </w:tblPr>
  </w:style>
  <w:style w:type="table" w:styleId="991" w:customStyle="1">
    <w:name w:val="清单表 31"/>
    <w:uiPriority w:val="99"/>
    <w:qFormat/>
    <w:tblPr>
      <w:tblCellMar>
        <w:left w:w="0" w:type="dxa"/>
        <w:top w:w="0" w:type="dxa"/>
        <w:right w:w="0" w:type="dxa"/>
        <w:bottom w:w="0" w:type="dxa"/>
      </w:tblCellMar>
    </w:tblPr>
  </w:style>
  <w:style w:type="table" w:styleId="992" w:customStyle="1">
    <w:name w:val="Grid Table 2 - Accent 5"/>
    <w:uiPriority w:val="99"/>
    <w:qFormat/>
    <w:tblPr>
      <w:tblCellMar>
        <w:left w:w="0" w:type="dxa"/>
        <w:top w:w="0" w:type="dxa"/>
        <w:right w:w="0" w:type="dxa"/>
        <w:bottom w:w="0" w:type="dxa"/>
      </w:tblCellMar>
    </w:tblPr>
  </w:style>
  <w:style w:type="table" w:styleId="993" w:customStyle="1">
    <w:name w:val="Grid Table 5 Dark - Accent 3"/>
    <w:uiPriority w:val="99"/>
    <w:qFormat/>
    <w:tblPr>
      <w:tblCellMar>
        <w:left w:w="0" w:type="dxa"/>
        <w:top w:w="0" w:type="dxa"/>
        <w:right w:w="0" w:type="dxa"/>
        <w:bottom w:w="0" w:type="dxa"/>
      </w:tblCellMar>
    </w:tblPr>
  </w:style>
  <w:style w:type="table" w:styleId="994" w:customStyle="1">
    <w:name w:val="网格表 21"/>
    <w:uiPriority w:val="99"/>
    <w:qFormat/>
    <w:tblPr>
      <w:tblCellMar>
        <w:left w:w="0" w:type="dxa"/>
        <w:top w:w="0" w:type="dxa"/>
        <w:right w:w="0" w:type="dxa"/>
        <w:bottom w:w="0" w:type="dxa"/>
      </w:tblCellMar>
    </w:tblPr>
  </w:style>
  <w:style w:type="table" w:styleId="995" w:customStyle="1">
    <w:name w:val="Lined - Accent 5"/>
    <w:uiPriority w:val="99"/>
    <w:qFormat/>
    <w:rPr>
      <w:color w:val="404040"/>
    </w:rPr>
    <w:tblPr>
      <w:tblCellMar>
        <w:left w:w="0" w:type="dxa"/>
        <w:top w:w="0" w:type="dxa"/>
        <w:right w:w="0" w:type="dxa"/>
        <w:bottom w:w="0" w:type="dxa"/>
      </w:tblCellMar>
    </w:tblPr>
  </w:style>
  <w:style w:type="table" w:styleId="996" w:customStyle="1">
    <w:name w:val="Lined - Accent 4"/>
    <w:uiPriority w:val="99"/>
    <w:qFormat/>
    <w:rPr>
      <w:color w:val="404040"/>
    </w:rPr>
    <w:tblPr>
      <w:tblCellMar>
        <w:left w:w="0" w:type="dxa"/>
        <w:top w:w="0" w:type="dxa"/>
        <w:right w:w="0" w:type="dxa"/>
        <w:bottom w:w="0" w:type="dxa"/>
      </w:tblCellMar>
    </w:tblPr>
  </w:style>
  <w:style w:type="table" w:styleId="997" w:customStyle="1">
    <w:name w:val="无格式表格 21"/>
    <w:uiPriority w:val="59"/>
    <w:qFormat/>
    <w:tblPr>
      <w:tblCellMar>
        <w:left w:w="0" w:type="dxa"/>
        <w:top w:w="0" w:type="dxa"/>
        <w:right w:w="0" w:type="dxa"/>
        <w:bottom w:w="0" w:type="dxa"/>
      </w:tblCellMar>
    </w:tblPr>
  </w:style>
  <w:style w:type="table" w:styleId="998" w:customStyle="1">
    <w:name w:val="Bordered - Accent 6"/>
    <w:uiPriority w:val="99"/>
    <w:qFormat/>
    <w:tblPr>
      <w:tblCellMar>
        <w:left w:w="0" w:type="dxa"/>
        <w:top w:w="0" w:type="dxa"/>
        <w:right w:w="0" w:type="dxa"/>
        <w:bottom w:w="0" w:type="dxa"/>
      </w:tblCellMar>
    </w:tblPr>
  </w:style>
  <w:style w:type="table" w:styleId="999" w:customStyle="1">
    <w:name w:val="Grid Table 3 - Accent 3"/>
    <w:uiPriority w:val="99"/>
    <w:qFormat/>
    <w:tblPr>
      <w:tblCellMar>
        <w:left w:w="0" w:type="dxa"/>
        <w:top w:w="0" w:type="dxa"/>
        <w:right w:w="0" w:type="dxa"/>
        <w:bottom w:w="0" w:type="dxa"/>
      </w:tblCellMar>
    </w:tblPr>
  </w:style>
  <w:style w:type="table" w:styleId="1000" w:customStyle="1">
    <w:name w:val="Table Grid Light"/>
    <w:uiPriority w:val="59"/>
    <w:qFormat/>
    <w:tblPr>
      <w:tblCellMar>
        <w:left w:w="0" w:type="dxa"/>
        <w:top w:w="0" w:type="dxa"/>
        <w:right w:w="0" w:type="dxa"/>
        <w:bottom w:w="0" w:type="dxa"/>
      </w:tblCellMar>
    </w:tblPr>
  </w:style>
  <w:style w:type="table" w:styleId="1001" w:customStyle="1">
    <w:name w:val="List Table 3 - Accent 4"/>
    <w:uiPriority w:val="99"/>
    <w:qFormat/>
    <w:tblPr>
      <w:tblCellMar>
        <w:left w:w="0" w:type="dxa"/>
        <w:top w:w="0" w:type="dxa"/>
        <w:right w:w="0" w:type="dxa"/>
        <w:bottom w:w="0" w:type="dxa"/>
      </w:tblCellMar>
    </w:tblPr>
  </w:style>
  <w:style w:type="table" w:styleId="1002" w:customStyle="1">
    <w:name w:val="List Table 7 Colorful - Accent 1"/>
    <w:uiPriority w:val="99"/>
    <w:qFormat/>
    <w:tblPr>
      <w:tblCellMar>
        <w:left w:w="0" w:type="dxa"/>
        <w:top w:w="0" w:type="dxa"/>
        <w:right w:w="0" w:type="dxa"/>
        <w:bottom w:w="0" w:type="dxa"/>
      </w:tblCellMar>
    </w:tblPr>
  </w:style>
  <w:style w:type="table" w:styleId="1003" w:customStyle="1">
    <w:name w:val="Grid Table 1 Light - Accent 1"/>
    <w:uiPriority w:val="99"/>
    <w:qFormat/>
    <w:tblPr>
      <w:tblCellMar>
        <w:left w:w="0" w:type="dxa"/>
        <w:top w:w="0" w:type="dxa"/>
        <w:right w:w="0" w:type="dxa"/>
        <w:bottom w:w="0" w:type="dxa"/>
      </w:tblCellMar>
    </w:tblPr>
  </w:style>
  <w:style w:type="table" w:styleId="1004" w:customStyle="1">
    <w:name w:val="Lined - Accent 1"/>
    <w:uiPriority w:val="99"/>
    <w:qFormat/>
    <w:rPr>
      <w:color w:val="404040"/>
    </w:rPr>
    <w:tblPr>
      <w:tblCellMar>
        <w:left w:w="0" w:type="dxa"/>
        <w:top w:w="0" w:type="dxa"/>
        <w:right w:w="0" w:type="dxa"/>
        <w:bottom w:w="0" w:type="dxa"/>
      </w:tblCellMar>
    </w:tblPr>
  </w:style>
  <w:style w:type="table" w:styleId="1005" w:customStyle="1">
    <w:name w:val="Grid Table 3 - Accent 6"/>
    <w:uiPriority w:val="99"/>
    <w:qFormat/>
    <w:tblPr>
      <w:tblCellMar>
        <w:left w:w="0" w:type="dxa"/>
        <w:top w:w="0" w:type="dxa"/>
        <w:right w:w="0" w:type="dxa"/>
        <w:bottom w:w="0" w:type="dxa"/>
      </w:tblCellMar>
    </w:tblPr>
  </w:style>
  <w:style w:type="table" w:styleId="1006" w:customStyle="1">
    <w:name w:val="无格式表格 31"/>
    <w:uiPriority w:val="99"/>
    <w:qFormat/>
    <w:tblPr>
      <w:tblCellMar>
        <w:left w:w="0" w:type="dxa"/>
        <w:top w:w="0" w:type="dxa"/>
        <w:right w:w="0" w:type="dxa"/>
        <w:bottom w:w="0" w:type="dxa"/>
      </w:tblCellMar>
    </w:tblPr>
  </w:style>
  <w:style w:type="table" w:styleId="1007" w:customStyle="1">
    <w:name w:val="Grid Table 4 - Accent 4"/>
    <w:uiPriority w:val="59"/>
    <w:qFormat/>
    <w:tblPr>
      <w:tblCellMar>
        <w:left w:w="0" w:type="dxa"/>
        <w:top w:w="0" w:type="dxa"/>
        <w:right w:w="0" w:type="dxa"/>
        <w:bottom w:w="0" w:type="dxa"/>
      </w:tblCellMar>
    </w:tblPr>
  </w:style>
  <w:style w:type="table" w:styleId="1008" w:customStyle="1">
    <w:name w:val="Grid Table 3 - Accent 5"/>
    <w:uiPriority w:val="99"/>
    <w:qFormat/>
    <w:tblPr>
      <w:tblCellMar>
        <w:left w:w="0" w:type="dxa"/>
        <w:top w:w="0" w:type="dxa"/>
        <w:right w:w="0" w:type="dxa"/>
        <w:bottom w:w="0" w:type="dxa"/>
      </w:tblCellMar>
    </w:tblPr>
  </w:style>
  <w:style w:type="table" w:styleId="1009" w:customStyle="1">
    <w:name w:val="无格式表格 11"/>
    <w:uiPriority w:val="59"/>
    <w:qFormat/>
    <w:tblPr>
      <w:tblCellMar>
        <w:left w:w="0" w:type="dxa"/>
        <w:top w:w="0" w:type="dxa"/>
        <w:right w:w="0" w:type="dxa"/>
        <w:bottom w:w="0" w:type="dxa"/>
      </w:tblCellMar>
    </w:tblPr>
  </w:style>
  <w:style w:type="table" w:styleId="1010" w:customStyle="1">
    <w:name w:val="Bordered - Accent 5"/>
    <w:uiPriority w:val="99"/>
    <w:qFormat/>
    <w:tblPr>
      <w:tblCellMar>
        <w:left w:w="0" w:type="dxa"/>
        <w:top w:w="0" w:type="dxa"/>
        <w:right w:w="0" w:type="dxa"/>
        <w:bottom w:w="0" w:type="dxa"/>
      </w:tblCellMar>
    </w:tblPr>
  </w:style>
  <w:style w:type="table" w:styleId="1011" w:customStyle="1">
    <w:name w:val="网格表 1 浅色1"/>
    <w:uiPriority w:val="99"/>
    <w:qFormat/>
    <w:tblPr>
      <w:tblCellMar>
        <w:left w:w="0" w:type="dxa"/>
        <w:top w:w="0" w:type="dxa"/>
        <w:right w:w="0" w:type="dxa"/>
        <w:bottom w:w="0" w:type="dxa"/>
      </w:tblCellMar>
    </w:tblPr>
  </w:style>
  <w:style w:type="table" w:styleId="1012" w:customStyle="1">
    <w:name w:val="Grid Table 6 Colorful - Accent 2"/>
    <w:uiPriority w:val="99"/>
    <w:qFormat/>
    <w:tblPr>
      <w:tblCellMar>
        <w:left w:w="0" w:type="dxa"/>
        <w:top w:w="0" w:type="dxa"/>
        <w:right w:w="0" w:type="dxa"/>
        <w:bottom w:w="0" w:type="dxa"/>
      </w:tblCellMar>
    </w:tblPr>
  </w:style>
  <w:style w:type="table" w:styleId="1013" w:customStyle="1">
    <w:name w:val="Grid Table 1 Light - Accent 4"/>
    <w:uiPriority w:val="99"/>
    <w:qFormat/>
    <w:tblPr>
      <w:tblCellMar>
        <w:left w:w="0" w:type="dxa"/>
        <w:top w:w="0" w:type="dxa"/>
        <w:right w:w="0" w:type="dxa"/>
        <w:bottom w:w="0" w:type="dxa"/>
      </w:tblCellMar>
    </w:tblPr>
  </w:style>
  <w:style w:type="table" w:styleId="1014" w:customStyle="1">
    <w:name w:val="无格式表格 41"/>
    <w:uiPriority w:val="99"/>
    <w:qFormat/>
    <w:tblPr>
      <w:tblCellMar>
        <w:left w:w="0" w:type="dxa"/>
        <w:top w:w="0" w:type="dxa"/>
        <w:right w:w="0" w:type="dxa"/>
        <w:bottom w:w="0" w:type="dxa"/>
      </w:tblCellMar>
    </w:tblPr>
  </w:style>
  <w:style w:type="table" w:styleId="1015" w:customStyle="1">
    <w:name w:val="Grid Table 4 - Accent 6"/>
    <w:uiPriority w:val="59"/>
    <w:qFormat/>
    <w:tblPr>
      <w:tblCellMar>
        <w:left w:w="0" w:type="dxa"/>
        <w:top w:w="0" w:type="dxa"/>
        <w:right w:w="0" w:type="dxa"/>
        <w:bottom w:w="0" w:type="dxa"/>
      </w:tblCellMar>
    </w:tblPr>
  </w:style>
  <w:style w:type="table" w:styleId="1016" w:customStyle="1">
    <w:name w:val="Grid Table 1 Light - Accent 3"/>
    <w:uiPriority w:val="99"/>
    <w:qFormat/>
    <w:tblPr>
      <w:tblCellMar>
        <w:left w:w="0" w:type="dxa"/>
        <w:top w:w="0" w:type="dxa"/>
        <w:right w:w="0" w:type="dxa"/>
        <w:bottom w:w="0" w:type="dxa"/>
      </w:tblCellMar>
    </w:tblPr>
  </w:style>
  <w:style w:type="table" w:styleId="1017" w:customStyle="1">
    <w:name w:val="Grid Table 1 Light - Accent 2"/>
    <w:uiPriority w:val="99"/>
    <w:qFormat/>
    <w:tblPr>
      <w:tblCellMar>
        <w:left w:w="0" w:type="dxa"/>
        <w:top w:w="0" w:type="dxa"/>
        <w:right w:w="0" w:type="dxa"/>
        <w:bottom w:w="0" w:type="dxa"/>
      </w:tblCellMar>
    </w:tblPr>
  </w:style>
  <w:style w:type="table" w:styleId="1018" w:customStyle="1">
    <w:name w:val="Grid Table 5 Dark- Accent 1"/>
    <w:uiPriority w:val="99"/>
    <w:qFormat/>
    <w:tblPr>
      <w:tblCellMar>
        <w:left w:w="0" w:type="dxa"/>
        <w:top w:w="0" w:type="dxa"/>
        <w:right w:w="0" w:type="dxa"/>
        <w:bottom w:w="0" w:type="dxa"/>
      </w:tblCellMar>
    </w:tblPr>
  </w:style>
  <w:style w:type="table" w:styleId="1019" w:customStyle="1">
    <w:name w:val="Grid Table 3 - Accent 1"/>
    <w:uiPriority w:val="99"/>
    <w:qFormat/>
    <w:tblPr>
      <w:tblCellMar>
        <w:left w:w="0" w:type="dxa"/>
        <w:top w:w="0" w:type="dxa"/>
        <w:right w:w="0" w:type="dxa"/>
        <w:bottom w:w="0" w:type="dxa"/>
      </w:tblCellMar>
    </w:tblPr>
  </w:style>
  <w:style w:type="table" w:styleId="1020" w:customStyle="1">
    <w:name w:val="无格式表格 51"/>
    <w:uiPriority w:val="99"/>
    <w:qFormat/>
    <w:tblPr>
      <w:tblCellMar>
        <w:left w:w="0" w:type="dxa"/>
        <w:top w:w="0" w:type="dxa"/>
        <w:right w:w="0" w:type="dxa"/>
        <w:bottom w:w="0" w:type="dxa"/>
      </w:tblCellMar>
    </w:tblPr>
  </w:style>
  <w:style w:type="table" w:styleId="1021" w:customStyle="1">
    <w:name w:val="Grid Table 4 - Accent 5"/>
    <w:uiPriority w:val="59"/>
    <w:qFormat/>
    <w:tblPr>
      <w:tblCellMar>
        <w:left w:w="0" w:type="dxa"/>
        <w:top w:w="0" w:type="dxa"/>
        <w:right w:w="0" w:type="dxa"/>
        <w:bottom w:w="0" w:type="dxa"/>
      </w:tblCellMar>
    </w:tblPr>
  </w:style>
  <w:style w:type="table" w:styleId="1022" w:customStyle="1">
    <w:name w:val="Grid Table 1 Light - Accent 5"/>
    <w:uiPriority w:val="99"/>
    <w:qFormat/>
    <w:tblPr>
      <w:tblCellMar>
        <w:left w:w="0" w:type="dxa"/>
        <w:top w:w="0" w:type="dxa"/>
        <w:right w:w="0" w:type="dxa"/>
        <w:bottom w:w="0" w:type="dxa"/>
      </w:tblCellMar>
    </w:tblPr>
  </w:style>
  <w:style w:type="table" w:styleId="1023" w:customStyle="1">
    <w:name w:val="List Table 7 Colorful - Accent 5"/>
    <w:uiPriority w:val="99"/>
    <w:qFormat/>
    <w:tblPr>
      <w:tblCellMar>
        <w:left w:w="0" w:type="dxa"/>
        <w:top w:w="0" w:type="dxa"/>
        <w:right w:w="0" w:type="dxa"/>
        <w:bottom w:w="0" w:type="dxa"/>
      </w:tblCellMar>
    </w:tblPr>
  </w:style>
  <w:style w:type="table" w:styleId="1024" w:customStyle="1">
    <w:name w:val="Grid Table 1 Light - Accent 6"/>
    <w:uiPriority w:val="99"/>
    <w:qFormat/>
    <w:tblPr>
      <w:tblCellMar>
        <w:left w:w="0" w:type="dxa"/>
        <w:top w:w="0" w:type="dxa"/>
        <w:right w:w="0" w:type="dxa"/>
        <w:bottom w:w="0" w:type="dxa"/>
      </w:tblCellMar>
    </w:tblPr>
  </w:style>
  <w:style w:type="table" w:styleId="1025" w:customStyle="1">
    <w:name w:val="Bordered &amp; Lined - Accent 5"/>
    <w:uiPriority w:val="99"/>
    <w:qFormat/>
    <w:rPr>
      <w:color w:val="404040"/>
    </w:rPr>
    <w:tblPr>
      <w:tblCellMar>
        <w:left w:w="0" w:type="dxa"/>
        <w:top w:w="0" w:type="dxa"/>
        <w:right w:w="0" w:type="dxa"/>
        <w:bottom w:w="0" w:type="dxa"/>
      </w:tblCellMar>
    </w:tblPr>
  </w:style>
  <w:style w:type="table" w:styleId="1026" w:customStyle="1">
    <w:name w:val="Lined - Accent"/>
    <w:uiPriority w:val="99"/>
    <w:qFormat/>
    <w:rPr>
      <w:color w:val="404040"/>
    </w:rPr>
    <w:tblPr>
      <w:tblCellMar>
        <w:left w:w="0" w:type="dxa"/>
        <w:top w:w="0" w:type="dxa"/>
        <w:right w:w="0" w:type="dxa"/>
        <w:bottom w:w="0" w:type="dxa"/>
      </w:tblCellMar>
    </w:tblPr>
  </w:style>
  <w:style w:type="table" w:styleId="1027" w:customStyle="1">
    <w:name w:val="Bordered &amp; Lined - Accent 4"/>
    <w:uiPriority w:val="99"/>
    <w:qFormat/>
    <w:rPr>
      <w:color w:val="404040"/>
    </w:rPr>
    <w:tblPr>
      <w:tblCellMar>
        <w:left w:w="0" w:type="dxa"/>
        <w:top w:w="0" w:type="dxa"/>
        <w:right w:w="0" w:type="dxa"/>
        <w:bottom w:w="0" w:type="dxa"/>
      </w:tblCellMar>
    </w:tblPr>
  </w:style>
  <w:style w:type="table" w:styleId="1028" w:customStyle="1">
    <w:name w:val="Grid Table 2 - Accent 1"/>
    <w:uiPriority w:val="99"/>
    <w:qFormat/>
    <w:tblPr>
      <w:tblCellMar>
        <w:left w:w="0" w:type="dxa"/>
        <w:top w:w="0" w:type="dxa"/>
        <w:right w:w="0" w:type="dxa"/>
        <w:bottom w:w="0" w:type="dxa"/>
      </w:tblCellMar>
    </w:tblPr>
  </w:style>
  <w:style w:type="table" w:styleId="1029" w:customStyle="1">
    <w:name w:val="List Table 5 Dark - Accent 5"/>
    <w:uiPriority w:val="99"/>
    <w:qFormat/>
    <w:tblPr>
      <w:tblCellMar>
        <w:left w:w="0" w:type="dxa"/>
        <w:top w:w="0" w:type="dxa"/>
        <w:right w:w="0" w:type="dxa"/>
        <w:bottom w:w="0" w:type="dxa"/>
      </w:tblCellMar>
    </w:tblPr>
  </w:style>
  <w:style w:type="table" w:styleId="1030" w:customStyle="1">
    <w:name w:val="List Table 7 Colorful - Accent 3"/>
    <w:uiPriority w:val="99"/>
    <w:qFormat/>
    <w:tblPr>
      <w:tblCellMar>
        <w:left w:w="0" w:type="dxa"/>
        <w:top w:w="0" w:type="dxa"/>
        <w:right w:w="0" w:type="dxa"/>
        <w:bottom w:w="0" w:type="dxa"/>
      </w:tblCellMar>
    </w:tblPr>
  </w:style>
  <w:style w:type="table" w:styleId="1031" w:customStyle="1">
    <w:name w:val="Bordered &amp; Lined - Accent 2"/>
    <w:uiPriority w:val="99"/>
    <w:qFormat/>
    <w:rPr>
      <w:color w:val="404040"/>
    </w:rPr>
    <w:tblPr>
      <w:tblCellMar>
        <w:left w:w="0" w:type="dxa"/>
        <w:top w:w="0" w:type="dxa"/>
        <w:right w:w="0" w:type="dxa"/>
        <w:bottom w:w="0" w:type="dxa"/>
      </w:tblCellMar>
    </w:tblPr>
  </w:style>
  <w:style w:type="table" w:styleId="1032" w:customStyle="1">
    <w:name w:val="Bordered &amp; Lined - Accent 6"/>
    <w:uiPriority w:val="99"/>
    <w:qFormat/>
    <w:rPr>
      <w:color w:val="404040"/>
    </w:rPr>
    <w:tblPr>
      <w:tblCellMar>
        <w:left w:w="0" w:type="dxa"/>
        <w:top w:w="0" w:type="dxa"/>
        <w:right w:w="0" w:type="dxa"/>
        <w:bottom w:w="0" w:type="dxa"/>
      </w:tblCellMar>
    </w:tblPr>
  </w:style>
  <w:style w:type="table" w:styleId="1033" w:customStyle="1">
    <w:name w:val="Grid Table 2 - Accent 2"/>
    <w:uiPriority w:val="99"/>
    <w:qFormat/>
    <w:tblPr>
      <w:tblCellMar>
        <w:left w:w="0" w:type="dxa"/>
        <w:top w:w="0" w:type="dxa"/>
        <w:right w:w="0" w:type="dxa"/>
        <w:bottom w:w="0" w:type="dxa"/>
      </w:tblCellMar>
    </w:tblPr>
  </w:style>
  <w:style w:type="table" w:styleId="1034" w:customStyle="1">
    <w:name w:val="Grid Table 6 Colorful - Accent 3"/>
    <w:uiPriority w:val="99"/>
    <w:qFormat/>
    <w:tblPr>
      <w:tblCellMar>
        <w:left w:w="0" w:type="dxa"/>
        <w:top w:w="0" w:type="dxa"/>
        <w:right w:w="0" w:type="dxa"/>
        <w:bottom w:w="0" w:type="dxa"/>
      </w:tblCellMar>
    </w:tblPr>
  </w:style>
  <w:style w:type="table" w:styleId="1035" w:customStyle="1">
    <w:name w:val="Grid Table 5 Dark - Accent 6"/>
    <w:uiPriority w:val="99"/>
    <w:qFormat/>
    <w:tblPr>
      <w:tblCellMar>
        <w:left w:w="0" w:type="dxa"/>
        <w:top w:w="0" w:type="dxa"/>
        <w:right w:w="0" w:type="dxa"/>
        <w:bottom w:w="0" w:type="dxa"/>
      </w:tblCellMar>
    </w:tblPr>
  </w:style>
  <w:style w:type="table" w:styleId="1036" w:customStyle="1">
    <w:name w:val="Grid Table 2 - Accent 3"/>
    <w:uiPriority w:val="99"/>
    <w:qFormat/>
    <w:tblPr>
      <w:tblCellMar>
        <w:left w:w="0" w:type="dxa"/>
        <w:top w:w="0" w:type="dxa"/>
        <w:right w:w="0" w:type="dxa"/>
        <w:bottom w:w="0" w:type="dxa"/>
      </w:tblCellMar>
    </w:tblPr>
  </w:style>
  <w:style w:type="table" w:styleId="1037" w:customStyle="1">
    <w:name w:val="Grid Table 5 Dark - Accent 2"/>
    <w:uiPriority w:val="99"/>
    <w:qFormat/>
    <w:tblPr>
      <w:tblCellMar>
        <w:left w:w="0" w:type="dxa"/>
        <w:top w:w="0" w:type="dxa"/>
        <w:right w:w="0" w:type="dxa"/>
        <w:bottom w:w="0" w:type="dxa"/>
      </w:tblCellMar>
    </w:tblPr>
  </w:style>
  <w:style w:type="table" w:styleId="1038" w:customStyle="1">
    <w:name w:val="Bordered &amp; Lined - Accent 3"/>
    <w:uiPriority w:val="99"/>
    <w:qFormat/>
    <w:rPr>
      <w:color w:val="404040"/>
    </w:rPr>
    <w:tblPr>
      <w:tblCellMar>
        <w:left w:w="0" w:type="dxa"/>
        <w:top w:w="0" w:type="dxa"/>
        <w:right w:w="0" w:type="dxa"/>
        <w:bottom w:w="0" w:type="dxa"/>
      </w:tblCellMar>
    </w:tblPr>
  </w:style>
  <w:style w:type="table" w:styleId="1039" w:customStyle="1">
    <w:name w:val="Grid Table 5 Dark - Accent 5"/>
    <w:uiPriority w:val="99"/>
    <w:qFormat/>
    <w:tblPr>
      <w:tblCellMar>
        <w:left w:w="0" w:type="dxa"/>
        <w:top w:w="0" w:type="dxa"/>
        <w:right w:w="0" w:type="dxa"/>
        <w:bottom w:w="0" w:type="dxa"/>
      </w:tblCellMar>
    </w:tblPr>
  </w:style>
  <w:style w:type="table" w:styleId="1040" w:customStyle="1">
    <w:name w:val="Grid Table 2 - Accent 6"/>
    <w:uiPriority w:val="99"/>
    <w:qFormat/>
    <w:tblPr>
      <w:tblCellMar>
        <w:left w:w="0" w:type="dxa"/>
        <w:top w:w="0" w:type="dxa"/>
        <w:right w:w="0" w:type="dxa"/>
        <w:bottom w:w="0" w:type="dxa"/>
      </w:tblCellMar>
    </w:tblPr>
  </w:style>
  <w:style w:type="table" w:styleId="1041" w:customStyle="1">
    <w:name w:val="Bordered &amp; Lined - Accent 1"/>
    <w:uiPriority w:val="99"/>
    <w:qFormat/>
    <w:rPr>
      <w:color w:val="404040"/>
    </w:rPr>
    <w:tblPr>
      <w:tblCellMar>
        <w:left w:w="0" w:type="dxa"/>
        <w:top w:w="0" w:type="dxa"/>
        <w:right w:w="0" w:type="dxa"/>
        <w:bottom w:w="0" w:type="dxa"/>
      </w:tblCellMar>
    </w:tblPr>
  </w:style>
  <w:style w:type="table" w:styleId="1042" w:customStyle="1">
    <w:name w:val="Bordered - Accent 3"/>
    <w:uiPriority w:val="99"/>
    <w:qFormat/>
    <w:tblPr>
      <w:tblCellMar>
        <w:left w:w="0" w:type="dxa"/>
        <w:top w:w="0" w:type="dxa"/>
        <w:right w:w="0" w:type="dxa"/>
        <w:bottom w:w="0" w:type="dxa"/>
      </w:tblCellMar>
    </w:tblPr>
  </w:style>
  <w:style w:type="table" w:styleId="1043" w:customStyle="1">
    <w:name w:val="网格表 41"/>
    <w:uiPriority w:val="59"/>
    <w:qFormat/>
    <w:tblPr>
      <w:tblCellMar>
        <w:left w:w="0" w:type="dxa"/>
        <w:top w:w="0" w:type="dxa"/>
        <w:right w:w="0" w:type="dxa"/>
        <w:bottom w:w="0" w:type="dxa"/>
      </w:tblCellMar>
    </w:tblPr>
  </w:style>
  <w:style w:type="table" w:styleId="1044" w:customStyle="1">
    <w:name w:val="网格表 31"/>
    <w:uiPriority w:val="99"/>
    <w:qFormat/>
    <w:tblPr>
      <w:tblCellMar>
        <w:left w:w="0" w:type="dxa"/>
        <w:top w:w="0" w:type="dxa"/>
        <w:right w:w="0" w:type="dxa"/>
        <w:bottom w:w="0" w:type="dxa"/>
      </w:tblCellMar>
    </w:tblPr>
  </w:style>
  <w:style w:type="table" w:styleId="1045" w:customStyle="1">
    <w:name w:val="Bordered &amp; Lined - Accent"/>
    <w:uiPriority w:val="99"/>
    <w:qFormat/>
    <w:rPr>
      <w:color w:val="404040"/>
    </w:rPr>
    <w:tblPr>
      <w:tblCellMar>
        <w:left w:w="0" w:type="dxa"/>
        <w:top w:w="0" w:type="dxa"/>
        <w:right w:w="0" w:type="dxa"/>
        <w:bottom w:w="0" w:type="dxa"/>
      </w:tblCellMar>
    </w:tblPr>
  </w:style>
  <w:style w:type="table" w:styleId="1046" w:customStyle="1">
    <w:name w:val="清单表 7 彩色1"/>
    <w:uiPriority w:val="99"/>
    <w:qFormat/>
    <w:tblPr>
      <w:tblCellMar>
        <w:left w:w="0" w:type="dxa"/>
        <w:top w:w="0" w:type="dxa"/>
        <w:right w:w="0" w:type="dxa"/>
        <w:bottom w:w="0" w:type="dxa"/>
      </w:tblCellMar>
    </w:tblPr>
  </w:style>
  <w:style w:type="table" w:styleId="1047" w:customStyle="1">
    <w:name w:val="网格表 6 彩色1"/>
    <w:uiPriority w:val="99"/>
    <w:qFormat/>
    <w:tblPr>
      <w:tblCellMar>
        <w:left w:w="0" w:type="dxa"/>
        <w:top w:w="0" w:type="dxa"/>
        <w:right w:w="0" w:type="dxa"/>
        <w:bottom w:w="0" w:type="dxa"/>
      </w:tblCellMar>
    </w:tblPr>
  </w:style>
  <w:style w:type="table" w:styleId="1048" w:customStyle="1">
    <w:name w:val="List Table 7 Colorful - Accent 6"/>
    <w:uiPriority w:val="99"/>
    <w:qFormat/>
    <w:tblPr>
      <w:tblCellMar>
        <w:left w:w="0" w:type="dxa"/>
        <w:top w:w="0" w:type="dxa"/>
        <w:right w:w="0" w:type="dxa"/>
        <w:bottom w:w="0" w:type="dxa"/>
      </w:tblCellMar>
    </w:tblPr>
  </w:style>
  <w:style w:type="table" w:styleId="1049" w:customStyle="1">
    <w:name w:val="Grid Table 4 - Accent 1"/>
    <w:uiPriority w:val="59"/>
    <w:qFormat/>
    <w:tblPr>
      <w:tblCellMar>
        <w:left w:w="0" w:type="dxa"/>
        <w:top w:w="0" w:type="dxa"/>
        <w:right w:w="0" w:type="dxa"/>
        <w:bottom w:w="0" w:type="dxa"/>
      </w:tblCellMar>
    </w:tblPr>
  </w:style>
  <w:style w:type="table" w:styleId="1050" w:customStyle="1">
    <w:name w:val="Bordered - Accent 1"/>
    <w:uiPriority w:val="99"/>
    <w:qFormat/>
    <w:tblPr>
      <w:tblCellMar>
        <w:left w:w="0" w:type="dxa"/>
        <w:top w:w="0" w:type="dxa"/>
        <w:right w:w="0" w:type="dxa"/>
        <w:bottom w:w="0" w:type="dxa"/>
      </w:tblCellMar>
    </w:tblPr>
  </w:style>
  <w:style w:type="table" w:styleId="1051" w:customStyle="1">
    <w:name w:val="网格表 5 深色1"/>
    <w:uiPriority w:val="99"/>
    <w:qFormat/>
    <w:tblPr>
      <w:tblCellMar>
        <w:left w:w="0" w:type="dxa"/>
        <w:top w:w="0" w:type="dxa"/>
        <w:right w:w="0" w:type="dxa"/>
        <w:bottom w:w="0" w:type="dxa"/>
      </w:tblCellMar>
    </w:tblPr>
  </w:style>
  <w:style w:type="table" w:styleId="1052" w:customStyle="1">
    <w:name w:val="Bordered - Accent 4"/>
    <w:uiPriority w:val="99"/>
    <w:qFormat/>
    <w:tblPr>
      <w:tblCellMar>
        <w:left w:w="0" w:type="dxa"/>
        <w:top w:w="0" w:type="dxa"/>
        <w:right w:w="0" w:type="dxa"/>
        <w:bottom w:w="0" w:type="dxa"/>
      </w:tblCellMar>
    </w:tblPr>
  </w:style>
  <w:style w:type="table" w:styleId="1053" w:customStyle="1">
    <w:name w:val="Grid Table 4 - Accent 3"/>
    <w:uiPriority w:val="59"/>
    <w:qFormat/>
    <w:tblPr>
      <w:tblCellMar>
        <w:left w:w="0" w:type="dxa"/>
        <w:top w:w="0" w:type="dxa"/>
        <w:right w:w="0" w:type="dxa"/>
        <w:bottom w:w="0" w:type="dxa"/>
      </w:tblCellMar>
    </w:tblPr>
  </w:style>
  <w:style w:type="table" w:styleId="1054" w:customStyle="1">
    <w:name w:val="Grid Table 3 - Accent 4"/>
    <w:uiPriority w:val="99"/>
    <w:qFormat/>
    <w:tblPr>
      <w:tblCellMar>
        <w:left w:w="0" w:type="dxa"/>
        <w:top w:w="0" w:type="dxa"/>
        <w:right w:w="0" w:type="dxa"/>
        <w:bottom w:w="0" w:type="dxa"/>
      </w:tblCellMar>
    </w:tblPr>
  </w:style>
  <w:style w:type="table" w:styleId="1055" w:customStyle="1">
    <w:name w:val="List Table 4 - Accent 6"/>
    <w:uiPriority w:val="99"/>
    <w:qFormat/>
    <w:tblPr>
      <w:tblCellMar>
        <w:left w:w="0" w:type="dxa"/>
        <w:top w:w="0" w:type="dxa"/>
        <w:right w:w="0" w:type="dxa"/>
        <w:bottom w:w="0" w:type="dxa"/>
      </w:tblCellMar>
    </w:tblPr>
  </w:style>
  <w:style w:type="table" w:styleId="1056" w:customStyle="1">
    <w:name w:val="Lined - Accent 2"/>
    <w:uiPriority w:val="99"/>
    <w:qFormat/>
    <w:rPr>
      <w:color w:val="404040"/>
    </w:rPr>
    <w:tblPr>
      <w:tblCellMar>
        <w:left w:w="0" w:type="dxa"/>
        <w:top w:w="0" w:type="dxa"/>
        <w:right w:w="0" w:type="dxa"/>
        <w:bottom w:w="0" w:type="dxa"/>
      </w:tblCellMar>
    </w:tblPr>
  </w:style>
  <w:style w:type="table" w:styleId="1057" w:customStyle="1">
    <w:name w:val="Grid Table 6 Colorful - Accent 5"/>
    <w:uiPriority w:val="99"/>
    <w:qFormat/>
    <w:tblPr>
      <w:tblCellMar>
        <w:left w:w="0" w:type="dxa"/>
        <w:top w:w="0" w:type="dxa"/>
        <w:right w:w="0" w:type="dxa"/>
        <w:bottom w:w="0" w:type="dxa"/>
      </w:tblCellMar>
    </w:tblPr>
  </w:style>
  <w:style w:type="table" w:styleId="1058" w:customStyle="1">
    <w:name w:val="List Table 5 Dark - Accent 4"/>
    <w:uiPriority w:val="99"/>
    <w:qFormat/>
    <w:tblPr>
      <w:tblCellMar>
        <w:left w:w="0" w:type="dxa"/>
        <w:top w:w="0" w:type="dxa"/>
        <w:right w:w="0" w:type="dxa"/>
        <w:bottom w:w="0" w:type="dxa"/>
      </w:tblCellMar>
    </w:tblPr>
  </w:style>
  <w:style w:type="table" w:styleId="1059" w:customStyle="1">
    <w:name w:val="Grid Table 6 Colorful - Accent 6"/>
    <w:uiPriority w:val="99"/>
    <w:qFormat/>
    <w:tblPr>
      <w:tblCellMar>
        <w:left w:w="0" w:type="dxa"/>
        <w:top w:w="0" w:type="dxa"/>
        <w:right w:w="0" w:type="dxa"/>
        <w:bottom w:w="0" w:type="dxa"/>
      </w:tblCellMar>
    </w:tblPr>
  </w:style>
  <w:style w:type="table" w:styleId="1060" w:customStyle="1">
    <w:name w:val="Bordered"/>
    <w:uiPriority w:val="99"/>
    <w:qFormat/>
    <w:tblPr>
      <w:tblCellMar>
        <w:left w:w="0" w:type="dxa"/>
        <w:top w:w="0" w:type="dxa"/>
        <w:right w:w="0" w:type="dxa"/>
        <w:bottom w:w="0" w:type="dxa"/>
      </w:tblCellMar>
    </w:tblPr>
  </w:style>
  <w:style w:type="table" w:styleId="1061" w:customStyle="1">
    <w:name w:val="Grid Table 7 Colorful - Accent 1"/>
    <w:uiPriority w:val="99"/>
    <w:qFormat/>
    <w:tblPr>
      <w:tblCellMar>
        <w:left w:w="0" w:type="dxa"/>
        <w:top w:w="0" w:type="dxa"/>
        <w:right w:w="0" w:type="dxa"/>
        <w:bottom w:w="0" w:type="dxa"/>
      </w:tblCellMar>
    </w:tblPr>
  </w:style>
  <w:style w:type="table" w:styleId="1062" w:customStyle="1">
    <w:name w:val="Bordered - Accent 2"/>
    <w:uiPriority w:val="99"/>
    <w:qFormat/>
    <w:tblPr>
      <w:tblCellMar>
        <w:left w:w="0" w:type="dxa"/>
        <w:top w:w="0" w:type="dxa"/>
        <w:right w:w="0" w:type="dxa"/>
        <w:bottom w:w="0" w:type="dxa"/>
      </w:tblCellMar>
    </w:tblPr>
  </w:style>
  <w:style w:type="table" w:styleId="1063" w:customStyle="1">
    <w:name w:val="List Table 6 Colorful - Accent 6"/>
    <w:uiPriority w:val="99"/>
    <w:qFormat/>
    <w:tblPr>
      <w:tblCellMar>
        <w:left w:w="0" w:type="dxa"/>
        <w:top w:w="0" w:type="dxa"/>
        <w:right w:w="0" w:type="dxa"/>
        <w:bottom w:w="0" w:type="dxa"/>
      </w:tblCellMar>
    </w:tblPr>
  </w:style>
  <w:style w:type="table" w:styleId="1064" w:customStyle="1">
    <w:name w:val="清单表 41"/>
    <w:uiPriority w:val="99"/>
    <w:qFormat/>
    <w:tblPr>
      <w:tblCellMar>
        <w:left w:w="0" w:type="dxa"/>
        <w:top w:w="0" w:type="dxa"/>
        <w:right w:w="0" w:type="dxa"/>
        <w:bottom w:w="0" w:type="dxa"/>
      </w:tblCellMar>
    </w:tblPr>
  </w:style>
  <w:style w:type="table" w:styleId="1065" w:customStyle="1">
    <w:name w:val="List Table 6 Colorful - Accent 5"/>
    <w:uiPriority w:val="99"/>
    <w:qFormat/>
    <w:tblPr>
      <w:tblCellMar>
        <w:left w:w="0" w:type="dxa"/>
        <w:top w:w="0" w:type="dxa"/>
        <w:right w:w="0" w:type="dxa"/>
        <w:bottom w:w="0" w:type="dxa"/>
      </w:tblCellMar>
    </w:tblPr>
  </w:style>
  <w:style w:type="table" w:styleId="1066" w:customStyle="1">
    <w:name w:val="List Table 2 - Accent 2"/>
    <w:uiPriority w:val="99"/>
    <w:qFormat/>
    <w:tblPr>
      <w:tblCellMar>
        <w:left w:w="0" w:type="dxa"/>
        <w:top w:w="0" w:type="dxa"/>
        <w:right w:w="0" w:type="dxa"/>
        <w:bottom w:w="0" w:type="dxa"/>
      </w:tblCellMar>
    </w:tblPr>
  </w:style>
  <w:style w:type="table" w:styleId="1067" w:customStyle="1">
    <w:name w:val="Grid Table 7 Colorful - Accent 4"/>
    <w:uiPriority w:val="99"/>
    <w:qFormat/>
    <w:tblPr>
      <w:tblCellMar>
        <w:left w:w="0" w:type="dxa"/>
        <w:top w:w="0" w:type="dxa"/>
        <w:right w:w="0" w:type="dxa"/>
        <w:bottom w:w="0" w:type="dxa"/>
      </w:tblCellMar>
    </w:tblPr>
  </w:style>
  <w:style w:type="table" w:styleId="1068" w:customStyle="1">
    <w:name w:val="List Table 1 Light - Accent 6"/>
    <w:uiPriority w:val="99"/>
    <w:qFormat/>
    <w:tblPr>
      <w:tblCellMar>
        <w:left w:w="0" w:type="dxa"/>
        <w:top w:w="0" w:type="dxa"/>
        <w:right w:w="0" w:type="dxa"/>
        <w:bottom w:w="0" w:type="dxa"/>
      </w:tblCellMar>
    </w:tblPr>
  </w:style>
  <w:style w:type="table" w:styleId="1069" w:customStyle="1">
    <w:name w:val="List Table 3 - Accent 1"/>
    <w:uiPriority w:val="99"/>
    <w:qFormat/>
    <w:tblPr>
      <w:tblCellMar>
        <w:left w:w="0" w:type="dxa"/>
        <w:top w:w="0" w:type="dxa"/>
        <w:right w:w="0" w:type="dxa"/>
        <w:bottom w:w="0" w:type="dxa"/>
      </w:tblCellMar>
    </w:tblPr>
  </w:style>
  <w:style w:type="table" w:styleId="1070" w:customStyle="1">
    <w:name w:val="List Table 2 - Accent 1"/>
    <w:uiPriority w:val="99"/>
    <w:qFormat/>
    <w:tblPr>
      <w:tblCellMar>
        <w:left w:w="0" w:type="dxa"/>
        <w:top w:w="0" w:type="dxa"/>
        <w:right w:w="0" w:type="dxa"/>
        <w:bottom w:w="0" w:type="dxa"/>
      </w:tblCellMar>
    </w:tblPr>
  </w:style>
  <w:style w:type="table" w:styleId="1071" w:customStyle="1">
    <w:name w:val="Grid Table 7 Colorful - Accent 6"/>
    <w:uiPriority w:val="99"/>
    <w:qFormat/>
    <w:tblPr>
      <w:tblCellMar>
        <w:left w:w="0" w:type="dxa"/>
        <w:top w:w="0" w:type="dxa"/>
        <w:right w:w="0" w:type="dxa"/>
        <w:bottom w:w="0" w:type="dxa"/>
      </w:tblCellMar>
    </w:tblPr>
  </w:style>
  <w:style w:type="table" w:styleId="1072" w:customStyle="1">
    <w:name w:val="List Table 2 - Accent 6"/>
    <w:uiPriority w:val="99"/>
    <w:qFormat/>
    <w:tblPr>
      <w:tblCellMar>
        <w:left w:w="0" w:type="dxa"/>
        <w:top w:w="0" w:type="dxa"/>
        <w:right w:w="0" w:type="dxa"/>
        <w:bottom w:w="0" w:type="dxa"/>
      </w:tblCellMar>
    </w:tblPr>
  </w:style>
  <w:style w:type="table" w:styleId="1073" w:customStyle="1">
    <w:name w:val="List Table 1 Light - Accent 1"/>
    <w:uiPriority w:val="99"/>
    <w:qFormat/>
    <w:tblPr>
      <w:tblCellMar>
        <w:left w:w="0" w:type="dxa"/>
        <w:top w:w="0" w:type="dxa"/>
        <w:right w:w="0" w:type="dxa"/>
        <w:bottom w:w="0" w:type="dxa"/>
      </w:tblCellMar>
    </w:tblPr>
  </w:style>
  <w:style w:type="table" w:styleId="1074" w:customStyle="1">
    <w:name w:val="List Table 6 Colorful - Accent 4"/>
    <w:uiPriority w:val="99"/>
    <w:qFormat/>
    <w:tblPr>
      <w:tblCellMar>
        <w:left w:w="0" w:type="dxa"/>
        <w:top w:w="0" w:type="dxa"/>
        <w:right w:w="0" w:type="dxa"/>
        <w:bottom w:w="0" w:type="dxa"/>
      </w:tblCellMar>
    </w:tblPr>
  </w:style>
  <w:style w:type="table" w:styleId="1075" w:customStyle="1">
    <w:name w:val="List Table 1 Light - Accent 2"/>
    <w:uiPriority w:val="99"/>
    <w:qFormat/>
    <w:tblPr>
      <w:tblCellMar>
        <w:left w:w="0" w:type="dxa"/>
        <w:top w:w="0" w:type="dxa"/>
        <w:right w:w="0" w:type="dxa"/>
        <w:bottom w:w="0" w:type="dxa"/>
      </w:tblCellMar>
    </w:tblPr>
  </w:style>
  <w:style w:type="table" w:styleId="1076" w:customStyle="1">
    <w:name w:val="List Table 7 Colorful - Accent 4"/>
    <w:uiPriority w:val="99"/>
    <w:qFormat/>
    <w:tblPr>
      <w:tblCellMar>
        <w:left w:w="0" w:type="dxa"/>
        <w:top w:w="0" w:type="dxa"/>
        <w:right w:w="0" w:type="dxa"/>
        <w:bottom w:w="0" w:type="dxa"/>
      </w:tblCellMar>
    </w:tblPr>
  </w:style>
  <w:style w:type="table" w:styleId="1077" w:customStyle="1">
    <w:name w:val="List Table 1 Light - Accent 3"/>
    <w:uiPriority w:val="99"/>
    <w:qFormat/>
    <w:tblPr>
      <w:tblCellMar>
        <w:left w:w="0" w:type="dxa"/>
        <w:top w:w="0" w:type="dxa"/>
        <w:right w:w="0" w:type="dxa"/>
        <w:bottom w:w="0" w:type="dxa"/>
      </w:tblCellMar>
    </w:tblPr>
  </w:style>
  <w:style w:type="table" w:styleId="1078" w:customStyle="1">
    <w:name w:val="List Table 4 - Accent 1"/>
    <w:uiPriority w:val="99"/>
    <w:qFormat/>
    <w:tblPr>
      <w:tblCellMar>
        <w:left w:w="0" w:type="dxa"/>
        <w:top w:w="0" w:type="dxa"/>
        <w:right w:w="0" w:type="dxa"/>
        <w:bottom w:w="0" w:type="dxa"/>
      </w:tblCellMar>
    </w:tblPr>
  </w:style>
  <w:style w:type="table" w:styleId="1079" w:customStyle="1">
    <w:name w:val="Lined - Accent 6"/>
    <w:uiPriority w:val="99"/>
    <w:qFormat/>
    <w:rPr>
      <w:color w:val="404040"/>
    </w:rPr>
    <w:tblPr>
      <w:tblCellMar>
        <w:left w:w="0" w:type="dxa"/>
        <w:top w:w="0" w:type="dxa"/>
        <w:right w:w="0" w:type="dxa"/>
        <w:bottom w:w="0" w:type="dxa"/>
      </w:tblCellMar>
    </w:tblPr>
  </w:style>
  <w:style w:type="character" w:styleId="1080" w:customStyle="1">
    <w:name w:val="NormalCharacter"/>
    <w:uiPriority w:val="0"/>
    <w:semiHidden/>
    <w:qFormat/>
    <w:rPr>
      <w:sz w:val="28"/>
      <w:lang w:val="en-US" w:eastAsia="zh-CN" w:bidi="ar-SA"/>
    </w:rPr>
  </w:style>
  <w:style w:type="paragraph" w:styleId="1081" w:customStyle="1">
    <w:name w:val="正文文本缩进11"/>
    <w:basedOn w:val="773"/>
    <w:uiPriority w:val="0"/>
    <w:qFormat/>
    <w:pPr>
      <w:ind w:firstLine="425"/>
      <w:spacing w:line="360" w:lineRule="auto"/>
    </w:pPr>
  </w:style>
  <w:style w:type="paragraph" w:styleId="1082" w:customStyle="1">
    <w:name w:val="Default"/>
    <w:next w:val="753"/>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83" w:customStyle="1">
    <w:name w:val="正文1111"/>
    <w:next w:val="10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4" w:customStyle="1">
    <w:name w:val="文本块2"/>
    <w:basedOn w:val="1083"/>
    <w:uiPriority w:val="0"/>
    <w:qFormat/>
    <w:pPr>
      <w:ind w:left="420" w:right="33"/>
      <w:jc w:val="left"/>
    </w:pPr>
    <w:rPr>
      <w:sz w:val="24"/>
      <w:szCs w:val="20"/>
    </w:rPr>
  </w:style>
  <w:style w:type="paragraph" w:styleId="1085" w:customStyle="1">
    <w:name w:val="附录标识"/>
    <w:basedOn w:val="753"/>
    <w:next w:val="771"/>
    <w:uiPriority w:val="0"/>
    <w:qFormat/>
    <w:pPr>
      <w:numPr>
        <w:ilvl w:val="0"/>
        <w:numId w:val="1"/>
      </w:numPr>
      <w:jc w:val="center"/>
      <w:keepNext/>
      <w:spacing w:before="640" w:after="280"/>
      <w:shd w:val="clear" w:color="ffffff" w:fill="ffffff"/>
      <w:tabs>
        <w:tab w:val="left" w:pos="6405" w:leader="none"/>
      </w:tabs>
      <w:outlineLvl w:val="0"/>
    </w:pPr>
    <w:rPr>
      <w:rFonts w:ascii="黑体" w:eastAsia="黑体"/>
    </w:rPr>
  </w:style>
  <w:style w:type="paragraph" w:styleId="1086" w:customStyle="1">
    <w:name w:val="图片居中"/>
    <w:basedOn w:val="781"/>
    <w:uiPriority w:val="0"/>
    <w:qFormat/>
    <w:pPr>
      <w:jc w:val="center"/>
      <w:spacing w:after="50"/>
    </w:pPr>
    <w:rPr>
      <w:rFonts w:cs="Courier New"/>
      <w:sz w:val="24"/>
      <w:szCs w:val="21"/>
    </w:rPr>
  </w:style>
  <w:style w:type="paragraph" w:styleId="1087" w:customStyle="1">
    <w:name w:val="正文表标题"/>
    <w:next w:val="753"/>
    <w:uiPriority w:val="0"/>
    <w:qFormat/>
    <w:pPr>
      <w:numPr>
        <w:ilvl w:val="0"/>
        <w:numId w:val="2"/>
      </w:numPr>
      <w:jc w:val="center"/>
      <w:spacing w:before="156" w:after="156"/>
      <w:tabs>
        <w:tab w:val="left" w:pos="360" w:leader="none"/>
      </w:tabs>
    </w:pPr>
    <w:rPr>
      <w:rFonts w:hint="default" w:ascii="黑体" w:hAnsi="Times New Roman" w:eastAsia="黑体" w:cs="Times New Roman"/>
      <w:sz w:val="21"/>
      <w:lang w:val="en-US" w:eastAsia="zh-CN" w:bidi="ar-SA"/>
    </w:rPr>
  </w:style>
  <w:style w:type="paragraph" w:styleId="1088" w:customStyle="1">
    <w:name w:val="正文+缩进2"/>
    <w:basedOn w:val="753"/>
    <w:uiPriority w:val="0"/>
    <w:qFormat/>
    <w:pPr>
      <w:ind w:firstLine="200"/>
      <w:spacing w:line="312" w:lineRule="auto"/>
    </w:pPr>
    <w:rPr>
      <w:rFonts w:ascii="Arial" w:hAnsi="宋体" w:cs="Arial"/>
      <w:sz w:val="24"/>
      <w:szCs w:val="22"/>
      <w:lang w:bidi="en-US"/>
    </w:rPr>
  </w:style>
  <w:style w:type="paragraph" w:styleId="1089" w:customStyle="1">
    <w:name w:val="Table Text"/>
    <w:basedOn w:val="753"/>
    <w:uiPriority w:val="0"/>
    <w:semiHidden/>
    <w:qFormat/>
    <w:rPr>
      <w:rFonts w:ascii="微软雅黑" w:hAnsi="微软雅黑" w:eastAsia="微软雅黑" w:cs="微软雅黑"/>
      <w:sz w:val="24"/>
      <w:lang w:eastAsia="en-US"/>
    </w:rPr>
  </w:style>
  <w:style w:type="table" w:styleId="1090" w:customStyle="1">
    <w:name w:val="Table Normal"/>
    <w:uiPriority w:val="0"/>
    <w:semiHidden/>
    <w:unhideWhenUsed/>
    <w:qFormat/>
    <w:tblPr>
      <w:tblCellMar>
        <w:left w:w="0" w:type="dxa"/>
        <w:top w:w="0" w:type="dxa"/>
        <w:right w:w="0" w:type="dxa"/>
        <w:bottom w:w="0" w:type="dxa"/>
      </w:tblCellMar>
    </w:tblPr>
  </w:style>
  <w:style w:type="paragraph" w:styleId="1091" w:customStyle="1">
    <w:name w:val="qowt-stl-正文"/>
    <w:basedOn w:val="773"/>
    <w:uiPriority w:val="0"/>
    <w:qFormat/>
    <w:pPr>
      <w:jc w:val="left"/>
      <w:spacing w:before="100" w:beforeAutospacing="1" w:after="100" w:afterAutospacing="1"/>
      <w:widowControl/>
    </w:pPr>
    <w:rPr>
      <w:rFonts w:ascii="宋体" w:hAnsi="宋体"/>
      <w:sz w:val="24"/>
    </w:rPr>
  </w:style>
  <w:style w:type="paragraph" w:styleId="1092" w:customStyle="1">
    <w:name w:val="Revision"/>
    <w:hidden/>
    <w:uiPriority w:val="99"/>
    <w:unhideWhenUsed/>
    <w:qFormat/>
    <w:rPr>
      <w:rFonts w:hint="default" w:ascii="Times New Roman" w:hAnsi="Times New Roman" w:eastAsia="宋体" w:cs="Times New Roman"/>
      <w:sz w:val="21"/>
      <w:szCs w:val="24"/>
      <w:lang w:val="en-US" w:eastAsia="zh-CN" w:bidi="ar-SA"/>
    </w:rPr>
  </w:style>
  <w:style w:type="character" w:styleId="1093" w:customStyle="1">
    <w:name w:val="font51"/>
    <w:basedOn w:val="763"/>
    <w:uiPriority w:val="0"/>
    <w:qFormat/>
    <w:rPr>
      <w:rFonts w:hint="eastAsia" w:ascii="宋体" w:hAnsi="宋体" w:eastAsia="宋体" w:cs="宋体"/>
      <w:color w:val="000000"/>
      <w:sz w:val="20"/>
      <w:szCs w:val="20"/>
      <w:u w:val="none"/>
    </w:rPr>
  </w:style>
  <w:style w:type="character" w:styleId="1094" w:customStyle="1">
    <w:name w:val="font61"/>
    <w:basedOn w:val="763"/>
    <w:uiPriority w:val="0"/>
    <w:qFormat/>
    <w:rPr>
      <w:rFonts w:ascii="Wingdings" w:hAnsi="Wingdings" w:cs="Wingdings"/>
      <w:color w:val="000000"/>
      <w:sz w:val="20"/>
      <w:szCs w:val="20"/>
      <w:u w:val="none"/>
    </w:rPr>
  </w:style>
  <w:style w:type="character" w:styleId="1095" w:customStyle="1">
    <w:name w:val="font71"/>
    <w:basedOn w:val="763"/>
    <w:uiPriority w:val="0"/>
    <w:qFormat/>
    <w:rPr>
      <w:rFonts w:ascii="Arial" w:hAnsi="Arial" w:cs="Arial"/>
      <w:color w:val="000000"/>
      <w:sz w:val="20"/>
      <w:szCs w:val="20"/>
      <w:u w:val="none"/>
    </w:rPr>
  </w:style>
  <w:style w:type="paragraph" w:styleId="1096" w:customStyle="1">
    <w:name w:val="二级标题"/>
    <w:basedOn w:val="756"/>
    <w:uiPriority w:val="0"/>
    <w:qFormat/>
    <w:pPr>
      <w:jc w:val="both"/>
      <w:spacing w:before="0" w:after="0"/>
      <w:outlineLvl w:val="1"/>
    </w:pPr>
    <w:rPr>
      <w:rFonts w:ascii="Times New Roman" w:hAnsi="Times New Roman" w:eastAsia="仿宋" w:cs="Times New Roman"/>
      <w:b/>
      <w:bCs/>
      <w:color w:val="000000"/>
      <w:szCs w:val="26"/>
    </w:rPr>
  </w:style>
  <w:style w:type="paragraph" w:styleId="1097" w:customStyle="1">
    <w:name w:val="三级标题"/>
    <w:basedOn w:val="756"/>
    <w:uiPriority w:val="99"/>
    <w:qFormat/>
    <w:pPr>
      <w:jc w:val="both"/>
      <w:spacing w:before="50" w:after="50"/>
    </w:pPr>
    <w:rPr>
      <w:rFonts w:ascii="Times New Roman" w:hAnsi="Times New Roman" w:eastAsia="仿宋" w:cs="Times New Roman"/>
      <w:b/>
      <w:bCs/>
      <w:color w:val="000000"/>
      <w:sz w:val="28"/>
      <w:szCs w:val="26"/>
    </w:rPr>
  </w:style>
  <w:style w:type="paragraph" w:styleId="1098" w:customStyle="1">
    <w:name w:val="正文格式"/>
    <w:basedOn w:val="753"/>
    <w:uiPriority w:val="0"/>
    <w:qFormat/>
    <w:pPr>
      <w:ind w:firstLine="200"/>
      <w:jc w:val="both"/>
      <w:spacing w:line="360" w:lineRule="auto"/>
      <w:widowControl w:val="off"/>
    </w:pPr>
    <w:rPr>
      <w:rFonts w:eastAsia="仿宋" w:cstheme="minorBidi"/>
      <w:sz w:val="24"/>
      <w:szCs w:val="22"/>
    </w:rPr>
  </w:style>
  <w:style w:type="paragraph" w:styleId="1099" w:customStyle="1">
    <w:name w:val="BodyText"/>
    <w:basedOn w:val="753"/>
    <w:uiPriority w:val="0"/>
    <w:qFormat/>
    <w:pPr>
      <w:spacing w:after="120"/>
    </w:pPr>
  </w:style>
  <w:style w:type="numbering" w:styleId="11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AA61B74-64D0-42BF-B5CE-26E6AEBC9DD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韦飞</cp:lastModifiedBy>
  <cp:revision>172</cp:revision>
  <dcterms:created xsi:type="dcterms:W3CDTF">2023-11-15T03:32:00Z</dcterms:created>
  <dcterms:modified xsi:type="dcterms:W3CDTF">2026-08-20T01:04:49Z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3D02744A67B84B2CBAA2D51B59B4F4A3_13</vt:lpwstr>
  </property>
  <property fmtid="{D5CDD505-2E9C-101B-9397-08002B2CF9AE}" pid="4" name="KSOTemplateDocerSaveRecord">
    <vt:lpwstr>eyJoZGlkIjoiMjEzZmU5ZmE2NWYxODcyM2NiNmFlODBkNzg2OWI2OWMiLCJ1c2VySWQiOiIyNTEzNTg5ODgifQ==</vt:lpwstr>
  </property>
</Properties>
</file>