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53"/>
        <w:ind w:firstLine="0"/>
        <w:rPr>
          <w:rFonts w:ascii="宋体" w:hAnsi="宋体" w:cs="宋体"/>
          <w:bCs/>
          <w:color w:val="auto"/>
          <w:spacing w:val="76"/>
          <w:sz w:val="24"/>
        </w:rPr>
      </w:pPr>
      <w:r>
        <w:rPr>
          <w:rFonts w:ascii="宋体" w:hAnsi="宋体" w:cs="宋体"/>
          <w:bCs/>
          <w:color w:val="auto"/>
          <w:spacing w:val="76"/>
          <w:sz w:val="24"/>
        </w:rPr>
      </w:r>
      <w:r/>
    </w:p>
    <w:p>
      <w:pPr>
        <w:pStyle w:val="953"/>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jc w:val="center"/>
        <w:rPr>
          <w:rFonts w:ascii="宋体" w:hAnsi="宋体" w:cs="宋体"/>
          <w:bCs/>
          <w:color w:val="auto"/>
          <w:sz w:val="32"/>
        </w:rPr>
      </w:pPr>
      <w:r>
        <w:rPr>
          <w:rFonts w:ascii="宋体" w:hAnsi="宋体" w:cs="宋体"/>
          <w:bCs/>
          <w:color w:val="auto"/>
          <w:sz w:val="32"/>
        </w:rPr>
      </w:r>
      <w:r/>
    </w:p>
    <w:p>
      <w:pPr>
        <w:pStyle w:val="953"/>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w:t>
      </w:r>
      <w:r>
        <w:rPr>
          <w:rFonts w:hint="eastAsia" w:ascii="宋体" w:hAnsi="宋体" w:cs="宋体"/>
          <w:bCs/>
          <w:color w:val="auto"/>
          <w:sz w:val="32"/>
          <w:lang w:eastAsia="zh-CN"/>
        </w:rPr>
        <w:t xml:space="preserve">JSZC-320300-HWZX-G2026-0508</w:t>
      </w:r>
      <w:r>
        <w:rPr>
          <w:rFonts w:hint="eastAsia" w:ascii="宋体" w:hAnsi="宋体" w:cs="宋体"/>
          <w:bCs/>
          <w:color w:val="auto"/>
          <w:sz w:val="32"/>
        </w:rPr>
        <w:t xml:space="preserve"> </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项目名称：徐州市公安局警务辅助人员团体意外伤害（附加重大疾病）保险</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809"/>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sz w:val="44"/>
        </w:rPr>
      </w:pPr>
      <w:r>
        <w:rPr>
          <w:rFonts w:hint="eastAsia" w:ascii="宋体" w:hAnsi="宋体" w:cs="宋体"/>
          <w:color w:val="auto"/>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1970405</wp:posOffset>
                </wp:positionH>
                <wp:positionV relativeFrom="paragraph">
                  <wp:posOffset>46990</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5.2pt;mso-position-horizontal:absolute;mso-position-vertical-relative:text;margin-top:3.7pt;mso-position-vertical:absolute;width:119.0pt;height:81.4pt;mso-wrap-distance-left:9.0pt;mso-wrap-distance-top:0.0pt;mso-wrap-distance-right:9.0pt;mso-wrap-distance-bottom:0.0pt;" stroked="f">
                <v:path textboxrect="0,0,0,0"/>
                <w10:wrap type="topAndBottom"/>
                <v:imagedata r:id="rId15" o:title=""/>
              </v:shape>
            </w:pict>
          </mc:Fallback>
        </mc:AlternateContent>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w:t>
      </w:r>
      <w:r>
        <w:rPr>
          <w:rFonts w:hint="eastAsia" w:ascii="宋体" w:hAnsi="宋体" w:cs="宋体"/>
          <w:bCs/>
          <w:color w:val="auto"/>
          <w:sz w:val="30"/>
          <w:lang w:val="en-US" w:eastAsia="zh-CN"/>
        </w:rPr>
        <w:t xml:space="preserve">九</w:t>
      </w:r>
      <w:r>
        <w:rPr>
          <w:rFonts w:hint="eastAsia" w:ascii="宋体" w:hAnsi="宋体" w:cs="宋体"/>
          <w:bCs/>
          <w:color w:val="auto"/>
          <w:sz w:val="30"/>
        </w:rPr>
        <w:t xml:space="preserve">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bookmarkStart w:id="22" w:name="_GoBack"/>
      <w:r/>
      <w:bookmarkEnd w:id="22"/>
      <w:r/>
      <w:r/>
    </w:p>
    <w:p>
      <w:pPr>
        <w:pStyle w:val="709"/>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《徐州市公安局警务辅助人员团体意外伤害（附加重大疾病）保险项目》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依据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徐州市公安局警务辅助人员团体意外伤害（附加重大疾病）保险项目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（一）项目名称：徐州市公安局警务辅助人员团体意外伤害（附加重大疾病）保险。</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w:t>
      </w:r>
      <w:r>
        <w:rPr>
          <w:rFonts w:hint="eastAsia" w:ascii="宋体" w:hAnsi="宋体" w:cs="宋体"/>
          <w:bCs/>
          <w:color w:val="auto"/>
          <w:sz w:val="24"/>
          <w:lang w:eastAsia="zh-CN"/>
        </w:rPr>
        <w:t xml:space="preserve">JSZC-320300-HWZX-G2026-0508</w:t>
      </w:r>
      <w:r>
        <w:rPr>
          <w:rFonts w:hint="eastAsia" w:ascii="宋体" w:hAnsi="宋体" w:cs="宋体"/>
          <w:bCs/>
          <w:color w:val="auto"/>
          <w:sz w:val="24"/>
        </w:rPr>
        <w:t xml:space="preserve"> </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color w:val="auto"/>
        </w:rPr>
        <w:fldChar w:fldCharType="begin"/>
      </w:r>
      <w:r>
        <w:rPr>
          <w:color w:val="auto"/>
        </w:rPr>
        <w:instrText xml:space="preserve"> HYPERLINK "https://czj.xz.gov.cn/zfcg/index.html）--" </w:instrText>
      </w:r>
      <w:r>
        <w:rPr>
          <w:color w:val="auto"/>
        </w:rPr>
        <w:fldChar w:fldCharType="separate"/>
      </w:r>
      <w:r>
        <w:rPr>
          <w:rStyle w:val="744"/>
          <w:rFonts w:hint="eastAsia" w:ascii="宋体" w:hAnsi="宋体" w:cs="宋体"/>
          <w:bCs/>
          <w:color w:val="auto"/>
          <w:sz w:val="24"/>
        </w:rPr>
        <w:t xml:space="preserve">https://czj.xz.gov.cn/zfcg/index.html）</w:t>
      </w:r>
      <w:r>
        <w:rPr>
          <w:rStyle w:val="744"/>
          <w:rFonts w:hint="eastAsia" w:ascii="宋体" w:hAnsi="宋体" w:cs="宋体"/>
          <w:bCs/>
          <w:color w:val="auto"/>
          <w:sz w:val="24"/>
          <w:u w:val="none"/>
        </w:rPr>
        <w:t xml:space="preserve">--</w:t>
      </w:r>
      <w:r>
        <w:rPr>
          <w:rStyle w:val="744"/>
          <w:rFonts w:hint="eastAsia" w:ascii="宋体" w:hAnsi="宋体" w:cs="宋体"/>
          <w:bCs/>
          <w:color w:val="auto"/>
          <w:sz w:val="24"/>
          <w:u w:val="none"/>
        </w:rPr>
        <w:fldChar w:fldCharType="end"/>
      </w:r>
      <w:r>
        <w:rPr>
          <w:rFonts w:hint="eastAsia" w:ascii="宋体" w:hAnsi="宋体" w:cs="宋体"/>
          <w:bCs/>
          <w:color w:val="auto"/>
          <w:sz w:val="24"/>
        </w:rPr>
        <w:t xml:space="preserve">办事指南--供应商--供应商登录入口，点击“苏采云”进入系统。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（一）投标截止时间：2026年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9</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22</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（二）开标时间：2026年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9</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22</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（二）地址：徐州市泉山区金山东路6号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（三）采购项目联系人：高齐政</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w:t>
      </w:r>
      <w:r>
        <w:rPr>
          <w:rFonts w:ascii="宋体" w:hAnsi="宋体" w:cs="宋体"/>
          <w:bCs/>
          <w:color w:val="auto"/>
          <w:sz w:val="24"/>
        </w:rPr>
        <w:t xml:space="preserve">516</w:t>
      </w:r>
      <w:r>
        <w:rPr>
          <w:rFonts w:hint="eastAsia" w:ascii="宋体" w:hAnsi="宋体" w:cs="宋体"/>
          <w:bCs/>
          <w:color w:val="auto"/>
          <w:sz w:val="24"/>
        </w:rPr>
        <w:t xml:space="preserve">-</w:t>
      </w:r>
      <w:r>
        <w:rPr>
          <w:rFonts w:ascii="宋体" w:hAnsi="宋体" w:cs="宋体"/>
          <w:bCs/>
          <w:color w:val="auto"/>
          <w:sz w:val="24"/>
        </w:rPr>
        <w:t xml:space="preserve">83978823</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投标人不需缴纳投标保证金。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21"/>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707"/>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采购项目预算金额：人民币1</w:t>
            </w:r>
            <w:r>
              <w:rPr>
                <w:rFonts w:ascii="宋体" w:hAnsi="宋体" w:cs="宋体"/>
                <w:b/>
                <w:bCs/>
                <w:color w:val="auto"/>
                <w:sz w:val="24"/>
              </w:rPr>
              <w:t xml:space="preserve">76</w:t>
            </w:r>
            <w:r>
              <w:rPr>
                <w:rFonts w:hint="eastAsia" w:ascii="宋体" w:hAnsi="宋体" w:cs="宋体"/>
                <w:b/>
                <w:bCs/>
                <w:color w:val="auto"/>
                <w:sz w:val="24"/>
              </w:rPr>
              <w:t xml:space="preserve">.</w:t>
            </w:r>
            <w:r>
              <w:rPr>
                <w:rFonts w:ascii="宋体" w:hAnsi="宋体" w:cs="宋体"/>
                <w:b/>
                <w:bCs/>
                <w:color w:val="auto"/>
                <w:sz w:val="24"/>
              </w:rPr>
              <w:t xml:space="preserve">91</w:t>
            </w:r>
            <w:r>
              <w:rPr>
                <w:rFonts w:hint="eastAsia" w:ascii="宋体" w:hAnsi="宋体" w:cs="宋体"/>
                <w:b/>
                <w:bCs/>
                <w:color w:val="auto"/>
                <w:sz w:val="24"/>
              </w:rPr>
              <w:t xml:space="preserve">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本项目对样品的要求：不要求投标人提供样品，要求见招标文件第六章《采购需求》。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1"/>
            <w:r/>
            <w:bookmarkStart w:id="1" w:name="OLE_LINK20"/>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5"/>
            <w:r/>
            <w:bookmarkStart w:id="5" w:name="OLE_LINK24"/>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w:t>
            </w:r>
            <w:r>
              <w:rPr>
                <w:rFonts w:hint="eastAsia" w:ascii="宋体" w:hAnsi="宋体" w:cs="宋体"/>
                <w:b/>
                <w:color w:val="auto"/>
                <w:sz w:val="24"/>
                <w:lang w:val="en-US" w:eastAsia="zh-CN"/>
              </w:rPr>
              <w:t xml:space="preserve">5</w:t>
            </w:r>
            <w:r>
              <w:rPr>
                <w:rFonts w:hint="eastAsia" w:ascii="宋体" w:hAnsi="宋体" w:cs="宋体"/>
                <w:b/>
                <w:color w:val="auto"/>
                <w:sz w:val="24"/>
              </w:rPr>
              <w:t xml:space="preserve">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w:t>
            </w:r>
            <w:r/>
          </w:p>
          <w:p>
            <w:pPr>
              <w:ind w:firstLine="480"/>
              <w:rPr>
                <w:rFonts w:ascii="宋体" w:hAnsi="宋体" w:cs="宋体"/>
                <w:b/>
                <w:bCs/>
                <w:color w:val="auto"/>
                <w:sz w:val="24"/>
              </w:rPr>
            </w:pPr>
            <w:r>
              <w:rPr>
                <w:rFonts w:hint="eastAsia" w:ascii="宋体" w:hAnsi="宋体" w:cs="宋体"/>
                <w:b/>
                <w:bCs/>
                <w:color w:val="auto"/>
                <w:sz w:val="24"/>
              </w:rPr>
              <w:t xml:space="preserve">①投标人有效的《中华人民共和国经营保险业务许可证》扫描件。 </w:t>
            </w:r>
            <w:r/>
          </w:p>
          <w:p>
            <w:pPr>
              <w:ind w:firstLine="480"/>
              <w:rPr>
                <w:rFonts w:ascii="宋体" w:hAnsi="宋体" w:cs="宋体"/>
                <w:b/>
                <w:bCs/>
                <w:color w:val="auto"/>
                <w:sz w:val="24"/>
              </w:rPr>
            </w:pPr>
            <w:r>
              <w:rPr>
                <w:rFonts w:hint="eastAsia" w:ascii="宋体" w:hAnsi="宋体" w:cs="宋体"/>
                <w:b/>
                <w:bCs/>
                <w:color w:val="auto"/>
                <w:sz w:val="24"/>
              </w:rPr>
              <w:t xml:space="preserve">②本项目允许分公司参与投标，如分公司参与投标的须在投标文件中提供总公司的法人企业授权书扫描件（格式自拟）。</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ascii="宋体" w:hAnsi="宋体" w:cs="宋体"/>
                <w:color w:val="auto"/>
                <w:sz w:val="24"/>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5"/>
            <w:r/>
            <w:bookmarkStart w:id="7" w:name="OLE_LINK86"/>
            <w:r>
              <w:rPr>
                <w:rFonts w:hint="eastAsia" w:ascii="宋体" w:hAnsi="宋体" w:cs="宋体"/>
                <w:color w:val="auto"/>
                <w:sz w:val="24"/>
              </w:rPr>
              <w:t xml:space="preserve">2、符合招标文件及法律法规规定的其他投标无效的情形。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1、投标人保险金额总额</w:t>
            </w:r>
            <w:r/>
          </w:p>
          <w:p>
            <w:pPr>
              <w:ind w:firstLine="480"/>
              <w:rPr>
                <w:rFonts w:ascii="宋体" w:hAnsi="宋体" w:cs="宋体"/>
                <w:color w:val="auto"/>
                <w:sz w:val="24"/>
              </w:rPr>
            </w:pPr>
            <w:r>
              <w:rPr>
                <w:rFonts w:hint="eastAsia" w:ascii="宋体" w:hAnsi="宋体" w:cs="宋体"/>
                <w:color w:val="auto"/>
                <w:sz w:val="24"/>
              </w:rPr>
              <w:t xml:space="preserve">2、扩展条款保险责任范围和保额；</w:t>
            </w:r>
            <w:r/>
          </w:p>
          <w:p>
            <w:pPr>
              <w:ind w:firstLine="480"/>
              <w:rPr>
                <w:rFonts w:ascii="宋体" w:hAnsi="宋体" w:cs="宋体"/>
                <w:color w:val="auto"/>
                <w:sz w:val="24"/>
              </w:rPr>
            </w:pPr>
            <w:r>
              <w:rPr>
                <w:rFonts w:hint="eastAsia" w:ascii="宋体" w:hAnsi="宋体" w:cs="宋体"/>
                <w:color w:val="auto"/>
                <w:sz w:val="24"/>
              </w:rPr>
              <w:t xml:space="preserve">3、承保服务方案；</w:t>
            </w:r>
            <w:r/>
          </w:p>
          <w:p>
            <w:pPr>
              <w:ind w:firstLine="480"/>
              <w:rPr>
                <w:rFonts w:ascii="宋体" w:hAnsi="宋体" w:cs="宋体"/>
                <w:color w:val="auto"/>
                <w:sz w:val="24"/>
              </w:rPr>
            </w:pPr>
            <w:r>
              <w:rPr>
                <w:rFonts w:hint="eastAsia" w:ascii="宋体" w:hAnsi="宋体" w:cs="宋体"/>
                <w:color w:val="auto"/>
                <w:sz w:val="24"/>
              </w:rPr>
              <w:t xml:space="preserve">4、理赔服务方案；</w:t>
            </w:r>
            <w:r/>
          </w:p>
          <w:p>
            <w:pPr>
              <w:ind w:firstLine="480"/>
              <w:rPr>
                <w:rFonts w:ascii="宋体" w:hAnsi="宋体" w:cs="宋体"/>
                <w:color w:val="auto"/>
                <w:sz w:val="24"/>
              </w:rPr>
            </w:pPr>
            <w:r>
              <w:rPr>
                <w:rFonts w:hint="eastAsia" w:ascii="宋体" w:hAnsi="宋体" w:cs="宋体"/>
                <w:color w:val="auto"/>
                <w:sz w:val="24"/>
              </w:rPr>
              <w:t xml:space="preserve">5、咨询服务方案；</w:t>
            </w:r>
            <w:r/>
          </w:p>
          <w:p>
            <w:pPr>
              <w:ind w:firstLine="480"/>
              <w:rPr>
                <w:rFonts w:ascii="宋体" w:hAnsi="宋体" w:cs="宋体"/>
                <w:color w:val="auto"/>
                <w:sz w:val="24"/>
              </w:rPr>
            </w:pPr>
            <w:r>
              <w:rPr>
                <w:rFonts w:hint="eastAsia" w:ascii="宋体" w:hAnsi="宋体" w:cs="宋体"/>
                <w:color w:val="auto"/>
                <w:sz w:val="24"/>
              </w:rPr>
              <w:t xml:space="preserve">6、其它优惠服务方案。</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pStyle w:val="727"/>
              <w:spacing w:after="0" w:line="240" w:lineRule="auto"/>
              <w:rPr>
                <w:rFonts w:ascii="宋体" w:hAnsi="宋体" w:cs="宋体"/>
                <w:bCs/>
                <w:color w:val="auto"/>
                <w:sz w:val="24"/>
              </w:rPr>
            </w:pPr>
            <w:r>
              <w:rPr>
                <w:rFonts w:hint="eastAsia" w:ascii="宋体" w:hAnsi="宋体" w:cs="宋体"/>
                <w:bCs/>
                <w:color w:val="auto"/>
                <w:sz w:val="24"/>
              </w:rPr>
              <w:t xml:space="preserve">（一）提供的服务全部由符合政策要求的中小企业承接，提供《中小企业声明函》（填写完整，加盖电子签章，格式见招标文件第七章《投标文件相关格式》,如不填写完整，视为不满足，非必须提供）。</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注：具体以《政府采购促进中小企业发展管理办法》（财库[2020]46号）和《关于印发中小企业划型标准规定的通知》（工信部联企业[2011]300号）的规定为准。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注：监狱企业和残疾人福利性单位等同于小微企业。</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投标人为监狱企业的，提供省级以上监狱管理局、戒毒管理局（含新疆生产建设兵团）出具的属于监狱企业的证明文件原件的扫描件。</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具体以《财政部 司法部关于政府采购支持监狱企业发展有关问题的通知》（财库〔2014〕68号）的规定为准。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投标人为享受政府采购支持政策的残疾人福利性单位的，提供《残疾人福利性单位声明函》（加盖电子签章，格式见招标文件第七章《投标文件相关格式》）。</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享受政府采购支持政策的残疾人福利性单位应当同时满足以下条件：</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①安置的残疾人占本单位在职职工人数的比例不低于25%（含25%），并且安置的残疾人人数不少于10人（含10人）；</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②依法与安置的每位残疾人签订了一年以上（含一年）的劳动合同或服务协议；</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③为安置的每位残疾人按月足额缴纳了基本养老保险、基本医疗保险、失业保险、工伤保险和生育保险等社会保险费；</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④通过银行等金融机构向安置的每位残疾人，按月支付了不低于单位所在区县适用的经省级人民政府批准的月最低工资标准的工资；</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⑤提供本单位制造的货物、承担的工程或者服务（以下简称产品），或者提供其他残疾人福利性单位制造的货物（不包括使用非残疾人福利性单位注册商标的货物）。</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具体以《三部门联合发布关于促进残疾人就业政府采购政策的通知》（财库〔2017〕141号）规定为准。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1、投标人应对以上文件的合法性、真实性负责；</w:t>
            </w:r>
            <w:r/>
          </w:p>
          <w:p>
            <w:pPr>
              <w:pStyle w:val="727"/>
              <w:ind w:firstLine="480"/>
              <w:spacing w:after="0" w:line="240" w:lineRule="auto"/>
              <w:rPr>
                <w:rFonts w:ascii="宋体" w:hAnsi="宋体" w:cs="宋体"/>
                <w:color w:val="auto"/>
                <w:sz w:val="24"/>
                <w:szCs w:val="24"/>
              </w:rPr>
            </w:pPr>
            <w:r>
              <w:rPr>
                <w:rFonts w:hint="eastAsia" w:ascii="宋体" w:hAnsi="宋体" w:cs="宋体"/>
                <w:bCs/>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ind w:firstLine="480"/>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ind w:firstLine="480"/>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ind w:firstLine="480"/>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ind w:firstLine="480"/>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ind w:firstLine="480"/>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ind w:firstLine="480"/>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35"/>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35"/>
              <w:ind w:firstLine="480"/>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35"/>
              <w:ind w:firstLine="482"/>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auto"/>
                <w:sz w:val="24"/>
              </w:rPr>
              <w:t xml:space="preserve">投标截止时间：2026年 </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日9：30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auto"/>
                <w:sz w:val="24"/>
              </w:rPr>
            </w:pPr>
            <w:r>
              <w:rPr>
                <w:rFonts w:hint="eastAsia" w:ascii="宋体" w:hAnsi="宋体" w:cs="宋体"/>
                <w:b/>
                <w:bCs/>
                <w:color w:val="auto"/>
                <w:sz w:val="24"/>
              </w:rPr>
              <w:t xml:space="preserve">1、投标文件递交截止时间：2026年</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ind w:firstLine="480"/>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ind w:firstLine="480"/>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ind w:firstLine="480"/>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4"/>
            <w:r/>
            <w:bookmarkStart w:id="9" w:name="OLE_LINK7"/>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2"/>
            <w:r/>
            <w:bookmarkStart w:id="11" w:name="OLE_LINK93"/>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2、投标人投标报价相同的，承保服务方案得分高的，被确定为中标人。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3、投标人投标报价和承保服务方案得分都相同的，由采购人确定。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ind w:firstLine="480"/>
              <w:rPr>
                <w:rFonts w:ascii="宋体" w:hAnsi="宋体" w:cs="宋体"/>
                <w:color w:val="auto"/>
                <w:sz w:val="24"/>
              </w:rPr>
            </w:pPr>
            <w:r>
              <w:rPr>
                <w:rFonts w:hint="eastAsia" w:ascii="宋体" w:hAnsi="宋体" w:cs="宋体"/>
                <w:color w:val="auto"/>
                <w:sz w:val="24"/>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ind w:firstLine="480"/>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本项目不属于专门面向中小微企业采购的项目。</w:t>
            </w:r>
            <w:r/>
          </w:p>
        </w:tc>
      </w:tr>
    </w:tbl>
    <w:p>
      <w:pPr>
        <w:numPr>
          <w:ilvl w:val="0"/>
          <w:numId w:val="2"/>
        </w:numPr>
        <w:jc w:val="center"/>
        <w:widowControl/>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3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707"/>
        <w:tblW w:w="8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287"/>
        <w:gridCol w:w="6470"/>
      </w:tblGrid>
      <w:tr>
        <w:trPr>
          <w:jc w:val="center"/>
          <w:trHeight w:val="515"/>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评分内容</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w:t>
            </w:r>
            <w:r/>
          </w:p>
        </w:tc>
        <w:tc>
          <w:tcPr>
            <w:tcW w:w="64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评分依据</w:t>
            </w:r>
            <w:r/>
          </w:p>
        </w:tc>
      </w:tr>
      <w:tr>
        <w:trPr>
          <w:jc w:val="center"/>
          <w:trHeight w:val="515"/>
        </w:trPr>
        <w:tc>
          <w:tcPr>
            <w:gridSpan w:val="2"/>
            <w:tcW w:w="217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价格部分（0分）</w:t>
            </w:r>
            <w:r/>
          </w:p>
        </w:tc>
        <w:tc>
          <w:tcPr>
            <w:tcW w:w="647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本项目采用固定价格采购的项目，固定保费为：300元/人/年，本项目报价不参与价格评审。根据《政府采购货物和服务招标投标管理办法》第六十六条规定，执行国家统一定价标准和采用固定价格采购的项目，其价格不列为评审因素。</w:t>
            </w:r>
            <w:r/>
          </w:p>
        </w:tc>
      </w:tr>
      <w:tr>
        <w:trPr>
          <w:cantSplit/>
          <w:jc w:val="center"/>
          <w:trHeight w:val="2246"/>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商务部分(4分)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投标人为乙方，自2023年1月1日以来（以保单出单日期或协议（合同）签订日期为准）承担的类似团体意外伤害保险项目承接过团体意外伤害类保险业务等相同或类似项目的，每份业绩得2分，本项最高得4分。</w:t>
            </w:r>
            <w:r/>
          </w:p>
          <w:p>
            <w:pPr>
              <w:rPr>
                <w:rFonts w:ascii="宋体" w:hAnsi="宋体" w:cs="宋体"/>
                <w:color w:val="auto"/>
                <w:sz w:val="24"/>
              </w:rPr>
            </w:pPr>
            <w:r>
              <w:rPr>
                <w:rFonts w:hint="eastAsia" w:ascii="宋体" w:hAnsi="宋体" w:cs="宋体"/>
                <w:color w:val="auto"/>
                <w:sz w:val="24"/>
              </w:rPr>
              <w:t xml:space="preserve">注：投标文件中同时提供中标（成交）通知书扫描件、协议（合同）扫描件、发票（或对应银行收款进账凭证）并加盖投标人电子签章方为有效，缺一或提供内容模糊不清的不得分。</w:t>
            </w:r>
            <w:r/>
          </w:p>
        </w:tc>
      </w:tr>
      <w:tr>
        <w:trPr>
          <w:cantSplit/>
          <w:jc w:val="center"/>
          <w:trHeight w:val="2238"/>
        </w:trPr>
        <w:tc>
          <w:tcPr>
            <w:tcW w:w="8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技术部分(96分)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投标人保险金额总额(20分)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1）猝死保险金额在满足采购需求的基础上，每增加2000元，得2分，最高得4分（增加不足2000元的不计分）；</w:t>
            </w:r>
            <w:r/>
          </w:p>
          <w:p>
            <w:pPr>
              <w:rPr>
                <w:rFonts w:ascii="宋体" w:hAnsi="宋体" w:cs="宋体"/>
                <w:color w:val="auto"/>
                <w:sz w:val="24"/>
              </w:rPr>
            </w:pPr>
            <w:r>
              <w:rPr>
                <w:rFonts w:hint="eastAsia" w:ascii="宋体" w:hAnsi="宋体" w:cs="宋体"/>
                <w:color w:val="auto"/>
                <w:sz w:val="24"/>
              </w:rPr>
              <w:t xml:space="preserve">2）疾病身故保险金额在满足采购需求的基础上，每增加2000元，得2分，最高得4分（增加不足2000元的不计分）；</w:t>
            </w:r>
            <w:r/>
          </w:p>
          <w:p>
            <w:pPr>
              <w:rPr>
                <w:rFonts w:ascii="宋体" w:hAnsi="宋体" w:cs="宋体"/>
                <w:color w:val="auto"/>
                <w:sz w:val="24"/>
              </w:rPr>
            </w:pPr>
            <w:r>
              <w:rPr>
                <w:rFonts w:hint="eastAsia" w:ascii="宋体" w:hAnsi="宋体" w:cs="宋体"/>
                <w:color w:val="auto"/>
                <w:sz w:val="24"/>
              </w:rPr>
              <w:t xml:space="preserve">3）重大疾病保险金额在满足采购需求的基础上，每增加10000元，得2分，最高得4分（增加不足10000元的不计分）；</w:t>
            </w:r>
            <w:r/>
          </w:p>
          <w:p>
            <w:pPr>
              <w:rPr>
                <w:rFonts w:ascii="宋体" w:hAnsi="宋体" w:cs="宋体"/>
                <w:color w:val="auto"/>
                <w:sz w:val="24"/>
              </w:rPr>
            </w:pPr>
            <w:r>
              <w:rPr>
                <w:rFonts w:hint="eastAsia" w:ascii="宋体" w:hAnsi="宋体" w:cs="宋体"/>
                <w:color w:val="auto"/>
                <w:sz w:val="24"/>
              </w:rPr>
              <w:t xml:space="preserve">4）住院补贴保险金额（普通病房住院）在满足采购需求的基础上，每增加10元/天，得1分，最高得4分（增加不足10元/天的不计分）；</w:t>
            </w:r>
            <w:r/>
          </w:p>
          <w:p>
            <w:pPr>
              <w:rPr>
                <w:rFonts w:ascii="宋体" w:hAnsi="宋体" w:cs="宋体"/>
                <w:color w:val="auto"/>
                <w:sz w:val="24"/>
              </w:rPr>
            </w:pPr>
            <w:r>
              <w:rPr>
                <w:rFonts w:hint="eastAsia" w:ascii="宋体" w:hAnsi="宋体" w:cs="宋体"/>
                <w:color w:val="auto"/>
                <w:sz w:val="24"/>
              </w:rPr>
              <w:t xml:space="preserve">5）住院医疗保险金额在满足采购需求的基础上，每增加1000元，得2分，最高的4分（增加不足1000元的不计分）。</w:t>
            </w:r>
            <w:r/>
          </w:p>
        </w:tc>
      </w:tr>
      <w:tr>
        <w:trPr>
          <w:cantSplit/>
          <w:jc w:val="center"/>
          <w:trHeight w:val="11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扩展条款保险责任范围和保额</w:t>
            </w:r>
            <w:r/>
          </w:p>
          <w:p>
            <w:pPr>
              <w:jc w:val="center"/>
              <w:rPr>
                <w:rFonts w:ascii="宋体" w:hAnsi="宋体" w:cs="宋体"/>
                <w:color w:val="auto"/>
                <w:sz w:val="24"/>
              </w:rPr>
            </w:pPr>
            <w:r>
              <w:rPr>
                <w:rFonts w:hint="eastAsia" w:ascii="宋体" w:hAnsi="宋体" w:cs="宋体"/>
                <w:color w:val="auto"/>
                <w:sz w:val="24"/>
              </w:rPr>
              <w:t xml:space="preserve">（5分）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扩展条款保险责任范围和保额情况评分。完全满足招标文件《第六章（采购需求）》中“五、项目要求”且在此基础上提供有利于被保险人的扩展条款保险责任范围和保额的，每项加0.5分。最低得0分，本项最高得5分。</w:t>
            </w:r>
            <w:r/>
          </w:p>
          <w:p>
            <w:pPr>
              <w:rPr>
                <w:rFonts w:ascii="宋体" w:hAnsi="宋体" w:cs="宋体"/>
                <w:color w:val="auto"/>
                <w:sz w:val="24"/>
              </w:rPr>
            </w:pPr>
            <w:r>
              <w:rPr>
                <w:rFonts w:hint="eastAsia" w:ascii="宋体" w:hAnsi="宋体" w:cs="宋体"/>
                <w:color w:val="auto"/>
                <w:sz w:val="24"/>
              </w:rPr>
              <w:t xml:space="preserve">注：在招标文件“第六章采购需求”中“五、项目要求”基本要求的基础上增加保险项目。提供承诺书（承诺书格式自拟）并加盖投标人电子签章方为有效。</w:t>
            </w:r>
            <w:r/>
          </w:p>
        </w:tc>
      </w:tr>
      <w:tr>
        <w:trPr>
          <w:cantSplit/>
          <w:jc w:val="center"/>
          <w:trHeight w:val="1148"/>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承保服务方案(24分)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1、依据投标人投标文件中的偏离表内容，完全满足招标文件《采购需求》“四、具体内容明细”要求的得10分，响应指标不满足或负偏离的，每项扣2分，本项最高得10分，最低得0分。</w:t>
            </w:r>
            <w:r/>
          </w:p>
        </w:tc>
      </w:tr>
      <w:tr>
        <w:trPr>
          <w:cantSplit/>
          <w:jc w:val="center"/>
          <w:trHeight w:val="63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2、依据服务网络、服务人员配备（承保、理赔、财务核算、信息反馈系统、答疑咨询等专职人员、联系人、职务及电话）方案的全面性、针对性、可行性等进行评价。</w:t>
            </w:r>
            <w:r/>
          </w:p>
          <w:p>
            <w:pPr>
              <w:rPr>
                <w:rFonts w:ascii="宋体" w:hAnsi="宋体" w:cs="宋体"/>
                <w:color w:val="auto"/>
                <w:sz w:val="24"/>
              </w:rPr>
            </w:pPr>
            <w:r>
              <w:rPr>
                <w:rFonts w:hint="eastAsia" w:ascii="宋体" w:hAnsi="宋体" w:cs="宋体"/>
                <w:color w:val="auto"/>
                <w:sz w:val="24"/>
              </w:rPr>
              <w:t xml:space="preserve">全面性(5分)：全面具体详实得5分；较全面得3分；不全面得1分。</w:t>
            </w:r>
            <w:r/>
          </w:p>
          <w:p>
            <w:pPr>
              <w:rPr>
                <w:rFonts w:ascii="宋体" w:hAnsi="宋体" w:cs="宋体"/>
                <w:color w:val="auto"/>
                <w:sz w:val="24"/>
              </w:rPr>
            </w:pPr>
            <w:r>
              <w:rPr>
                <w:rFonts w:hint="eastAsia" w:ascii="宋体" w:hAnsi="宋体" w:cs="宋体"/>
                <w:color w:val="auto"/>
                <w:sz w:val="24"/>
              </w:rPr>
              <w:t xml:space="preserve">针对性(5分)：针对性强得5分；针对性较强得3分；针对性不强得1分。</w:t>
            </w:r>
            <w:r/>
          </w:p>
          <w:p>
            <w:pPr>
              <w:rPr>
                <w:rFonts w:ascii="宋体" w:hAnsi="宋体" w:cs="宋体"/>
                <w:color w:val="auto"/>
                <w:sz w:val="24"/>
              </w:rPr>
            </w:pPr>
            <w:r>
              <w:rPr>
                <w:rFonts w:hint="eastAsia" w:ascii="宋体" w:hAnsi="宋体" w:cs="宋体"/>
                <w:color w:val="auto"/>
                <w:sz w:val="24"/>
              </w:rPr>
              <w:t xml:space="preserve">可行性(4分)：符合实际切实可行得4分；较切实可行得2分；可行性欠缺得1分。</w:t>
            </w:r>
            <w:r/>
          </w:p>
          <w:p>
            <w:pPr>
              <w:rPr>
                <w:rFonts w:ascii="宋体" w:hAnsi="宋体" w:cs="宋体"/>
                <w:color w:val="auto"/>
                <w:sz w:val="24"/>
              </w:rPr>
            </w:pPr>
            <w:r>
              <w:rPr>
                <w:rFonts w:hint="eastAsia" w:ascii="宋体" w:hAnsi="宋体" w:cs="宋体"/>
                <w:color w:val="auto"/>
                <w:sz w:val="24"/>
              </w:rPr>
              <w:t xml:space="preserve">本项最高得14分，最低得0分，未提供的不得分。</w:t>
            </w:r>
            <w:r/>
          </w:p>
        </w:tc>
      </w:tr>
      <w:tr>
        <w:trPr>
          <w:cantSplit/>
          <w:jc w:val="center"/>
          <w:trHeight w:val="1168"/>
        </w:trPr>
        <w:tc>
          <w:tcPr>
            <w:tcW w:w="885" w:type="dxa"/>
            <w:vAlign w:val="center"/>
            <w:vMerge w:val="continue"/>
            <w:textDirection w:val="lrTb"/>
            <w:noWrap w:val="false"/>
          </w:tcPr>
          <w:p>
            <w:pPr>
              <w:rPr>
                <w:rFonts w:ascii="宋体" w:hAnsi="宋体" w:cs="宋体"/>
                <w:bCs/>
                <w:color w:val="auto"/>
                <w:sz w:val="24"/>
              </w:rPr>
            </w:pPr>
            <w:r>
              <w:rPr>
                <w:rFonts w:ascii="宋体" w:hAnsi="宋体" w:cs="宋体"/>
                <w:bCs/>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理赔服务方案（32分）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1、依据投标人是否明确表述索赔流程、理赔资料充分告知工作的承诺以及具体实施举措等方面进行评价（5分）：</w:t>
            </w:r>
            <w:r/>
          </w:p>
          <w:p>
            <w:pPr>
              <w:rPr>
                <w:rFonts w:ascii="宋体" w:hAnsi="宋体" w:cs="宋体"/>
                <w:color w:val="auto"/>
                <w:sz w:val="24"/>
              </w:rPr>
            </w:pPr>
            <w:r>
              <w:rPr>
                <w:rFonts w:hint="eastAsia" w:ascii="宋体" w:hAnsi="宋体" w:cs="宋体"/>
                <w:color w:val="auto"/>
                <w:sz w:val="24"/>
              </w:rPr>
              <w:t xml:space="preserve">完善合理的得5分，较完善合理的得3分，欠缺的得1分。本项最高得5分，最低得0分，未提供的不得分。</w:t>
            </w:r>
            <w:r/>
          </w:p>
        </w:tc>
      </w:tr>
      <w:tr>
        <w:trPr>
          <w:cantSplit/>
          <w:jc w:val="center"/>
          <w:trHeight w:val="1635"/>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理赔响应时间（6分）：</w:t>
            </w:r>
            <w:r/>
          </w:p>
          <w:p>
            <w:pPr>
              <w:rPr>
                <w:rFonts w:ascii="宋体" w:hAnsi="宋体" w:cs="宋体"/>
                <w:color w:val="auto"/>
                <w:sz w:val="24"/>
              </w:rPr>
            </w:pPr>
            <w:r>
              <w:rPr>
                <w:rFonts w:hint="eastAsia" w:ascii="宋体" w:hAnsi="宋体" w:cs="宋体"/>
                <w:color w:val="auto"/>
                <w:sz w:val="24"/>
              </w:rPr>
              <w:t xml:space="preserve">根据理赔响应时间的内容及相关情况的描述综合比较评价：理赔响应时间快、相关情况描述全面的得6分；理赔响应时间较快、相关情况描述较全面的得4分；理赔响应时间慢、相关情况描述不全面的得2分。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117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理赔时效（6分）：</w:t>
            </w:r>
            <w:r/>
          </w:p>
          <w:p>
            <w:pPr>
              <w:rPr>
                <w:rFonts w:ascii="宋体" w:hAnsi="宋体" w:cs="宋体"/>
                <w:color w:val="auto"/>
                <w:sz w:val="24"/>
              </w:rPr>
            </w:pPr>
            <w:r>
              <w:rPr>
                <w:rFonts w:hint="eastAsia" w:ascii="宋体" w:hAnsi="宋体" w:cs="宋体"/>
                <w:color w:val="auto"/>
                <w:sz w:val="24"/>
              </w:rPr>
              <w:t xml:space="preserve">根据理赔响应时效的内容及相关情况的描述综合比较评价：理赔响应时效长，相关情况描述全面的得6分；理赔响应时效较长、相关情况描述较全面的得4分；理赔响应时效短、相关情况描述不全面的得2分。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rPr>
              <w:t xml:space="preserve">理赔手续（6分）：</w:t>
            </w:r>
            <w:r/>
          </w:p>
          <w:p>
            <w:pPr>
              <w:rPr>
                <w:rFonts w:ascii="宋体" w:hAnsi="宋体" w:cs="宋体"/>
                <w:color w:val="auto"/>
                <w:sz w:val="24"/>
              </w:rPr>
            </w:pPr>
            <w:r>
              <w:rPr>
                <w:rFonts w:hint="eastAsia" w:ascii="宋体" w:hAnsi="宋体" w:cs="宋体"/>
                <w:color w:val="auto"/>
                <w:sz w:val="24"/>
              </w:rPr>
              <w:t xml:space="preserve">根据理赔手续明确提供手续的主体、材料、期限等内容综合比较评价：完善合理的得6分，较完善合理的得4分，欠缺的得2分。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90"/>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numPr>
                <w:numId w:val="0"/>
              </w:numPr>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根据重大事故应急预案详细内容进场评价（6分）：</w:t>
            </w:r>
            <w:r/>
          </w:p>
          <w:p>
            <w:pPr>
              <w:rPr>
                <w:rFonts w:ascii="宋体" w:hAnsi="宋体" w:cs="宋体"/>
                <w:color w:val="auto"/>
                <w:sz w:val="24"/>
              </w:rPr>
            </w:pPr>
            <w:r>
              <w:rPr>
                <w:rFonts w:hint="eastAsia" w:ascii="宋体" w:hAnsi="宋体" w:cs="宋体"/>
                <w:color w:val="auto"/>
                <w:sz w:val="24"/>
              </w:rPr>
              <w:t xml:space="preserve">完善合理的得6分，较完善合理的得4分，欠缺的得2分。本项最高得6分，最低得0分，未提供的不得分。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eastAsia="zh-CN"/>
              </w:rPr>
              <w:t xml:space="preserve">、</w:t>
            </w:r>
            <w:r>
              <w:rPr>
                <w:rFonts w:hint="eastAsia" w:ascii="宋体" w:hAnsi="宋体" w:cs="宋体"/>
                <w:color w:val="auto"/>
                <w:sz w:val="24"/>
              </w:rPr>
              <w:t xml:space="preserve">其它理赔服务（3分）：依据投标人其它有利于投保人的理赔服务承诺内容进行评价。</w:t>
            </w:r>
            <w:r/>
          </w:p>
          <w:p>
            <w:pPr>
              <w:rPr>
                <w:rFonts w:ascii="宋体" w:hAnsi="宋体" w:cs="宋体"/>
                <w:color w:val="auto"/>
                <w:sz w:val="24"/>
              </w:rPr>
            </w:pPr>
            <w:r>
              <w:rPr>
                <w:rFonts w:hint="eastAsia" w:ascii="宋体" w:hAnsi="宋体" w:cs="宋体"/>
                <w:color w:val="auto"/>
                <w:sz w:val="24"/>
              </w:rPr>
              <w:t xml:space="preserve">完善合理的得3分，较完善合理的得2分，欠缺的得1分。本项最高得3分，最低得0分，未提供的不得分。</w:t>
            </w:r>
            <w:r/>
          </w:p>
        </w:tc>
      </w:tr>
      <w:tr>
        <w:trPr>
          <w:cantSplit/>
          <w:jc w:val="center"/>
          <w:trHeight w:val="473"/>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咨询服务方案（5分）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从咨询服务方案的全面性、可行性、合理性等方面进行评价。</w:t>
            </w:r>
            <w:r/>
          </w:p>
          <w:p>
            <w:pPr>
              <w:rPr>
                <w:rFonts w:ascii="宋体" w:hAnsi="宋体" w:cs="宋体"/>
                <w:color w:val="auto"/>
                <w:sz w:val="24"/>
              </w:rPr>
            </w:pPr>
            <w:r>
              <w:rPr>
                <w:rFonts w:hint="eastAsia" w:ascii="宋体" w:hAnsi="宋体" w:cs="宋体"/>
                <w:color w:val="auto"/>
                <w:sz w:val="24"/>
              </w:rPr>
              <w:t xml:space="preserve">全面具体详实、针对性强、切实可行的得5分；</w:t>
            </w:r>
            <w:r/>
          </w:p>
          <w:p>
            <w:pPr>
              <w:rPr>
                <w:rFonts w:ascii="宋体" w:hAnsi="宋体" w:cs="宋体"/>
                <w:color w:val="auto"/>
                <w:sz w:val="24"/>
              </w:rPr>
            </w:pPr>
            <w:r>
              <w:rPr>
                <w:rFonts w:hint="eastAsia" w:ascii="宋体" w:hAnsi="宋体" w:cs="宋体"/>
                <w:color w:val="auto"/>
                <w:sz w:val="24"/>
              </w:rPr>
              <w:t xml:space="preserve">较全面、针对性较强、较切实可行的得3分；</w:t>
            </w:r>
            <w:r/>
          </w:p>
          <w:p>
            <w:pPr>
              <w:rPr>
                <w:rFonts w:ascii="宋体" w:hAnsi="宋体" w:cs="宋体"/>
                <w:color w:val="auto"/>
                <w:sz w:val="24"/>
              </w:rPr>
            </w:pPr>
            <w:r>
              <w:rPr>
                <w:rFonts w:hint="eastAsia" w:ascii="宋体" w:hAnsi="宋体" w:cs="宋体"/>
                <w:color w:val="auto"/>
                <w:sz w:val="24"/>
              </w:rPr>
              <w:t xml:space="preserve">不全面、针对性不强、可行性欠缺得1分。</w:t>
            </w:r>
            <w:r/>
          </w:p>
          <w:p>
            <w:pPr>
              <w:rPr>
                <w:rFonts w:ascii="宋体" w:hAnsi="宋体" w:cs="宋体"/>
                <w:color w:val="auto"/>
                <w:sz w:val="24"/>
              </w:rPr>
            </w:pPr>
            <w:r>
              <w:rPr>
                <w:rFonts w:hint="eastAsia" w:ascii="宋体" w:hAnsi="宋体" w:cs="宋体"/>
                <w:color w:val="auto"/>
                <w:sz w:val="24"/>
              </w:rPr>
              <w:t xml:space="preserve">本项最高得5分，最低得0分，未提供的不得分。</w:t>
            </w:r>
            <w:r/>
          </w:p>
        </w:tc>
      </w:tr>
      <w:tr>
        <w:trPr>
          <w:cantSplit/>
          <w:jc w:val="center"/>
          <w:trHeight w:val="172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其它优惠服务方案(10分)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应在可能情况下和国家法律法规允许范围内，明确表述实际给予的实质性的优惠或有利于投保单位的方案进行评价。</w:t>
            </w:r>
            <w:r/>
          </w:p>
          <w:p>
            <w:pPr>
              <w:rPr>
                <w:rFonts w:ascii="宋体" w:hAnsi="宋体" w:cs="宋体"/>
                <w:color w:val="auto"/>
                <w:sz w:val="24"/>
              </w:rPr>
            </w:pPr>
            <w:r>
              <w:rPr>
                <w:rFonts w:hint="eastAsia" w:ascii="宋体" w:hAnsi="宋体" w:cs="宋体"/>
                <w:color w:val="auto"/>
                <w:sz w:val="24"/>
              </w:rPr>
              <w:t xml:space="preserve">切实可行最为优惠的得10分；</w:t>
            </w:r>
            <w:r/>
          </w:p>
          <w:p>
            <w:pPr>
              <w:rPr>
                <w:rFonts w:ascii="宋体" w:hAnsi="宋体" w:cs="宋体"/>
                <w:color w:val="auto"/>
                <w:sz w:val="24"/>
              </w:rPr>
            </w:pPr>
            <w:r>
              <w:rPr>
                <w:rFonts w:hint="eastAsia" w:ascii="宋体" w:hAnsi="宋体" w:cs="宋体"/>
                <w:color w:val="auto"/>
                <w:sz w:val="24"/>
              </w:rPr>
              <w:t xml:space="preserve">较为切实可行优惠较大的得7分；</w:t>
            </w:r>
            <w:r/>
          </w:p>
          <w:p>
            <w:pPr>
              <w:rPr>
                <w:rFonts w:ascii="宋体" w:hAnsi="宋体" w:cs="宋体"/>
                <w:color w:val="auto"/>
                <w:sz w:val="24"/>
              </w:rPr>
            </w:pPr>
            <w:r>
              <w:rPr>
                <w:rFonts w:hint="eastAsia" w:ascii="宋体" w:hAnsi="宋体" w:cs="宋体"/>
                <w:color w:val="auto"/>
                <w:sz w:val="24"/>
              </w:rPr>
              <w:t xml:space="preserve">优惠一般的得4分；优惠较少的得2分；</w:t>
            </w:r>
            <w:r/>
          </w:p>
          <w:p>
            <w:pPr>
              <w:rPr>
                <w:rFonts w:ascii="宋体" w:hAnsi="宋体" w:cs="宋体"/>
                <w:color w:val="auto"/>
                <w:sz w:val="24"/>
              </w:rPr>
            </w:pPr>
            <w:r>
              <w:rPr>
                <w:rFonts w:hint="eastAsia" w:ascii="宋体" w:hAnsi="宋体" w:cs="宋体"/>
                <w:color w:val="auto"/>
                <w:sz w:val="24"/>
              </w:rPr>
              <w:t xml:space="preserve">本项最高得10分，最低得0分，未提供的不得分。</w:t>
            </w:r>
            <w:r/>
          </w:p>
        </w:tc>
      </w:tr>
    </w:tbl>
    <w:p>
      <w:pPr>
        <w:widowControl/>
        <w:rPr>
          <w:rFonts w:ascii="宋体" w:hAnsi="宋体" w:cs="宋体"/>
          <w:color w:val="auto"/>
          <w:sz w:val="24"/>
        </w:rPr>
      </w:pPr>
      <w:r>
        <w:rPr>
          <w:rFonts w:ascii="宋体" w:hAnsi="宋体" w:cs="宋体"/>
          <w:color w:val="auto"/>
          <w:sz w:val="24"/>
        </w:rPr>
      </w:r>
      <w:r/>
    </w:p>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2" w:name="_Toc434410155"/>
      <w:r/>
      <w:bookmarkEnd w:id="12"/>
      <w:r/>
      <w:r/>
    </w:p>
    <w:p>
      <w:pPr>
        <w:pStyle w:val="802"/>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项目名称：</w:t>
      </w:r>
      <w:r/>
    </w:p>
    <w:p>
      <w:pPr>
        <w:pStyle w:val="802"/>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项目编号：</w:t>
      </w:r>
      <w:r/>
    </w:p>
    <w:p>
      <w:pPr>
        <w:pStyle w:val="802"/>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合</w:t>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同</w:t>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采  购  人：</w:t>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成交供应商：</w:t>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合同签订日期： 年 月 日</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友情提醒：采购人与中标供应商应当在中标通知书发出之日起三十日内，按照采购文件确定的事项签订政府采购合同。</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clear="all"/>
      </w:r>
      <w:r/>
    </w:p>
    <w:p>
      <w:pPr>
        <w:rPr>
          <w:color w:val="auto"/>
        </w:rPr>
      </w:pPr>
      <w:r>
        <w:rPr>
          <w:rFonts w:hint="eastAsia" w:ascii="宋体" w:hAnsi="宋体" w:cs="宋体"/>
          <w:color w:val="auto"/>
          <w:sz w:val="24"/>
          <w:szCs w:val="22"/>
        </w:rPr>
        <w:t xml:space="preserve">甲方：徐州市公安局</w:t>
      </w:r>
      <w:r/>
    </w:p>
    <w:p>
      <w:pPr>
        <w:rPr>
          <w:color w:val="auto"/>
        </w:rPr>
      </w:pPr>
      <w:r>
        <w:rPr>
          <w:rFonts w:hint="eastAsia"/>
          <w:color w:val="auto"/>
        </w:rPr>
        <w:t xml:space="preserve">乙方：</w:t>
      </w:r>
      <w:r/>
    </w:p>
    <w:p>
      <w:pPr>
        <w:rPr>
          <w:color w:val="auto"/>
        </w:rPr>
      </w:pPr>
      <w:r>
        <w:rPr>
          <w:color w:val="auto"/>
        </w:rPr>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甲乙双方根据徐州市公安局警务辅助人员团体意外伤害（附加重大疾病）保险项目[项目编号：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]招标文件及乙方的投标文件、中标通知书，根据《中华人民共和国民法典》等相关法律法规规定，本着平等协作和诚实信用的原则，签订如下合同：</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第一条 甲方为徐州市公安局辅警向乙方投保。</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第二条 合同期限</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一年（具体保险期间以保单所载为准）</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第三条 合同价款及付款方式</w:t>
      </w:r>
      <w:r/>
    </w:p>
    <w:p>
      <w:pPr>
        <w:ind w:firstLine="540"/>
        <w:spacing w:line="400" w:lineRule="exact"/>
        <w:rPr>
          <w:rFonts w:ascii="宋体" w:hAnsi="宋体" w:cs="宋体"/>
          <w:color w:val="auto"/>
          <w:sz w:val="24"/>
          <w:lang w:val="zh-CN"/>
        </w:rPr>
      </w:pPr>
      <w:r>
        <w:rPr>
          <w:rFonts w:hint="eastAsia" w:ascii="宋体" w:hAnsi="宋体" w:cs="宋体"/>
          <w:color w:val="auto"/>
          <w:sz w:val="24"/>
        </w:rPr>
        <w:t xml:space="preserve">合同总价为实际参保人数保费，</w:t>
      </w:r>
      <w:r>
        <w:rPr>
          <w:rFonts w:hint="eastAsia" w:ascii="宋体" w:hAnsi="宋体" w:cs="宋体"/>
          <w:color w:val="auto"/>
          <w:sz w:val="24"/>
          <w:lang w:val="zh-CN"/>
        </w:rPr>
        <w:t xml:space="preserve">价款是完成本项目所发生的所有含税费用、支付给相关人员的工资和国家强制缴纳的各种社会保障资金</w:t>
      </w:r>
      <w:r>
        <w:rPr>
          <w:rFonts w:hint="eastAsia" w:ascii="宋体" w:hAnsi="宋体" w:cs="宋体"/>
          <w:color w:val="auto"/>
          <w:sz w:val="24"/>
        </w:rPr>
        <w:t xml:space="preserve">，以及乙方认为履行本项目需要的全部费用及其它相关费用</w:t>
      </w:r>
      <w:r>
        <w:rPr>
          <w:rFonts w:hint="eastAsia" w:ascii="宋体" w:hAnsi="宋体" w:cs="宋体"/>
          <w:color w:val="auto"/>
          <w:sz w:val="24"/>
          <w:lang w:val="zh-CN"/>
        </w:rPr>
        <w:t xml:space="preserve">。</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1、徐州市公安局警务辅助人员团体意外伤害（附加重大疾病）保险保费为每人每年300元，参保人员数量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人，保费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元人民币）。注：实际参保人数以经甲方确认的名单为准。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2、经双方协商一致，选择以下第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（一）付款方式一：提交预付款保函的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合同价款的</w:t>
      </w:r>
      <w:r>
        <w:rPr>
          <w:rFonts w:hint="eastAsia" w:ascii="宋体" w:hAnsi="宋体" w:cs="宋体"/>
          <w:color w:val="auto"/>
          <w:sz w:val="24"/>
          <w:u w:val="single"/>
        </w:rPr>
        <w:t xml:space="preserve">百分之一百</w:t>
      </w:r>
      <w:r>
        <w:rPr>
          <w:rFonts w:hint="eastAsia" w:ascii="宋体" w:hAnsi="宋体" w:cs="宋体"/>
          <w:color w:val="auto"/>
          <w:sz w:val="24"/>
        </w:rPr>
        <w:t xml:space="preserve">(</w:t>
      </w:r>
      <w:r>
        <w:rPr>
          <w:rFonts w:hint="eastAsia" w:ascii="宋体" w:hAnsi="宋体" w:cs="宋体"/>
          <w:color w:val="auto"/>
          <w:sz w:val="24"/>
          <w:u w:val="single"/>
        </w:rPr>
        <w:t xml:space="preserve">100%</w:t>
      </w:r>
      <w:r>
        <w:rPr>
          <w:rFonts w:hint="eastAsia" w:ascii="宋体" w:hAnsi="宋体" w:cs="宋体"/>
          <w:color w:val="auto"/>
          <w:sz w:val="24"/>
        </w:rPr>
        <w:t xml:space="preserve">)即￥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元整，在双方签订合同后15天内，乙方向甲方出具等额预付款保函后，由</w:t>
      </w:r>
      <w:r>
        <w:rPr>
          <w:rFonts w:hint="eastAsia" w:ascii="宋体" w:hAnsi="宋体" w:cs="宋体"/>
          <w:color w:val="auto"/>
          <w:sz w:val="24"/>
          <w:lang w:eastAsia="zh-CN"/>
        </w:rPr>
        <w:t xml:space="preserve">甲方</w:t>
      </w:r>
      <w:r>
        <w:rPr>
          <w:rFonts w:hint="eastAsia" w:ascii="宋体" w:hAnsi="宋体" w:cs="宋体"/>
          <w:color w:val="auto"/>
          <w:sz w:val="24"/>
        </w:rPr>
        <w:t xml:space="preserve">办理政府采购资金结算手续，经审核后支付给</w:t>
      </w:r>
      <w:r>
        <w:rPr>
          <w:rFonts w:hint="eastAsia" w:ascii="宋体" w:hAnsi="宋体" w:cs="宋体"/>
          <w:color w:val="auto"/>
          <w:sz w:val="24"/>
          <w:lang w:eastAsia="zh-CN"/>
        </w:rPr>
        <w:t xml:space="preserve">乙方</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需提交的支付文件包括：</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出具的全额正式发票；</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（二）付款方式二：不提交预付款保函的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合同签订生效15天内，甲方凭乙方开具的全额正式发票一次性支付合同价款的百分之一百(100%)，小写￥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元整。</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需提交的支付文件包括：</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出具的全额正式发票；</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注：保险金的申领及给付：按实际情况在保单约定金额内进行支付，保险理赔款直接支付给被保险人。</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第四条 甲方的权利和义务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1.甲方应协助提供参保人员的投保资料。</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2.甲方应协助乙方进行团体意外伤害保险宣传。</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3.甲方于签订政府采购合同后30日内向乙方一次性支付保费，付款前乙方向甲方开具发票。</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4.甲方有权对乙方的服务进行满意度调查，满意度分为：非常满意、满意、基本满意、不满意。</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第五条 乙方的权利和义务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1.乙方应在政府采购合同签订前缴纳履约保证金（最长不超过保险合同期满后三个月内返还），具体金额为中标价的10%，履约保证金应当以支票、本票、汇票或金融机构、担保机构出具的保函等非现金形式提交。</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2.乙方每年应提供团体意外伤害保险基本运行和管理必需的设备、政策宣传、业务培训等服务。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3.乙方应确保参保地区的辅警人员对本项目保险知晓率达70%以上。</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4.提供的增值配套服务详见乙方的投标文件[项目编号：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]。乙方在投标文件中承诺的增值配套服务必须按承诺及时履行，若未按投标文件承诺或未及时履行，乙方按缺失服务项目对应投标报价的150%承担违约金。</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乙方对甲方提供的参保人信息以及相关资料承担保密责任，不得用于其他用途，不得向第三方泄露。乙方的保密义务范围包括参保人员信息、业务数据等，保密期限为合同终止后五年。如因泄密造成损失，乙方应承担全部赔偿责任。</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6.每季度1</w:t>
      </w:r>
      <w:r>
        <w:rPr>
          <w:rFonts w:ascii="宋体" w:hAnsi="宋体" w:eastAsia="宋体" w:cs="宋体"/>
          <w:color w:val="auto"/>
          <w:sz w:val="24"/>
        </w:rPr>
        <w:t xml:space="preserve">0</w:t>
      </w:r>
      <w:r>
        <w:rPr>
          <w:rFonts w:hint="eastAsia" w:ascii="宋体" w:hAnsi="宋体" w:eastAsia="宋体" w:cs="宋体"/>
          <w:color w:val="auto"/>
          <w:sz w:val="24"/>
        </w:rPr>
        <w:t xml:space="preserve">日前须提供截止到上季度末的统计资料，包括理赔情况、索赔人员联系电话等。</w:t>
      </w:r>
      <w:r/>
    </w:p>
    <w:p>
      <w:pPr>
        <w:pStyle w:val="715"/>
        <w:ind w:left="480" w:firstLine="0"/>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第六条 共同责任</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1.甲乙双方合同履行的情况，以及辅警团体意外伤害保险赔付情况等按规定接受财政、审计等部门的监督。</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2.乙方在保险期间内出现新情况或遭遇突发事件，要及时通报甲方。</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3.甲乙双方要对相关工作人员进行辅警团体意外伤害保险保障范围、理赔知识等方面的培训，以利于索赔。</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4.合同结束或提前终止前已发生但未结算的辅警团体意外伤害保险理赔款由乙方支付。甲乙双方协商有效办法，落实结算责任，保障参保人的权益。</w:t>
      </w:r>
      <w:r/>
    </w:p>
    <w:p>
      <w:pPr>
        <w:pStyle w:val="958"/>
        <w:ind w:firstLine="480"/>
        <w:rPr>
          <w:rFonts w:ascii="宋体" w:hAnsi="宋体" w:cs="宋体"/>
          <w:b/>
          <w:bCs/>
          <w:color w:val="auto"/>
          <w:sz w:val="24"/>
        </w:rPr>
      </w:pPr>
      <w:r>
        <w:rPr>
          <w:rFonts w:ascii="宋体" w:hAnsi="宋体" w:cs="宋体"/>
          <w:b/>
          <w:bCs/>
          <w:color w:val="auto"/>
          <w:sz w:val="24"/>
        </w:rPr>
      </w:r>
      <w:r/>
    </w:p>
    <w:p>
      <w:pPr>
        <w:pStyle w:val="958"/>
        <w:ind w:firstLine="480"/>
        <w:rPr>
          <w:rFonts w:ascii="宋体" w:hAnsi="宋体" w:cs="宋体"/>
          <w:b/>
          <w:bCs/>
          <w:color w:val="auto"/>
          <w:sz w:val="24"/>
        </w:rPr>
      </w:pPr>
      <w:r>
        <w:rPr>
          <w:rFonts w:hint="eastAsia" w:ascii="宋体" w:hAnsi="宋体" w:cs="宋体"/>
          <w:b/>
          <w:bCs/>
          <w:color w:val="auto"/>
          <w:sz w:val="24"/>
        </w:rPr>
        <w:t xml:space="preserve">第七条 管理与评价</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1.乙方接受甲方的工作指导与监督检查。</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2.甲方有权邀请第三方专业机构组成考核小组对乙方相关工作进行评价，内容包括但不限于：本合同履行情况、理赔时限情况、服务质量情况、群众满意度等，乙方须积极配合。</w:t>
      </w:r>
      <w:r/>
    </w:p>
    <w:p>
      <w:pPr>
        <w:pStyle w:val="958"/>
        <w:ind w:firstLine="480"/>
        <w:spacing w:line="360" w:lineRule="auto"/>
        <w:rPr>
          <w:rFonts w:ascii="宋体" w:hAnsi="宋体" w:cs="宋体"/>
          <w:color w:val="auto"/>
          <w:sz w:val="24"/>
        </w:rPr>
      </w:pPr>
      <w:r>
        <w:rPr>
          <w:rFonts w:hint="eastAsia" w:ascii="宋体" w:hAnsi="宋体" w:cs="宋体"/>
          <w:b/>
          <w:bCs/>
          <w:color w:val="auto"/>
          <w:sz w:val="24"/>
        </w:rPr>
        <w:t xml:space="preserve">第八条 违约责任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甲、乙双方因违反合同约定或发生其他严重损害参保人权益的情况，合同双方可以提前终止或解除合作，并就违约情况提请有关部门依法追究责任。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乙方利用专业技术和行业信息优势之便，故意隐瞒和掩盖自身过失，违背承诺和未尽义务，甲方均可追究乙方的违约责任并索取赔偿，且不受合同时效的限制。</w:t>
      </w:r>
      <w:r/>
    </w:p>
    <w:p>
      <w:pPr>
        <w:pStyle w:val="958"/>
        <w:ind w:firstLine="480"/>
        <w:spacing w:line="360" w:lineRule="auto"/>
        <w:rPr>
          <w:rFonts w:ascii="宋体" w:hAnsi="宋体" w:cs="宋体"/>
          <w:b/>
          <w:bCs/>
          <w:color w:val="auto"/>
          <w:sz w:val="24"/>
        </w:rPr>
      </w:pPr>
      <w:r>
        <w:rPr>
          <w:rFonts w:hint="eastAsia" w:ascii="宋体" w:hAnsi="宋体" w:cs="宋体"/>
          <w:b/>
          <w:bCs/>
          <w:color w:val="auto"/>
          <w:sz w:val="24"/>
        </w:rPr>
        <w:t xml:space="preserve">第九条 违约处罚</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方调查的被保人满意度，如不满意率达到总调查人数的20%及以上，将扣除乙方20%的履约保证金；因乙方过错原因发生服务对象群体性上访事件或重大负面舆情，甲方可立即解除合同，并报相关部门依法追究其法律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乙方未履行责任的，甲方有权扣除全部履约保证金外还应对乙方处所收保费20%的违约处罚。情节严重的解除该合同，乙方违约给甲方造成的损失，应当依法赔偿超过履约保证金的损失</w:t>
      </w:r>
      <w:bookmarkStart w:id="13" w:name="OLE_LINK2"/>
      <w:r/>
      <w:bookmarkStart w:id="14" w:name="OLE_LINK1"/>
      <w:r>
        <w:rPr>
          <w:rFonts w:hint="eastAsia" w:ascii="宋体" w:hAnsi="宋体" w:cs="宋体"/>
          <w:color w:val="auto"/>
          <w:sz w:val="24"/>
        </w:rPr>
        <w:t xml:space="preserve">，并报相关部门依法追究其法律责任</w:t>
      </w:r>
      <w:bookmarkEnd w:id="13"/>
      <w:r/>
      <w:bookmarkEnd w:id="14"/>
      <w:r>
        <w:rPr>
          <w:rFonts w:hint="eastAsia" w:ascii="宋体" w:hAnsi="宋体" w:cs="宋体"/>
          <w:color w:val="auto"/>
          <w:sz w:val="24"/>
        </w:rPr>
        <w:t xml:space="preserve">。</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第十条 甲、乙双方发生有关辅警团体意外伤害保险争议时，可通过协商解决；协商不成的，可提请甲方所在地人民法院起诉解决争议。</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第十二条 如乙方因非不可抗力原因不能履行合同，影响了参保人权益，甲方按政策规定履行职能，不予返还履约保证金，甲方赔付参保人员的保险费用由乙方承担并报相关部门追究其责任。</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第十三条 本项目招标文件[项目编号：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第十四条 保险期限自    年   月   日至    年  月  日止。</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第十五条 本合同在甲乙双方盖章后生效。</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第十六条 本合同其他未尽事宜由甲乙双方协商，签订协议或补充合同。</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本合同一式柒份，甲、乙双方各执壹份，甲方主管部门备案壹份，具有同等法律效力。</w:t>
      </w:r>
      <w:r/>
    </w:p>
    <w:p>
      <w:pPr>
        <w:pStyle w:val="958"/>
        <w:ind w:firstLine="480"/>
        <w:spacing w:line="360" w:lineRule="auto"/>
        <w:rPr>
          <w:rFonts w:ascii="宋体" w:hAnsi="宋体" w:cs="宋体"/>
          <w:color w:val="auto"/>
          <w:sz w:val="24"/>
        </w:rPr>
      </w:pPr>
      <w:r>
        <w:rPr>
          <w:rFonts w:ascii="宋体" w:hAnsi="宋体" w:cs="宋体"/>
          <w:color w:val="auto"/>
          <w:sz w:val="24"/>
        </w:rPr>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甲方（盖章）：</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代表：</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组织机构代码：</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联系人：</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电话：</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地址：</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开户名称：</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银行帐号：</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开户行：</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58"/>
        <w:ind w:firstLine="480"/>
        <w:spacing w:line="360" w:lineRule="exact"/>
        <w:rPr>
          <w:rFonts w:ascii="宋体" w:hAnsi="宋体" w:cs="宋体"/>
          <w:color w:val="auto"/>
          <w:sz w:val="24"/>
        </w:rPr>
      </w:pPr>
      <w:r>
        <w:rPr>
          <w:rFonts w:ascii="宋体" w:hAnsi="宋体" w:cs="宋体"/>
          <w:color w:val="auto"/>
          <w:sz w:val="24"/>
        </w:rPr>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乙方（盖章）：</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代表：</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联系人：</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电话：</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地址：</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开户名称：</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银行帐号：</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开户行：</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业务/投诉电话：</w:t>
      </w:r>
      <w:r/>
    </w:p>
    <w:p>
      <w:pPr>
        <w:pStyle w:val="713"/>
        <w:ind w:firstLine="480"/>
        <w:spacing w:after="0" w:line="360" w:lineRule="auto"/>
        <w:rPr>
          <w:rFonts w:ascii="宋体" w:hAnsi="宋体" w:cs="宋体"/>
          <w:color w:val="auto"/>
          <w:sz w:val="24"/>
        </w:rPr>
      </w:pPr>
      <w:r>
        <w:rPr>
          <w:rFonts w:hint="eastAsia" w:ascii="宋体" w:hAnsi="宋体" w:cs="宋体"/>
          <w:color w:val="auto"/>
          <w:sz w:val="24"/>
        </w:rPr>
        <w:t xml:space="preserve">日期：   年   月  日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715"/>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徐州市公安局警务辅助人员团体意外伤害（附加重大疾病）保险项目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⑤标识信息。标明或说明“保密”、含有专有权告示条款的信息。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715"/>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715"/>
        <w:rPr>
          <w:rFonts w:ascii="仿宋" w:hAnsi="仿宋"/>
          <w:color w:val="auto"/>
          <w:sz w:val="30"/>
          <w:szCs w:val="30"/>
        </w:rPr>
      </w:pPr>
      <w:r>
        <w:rPr>
          <w:rFonts w:ascii="仿宋" w:hAnsi="仿宋"/>
          <w:color w:val="auto"/>
          <w:sz w:val="30"/>
          <w:szCs w:val="30"/>
        </w:rPr>
      </w:r>
      <w:r/>
    </w:p>
    <w:p>
      <w:pPr>
        <w:pStyle w:val="715"/>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一、项目概述</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受徐州市公安局的委托就徐州市公安局警务辅助人员团体意外伤害（附加重大疾病）保险项目进行公开招标。确定中标人后，徐州市公安局与中标的保险公司签订政府采购合同，具体签订时间待领取中标通知书后另行通知。</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二、采购预算金额：人民币</w:t>
      </w:r>
      <w:r>
        <w:rPr>
          <w:rFonts w:hint="eastAsia" w:ascii="宋体" w:hAnsi="宋体" w:cs="宋体"/>
          <w:b/>
          <w:bCs/>
          <w:color w:val="auto"/>
          <w:sz w:val="24"/>
          <w:u w:val="single"/>
        </w:rPr>
        <w:t xml:space="preserve"> 1</w:t>
      </w:r>
      <w:r>
        <w:rPr>
          <w:rFonts w:ascii="宋体" w:hAnsi="宋体" w:cs="宋体"/>
          <w:b/>
          <w:bCs/>
          <w:color w:val="auto"/>
          <w:sz w:val="24"/>
          <w:u w:val="single"/>
        </w:rPr>
        <w:t xml:space="preserve">76</w:t>
      </w:r>
      <w:r>
        <w:rPr>
          <w:rFonts w:hint="eastAsia" w:ascii="宋体" w:hAnsi="宋体" w:cs="宋体"/>
          <w:b/>
          <w:bCs/>
          <w:color w:val="auto"/>
          <w:sz w:val="24"/>
          <w:u w:val="single"/>
        </w:rPr>
        <w:t xml:space="preserve">.</w:t>
      </w:r>
      <w:r>
        <w:rPr>
          <w:rFonts w:ascii="宋体" w:hAnsi="宋体" w:cs="宋体"/>
          <w:b/>
          <w:bCs/>
          <w:color w:val="auto"/>
          <w:sz w:val="24"/>
          <w:u w:val="single"/>
        </w:rPr>
        <w:t xml:space="preserve">91</w:t>
      </w:r>
      <w:r>
        <w:rPr>
          <w:rFonts w:hint="eastAsia" w:ascii="宋体" w:hAnsi="宋体" w:cs="宋体"/>
          <w:b/>
          <w:bCs/>
          <w:color w:val="auto"/>
          <w:sz w:val="24"/>
        </w:rPr>
        <w:t xml:space="preserve">万元。</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三、保障内容</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1、保障对象</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徐州市公安辅警：参保人数在</w:t>
      </w:r>
      <w:r>
        <w:rPr>
          <w:rFonts w:hint="eastAsia" w:ascii="宋体" w:hAnsi="宋体" w:cs="宋体"/>
          <w:color w:val="auto"/>
          <w:sz w:val="24"/>
          <w:u w:val="single"/>
        </w:rPr>
        <w:t xml:space="preserve"> 5897 </w:t>
      </w:r>
      <w:r>
        <w:rPr>
          <w:rFonts w:hint="eastAsia" w:ascii="宋体" w:hAnsi="宋体" w:cs="宋体"/>
          <w:color w:val="auto"/>
          <w:sz w:val="24"/>
        </w:rPr>
        <w:t xml:space="preserve">人左右，具体人数以实际参保人数为准，无年龄限制。</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2、保险年度</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本项目保险期限1年。</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3、保费：人民币300元/人/年。实际结算金额以购买保险实有人数为准。</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四、具体内容明细</w:t>
      </w:r>
      <w:r/>
    </w:p>
    <w:tbl>
      <w:tblPr>
        <w:tblStyle w:val="70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1"/>
        <w:gridCol w:w="1383"/>
        <w:gridCol w:w="4546"/>
        <w:gridCol w:w="1152"/>
      </w:tblGrid>
      <w:tr>
        <w:trPr>
          <w:jc w:val="center"/>
          <w:trHeight w:val="836"/>
        </w:trPr>
        <w:tc>
          <w:tcPr>
            <w:shd w:val="clear" w:color="auto" w:fill="auto"/>
            <w:tcW w:w="2331"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保障内容</w:t>
            </w:r>
            <w:r/>
          </w:p>
        </w:tc>
        <w:tc>
          <w:tcPr>
            <w:shd w:val="clear" w:color="auto" w:fill="auto"/>
            <w:tcW w:w="1383"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保险金额</w:t>
            </w:r>
            <w:r/>
          </w:p>
        </w:tc>
        <w:tc>
          <w:tcPr>
            <w:tcW w:w="4546"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给付标准</w:t>
            </w:r>
            <w:r/>
          </w:p>
        </w:tc>
        <w:tc>
          <w:tcPr>
            <w:shd w:val="clear" w:color="auto" w:fill="auto"/>
            <w:tcW w:w="1152"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保险费</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300元/人/年</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猝死</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920"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意外伤残</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根据《人身保险伤残程度与保险金给付》表》给付伤残金，最高给付10万元</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疾病身故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飞机意外身故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21"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水上交通意外身故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03"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轨道交通意外身故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重大疾病</w:t>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60000元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等待期90天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意外医疗</w:t>
            </w:r>
            <w:r/>
          </w:p>
          <w:p>
            <w:pPr>
              <w:jc w:val="center"/>
              <w:rPr>
                <w:rFonts w:ascii="宋体" w:hAnsi="宋体" w:cs="宋体"/>
                <w:color w:val="auto"/>
                <w:sz w:val="24"/>
              </w:rPr>
            </w:pPr>
            <w:r>
              <w:rPr>
                <w:rFonts w:hint="eastAsia" w:ascii="宋体" w:hAnsi="宋体" w:cs="宋体"/>
                <w:color w:val="auto"/>
                <w:sz w:val="24"/>
              </w:rPr>
              <w:t xml:space="preserve">(门、急诊/住院)</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有无使用医保，免赔额300元，按80%报销（扣除医保统筹给付，剩下自付部分均在赔付范围之内）。</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住院医疗</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使用医保免赔额300元，按80%。</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住院补贴</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18000元</w:t>
            </w:r>
            <w:r/>
          </w:p>
        </w:tc>
        <w:tc>
          <w:tcPr>
            <w:tcW w:w="4546"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普通病房住院每人每天补助80元，疾病住院无等待期，住院当天即赔付；每次住院以30天为限，每年最高补助180天。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1154"/>
        </w:trPr>
        <w:tc>
          <w:tcPr>
            <w:shd w:val="clear" w:color="auto" w:fill="auto"/>
            <w:tcW w:w="2331"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180000</w:t>
            </w:r>
            <w:r/>
          </w:p>
        </w:tc>
        <w:tc>
          <w:tcPr>
            <w:tcW w:w="4546" w:type="dxa"/>
            <w:vAlign w:val="center"/>
            <w:textDirection w:val="lrTb"/>
            <w:noWrap w:val="false"/>
          </w:tcPr>
          <w:p>
            <w:pPr>
              <w:rPr>
                <w:rFonts w:ascii="宋体" w:hAnsi="宋体" w:cs="宋体"/>
                <w:b/>
                <w:color w:val="auto"/>
                <w:sz w:val="24"/>
              </w:rPr>
            </w:pPr>
            <w:r>
              <w:rPr>
                <w:rFonts w:hint="eastAsia" w:ascii="宋体" w:hAnsi="宋体" w:cs="宋体"/>
                <w:color w:val="auto"/>
                <w:sz w:val="24"/>
              </w:rPr>
              <w:t xml:space="preserve">入住重症监护室每人每天补助</w:t>
            </w:r>
            <w:r>
              <w:rPr>
                <w:rFonts w:hint="eastAsia" w:ascii="宋体" w:hAnsi="宋体" w:cs="宋体"/>
                <w:b/>
                <w:color w:val="auto"/>
                <w:sz w:val="24"/>
              </w:rPr>
              <w:t xml:space="preserve">1000</w:t>
            </w:r>
            <w:r>
              <w:rPr>
                <w:rFonts w:hint="eastAsia" w:ascii="宋体" w:hAnsi="宋体" w:cs="宋体"/>
                <w:color w:val="auto"/>
                <w:sz w:val="24"/>
              </w:rPr>
              <w:t xml:space="preserve">元，疾病住院无等待期；每次住院以30天为限，每年最高补助180天。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bl>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注：“猝死50000元、疾病身故50000元、普通病房住院每人每天补助</w:t>
      </w:r>
      <w:r>
        <w:rPr>
          <w:rFonts w:ascii="宋体" w:hAnsi="宋体" w:cs="宋体"/>
          <w:color w:val="auto"/>
          <w:sz w:val="24"/>
        </w:rPr>
        <w:t xml:space="preserve">80</w:t>
      </w:r>
      <w:r>
        <w:rPr>
          <w:rFonts w:hint="eastAsia" w:ascii="宋体" w:hAnsi="宋体" w:cs="宋体"/>
          <w:color w:val="auto"/>
          <w:sz w:val="24"/>
        </w:rPr>
        <w:t xml:space="preserve">元”这三项可在此基础上适当增加幅度。</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五、项目要求</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1、保单及合同生效日期：拟为2027年1月1日，至2027年12月31日。具体承保时间按合同签订后采购人具体要求时间为准。</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2、中标人必须在签订合同前在徐州建立专门的服务机构，指定专人负责，确定地点，形成完善的规章制度和服务体系，以便为服务对象办理承保、理赔、保费结算、投保信息汇总等业务。</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3、理赔服务：投标人应对有关出险报案、理赔时间、处理办法及措施上有明确的承诺，如有意外伤亡事件，理赔材料提供医院死亡证明；火化证明或户口注销证明。</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4、宣传服务：宣传服务中标人应根据保险政策及其承诺，配合采购方制定相关辅警团体意外伤害保险宣传彩页或其他宣传方式，发放到参保人员手中，使知晓率达到70%以上。</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5、投标文件中所用各条款需充分响应本招标文件附件中所附要求。</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6、投标人的承诺不得有违反保险行业相关法律法规内容，否则作为无效投标处理。</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7、中标人应明确投保、送交保单、保费缴纳、材料交接、赔款划付等有关工作的具体操作程序和步骤，以利于做好徐州市警务辅助团体意外伤害保险的服务工作。</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8、中标承保的保险人在采购方的统一领导下，为参加本保险的被保险人提供全面、便捷、高效的保险服务。协助做好政策宣传、解释等工作。</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注：1、保险期限：2027年1月1日零时至2027年12月31日二十四时止。</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特殊情况注明：</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（1）住院时间在保险期内，但住院时长超过2027年12月31日的，保险理赔延长至出院时间为止;</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（2）因意外受伤产生的医疗费用，保险理赔应从受伤开始起至治疗完全结束止（比如拆除石膏、钢板等）。</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2、参保人员：实际根据实有人数进行核算；</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3、本项目中因意外导致身故按照就高不就低原则给予一次性赔付；</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4、本项目中所有条款均不设定等待期</w:t>
      </w:r>
      <w:r>
        <w:rPr>
          <w:rFonts w:hint="eastAsia" w:ascii="宋体" w:hAnsi="宋体" w:cs="宋体"/>
          <w:color w:val="auto"/>
          <w:sz w:val="24"/>
          <w:lang w:eastAsia="zh-CN"/>
        </w:rPr>
        <w:t xml:space="preserve">：</w:t>
      </w:r>
      <w:r>
        <w:rPr>
          <w:rFonts w:hint="eastAsia" w:ascii="宋体" w:hAnsi="宋体" w:cs="宋体"/>
          <w:color w:val="auto"/>
          <w:sz w:val="24"/>
        </w:rPr>
        <w:t xml:space="preserve">即享受理赔开始时间自合同签订后生效；</w:t>
      </w:r>
      <w:r/>
    </w:p>
    <w:p>
      <w:pPr>
        <w:ind w:firstLine="482"/>
        <w:jc w:val="left"/>
        <w:spacing w:line="360" w:lineRule="auto"/>
        <w:rPr>
          <w:rFonts w:ascii="宋体" w:hAnsi="宋体" w:cs="宋体"/>
          <w:b/>
          <w:bCs/>
          <w:color w:val="auto"/>
          <w:sz w:val="24"/>
          <w:lang w:val="zh-CN" w:bidi="zh-CN"/>
        </w:rPr>
      </w:pPr>
      <w:r>
        <w:rPr>
          <w:rFonts w:hint="eastAsia" w:ascii="宋体" w:hAnsi="宋体" w:cs="宋体"/>
          <w:b/>
          <w:bCs/>
          <w:color w:val="auto"/>
          <w:sz w:val="24"/>
        </w:rPr>
        <w:t xml:space="preserve">本“五、项目要求”为不允许偏离的实质性要求和条件，如有偏离，在符合性审查时按照投标无效处理。</w:t>
      </w:r>
      <w:r/>
    </w:p>
    <w:p>
      <w:pPr>
        <w:jc w:val="left"/>
        <w:spacing w:line="360" w:lineRule="auto"/>
        <w:rPr>
          <w:rFonts w:ascii="宋体" w:hAnsi="宋体" w:cs="宋体"/>
          <w:b/>
          <w:bCs/>
          <w:color w:val="auto"/>
          <w:sz w:val="24"/>
          <w:lang w:val="zh-CN" w:bidi="zh-CN"/>
        </w:rPr>
      </w:pPr>
      <w:r>
        <w:rPr>
          <w:rFonts w:hint="eastAsia" w:ascii="宋体" w:hAnsi="宋体" w:cs="宋体"/>
          <w:b/>
          <w:color w:val="auto"/>
          <w:sz w:val="24"/>
        </w:rPr>
        <w:t xml:space="preserve">六、其他要求：见</w:t>
      </w:r>
      <w:r>
        <w:rPr>
          <w:rFonts w:hint="eastAsia" w:ascii="宋体" w:hAnsi="宋体" w:cs="宋体"/>
          <w:b/>
          <w:color w:val="auto"/>
          <w:sz w:val="24"/>
          <w:lang w:val="zh-CN" w:bidi="zh-CN"/>
        </w:rPr>
        <w:t xml:space="preserve">招</w:t>
      </w:r>
      <w:r>
        <w:rPr>
          <w:rFonts w:hint="eastAsia" w:ascii="宋体" w:hAnsi="宋体" w:cs="宋体"/>
          <w:b/>
          <w:bCs/>
          <w:color w:val="auto"/>
          <w:sz w:val="24"/>
          <w:lang w:val="zh-CN" w:bidi="zh-CN"/>
        </w:rPr>
        <w:t xml:space="preserve">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pStyle w:val="708"/>
        <w:ind w:firstLine="0"/>
        <w:jc w:val="left"/>
        <w:rPr>
          <w:rFonts w:ascii="宋体" w:hAnsi="宋体" w:cs="宋体"/>
          <w:bCs/>
          <w:color w:val="auto"/>
          <w:sz w:val="24"/>
        </w:rPr>
      </w:pPr>
      <w:r>
        <w:rPr>
          <w:rFonts w:hint="eastAsia" w:ascii="宋体" w:hAnsi="宋体" w:cs="宋体"/>
          <w:bCs/>
          <w:color w:val="auto"/>
          <w:sz w:val="24"/>
        </w:rPr>
        <w:t xml:space="preserve">9、报价承诺书</w:t>
      </w:r>
      <w:r/>
    </w:p>
    <w:p>
      <w:pPr>
        <w:pStyle w:val="708"/>
        <w:ind w:firstLine="0"/>
        <w:jc w:val="left"/>
        <w:rPr>
          <w:rFonts w:ascii="宋体" w:hAnsi="宋体" w:cs="宋体"/>
          <w:bCs/>
          <w:color w:val="auto"/>
          <w:sz w:val="24"/>
        </w:rPr>
      </w:pPr>
      <w:r>
        <w:rPr>
          <w:rFonts w:hint="eastAsia" w:ascii="宋体" w:hAnsi="宋体" w:cs="宋体"/>
          <w:bCs/>
          <w:color w:val="auto"/>
          <w:sz w:val="24"/>
        </w:rPr>
        <w:t xml:space="preserve">10、预付款保函支付条款模板</w:t>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w:t>
      </w:r>
      <w:r>
        <w:rPr>
          <w:rFonts w:hint="eastAsia" w:ascii="宋体" w:hAnsi="宋体" w:cs="宋体"/>
          <w:color w:val="auto"/>
          <w:sz w:val="24"/>
          <w:lang w:eastAsia="zh-CN"/>
        </w:rPr>
        <w:t xml:space="preserve">权利</w:t>
      </w:r>
      <w:r>
        <w:rPr>
          <w:rFonts w:hint="eastAsia" w:ascii="宋体" w:hAnsi="宋体" w:cs="宋体"/>
          <w:color w:val="auto"/>
          <w:sz w:val="24"/>
        </w:rPr>
        <w:t xml:space="preserve">。</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27"/>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注：本项目采用固定价格采购的项目，固定保费为：300元/人/年，以实际参保人数结算费用。本项目报价不参与价格评审。根据《政府采购货物和服务招标投标管理办法》第六十六条规定，执行国家统一定价标准和采用固定价格采购的项目，其价格不列为评审因素。</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3、分项价格表</w:t>
      </w:r>
      <w:r/>
    </w:p>
    <w:p>
      <w:pPr>
        <w:rPr>
          <w:rFonts w:ascii="宋体" w:hAnsi="宋体" w:cs="宋体"/>
          <w:color w:val="auto"/>
          <w:sz w:val="24"/>
        </w:rPr>
      </w:pPr>
      <w:r/>
      <w:bookmarkStart w:id="15" w:name="OLE_LINK43"/>
      <w:r/>
      <w:bookmarkStart w:id="16" w:name="OLE_LINK44"/>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15"/>
      <w:r/>
      <w:bookmarkEnd w:id="16"/>
      <w:r>
        <w:rPr>
          <w:rFonts w:hint="eastAsia" w:ascii="宋体" w:hAnsi="宋体" w:cs="宋体"/>
          <w:color w:val="auto"/>
          <w:sz w:val="24"/>
        </w:rPr>
        <w:t xml:space="preserve">徐州市公安局警务辅助人员团体意外伤害（附加重大疾病）保险</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z w:val="24"/>
        </w:rPr>
      </w:pPr>
      <w:r>
        <w:rPr>
          <w:rFonts w:ascii="宋体" w:hAnsi="宋体" w:cs="宋体"/>
          <w:color w:val="auto"/>
          <w:sz w:val="24"/>
        </w:rPr>
      </w:r>
      <w:r/>
    </w:p>
    <w:p>
      <w:pPr>
        <w:pStyle w:val="708"/>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格式自拟</w:t>
      </w:r>
      <w:r/>
    </w:p>
    <w:p>
      <w:pPr>
        <w:pStyle w:val="708"/>
        <w:jc w:val="center"/>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pStyle w:val="708"/>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27"/>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b/>
          <w:bCs/>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32"/>
          <w:szCs w:val="32"/>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70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5、授权委托书</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w:t>
      </w:r>
      <w:r/>
    </w:p>
    <w:p>
      <w:pPr>
        <w:rPr>
          <w:rFonts w:ascii="宋体" w:hAnsi="宋体" w:cs="宋体"/>
          <w:color w:val="auto"/>
          <w:sz w:val="28"/>
          <w:szCs w:val="28"/>
        </w:rPr>
      </w:pPr>
      <w:r>
        <w:rPr>
          <w:rFonts w:hint="eastAsia" w:ascii="宋体" w:hAnsi="宋体" w:cs="宋体"/>
          <w:color w:val="auto"/>
          <w:sz w:val="28"/>
          <w:szCs w:val="28"/>
        </w:rPr>
        <w:t xml:space="preserve">地  址：</w:t>
      </w:r>
      <w:r/>
    </w:p>
    <w:p>
      <w:pPr>
        <w:rPr>
          <w:rFonts w:ascii="宋体" w:hAnsi="宋体" w:cs="宋体"/>
          <w:color w:val="auto"/>
          <w:sz w:val="28"/>
          <w:szCs w:val="28"/>
        </w:rPr>
      </w:pPr>
      <w:r>
        <w:rPr>
          <w:rFonts w:hint="eastAsia" w:ascii="宋体" w:hAnsi="宋体" w:cs="宋体"/>
          <w:color w:val="auto"/>
          <w:sz w:val="28"/>
          <w:szCs w:val="28"/>
        </w:rPr>
        <w:t xml:space="preserve">法定代表人（负责人）：</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统一社会信用代码：</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                 性别：男（女）  </w:t>
      </w:r>
      <w:r/>
    </w:p>
    <w:p>
      <w:pPr>
        <w:rPr>
          <w:rFonts w:ascii="宋体" w:hAnsi="宋体" w:cs="宋体"/>
          <w:color w:val="auto"/>
          <w:sz w:val="28"/>
          <w:szCs w:val="28"/>
        </w:rPr>
      </w:pPr>
      <w:r>
        <w:rPr>
          <w:rFonts w:hint="eastAsia" w:ascii="宋体" w:hAnsi="宋体" w:cs="宋体"/>
          <w:color w:val="auto"/>
          <w:sz w:val="28"/>
          <w:szCs w:val="28"/>
        </w:rPr>
        <w:t xml:space="preserve">年龄：  岁               民族：   族</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rPr>
          <w:rFonts w:ascii="宋体" w:hAnsi="宋体" w:cs="宋体"/>
          <w:color w:val="auto"/>
          <w:sz w:val="28"/>
          <w:szCs w:val="28"/>
        </w:rPr>
      </w:pPr>
      <w:r>
        <w:rPr>
          <w:rFonts w:hint="eastAsia" w:ascii="宋体" w:hAnsi="宋体" w:cs="宋体"/>
          <w:color w:val="auto"/>
          <w:sz w:val="28"/>
          <w:szCs w:val="28"/>
        </w:rPr>
        <w:t xml:space="preserve">特此授权委托。</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委托人（电子签章）：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受托人（签字或盖章）：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受托人联系方式：      邮箱：</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日期：  年  月 日 </w:t>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hint="eastAsia" w:ascii="宋体" w:hAnsi="宋体" w:cs="宋体"/>
          <w:b/>
          <w:bCs/>
          <w:color w:val="auto"/>
          <w:sz w:val="28"/>
          <w:szCs w:val="28"/>
        </w:rPr>
        <w:t xml:space="preserve">(有效期内的受托人身份证扫描件附后)</w:t>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17" w:name="OLE_LINK46"/>
      <w:r/>
      <w:bookmarkStart w:id="18" w:name="OLE_LINK48"/>
      <w:r/>
      <w:bookmarkStart w:id="19" w:name="OLE_LINK45"/>
      <w:r>
        <w:rPr>
          <w:rFonts w:hint="eastAsia" w:ascii="宋体" w:hAnsi="宋体" w:cs="宋体"/>
          <w:color w:val="auto"/>
          <w:sz w:val="24"/>
        </w:rPr>
        <w:t xml:space="preserve">项目名称：</w:t>
      </w:r>
      <w:bookmarkEnd w:id="17"/>
      <w:r/>
      <w:bookmarkEnd w:id="18"/>
      <w:r/>
      <w:bookmarkEnd w:id="1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w:t>
      </w:r>
      <w:r>
        <w:rPr>
          <w:rFonts w:hint="eastAsia" w:ascii="宋体" w:hAnsi="宋体" w:cs="宋体"/>
          <w:color w:val="auto"/>
          <w:sz w:val="24"/>
        </w:rPr>
        <w:t xml:space="preserve">）的（</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）采购活动，服务全部由符合政策要求的中小企业承接。相关企业的具体情况如下：</w:t>
      </w:r>
      <w:r/>
    </w:p>
    <w:p>
      <w:pPr>
        <w:pStyle w:val="714"/>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），属于（</w:t>
      </w:r>
      <w:r>
        <w:rPr>
          <w:rFonts w:hint="eastAsia" w:ascii="宋体" w:hAnsi="宋体" w:cs="宋体"/>
          <w:color w:val="auto"/>
          <w:sz w:val="24"/>
          <w:u w:val="single"/>
        </w:rPr>
        <w:t xml:space="preserve">租赁和商务服务业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（中型企业、小型企业、微型企业，请填写或勾选！）；</w:t>
      </w:r>
      <w:r/>
    </w:p>
    <w:p>
      <w:pPr>
        <w:pStyle w:val="714"/>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714"/>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714"/>
        <w:ind w:right="480" w:firstLine="360"/>
        <w:spacing w:line="360" w:lineRule="auto"/>
        <w:rPr>
          <w:rFonts w:ascii="宋体" w:hAnsi="宋体" w:cs="宋体"/>
          <w:color w:val="auto"/>
          <w:sz w:val="24"/>
        </w:rPr>
      </w:pPr>
      <w:r>
        <w:rPr>
          <w:rFonts w:ascii="宋体" w:hAnsi="宋体" w:cs="宋体"/>
          <w:color w:val="auto"/>
          <w:sz w:val="24"/>
        </w:rPr>
      </w:r>
      <w:r/>
    </w:p>
    <w:p>
      <w:pPr>
        <w:pStyle w:val="714"/>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714"/>
        <w:ind w:right="480" w:firstLine="3240"/>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ind w:left="0"/>
        <w:spacing w:after="0"/>
        <w:rPr>
          <w:rFonts w:ascii="宋体" w:hAnsi="宋体" w:cs="宋体"/>
          <w:color w:val="auto"/>
          <w:sz w:val="24"/>
        </w:rPr>
      </w:pPr>
      <w:r>
        <w:rPr>
          <w:rFonts w:hint="eastAsia" w:ascii="宋体" w:hAnsi="宋体" w:cs="宋体"/>
          <w:color w:val="auto"/>
          <w:sz w:val="24"/>
        </w:rPr>
        <w:t xml:space="preserve">说明：</w:t>
      </w:r>
      <w:r/>
    </w:p>
    <w:p>
      <w:pPr>
        <w:pStyle w:val="714"/>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4"/>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714"/>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714"/>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714"/>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714"/>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714"/>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2pt;height:255.3pt;mso-wrap-distance-left:0.0pt;mso-wrap-distance-top:0.0pt;mso-wrap-distance-right:0.0pt;mso-wrap-distance-bottom:0.0pt;" stroked="f">
                <v:path textboxrect="0,0,0,0"/>
                <v:imagedata r:id="rId16" o:title=""/>
              </v:shape>
            </w:pict>
          </mc:Fallback>
        </mc:AlternateContent>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27"/>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35"/>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ind w:firstLine="601"/>
        <w:jc w:val="center"/>
        <w:pageBreakBefore/>
        <w:spacing w:line="360" w:lineRule="auto"/>
        <w:rPr>
          <w:rFonts w:ascii="宋体" w:hAnsi="宋体" w:cs="宋体"/>
          <w:b/>
          <w:color w:val="auto"/>
          <w:sz w:val="32"/>
          <w:szCs w:val="32"/>
        </w:rPr>
      </w:pPr>
      <w:r/>
      <w:bookmarkStart w:id="20" w:name="OLE_LINK13"/>
      <w:r/>
      <w:bookmarkStart w:id="21" w:name="OLE_LINK14"/>
      <w:r>
        <w:rPr>
          <w:rFonts w:hint="eastAsia" w:ascii="宋体" w:hAnsi="宋体" w:cs="宋体"/>
          <w:b/>
          <w:color w:val="auto"/>
          <w:sz w:val="32"/>
          <w:szCs w:val="32"/>
        </w:rPr>
        <w:t xml:space="preserve">8、残疾人福利性单位声明函</w:t>
      </w:r>
      <w:bookmarkEnd w:id="20"/>
      <w:r/>
      <w:bookmarkEnd w:id="21"/>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w:t>
      </w:r>
      <w:r>
        <w:rPr>
          <w:rFonts w:hint="eastAsia" w:ascii="宋体" w:hAnsi="宋体" w:cs="宋体"/>
          <w:color w:val="auto"/>
          <w:spacing w:val="6"/>
          <w:sz w:val="24"/>
        </w:rPr>
        <w:t xml:space="preserve">单位的</w:t>
      </w:r>
      <w:r>
        <w:rPr>
          <w:rFonts w:hint="eastAsia" w:ascii="宋体" w:hAnsi="宋体" w:cs="宋体"/>
          <w:color w:val="auto"/>
          <w:spacing w:val="6"/>
          <w:sz w:val="24"/>
          <w:u w:val="single"/>
        </w:rPr>
        <w:t xml:space="preserve">徐州市公安局警务辅助人员团体意外伤害（附加重大疾病）保险</w:t>
      </w:r>
      <w:r>
        <w:rPr>
          <w:rFonts w:hint="eastAsia" w:ascii="宋体" w:hAnsi="宋体" w:cs="宋体"/>
          <w:color w:val="auto"/>
          <w:spacing w:val="6"/>
          <w:sz w:val="24"/>
        </w:rPr>
        <w:t xml:space="preserve">项目采购活动提供服务，或者提供其他残疾人福利性单位制造的货物（不包括使用非残疾人福利性单位注册商标的货物）。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715"/>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9、报价承诺书</w:t>
      </w:r>
      <w:r/>
    </w:p>
    <w:p>
      <w:pPr>
        <w:ind w:firstLine="600"/>
        <w:spacing w:line="480" w:lineRule="exact"/>
        <w:rPr>
          <w:rFonts w:ascii="宋体" w:hAnsi="宋体" w:cs="宋体"/>
          <w:b/>
          <w:color w:val="auto"/>
          <w:sz w:val="28"/>
          <w:szCs w:val="28"/>
        </w:rPr>
      </w:pPr>
      <w:r>
        <w:rPr>
          <w:rFonts w:ascii="宋体" w:hAnsi="宋体" w:cs="宋体"/>
          <w:b/>
          <w:color w:val="auto"/>
          <w:sz w:val="28"/>
          <w:szCs w:val="28"/>
        </w:rPr>
      </w:r>
      <w:r/>
    </w:p>
    <w:p>
      <w:pPr>
        <w:jc w:val="left"/>
        <w:spacing w:line="360" w:lineRule="auto"/>
        <w:rPr>
          <w:rFonts w:ascii="宋体" w:hAnsi="宋体" w:cs="宋体"/>
          <w:color w:val="auto"/>
          <w:sz w:val="28"/>
          <w:szCs w:val="28"/>
        </w:rPr>
      </w:pPr>
      <w:r>
        <w:rPr>
          <w:rFonts w:hint="eastAsia" w:ascii="宋体" w:hAnsi="宋体" w:cs="宋体"/>
          <w:color w:val="auto"/>
          <w:sz w:val="28"/>
          <w:szCs w:val="28"/>
          <w:u w:val="single"/>
        </w:rPr>
        <w:t xml:space="preserve">徐州市公安局、江苏海外集团国际工程咨询有限公司</w:t>
      </w:r>
      <w:r>
        <w:rPr>
          <w:rFonts w:hint="eastAsia" w:ascii="宋体" w:hAnsi="宋体" w:cs="宋体"/>
          <w:color w:val="auto"/>
          <w:sz w:val="28"/>
          <w:szCs w:val="28"/>
        </w:rPr>
        <w:t xml:space="preserve">：</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投标文件中涉及的险种条款、费率及相关措辞，均已按照国家金融监督管理总局有关规定履行过报批、报备手续。我单位对投标文件中所报保额及费率完全遵循省公司、总公司、国家金融监督管理总局或徐州监管分局的相关规章制度、法律文件及报批、报备手续，特此承诺！</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附费率计算书</w:t>
      </w:r>
      <w:r/>
    </w:p>
    <w:p>
      <w:pPr>
        <w:pStyle w:val="958"/>
        <w:spacing w:line="360" w:lineRule="auto"/>
        <w:rPr>
          <w:rFonts w:ascii="宋体" w:hAnsi="宋体" w:cs="宋体"/>
          <w:color w:val="auto"/>
          <w:sz w:val="28"/>
          <w:szCs w:val="28"/>
        </w:rPr>
      </w:pPr>
      <w:r>
        <w:rPr>
          <w:rFonts w:ascii="宋体" w:hAnsi="宋体" w:cs="宋体"/>
          <w:color w:val="auto"/>
          <w:sz w:val="28"/>
          <w:szCs w:val="28"/>
        </w:rPr>
      </w:r>
      <w:r/>
    </w:p>
    <w:p>
      <w:pPr>
        <w:pStyle w:val="958"/>
        <w:spacing w:line="360" w:lineRule="auto"/>
        <w:rPr>
          <w:rFonts w:ascii="宋体" w:hAnsi="宋体" w:cs="宋体"/>
          <w:color w:val="auto"/>
          <w:sz w:val="28"/>
          <w:szCs w:val="28"/>
        </w:rPr>
      </w:pPr>
      <w:r>
        <w:rPr>
          <w:rFonts w:hint="eastAsia" w:ascii="宋体" w:hAnsi="宋体" w:cs="宋体"/>
          <w:color w:val="auto"/>
          <w:sz w:val="28"/>
          <w:szCs w:val="28"/>
        </w:rPr>
        <w:t xml:space="preserve">注：</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未提供上述所附材料，评标委员会以不能证明其报价合理性作为无效投标处理。</w:t>
      </w:r>
      <w:r/>
    </w:p>
    <w:p>
      <w:pPr>
        <w:pStyle w:val="801"/>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1"/>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1"/>
        <w:jc w:val="right"/>
        <w:spacing w:line="360" w:lineRule="auto"/>
        <w:rPr>
          <w:rFonts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601"/>
        <w:jc w:val="center"/>
        <w:spacing w:line="480" w:lineRule="exact"/>
        <w:rPr>
          <w:rFonts w:ascii="宋体" w:hAnsi="宋体" w:cs="宋体"/>
          <w:color w:val="auto"/>
          <w:sz w:val="28"/>
          <w:szCs w:val="28"/>
        </w:rPr>
      </w:pPr>
      <w:r>
        <w:rPr>
          <w:rFonts w:hint="eastAsia" w:ascii="宋体" w:hAnsi="宋体" w:cs="宋体"/>
          <w:color w:val="auto"/>
          <w:sz w:val="28"/>
          <w:szCs w:val="28"/>
        </w:rPr>
        <w:t xml:space="preserve">            日期：  年  月  日</w:t>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10、预付款保函支付条款模板</w:t>
      </w:r>
      <w:r/>
    </w:p>
    <w:p>
      <w:pPr>
        <w:ind w:firstLine="605"/>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符合条件一：提交预付款保函的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（1）合同签订且乙方向甲方出具预付款保函后个工作日内，甲方应支付合同价款的百分之</w:t>
      </w:r>
      <w:r>
        <w:rPr>
          <w:rFonts w:hint="eastAsia" w:ascii="宋体" w:hAnsi="宋体" w:cs="宋体"/>
          <w:color w:val="auto"/>
          <w:sz w:val="28"/>
          <w:szCs w:val="28"/>
          <w:u w:val="single"/>
        </w:rPr>
        <w:t xml:space="preserve">        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符合条件二：不提交预付款保函的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1、付款条件一中，出具预付款保函后支付的合同款应当与保函金额一致。</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2、付款条件二中，预付款比例设定应符合《关于做好政府采购支持企业发展有关事项的通知》(苏财购〔2020〕52号)要求。</w:t>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pStyle w:val="715"/>
        <w:rPr>
          <w:rFonts w:ascii="宋体" w:hAnsi="宋体" w:eastAsia="宋体" w:cs="宋体"/>
          <w:color w:val="auto"/>
          <w:sz w:val="30"/>
          <w:szCs w:val="30"/>
        </w:rPr>
      </w:pPr>
      <w:r>
        <w:rPr>
          <w:rFonts w:ascii="宋体" w:hAnsi="宋体" w:eastAsia="宋体" w:cs="宋体"/>
          <w:color w:val="auto"/>
          <w:sz w:val="30"/>
          <w:szCs w:val="30"/>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uiPriority w:val="0"/>
    <w:qFormat/>
    <w:pPr>
      <w:keepLines/>
      <w:keepNext/>
      <w:spacing w:before="340" w:after="330" w:line="578" w:lineRule="auto"/>
      <w:outlineLvl w:val="0"/>
    </w:pPr>
    <w:rPr>
      <w:b/>
      <w:bCs/>
      <w:sz w:val="44"/>
      <w:szCs w:val="44"/>
    </w:rPr>
  </w:style>
  <w:style w:type="paragraph" w:styleId="698">
    <w:name w:val="Heading 2"/>
    <w:basedOn w:val="696"/>
    <w:next w:val="696"/>
    <w:link w:val="811"/>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949"/>
    <w:uiPriority w:val="0"/>
    <w:unhideWhenUsed/>
    <w:qFormat/>
    <w:pPr>
      <w:keepLines/>
      <w:keepNext/>
      <w:spacing w:before="260" w:after="260" w:line="416" w:lineRule="auto"/>
      <w:outlineLvl w:val="2"/>
    </w:pPr>
    <w:rPr>
      <w:b/>
      <w:bCs/>
      <w:sz w:val="32"/>
      <w:szCs w:val="32"/>
    </w:rPr>
  </w:style>
  <w:style w:type="paragraph" w:styleId="700">
    <w:name w:val="Heading 4"/>
    <w:basedOn w:val="696"/>
    <w:next w:val="70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1">
    <w:name w:val="Heading 5"/>
    <w:basedOn w:val="696"/>
    <w:next w:val="696"/>
    <w:link w:val="814"/>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815"/>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817"/>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818"/>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缩进1"/>
    <w:basedOn w:val="696"/>
    <w:uiPriority w:val="0"/>
    <w:qFormat/>
    <w:pPr>
      <w:ind w:firstLine="420"/>
    </w:pPr>
  </w:style>
  <w:style w:type="paragraph" w:styleId="709">
    <w:name w:val="Normal Indent"/>
    <w:basedOn w:val="696"/>
    <w:uiPriority w:val="0"/>
    <w:qFormat/>
    <w:pPr>
      <w:ind w:firstLine="420"/>
    </w:p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link w:val="956"/>
    <w:uiPriority w:val="99"/>
    <w:semiHidden/>
    <w:unhideWhenUsed/>
    <w:qFormat/>
    <w:pPr>
      <w:jc w:val="left"/>
    </w:pPr>
  </w:style>
  <w:style w:type="paragraph" w:styleId="713">
    <w:name w:val="Body Text"/>
    <w:basedOn w:val="696"/>
    <w:next w:val="696"/>
    <w:uiPriority w:val="99"/>
    <w:qFormat/>
    <w:pPr>
      <w:spacing w:after="120"/>
    </w:pPr>
    <w:rPr>
      <w:rFonts w:ascii="Calibri" w:hAnsi="Calibri"/>
    </w:rPr>
  </w:style>
  <w:style w:type="paragraph" w:styleId="714">
    <w:name w:val="Body Text Indent"/>
    <w:basedOn w:val="696"/>
    <w:link w:val="938"/>
    <w:uiPriority w:val="0"/>
    <w:qFormat/>
    <w:pPr>
      <w:ind w:left="420"/>
      <w:spacing w:after="120"/>
    </w:pPr>
  </w:style>
  <w:style w:type="paragraph" w:styleId="715">
    <w:name w:val="Block Text"/>
    <w:basedOn w:val="696"/>
    <w:uiPriority w:val="6"/>
    <w:qFormat/>
    <w:pPr>
      <w:ind w:left="256" w:right="6" w:firstLine="624"/>
    </w:pPr>
    <w:rPr>
      <w:rFonts w:eastAsia="仿宋"/>
      <w:sz w:val="28"/>
      <w:szCs w:val="20"/>
    </w:rPr>
  </w:style>
  <w:style w:type="paragraph" w:styleId="716">
    <w:name w:val="index 4"/>
    <w:basedOn w:val="696"/>
    <w:next w:val="696"/>
    <w:uiPriority w:val="99"/>
    <w:unhideWhenUsed/>
    <w:qFormat/>
    <w:pPr>
      <w:ind w:left="600"/>
    </w:pPr>
    <w:rPr>
      <w:rFonts w:ascii="Verdana" w:hAnsi="Verdana" w:eastAsia="微软雅黑"/>
      <w:szCs w:val="20"/>
    </w:rPr>
  </w:style>
  <w:style w:type="paragraph" w:styleId="717">
    <w:name w:val="toc 5"/>
    <w:basedOn w:val="696"/>
    <w:next w:val="696"/>
    <w:uiPriority w:val="39"/>
    <w:unhideWhenUsed/>
    <w:qFormat/>
    <w:pPr>
      <w:ind w:left="1134"/>
      <w:spacing w:after="57"/>
    </w:pPr>
  </w:style>
  <w:style w:type="paragraph" w:styleId="718">
    <w:name w:val="toc 3"/>
    <w:basedOn w:val="696"/>
    <w:next w:val="696"/>
    <w:uiPriority w:val="39"/>
    <w:unhideWhenUsed/>
    <w:qFormat/>
    <w:pPr>
      <w:ind w:left="567"/>
      <w:spacing w:after="57"/>
    </w:pPr>
  </w:style>
  <w:style w:type="paragraph" w:styleId="719">
    <w:name w:val="Plain Text"/>
    <w:basedOn w:val="696"/>
    <w:uiPriority w:val="0"/>
    <w:qFormat/>
    <w:rPr>
      <w:rFonts w:ascii="宋体" w:hAnsi="Courier New"/>
      <w:szCs w:val="21"/>
    </w:rPr>
  </w:style>
  <w:style w:type="paragraph" w:styleId="720">
    <w:name w:val="toc 8"/>
    <w:basedOn w:val="696"/>
    <w:next w:val="696"/>
    <w:uiPriority w:val="39"/>
    <w:unhideWhenUsed/>
    <w:qFormat/>
    <w:pPr>
      <w:ind w:left="1984"/>
      <w:spacing w:after="57"/>
    </w:pPr>
  </w:style>
  <w:style w:type="paragraph" w:styleId="721">
    <w:name w:val="Date"/>
    <w:basedOn w:val="696"/>
    <w:next w:val="696"/>
    <w:uiPriority w:val="0"/>
    <w:qFormat/>
    <w:rPr>
      <w:rFonts w:eastAsia="仿宋_GB2312"/>
      <w:sz w:val="28"/>
      <w:szCs w:val="20"/>
    </w:rPr>
  </w:style>
  <w:style w:type="paragraph" w:styleId="722">
    <w:name w:val="Body Text Indent 2"/>
    <w:basedOn w:val="696"/>
    <w:uiPriority w:val="0"/>
    <w:qFormat/>
    <w:pPr>
      <w:ind w:firstLine="475"/>
      <w:spacing w:line="10" w:lineRule="atLeast"/>
    </w:pPr>
    <w:rPr>
      <w:rFonts w:ascii="仿宋_GB2312" w:eastAsia="仿宋_GB2312"/>
      <w:sz w:val="24"/>
    </w:rPr>
  </w:style>
  <w:style w:type="paragraph" w:styleId="723">
    <w:name w:val="endnote text"/>
    <w:basedOn w:val="696"/>
    <w:link w:val="936"/>
    <w:uiPriority w:val="99"/>
    <w:semiHidden/>
    <w:unhideWhenUsed/>
    <w:qFormat/>
    <w:rPr>
      <w:sz w:val="20"/>
    </w:rPr>
  </w:style>
  <w:style w:type="paragraph" w:styleId="724">
    <w:name w:val="Balloon Text"/>
    <w:basedOn w:val="696"/>
    <w:link w:val="955"/>
    <w:uiPriority w:val="99"/>
    <w:semiHidden/>
    <w:unhideWhenUsed/>
    <w:qFormat/>
    <w:rPr>
      <w:sz w:val="18"/>
      <w:szCs w:val="18"/>
    </w:rPr>
  </w:style>
  <w:style w:type="paragraph" w:styleId="725">
    <w:name w:val="Footer"/>
    <w:basedOn w:val="696"/>
    <w:uiPriority w:val="0"/>
    <w:qFormat/>
    <w:pPr>
      <w:jc w:val="left"/>
      <w:tabs>
        <w:tab w:val="center" w:pos="4153" w:leader="none"/>
        <w:tab w:val="right" w:pos="8306" w:leader="none"/>
      </w:tabs>
    </w:pPr>
    <w:rPr>
      <w:sz w:val="18"/>
      <w:szCs w:val="18"/>
    </w:rPr>
  </w:style>
  <w:style w:type="paragraph" w:styleId="726">
    <w:name w:val="Header"/>
    <w:basedOn w:val="696"/>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6"/>
    <w:next w:val="696"/>
    <w:uiPriority w:val="99"/>
    <w:unhideWhenUsed/>
    <w:qFormat/>
    <w:pPr>
      <w:jc w:val="left"/>
      <w:spacing w:after="100" w:line="259" w:lineRule="auto"/>
      <w:widowControl/>
    </w:pPr>
    <w:rPr>
      <w:rFonts w:ascii="Calibri" w:hAnsi="Calibri"/>
      <w:sz w:val="22"/>
      <w:szCs w:val="22"/>
    </w:rPr>
  </w:style>
  <w:style w:type="paragraph" w:styleId="728">
    <w:name w:val="toc 4"/>
    <w:basedOn w:val="696"/>
    <w:next w:val="696"/>
    <w:uiPriority w:val="39"/>
    <w:unhideWhenUsed/>
    <w:qFormat/>
    <w:pPr>
      <w:ind w:left="850"/>
      <w:spacing w:after="57"/>
    </w:pPr>
  </w:style>
  <w:style w:type="paragraph" w:styleId="729">
    <w:name w:val="Subtitle"/>
    <w:basedOn w:val="696"/>
    <w:next w:val="696"/>
    <w:link w:val="821"/>
    <w:uiPriority w:val="11"/>
    <w:qFormat/>
    <w:pPr>
      <w:spacing w:before="200" w:after="200"/>
    </w:pPr>
    <w:rPr>
      <w:sz w:val="24"/>
    </w:rPr>
  </w:style>
  <w:style w:type="paragraph" w:styleId="730">
    <w:name w:val="footnote text"/>
    <w:basedOn w:val="696"/>
    <w:link w:val="935"/>
    <w:uiPriority w:val="99"/>
    <w:semiHidden/>
    <w:unhideWhenUsed/>
    <w:qFormat/>
    <w:pPr>
      <w:spacing w:after="40"/>
    </w:pPr>
    <w:rPr>
      <w:sz w:val="18"/>
    </w:rPr>
  </w:style>
  <w:style w:type="paragraph" w:styleId="731">
    <w:name w:val="toc 6"/>
    <w:basedOn w:val="696"/>
    <w:next w:val="696"/>
    <w:uiPriority w:val="39"/>
    <w:unhideWhenUsed/>
    <w:qFormat/>
    <w:pPr>
      <w:ind w:left="1417"/>
      <w:spacing w:after="57"/>
    </w:pPr>
  </w:style>
  <w:style w:type="paragraph" w:styleId="732">
    <w:name w:val="table of figures"/>
    <w:basedOn w:val="696"/>
    <w:next w:val="696"/>
    <w:uiPriority w:val="99"/>
    <w:unhideWhenUsed/>
    <w:qFormat/>
  </w:style>
  <w:style w:type="paragraph" w:styleId="733">
    <w:name w:val="toc 2"/>
    <w:basedOn w:val="696"/>
    <w:next w:val="696"/>
    <w:uiPriority w:val="39"/>
    <w:unhideWhenUsed/>
    <w:qFormat/>
    <w:pPr>
      <w:ind w:left="283"/>
      <w:spacing w:after="57"/>
    </w:pPr>
  </w:style>
  <w:style w:type="paragraph" w:styleId="734">
    <w:name w:val="toc 9"/>
    <w:basedOn w:val="696"/>
    <w:next w:val="696"/>
    <w:uiPriority w:val="39"/>
    <w:unhideWhenUsed/>
    <w:qFormat/>
    <w:pPr>
      <w:ind w:left="2268"/>
      <w:spacing w:after="57"/>
    </w:pPr>
  </w:style>
  <w:style w:type="paragraph" w:styleId="735">
    <w:name w:val="Normal (Web)"/>
    <w:basedOn w:val="696"/>
    <w:uiPriority w:val="99"/>
    <w:qFormat/>
    <w:pPr>
      <w:jc w:val="left"/>
      <w:spacing w:before="100" w:beforeAutospacing="1" w:after="100" w:afterAutospacing="1"/>
      <w:widowControl/>
    </w:pPr>
    <w:rPr>
      <w:rFonts w:ascii="宋体" w:hAnsi="宋体" w:cs="宋体"/>
      <w:sz w:val="24"/>
    </w:rPr>
  </w:style>
  <w:style w:type="paragraph" w:styleId="736">
    <w:name w:val="Title"/>
    <w:basedOn w:val="696"/>
    <w:next w:val="696"/>
    <w:link w:val="820"/>
    <w:uiPriority w:val="10"/>
    <w:qFormat/>
    <w:pPr>
      <w:contextualSpacing/>
      <w:spacing w:before="300" w:after="200"/>
    </w:pPr>
    <w:rPr>
      <w:sz w:val="48"/>
      <w:szCs w:val="48"/>
    </w:rPr>
  </w:style>
  <w:style w:type="paragraph" w:styleId="737">
    <w:name w:val="annotation subject"/>
    <w:basedOn w:val="712"/>
    <w:next w:val="712"/>
    <w:link w:val="957"/>
    <w:uiPriority w:val="99"/>
    <w:semiHidden/>
    <w:unhideWhenUsed/>
    <w:qFormat/>
    <w:rPr>
      <w:b/>
      <w:bCs/>
    </w:rPr>
  </w:style>
  <w:style w:type="paragraph" w:styleId="738">
    <w:name w:val="Body Text First Indent 2"/>
    <w:basedOn w:val="714"/>
    <w:link w:val="950"/>
    <w:uiPriority w:val="0"/>
    <w:qFormat/>
    <w:pPr>
      <w:ind w:firstLine="420"/>
    </w:pPr>
  </w:style>
  <w:style w:type="table" w:styleId="739">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basedOn w:val="706"/>
    <w:uiPriority w:val="99"/>
    <w:semiHidden/>
    <w:unhideWhenUsed/>
    <w:qFormat/>
    <w:rPr>
      <w:vertAlign w:val="superscript"/>
    </w:rPr>
  </w:style>
  <w:style w:type="character" w:styleId="741">
    <w:name w:val="page number"/>
    <w:basedOn w:val="706"/>
    <w:uiPriority w:val="0"/>
    <w:qFormat/>
  </w:style>
  <w:style w:type="character" w:styleId="742">
    <w:name w:val="FollowedHyperlink"/>
    <w:basedOn w:val="706"/>
    <w:uiPriority w:val="0"/>
    <w:qFormat/>
    <w:rPr>
      <w:color w:val="800080"/>
      <w:u w:val="single"/>
    </w:rPr>
  </w:style>
  <w:style w:type="character" w:styleId="743">
    <w:name w:val="Emphasis"/>
    <w:basedOn w:val="706"/>
    <w:uiPriority w:val="20"/>
    <w:qFormat/>
    <w:rPr>
      <w:i/>
      <w:iCs/>
    </w:rPr>
  </w:style>
  <w:style w:type="character" w:styleId="744">
    <w:name w:val="Hyperlink"/>
    <w:uiPriority w:val="0"/>
    <w:qFormat/>
    <w:rPr>
      <w:color w:val="0000ff"/>
      <w:u w:val="single"/>
    </w:rPr>
  </w:style>
  <w:style w:type="character" w:styleId="745">
    <w:name w:val="annotation reference"/>
    <w:basedOn w:val="706"/>
    <w:uiPriority w:val="99"/>
    <w:semiHidden/>
    <w:unhideWhenUsed/>
    <w:qFormat/>
    <w:rPr>
      <w:sz w:val="21"/>
      <w:szCs w:val="21"/>
    </w:rPr>
  </w:style>
  <w:style w:type="character" w:styleId="746">
    <w:name w:val="footnote reference"/>
    <w:basedOn w:val="706"/>
    <w:uiPriority w:val="99"/>
    <w:unhideWhenUsed/>
    <w:qFormat/>
    <w:rPr>
      <w:vertAlign w:val="superscript"/>
    </w:rPr>
  </w:style>
  <w:style w:type="table" w:styleId="747" w:customStyle="1">
    <w:name w:val="Plain Table 1"/>
    <w:basedOn w:val="70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0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qFormat/>
    <w:rPr>
      <w:rFonts w:hint="default" w:ascii="Times New Roman" w:hAnsi="Times New Roman" w:eastAsia="宋体" w:cs="Times New Roman"/>
    </w:rPr>
  </w:style>
  <w:style w:type="character" w:styleId="767" w:customStyle="1">
    <w:name w:val="Heading 2 Char"/>
    <w:basedOn w:val="706"/>
    <w:uiPriority w:val="9"/>
    <w:qFormat/>
    <w:rPr>
      <w:rFonts w:ascii="Arial" w:hAnsi="Arial" w:eastAsia="Arial" w:cs="Arial"/>
      <w:sz w:val="34"/>
    </w:rPr>
  </w:style>
  <w:style w:type="character" w:styleId="768" w:customStyle="1">
    <w:name w:val="Heading 5 Char"/>
    <w:basedOn w:val="706"/>
    <w:uiPriority w:val="9"/>
    <w:qFormat/>
    <w:rPr>
      <w:rFonts w:ascii="Arial" w:hAnsi="Arial" w:eastAsia="Arial" w:cs="Arial"/>
      <w:b/>
      <w:bCs/>
      <w:sz w:val="24"/>
      <w:szCs w:val="24"/>
    </w:rPr>
  </w:style>
  <w:style w:type="character" w:styleId="769" w:customStyle="1">
    <w:name w:val="Heading 6 Char"/>
    <w:basedOn w:val="706"/>
    <w:uiPriority w:val="9"/>
    <w:qFormat/>
    <w:rPr>
      <w:rFonts w:ascii="Arial" w:hAnsi="Arial" w:eastAsia="Arial" w:cs="Arial"/>
      <w:b/>
      <w:bCs/>
      <w:sz w:val="22"/>
      <w:szCs w:val="22"/>
    </w:rPr>
  </w:style>
  <w:style w:type="character" w:styleId="770" w:customStyle="1">
    <w:name w:val="Heading 7 Char"/>
    <w:basedOn w:val="706"/>
    <w:uiPriority w:val="9"/>
    <w:qFormat/>
    <w:rPr>
      <w:rFonts w:ascii="Arial" w:hAnsi="Arial" w:eastAsia="Arial" w:cs="Arial"/>
      <w:b/>
      <w:bCs/>
      <w:i/>
      <w:iCs/>
      <w:sz w:val="22"/>
      <w:szCs w:val="22"/>
    </w:rPr>
  </w:style>
  <w:style w:type="character" w:styleId="771" w:customStyle="1">
    <w:name w:val="Heading 8 Char"/>
    <w:basedOn w:val="706"/>
    <w:uiPriority w:val="9"/>
    <w:qFormat/>
    <w:rPr>
      <w:rFonts w:ascii="Arial" w:hAnsi="Arial" w:eastAsia="Arial" w:cs="Arial"/>
      <w:i/>
      <w:iCs/>
      <w:sz w:val="22"/>
      <w:szCs w:val="22"/>
    </w:rPr>
  </w:style>
  <w:style w:type="character" w:styleId="772" w:customStyle="1">
    <w:name w:val="Heading 9 Char"/>
    <w:basedOn w:val="706"/>
    <w:uiPriority w:val="9"/>
    <w:qFormat/>
    <w:rPr>
      <w:rFonts w:ascii="Arial" w:hAnsi="Arial" w:eastAsia="Arial" w:cs="Arial"/>
      <w:i/>
      <w:iCs/>
      <w:sz w:val="21"/>
      <w:szCs w:val="21"/>
    </w:rPr>
  </w:style>
  <w:style w:type="character" w:styleId="773" w:customStyle="1">
    <w:name w:val="Title Char"/>
    <w:basedOn w:val="706"/>
    <w:uiPriority w:val="10"/>
    <w:qFormat/>
    <w:rPr>
      <w:sz w:val="48"/>
      <w:szCs w:val="48"/>
    </w:rPr>
  </w:style>
  <w:style w:type="character" w:styleId="774" w:customStyle="1">
    <w:name w:val="Subtitle Char"/>
    <w:basedOn w:val="706"/>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rPr>
      <w:rFonts w:hint="default" w:ascii="Times New Roman" w:hAnsi="Times New Roman" w:eastAsia="宋体" w:cs="Times New Roman"/>
      <w:lang w:val="en-US" w:eastAsia="zh-CN" w:bidi="ar-SA"/>
    </w:rPr>
  </w:style>
  <w:style w:type="paragraph" w:styleId="799" w:customStyle="1">
    <w:name w:val="列表段落1"/>
    <w:basedOn w:val="800"/>
    <w:next w:val="696"/>
    <w:uiPriority w:val="99"/>
    <w:qFormat/>
    <w:pPr>
      <w:ind w:firstLine="420"/>
    </w:pPr>
  </w:style>
  <w:style w:type="paragraph" w:styleId="800" w:customStyle="1">
    <w:name w:val="正文1"/>
    <w:basedOn w:val="801"/>
    <w:next w:val="802"/>
    <w:uiPriority w:val="0"/>
    <w:qFormat/>
    <w:rPr>
      <w:rFonts w:ascii="Calibri" w:hAnsi="Calibri"/>
    </w:rPr>
  </w:style>
  <w:style w:type="paragraph" w:styleId="801" w:customStyle="1">
    <w:name w:val="正文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正文文本1"/>
    <w:basedOn w:val="800"/>
    <w:uiPriority w:val="0"/>
    <w:qFormat/>
    <w:pPr>
      <w:spacing w:after="120"/>
    </w:pPr>
    <w:rPr>
      <w:lang w:eastAsia="en-US"/>
    </w:rPr>
  </w:style>
  <w:style w:type="paragraph" w:styleId="803" w:customStyle="1">
    <w:name w:val="目录 11"/>
    <w:basedOn w:val="804"/>
    <w:next w:val="801"/>
    <w:uiPriority w:val="0"/>
    <w:qFormat/>
    <w:pPr>
      <w:jc w:val="left"/>
      <w:spacing w:before="120" w:after="120"/>
      <w:widowControl/>
    </w:pPr>
    <w:rPr>
      <w:rFonts w:cs="Calibri"/>
      <w:b/>
      <w:bCs/>
      <w:caps/>
      <w:sz w:val="20"/>
      <w:szCs w:val="20"/>
    </w:rPr>
  </w:style>
  <w:style w:type="paragraph" w:styleId="804" w:customStyle="1">
    <w:name w:val="正文12"/>
    <w:next w:val="805"/>
    <w:uiPriority w:val="0"/>
    <w:qFormat/>
    <w:pPr>
      <w:jc w:val="both"/>
      <w:widowControl w:val="off"/>
    </w:pPr>
    <w:rPr>
      <w:rFonts w:hint="default" w:ascii="Calibri" w:hAnsi="Calibri" w:eastAsia="宋体" w:cs="Times New Roman"/>
      <w:sz w:val="21"/>
      <w:szCs w:val="24"/>
      <w:lang w:val="en-US" w:eastAsia="zh-CN" w:bidi="ar-SA"/>
    </w:rPr>
  </w:style>
  <w:style w:type="paragraph" w:styleId="805" w:customStyle="1">
    <w:name w:val="正文文本11"/>
    <w:basedOn w:val="806"/>
    <w:next w:val="807"/>
    <w:uiPriority w:val="0"/>
    <w:qFormat/>
    <w:pPr>
      <w:spacing w:after="120"/>
    </w:pPr>
  </w:style>
  <w:style w:type="paragraph" w:styleId="806" w:customStyle="1">
    <w:name w:val="正文112"/>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一级条标题"/>
    <w:basedOn w:val="808"/>
    <w:next w:val="8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next w:val="8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9" w:customStyle="1">
    <w:name w:val="段"/>
    <w:basedOn w:val="800"/>
    <w:next w:val="696"/>
    <w:uiPriority w:val="0"/>
    <w:qFormat/>
    <w:pPr>
      <w:ind w:firstLine="200"/>
      <w:widowControl/>
    </w:pPr>
    <w:rPr>
      <w:sz w:val="20"/>
    </w:rPr>
  </w:style>
  <w:style w:type="character" w:styleId="810" w:customStyle="1">
    <w:name w:val="Heading 1 Char"/>
    <w:basedOn w:val="706"/>
    <w:uiPriority w:val="9"/>
    <w:qFormat/>
    <w:rPr>
      <w:rFonts w:ascii="Arial" w:hAnsi="Arial" w:eastAsia="Arial" w:cs="Arial"/>
      <w:sz w:val="40"/>
      <w:szCs w:val="40"/>
    </w:rPr>
  </w:style>
  <w:style w:type="character" w:styleId="811" w:customStyle="1">
    <w:name w:val="标题 2 字符"/>
    <w:basedOn w:val="706"/>
    <w:link w:val="698"/>
    <w:uiPriority w:val="9"/>
    <w:qFormat/>
    <w:rPr>
      <w:rFonts w:ascii="Arial" w:hAnsi="Arial" w:eastAsia="Arial" w:cs="Arial"/>
      <w:sz w:val="34"/>
    </w:rPr>
  </w:style>
  <w:style w:type="character" w:styleId="812" w:customStyle="1">
    <w:name w:val="Heading 3 Char"/>
    <w:basedOn w:val="706"/>
    <w:uiPriority w:val="9"/>
    <w:qFormat/>
    <w:rPr>
      <w:rFonts w:ascii="Arial" w:hAnsi="Arial" w:eastAsia="Arial" w:cs="Arial"/>
      <w:sz w:val="30"/>
      <w:szCs w:val="30"/>
    </w:rPr>
  </w:style>
  <w:style w:type="character" w:styleId="813" w:customStyle="1">
    <w:name w:val="Heading 4 Char"/>
    <w:basedOn w:val="706"/>
    <w:uiPriority w:val="9"/>
    <w:qFormat/>
    <w:rPr>
      <w:rFonts w:ascii="Arial" w:hAnsi="Arial" w:eastAsia="Arial" w:cs="Arial"/>
      <w:b/>
      <w:bCs/>
      <w:sz w:val="26"/>
      <w:szCs w:val="26"/>
    </w:rPr>
  </w:style>
  <w:style w:type="character" w:styleId="814" w:customStyle="1">
    <w:name w:val="标题 5 字符"/>
    <w:basedOn w:val="706"/>
    <w:link w:val="701"/>
    <w:uiPriority w:val="9"/>
    <w:qFormat/>
    <w:rPr>
      <w:rFonts w:ascii="Arial" w:hAnsi="Arial" w:eastAsia="Arial" w:cs="Arial"/>
      <w:b/>
      <w:bCs/>
      <w:sz w:val="24"/>
      <w:szCs w:val="24"/>
    </w:rPr>
  </w:style>
  <w:style w:type="character" w:styleId="815" w:customStyle="1">
    <w:name w:val="标题 6 字符"/>
    <w:basedOn w:val="706"/>
    <w:link w:val="702"/>
    <w:uiPriority w:val="9"/>
    <w:qFormat/>
    <w:rPr>
      <w:rFonts w:ascii="Arial" w:hAnsi="Arial" w:eastAsia="Arial" w:cs="Arial"/>
      <w:b/>
      <w:bCs/>
      <w:sz w:val="22"/>
      <w:szCs w:val="22"/>
    </w:rPr>
  </w:style>
  <w:style w:type="character" w:styleId="816" w:customStyle="1">
    <w:name w:val="标题 7 字符"/>
    <w:basedOn w:val="706"/>
    <w:link w:val="703"/>
    <w:uiPriority w:val="9"/>
    <w:qFormat/>
    <w:rPr>
      <w:rFonts w:ascii="Arial" w:hAnsi="Arial" w:eastAsia="Arial" w:cs="Arial"/>
      <w:b/>
      <w:bCs/>
      <w:i/>
      <w:iCs/>
      <w:sz w:val="22"/>
      <w:szCs w:val="22"/>
    </w:rPr>
  </w:style>
  <w:style w:type="character" w:styleId="817" w:customStyle="1">
    <w:name w:val="标题 8 字符"/>
    <w:basedOn w:val="706"/>
    <w:link w:val="704"/>
    <w:uiPriority w:val="9"/>
    <w:qFormat/>
    <w:rPr>
      <w:rFonts w:ascii="Arial" w:hAnsi="Arial" w:eastAsia="Arial" w:cs="Arial"/>
      <w:i/>
      <w:iCs/>
      <w:sz w:val="22"/>
      <w:szCs w:val="22"/>
    </w:rPr>
  </w:style>
  <w:style w:type="character" w:styleId="818" w:customStyle="1">
    <w:name w:val="标题 9 字符"/>
    <w:basedOn w:val="706"/>
    <w:link w:val="705"/>
    <w:uiPriority w:val="9"/>
    <w:qFormat/>
    <w:rPr>
      <w:rFonts w:ascii="Arial" w:hAnsi="Arial" w:eastAsia="Arial" w:cs="Arial"/>
      <w:i/>
      <w:iCs/>
      <w:sz w:val="21"/>
      <w:szCs w:val="21"/>
    </w:r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字符"/>
    <w:basedOn w:val="706"/>
    <w:link w:val="736"/>
    <w:uiPriority w:val="10"/>
    <w:qFormat/>
    <w:rPr>
      <w:sz w:val="48"/>
      <w:szCs w:val="48"/>
    </w:rPr>
  </w:style>
  <w:style w:type="character" w:styleId="821" w:customStyle="1">
    <w:name w:val="副标题 字符"/>
    <w:basedOn w:val="706"/>
    <w:link w:val="729"/>
    <w:uiPriority w:val="11"/>
    <w:qFormat/>
    <w:rPr>
      <w:sz w:val="24"/>
      <w:szCs w:val="24"/>
    </w:rPr>
  </w:style>
  <w:style w:type="paragraph" w:styleId="822">
    <w:name w:val="Quote"/>
    <w:basedOn w:val="696"/>
    <w:next w:val="696"/>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696"/>
    <w:next w:val="696"/>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basedOn w:val="706"/>
    <w:uiPriority w:val="99"/>
    <w:qFormat/>
  </w:style>
  <w:style w:type="character" w:styleId="827" w:customStyle="1">
    <w:name w:val="Footer Char"/>
    <w:basedOn w:val="706"/>
    <w:uiPriority w:val="99"/>
    <w:qFormat/>
  </w:style>
  <w:style w:type="character" w:styleId="828" w:customStyle="1">
    <w:name w:val="Caption Char"/>
    <w:uiPriority w:val="99"/>
    <w:qFormat/>
  </w:style>
  <w:style w:type="table" w:styleId="829"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0"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basedOn w:val="7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basedOn w:val="7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basedOn w:val="7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 Accent 1"/>
    <w:basedOn w:val="7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30"/>
    <w:uiPriority w:val="99"/>
    <w:qFormat/>
    <w:rPr>
      <w:sz w:val="18"/>
    </w:rPr>
  </w:style>
  <w:style w:type="character" w:styleId="936" w:customStyle="1">
    <w:name w:val="尾注文本 字符"/>
    <w:link w:val="723"/>
    <w:uiPriority w:val="99"/>
    <w:qFormat/>
    <w:rPr>
      <w:sz w:val="20"/>
    </w:rPr>
  </w:style>
  <w:style w:type="paragraph" w:styleId="937" w:customStyle="1">
    <w:name w:val="TOC 标题11"/>
    <w:uiPriority w:val="39"/>
    <w:unhideWhenUsed/>
    <w:qFormat/>
    <w:rPr>
      <w:rFonts w:hint="default" w:ascii="Times New Roman" w:hAnsi="Times New Roman" w:eastAsia="宋体" w:cs="Times New Roman"/>
      <w:lang w:val="en-US" w:eastAsia="zh-CN" w:bidi="ar-SA"/>
    </w:rPr>
  </w:style>
  <w:style w:type="character" w:styleId="938" w:customStyle="1">
    <w:name w:val="正文文本缩进 字符"/>
    <w:basedOn w:val="706"/>
    <w:link w:val="714"/>
    <w:uiPriority w:val="0"/>
    <w:qFormat/>
    <w:rPr>
      <w:sz w:val="21"/>
      <w:szCs w:val="24"/>
    </w:rPr>
  </w:style>
  <w:style w:type="paragraph" w:styleId="939" w:customStyle="1">
    <w:name w:val="默认段落字体 Para Char Char Char Char Char Char Char"/>
    <w:basedOn w:val="696"/>
    <w:uiPriority w:val="0"/>
    <w:qFormat/>
    <w:rPr>
      <w:rFonts w:ascii="Tahoma" w:hAnsi="Tahoma"/>
      <w:sz w:val="24"/>
      <w:szCs w:val="20"/>
    </w:rPr>
  </w:style>
  <w:style w:type="paragraph" w:styleId="940" w:customStyle="1">
    <w:name w:val="Char"/>
    <w:basedOn w:val="696"/>
    <w:uiPriority w:val="0"/>
    <w:qFormat/>
    <w:pPr>
      <w:tabs>
        <w:tab w:val="left" w:pos="360" w:leader="none"/>
      </w:tabs>
    </w:pPr>
    <w:rPr>
      <w:sz w:val="24"/>
    </w:rPr>
  </w:style>
  <w:style w:type="paragraph" w:styleId="941" w:customStyle="1">
    <w:name w:val="普通正文"/>
    <w:basedOn w:val="696"/>
    <w:uiPriority w:val="0"/>
    <w:qFormat/>
    <w:pPr>
      <w:ind w:firstLine="480"/>
      <w:jc w:val="left"/>
      <w:spacing w:before="120" w:after="120" w:line="360" w:lineRule="auto"/>
    </w:pPr>
    <w:rPr>
      <w:rFonts w:ascii="Arial" w:hAnsi="Arial"/>
      <w:sz w:val="24"/>
    </w:rPr>
  </w:style>
  <w:style w:type="paragraph" w:styleId="942" w:customStyle="1">
    <w:name w:val="p0"/>
    <w:basedOn w:val="696"/>
    <w:uiPriority w:val="0"/>
    <w:qFormat/>
    <w:pPr>
      <w:widowControl/>
    </w:pPr>
    <w:rPr>
      <w:szCs w:val="21"/>
    </w:rPr>
  </w:style>
  <w:style w:type="paragraph" w:styleId="943" w:customStyle="1">
    <w:name w:val="Default"/>
    <w:basedOn w:val="696"/>
    <w:uiPriority w:val="0"/>
    <w:qFormat/>
    <w:rPr>
      <w:rFonts w:ascii="宋体" w:hAnsi="宋体" w:cs="宋体"/>
      <w:color w:val="000000"/>
      <w:sz w:val="24"/>
    </w:rPr>
  </w:style>
  <w:style w:type="paragraph" w:styleId="944" w:customStyle="1">
    <w:name w:val="脚注文本1"/>
    <w:basedOn w:val="800"/>
    <w:next w:val="945"/>
    <w:uiPriority w:val="0"/>
    <w:qFormat/>
    <w:rPr>
      <w:rFonts w:eastAsia="Times New Roman"/>
      <w:sz w:val="18"/>
      <w:szCs w:val="18"/>
    </w:rPr>
  </w:style>
  <w:style w:type="paragraph" w:styleId="945" w:customStyle="1">
    <w:name w:val="索引 51"/>
    <w:basedOn w:val="800"/>
    <w:next w:val="800"/>
    <w:uiPriority w:val="0"/>
    <w:qFormat/>
    <w:pPr>
      <w:ind w:left="798"/>
    </w:pPr>
  </w:style>
  <w:style w:type="character" w:styleId="946" w:customStyle="1">
    <w:name w:val="16"/>
    <w:basedOn w:val="706"/>
    <w:uiPriority w:val="0"/>
    <w:qFormat/>
    <w:rPr>
      <w:rFonts w:hint="eastAsia" w:ascii="黑体" w:hAnsi="宋体" w:eastAsia="黑体" w:cs="黑体"/>
      <w:color w:val="000000"/>
      <w:sz w:val="44"/>
      <w:szCs w:val="44"/>
    </w:rPr>
  </w:style>
  <w:style w:type="character" w:styleId="947" w:customStyle="1">
    <w:name w:val="15"/>
    <w:basedOn w:val="706"/>
    <w:uiPriority w:val="0"/>
    <w:qFormat/>
    <w:rPr>
      <w:rFonts w:hint="eastAsia" w:ascii="仿宋" w:hAnsi="仿宋" w:eastAsia="仿宋" w:cs="仿宋"/>
      <w:color w:val="000000"/>
      <w:sz w:val="18"/>
      <w:szCs w:val="18"/>
    </w:rPr>
  </w:style>
  <w:style w:type="paragraph" w:styleId="948" w:customStyle="1">
    <w:name w:val="Table Paragraph"/>
    <w:basedOn w:val="696"/>
    <w:uiPriority w:val="1"/>
    <w:qFormat/>
    <w:rPr>
      <w:rFonts w:ascii="宋体" w:hAnsi="宋体" w:cs="宋体"/>
      <w:lang w:val="zh-CN" w:bidi="zh-CN"/>
    </w:rPr>
  </w:style>
  <w:style w:type="character" w:styleId="949" w:customStyle="1">
    <w:name w:val="标题 3 字符"/>
    <w:basedOn w:val="706"/>
    <w:link w:val="699"/>
    <w:uiPriority w:val="0"/>
    <w:qFormat/>
    <w:rPr>
      <w:b/>
      <w:bCs/>
      <w:sz w:val="32"/>
      <w:szCs w:val="32"/>
    </w:rPr>
  </w:style>
  <w:style w:type="character" w:styleId="950" w:customStyle="1">
    <w:name w:val="正文首行缩进 2 字符"/>
    <w:basedOn w:val="938"/>
    <w:link w:val="738"/>
    <w:uiPriority w:val="0"/>
    <w:qFormat/>
    <w:rPr>
      <w:sz w:val="21"/>
      <w:szCs w:val="24"/>
    </w:rPr>
  </w:style>
  <w:style w:type="paragraph" w:styleId="951">
    <w:name w:val="List Paragraph"/>
    <w:basedOn w:val="696"/>
    <w:uiPriority w:val="1"/>
    <w:qFormat/>
    <w:pPr>
      <w:ind w:right="-107"/>
    </w:pPr>
  </w:style>
  <w:style w:type="paragraph" w:styleId="9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3" w:customStyle="1">
    <w:name w:val="正文缩进2"/>
    <w:basedOn w:val="696"/>
    <w:uiPriority w:val="0"/>
    <w:qFormat/>
    <w:pPr>
      <w:ind w:firstLine="420"/>
    </w:pPr>
  </w:style>
  <w:style w:type="paragraph" w:styleId="954" w:customStyle="1">
    <w:name w:val="文本块1"/>
    <w:basedOn w:val="696"/>
    <w:uiPriority w:val="99"/>
    <w:unhideWhenUsed/>
    <w:qFormat/>
    <w:pPr>
      <w:ind w:left="1440" w:right="1440"/>
      <w:spacing w:after="120"/>
    </w:pPr>
  </w:style>
  <w:style w:type="character" w:styleId="955" w:customStyle="1">
    <w:name w:val="批注框文本 字符"/>
    <w:basedOn w:val="706"/>
    <w:link w:val="724"/>
    <w:uiPriority w:val="99"/>
    <w:semiHidden/>
    <w:qFormat/>
    <w:rPr>
      <w:sz w:val="18"/>
      <w:szCs w:val="18"/>
    </w:rPr>
  </w:style>
  <w:style w:type="character" w:styleId="956" w:customStyle="1">
    <w:name w:val="批注文字 字符"/>
    <w:basedOn w:val="706"/>
    <w:link w:val="712"/>
    <w:uiPriority w:val="99"/>
    <w:semiHidden/>
    <w:qFormat/>
    <w:rPr>
      <w:sz w:val="21"/>
      <w:szCs w:val="24"/>
    </w:rPr>
  </w:style>
  <w:style w:type="character" w:styleId="957" w:customStyle="1">
    <w:name w:val="批注主题 字符"/>
    <w:basedOn w:val="956"/>
    <w:link w:val="737"/>
    <w:uiPriority w:val="99"/>
    <w:semiHidden/>
    <w:qFormat/>
    <w:rPr>
      <w:b/>
      <w:bCs/>
      <w:sz w:val="21"/>
      <w:szCs w:val="24"/>
    </w:rPr>
  </w:style>
  <w:style w:type="paragraph" w:styleId="958" w:customStyle="1">
    <w:name w:val="正文11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E4ED06-F104-452D-BC45-2442640FF49C}"/>
</file>

<file path=customXml/itemProps3.xml><?xml version="1.0" encoding="utf-8"?>
<ds:datastoreItem xmlns:ds="http://schemas.openxmlformats.org/officeDocument/2006/customXml" ds:itemID="{78E11078-4CB5-4C04-BBD8-6A91C8B871D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宋涛</cp:lastModifiedBy>
  <cp:revision>78</cp:revision>
  <dcterms:created xsi:type="dcterms:W3CDTF">2026-01-15T08:16:00Z</dcterms:created>
  <dcterms:modified xsi:type="dcterms:W3CDTF">2026-09-01T06:48:14Z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616167E76932430EAD7047FCC8071BFB_13</vt:lpwstr>
  </property>
  <property fmtid="{D5CDD505-2E9C-101B-9397-08002B2CF9AE}" pid="4" name="KSOTemplateDocerSaveRecord">
    <vt:lpwstr>eyJoZGlkIjoiNmUyNTM2OGQwZjc2MDEzYjY1NzY5Mzg1NjRkMmRmMjciLCJ1c2VySWQiOiIzMDM4NTU2ODgifQ==</vt:lpwstr>
  </property>
</Properties>
</file>