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6"/>
        <w:ind w:firstLine="320"/>
        <w:jc w:val="left"/>
        <w:shd w:val="clear" w:color="auto" w:fill="auto"/>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p>
    <w:p>
      <w:pPr>
        <w:pStyle w:val="759"/>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746"/>
        <w:jc w:val="center"/>
        <w:shd w:val="clear" w:color="auto" w:fill="auto"/>
        <w:rPr>
          <w:rFonts w:ascii="宋体" w:hAnsi="宋体" w:cs="宋体"/>
          <w:b/>
          <w:bCs/>
          <w:color w:val="000000"/>
          <w:spacing w:val="76"/>
          <w:sz w:val="72"/>
          <w:szCs w:val="72"/>
          <w:highlight w:val="none"/>
        </w:rPr>
      </w:pPr>
      <w:r>
        <w:rPr>
          <w:rFonts w:ascii="宋体" w:hAnsi="宋体" w:cs="宋体"/>
          <w:b/>
          <w:bCs/>
          <w:color w:val="000000"/>
          <w:spacing w:val="76"/>
          <w:sz w:val="72"/>
          <w:szCs w:val="72"/>
          <w:highlight w:val="none"/>
        </w:rPr>
      </w:r>
      <w:r/>
    </w:p>
    <w:p>
      <w:pPr>
        <w:pStyle w:val="746"/>
        <w:jc w:val="center"/>
        <w:shd w:val="clear" w:color="auto" w:fill="auto"/>
        <w:rPr>
          <w:rFonts w:ascii="宋体" w:hAnsi="宋体" w:cs="宋体"/>
          <w:b/>
          <w:bCs/>
          <w:color w:val="000000"/>
          <w:spacing w:val="76"/>
          <w:sz w:val="144"/>
          <w:szCs w:val="144"/>
          <w:highlight w:val="none"/>
        </w:rPr>
      </w:pPr>
      <w:r>
        <w:rPr>
          <w:rFonts w:hint="eastAsia" w:ascii="宋体" w:hAnsi="宋体" w:cs="宋体"/>
          <w:b/>
          <w:bCs/>
          <w:color w:val="000000"/>
          <w:spacing w:val="76"/>
          <w:sz w:val="144"/>
          <w:szCs w:val="144"/>
          <w:highlight w:val="none"/>
        </w:rPr>
        <w:t xml:space="preserve">招标文件</w:t>
      </w:r>
      <w:r/>
    </w:p>
    <w:p>
      <w:pPr>
        <w:pStyle w:val="746"/>
        <w:jc w:val="center"/>
        <w:shd w:val="clear" w:color="auto" w:fill="auto"/>
        <w:rPr>
          <w:rFonts w:hint="default"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eastAsia="zh-CN"/>
        </w:rPr>
        <w:t xml:space="preserve">（</w:t>
      </w:r>
      <w:r>
        <w:rPr>
          <w:rFonts w:hint="eastAsia" w:ascii="宋体" w:hAnsi="宋体" w:cs="宋体"/>
          <w:b/>
          <w:bCs/>
          <w:color w:val="000000"/>
          <w:sz w:val="28"/>
          <w:szCs w:val="28"/>
          <w:highlight w:val="none"/>
          <w:lang w:val="en-US" w:eastAsia="zh-CN"/>
        </w:rPr>
        <w:t xml:space="preserve">更正）</w:t>
      </w:r>
      <w:r/>
    </w:p>
    <w:p>
      <w:pPr>
        <w:pStyle w:val="746"/>
        <w:ind w:firstLine="2108"/>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59"/>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871"/>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871"/>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746"/>
        <w:shd w:val="clear" w:color="auto" w:fill="auto"/>
        <w:rPr>
          <w:rFonts w:ascii="宋体" w:hAnsi="宋体" w:cs="宋体"/>
          <w:color w:val="000000"/>
          <w:sz w:val="28"/>
          <w:szCs w:val="28"/>
          <w:highlight w:val="none"/>
        </w:rPr>
      </w:pPr>
      <w:r>
        <w:rPr>
          <w:rFonts w:ascii="宋体" w:hAnsi="宋体" w:cs="宋体"/>
          <w:color w:val="000000"/>
          <w:sz w:val="28"/>
          <w:szCs w:val="28"/>
          <w:highlight w:val="none"/>
        </w:rPr>
      </w:r>
      <w:r/>
    </w:p>
    <w:p>
      <w:pPr>
        <w:pStyle w:val="746"/>
        <w:ind w:firstLine="2108"/>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46"/>
        <w:ind w:firstLine="1124"/>
        <w:spacing w:line="360" w:lineRule="auto"/>
        <w:shd w:val="clear" w:color="auto" w:fill="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项目名称：</w:t>
      </w:r>
      <w:r>
        <w:rPr>
          <w:rFonts w:hint="eastAsia" w:ascii="宋体" w:hAnsi="宋体" w:cs="宋体"/>
          <w:b/>
          <w:bCs/>
          <w:color w:val="000000"/>
          <w:sz w:val="32"/>
          <w:szCs w:val="32"/>
          <w:highlight w:val="none"/>
          <w:lang w:eastAsia="zh-CN"/>
        </w:rPr>
        <w:t xml:space="preserve">徐州市公安局铜山分局2026年视频监控维保项目</w:t>
      </w:r>
      <w:r/>
    </w:p>
    <w:p>
      <w:pPr>
        <w:ind w:left="0" w:right="0" w:firstLine="0"/>
        <w:jc w:val="both"/>
        <w:spacing w:before="0" w:after="0" w:line="360" w:lineRule="auto"/>
        <w:shd w:val="clear" w:color="auto" w:fill="auto"/>
        <w:rPr>
          <w:rFonts w:hint="eastAsia" w:ascii="宋体" w:hAnsi="宋体" w:eastAsia="宋体" w:cs="宋体"/>
          <w:b/>
          <w:bCs/>
          <w:color w:val="000000"/>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       项目编号：</w:t>
      </w:r>
      <w:r>
        <w:rPr>
          <w:rFonts w:hint="eastAsia" w:ascii="宋体" w:hAnsi="宋体" w:eastAsia="宋体" w:cs="宋体"/>
          <w:b/>
          <w:bCs/>
          <w:color w:val="000000"/>
          <w:sz w:val="32"/>
          <w:szCs w:val="32"/>
          <w:highlight w:val="none"/>
        </w:rPr>
        <w:t xml:space="preserve">JSZC-320312-HZGC-G2026-0005</w:t>
      </w:r>
      <w:r/>
    </w:p>
    <w:p>
      <w:pPr>
        <w:pStyle w:val="746"/>
        <w:ind w:firstLine="1124"/>
        <w:spacing w:line="360" w:lineRule="auto"/>
        <w:shd w:val="clear" w:color="auto" w:fill="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 购 人：</w:t>
      </w:r>
      <w:r>
        <w:rPr>
          <w:rFonts w:hint="eastAsia" w:ascii="宋体" w:hAnsi="宋体" w:cs="宋体"/>
          <w:b/>
          <w:bCs/>
          <w:color w:val="000000"/>
          <w:sz w:val="32"/>
          <w:szCs w:val="32"/>
          <w:highlight w:val="none"/>
          <w:lang w:eastAsia="zh-CN"/>
        </w:rPr>
        <w:t xml:space="preserve">徐州市公安局铜山分局</w:t>
      </w:r>
      <w:r/>
    </w:p>
    <w:p>
      <w:pPr>
        <w:pStyle w:val="746"/>
        <w:ind w:firstLine="112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6"/>
        <w:ind w:firstLine="112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6"/>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6"/>
        <w:ind w:firstLine="1124"/>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746"/>
        <w:ind w:firstLine="1124"/>
        <w:spacing w:line="360" w:lineRule="auto"/>
        <w:shd w:val="clear" w:color="auto" w:fill="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采购代理机构：江苏淮中工程管理咨询有限公司</w:t>
      </w:r>
      <w:r/>
    </w:p>
    <w:p>
      <w:pPr>
        <w:pStyle w:val="794"/>
        <w:ind w:firstLine="0"/>
        <w:jc w:val="center"/>
        <w:spacing w:line="360" w:lineRule="auto"/>
        <w:shd w:val="clear" w:color="auto" w:fill="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二〇二</w:t>
      </w:r>
      <w:r>
        <w:rPr>
          <w:rFonts w:hint="eastAsia" w:ascii="宋体" w:hAnsi="宋体" w:cs="宋体"/>
          <w:b/>
          <w:bCs/>
          <w:color w:val="000000"/>
          <w:sz w:val="32"/>
          <w:szCs w:val="32"/>
          <w:highlight w:val="none"/>
          <w:lang w:val="en-US" w:eastAsia="zh-CN"/>
        </w:rPr>
        <w:t xml:space="preserve">六</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八</w:t>
      </w:r>
      <w:r>
        <w:rPr>
          <w:rFonts w:hint="eastAsia" w:ascii="宋体" w:hAnsi="宋体" w:cs="宋体"/>
          <w:b/>
          <w:bCs/>
          <w:color w:val="000000"/>
          <w:sz w:val="32"/>
          <w:szCs w:val="32"/>
          <w:highlight w:val="none"/>
        </w:rPr>
        <w:t xml:space="preserve">月</w:t>
      </w:r>
      <w:r/>
    </w:p>
    <w:p>
      <w:pPr>
        <w:pStyle w:val="746"/>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shd w:val="clear" w:color="auto" w:fill="auto"/>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pStyle w:val="794"/>
        <w:ind w:firstLine="0"/>
        <w:jc w:val="center"/>
        <w:shd w:val="clear" w:color="auto" w:fill="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目 录</w:t>
      </w:r>
      <w:r/>
    </w:p>
    <w:p>
      <w:pPr>
        <w:pStyle w:val="746"/>
        <w:jc w:val="center"/>
        <w:spacing w:line="520" w:lineRule="exact"/>
        <w:shd w:val="clear" w:color="auto" w:fill="auto"/>
        <w:rPr>
          <w:rFonts w:ascii="宋体" w:hAnsi="宋体" w:cs="宋体"/>
          <w:b/>
          <w:color w:val="000000"/>
          <w:sz w:val="28"/>
          <w:szCs w:val="28"/>
          <w:highlight w:val="none"/>
        </w:rPr>
      </w:pPr>
      <w:r/>
      <w:bookmarkStart w:id="0" w:name="_Toc522790130"/>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857"/>
        <w:spacing w:line="360" w:lineRule="auto"/>
        <w:shd w:val="clear" w:color="auto" w:fill="auto"/>
        <w:tabs>
          <w:tab w:val="right" w:pos="8820" w:leader="dot"/>
        </w:tabs>
        <w:rPr>
          <w:rFonts w:ascii="宋体" w:hAnsi="宋体" w:cs="宋体"/>
          <w:color w:val="000000"/>
          <w:sz w:val="28"/>
          <w:szCs w:val="28"/>
          <w:highlight w:val="none"/>
        </w:rPr>
      </w:pP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 TOC \o "1-3" \h \z \u </w:instrText>
      </w:r>
      <w:r>
        <w:rPr>
          <w:rFonts w:hint="eastAsia" w:ascii="宋体" w:hAnsi="宋体" w:cs="宋体"/>
          <w:b/>
          <w:color w:val="000000"/>
          <w:sz w:val="28"/>
          <w:szCs w:val="28"/>
          <w:highlight w:val="none"/>
        </w:rPr>
        <w:fldChar w:fldCharType="separate"/>
      </w:r>
      <w:r>
        <w:rPr>
          <w:color w:val="000000"/>
          <w:highlight w:val="none"/>
        </w:rPr>
        <w:fldChar w:fldCharType="begin"/>
      </w:r>
      <w:r>
        <w:rPr>
          <w:color w:val="000000"/>
          <w:highlight w:val="none"/>
        </w:rPr>
        <w:instrText xml:space="preserve"> HYPERLINK \l "_Toc24120" </w:instrText>
      </w:r>
      <w:r>
        <w:rPr>
          <w:color w:val="000000"/>
          <w:highlight w:val="none"/>
        </w:rPr>
        <w:fldChar w:fldCharType="separate"/>
      </w:r>
      <w:r>
        <w:rPr>
          <w:rFonts w:hint="eastAsia" w:ascii="宋体" w:hAnsi="宋体" w:cs="宋体"/>
          <w:color w:val="000000"/>
          <w:sz w:val="28"/>
          <w:szCs w:val="28"/>
          <w:highlight w:val="none"/>
        </w:rPr>
        <w:t xml:space="preserve">第一章  投标邀请</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_Toc24120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57"/>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"_Toc22286" </w:instrText>
      </w:r>
      <w:r>
        <w:rPr>
          <w:color w:val="000000"/>
          <w:highlight w:val="none"/>
        </w:rPr>
        <w:fldChar w:fldCharType="separate"/>
      </w:r>
      <w:r>
        <w:rPr>
          <w:rFonts w:hint="eastAsia" w:ascii="宋体" w:hAnsi="宋体" w:cs="宋体"/>
          <w:color w:val="000000"/>
          <w:sz w:val="28"/>
          <w:szCs w:val="28"/>
          <w:highlight w:val="none"/>
        </w:rPr>
        <w:t xml:space="preserve">第二章  投标人须知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 5</w:t>
      </w:r>
      <w:r>
        <w:rPr>
          <w:rFonts w:hint="eastAsia" w:ascii="宋体" w:hAnsi="宋体" w:cs="宋体"/>
          <w:color w:val="000000"/>
          <w:sz w:val="28"/>
          <w:szCs w:val="28"/>
          <w:highlight w:val="none"/>
        </w:rPr>
        <w:fldChar w:fldCharType="end"/>
      </w:r>
      <w:r/>
    </w:p>
    <w:p>
      <w:pPr>
        <w:pStyle w:val="857"/>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"_Toc17318" </w:instrText>
      </w:r>
      <w:r>
        <w:rPr>
          <w:color w:val="000000"/>
          <w:highlight w:val="none"/>
        </w:rPr>
        <w:fldChar w:fldCharType="separate"/>
      </w:r>
      <w:r>
        <w:rPr>
          <w:rFonts w:hint="eastAsia" w:ascii="宋体" w:hAnsi="宋体" w:cs="宋体"/>
          <w:color w:val="000000"/>
          <w:sz w:val="28"/>
          <w:szCs w:val="28"/>
          <w:highlight w:val="none"/>
        </w:rPr>
        <w:t xml:space="preserve">第三章  投标资料表</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_Toc17318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16</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57"/>
        <w:spacing w:line="360" w:lineRule="auto"/>
        <w:shd w:val="clear" w:color="auto" w:fill="auto"/>
        <w:tabs>
          <w:tab w:val="right" w:pos="8820" w:leader="dot"/>
        </w:tabs>
        <w:rPr>
          <w:rFonts w:hint="eastAsia" w:ascii="宋体" w:hAnsi="宋体" w:eastAsia="宋体" w:cs="宋体"/>
          <w:color w:val="000000"/>
          <w:sz w:val="28"/>
          <w:szCs w:val="28"/>
          <w:highlight w:val="none"/>
          <w:lang w:val="en-US" w:eastAsia="zh-CN"/>
        </w:rPr>
      </w:pPr>
      <w:r>
        <w:rPr>
          <w:color w:val="000000"/>
          <w:highlight w:val="none"/>
        </w:rPr>
        <w:fldChar w:fldCharType="begin"/>
      </w:r>
      <w:r>
        <w:rPr>
          <w:color w:val="000000"/>
          <w:highlight w:val="none"/>
        </w:rPr>
        <w:instrText xml:space="preserve"> HYPERLINK \l "_Toc9989" </w:instrText>
      </w:r>
      <w:r>
        <w:rPr>
          <w:color w:val="000000"/>
          <w:highlight w:val="none"/>
        </w:rPr>
        <w:fldChar w:fldCharType="separate"/>
      </w:r>
      <w:r>
        <w:rPr>
          <w:rFonts w:hint="eastAsia" w:ascii="宋体" w:hAnsi="宋体" w:cs="宋体"/>
          <w:color w:val="000000"/>
          <w:sz w:val="28"/>
          <w:szCs w:val="28"/>
          <w:highlight w:val="none"/>
        </w:rPr>
        <w:t xml:space="preserve">第四章  评标标准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5</w:t>
      </w:r>
      <w:r/>
    </w:p>
    <w:p>
      <w:pPr>
        <w:pStyle w:val="857"/>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"_Toc13862" </w:instrText>
      </w:r>
      <w:r>
        <w:rPr>
          <w:color w:val="000000"/>
          <w:highlight w:val="none"/>
        </w:rPr>
        <w:fldChar w:fldCharType="separate"/>
      </w:r>
      <w:r>
        <w:rPr>
          <w:rFonts w:hint="eastAsia" w:ascii="宋体" w:hAnsi="宋体" w:cs="宋体"/>
          <w:color w:val="000000"/>
          <w:sz w:val="28"/>
          <w:szCs w:val="28"/>
          <w:highlight w:val="none"/>
        </w:rPr>
        <w:t xml:space="preserve">第五章  拟签订的合同文本</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_Toc13862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27</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57"/>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"_Toc32499" </w:instrText>
      </w:r>
      <w:r>
        <w:rPr>
          <w:color w:val="000000"/>
          <w:highlight w:val="none"/>
        </w:rPr>
        <w:fldChar w:fldCharType="separate"/>
      </w:r>
      <w:r>
        <w:rPr>
          <w:rFonts w:hint="eastAsia" w:ascii="宋体" w:hAnsi="宋体" w:cs="宋体"/>
          <w:color w:val="000000"/>
          <w:sz w:val="28"/>
          <w:szCs w:val="28"/>
          <w:highlight w:val="none"/>
        </w:rPr>
        <w:t xml:space="preserve">第六章  采购需求</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_Toc32499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28</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857"/>
        <w:spacing w:line="360" w:lineRule="auto"/>
        <w:shd w:val="clear" w:color="auto" w:fill="auto"/>
        <w:tabs>
          <w:tab w:val="right" w:pos="8820" w:leader="dot"/>
        </w:tabs>
        <w:rPr>
          <w:rFonts w:ascii="宋体" w:hAnsi="宋体" w:cs="宋体"/>
          <w:color w:val="000000"/>
          <w:sz w:val="28"/>
          <w:szCs w:val="28"/>
          <w:highlight w:val="none"/>
        </w:rPr>
      </w:pPr>
      <w:r>
        <w:rPr>
          <w:color w:val="000000"/>
          <w:highlight w:val="none"/>
        </w:rPr>
        <w:fldChar w:fldCharType="begin"/>
      </w:r>
      <w:r>
        <w:rPr>
          <w:color w:val="000000"/>
          <w:highlight w:val="none"/>
        </w:rPr>
        <w:instrText xml:space="preserve"> HYPERLINK \l "_Toc7211" </w:instrText>
      </w:r>
      <w:r>
        <w:rPr>
          <w:color w:val="000000"/>
          <w:highlight w:val="none"/>
        </w:rPr>
        <w:fldChar w:fldCharType="separate"/>
      </w:r>
      <w:r>
        <w:rPr>
          <w:rFonts w:hint="eastAsia" w:ascii="宋体" w:hAnsi="宋体" w:cs="宋体"/>
          <w:color w:val="000000"/>
          <w:sz w:val="28"/>
          <w:szCs w:val="28"/>
          <w:highlight w:val="none"/>
        </w:rPr>
        <w:t xml:space="preserve">第七章  投标文件相关格式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_Toc7211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28</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p>
    <w:p>
      <w:pPr>
        <w:pStyle w:val="746"/>
        <w:jc w:val="center"/>
        <w:spacing w:line="520" w:lineRule="exact"/>
        <w:shd w:val="clear" w:color="auto" w:fill="auto"/>
        <w:rPr>
          <w:rFonts w:ascii="宋体" w:hAnsi="宋体" w:cs="宋体"/>
          <w:b/>
          <w:color w:val="000000"/>
          <w:sz w:val="28"/>
          <w:szCs w:val="28"/>
          <w:highlight w:val="none"/>
        </w:rPr>
      </w:pPr>
      <w:r>
        <w:rPr>
          <w:rFonts w:hint="eastAsia" w:ascii="宋体" w:hAnsi="宋体" w:cs="宋体"/>
          <w:color w:val="000000"/>
          <w:sz w:val="28"/>
          <w:szCs w:val="28"/>
          <w:highlight w:val="none"/>
        </w:rPr>
        <w:fldChar w:fldCharType="end"/>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shd w:val="clear" w:color="auto" w:fill="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6"/>
        <w:jc w:val="center"/>
        <w:spacing w:line="520" w:lineRule="exact"/>
        <w:shd w:val="clear" w:color="auto" w:fill="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eastAsia="zh-CN"/>
        </w:rPr>
        <w:t xml:space="preserve">徐州市公安局铜山分局2026年视频监控维保项目</w:t>
      </w:r>
      <w:r/>
    </w:p>
    <w:p>
      <w:pPr>
        <w:pStyle w:val="746"/>
        <w:jc w:val="center"/>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招标文件</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17"/>
        <w:spacing w:line="520" w:lineRule="exact"/>
        <w:shd w:val="clear" w:color="auto" w:fill="auto"/>
        <w:rPr>
          <w:rFonts w:ascii="宋体" w:hAnsi="宋体" w:eastAsia="宋体" w:cs="宋体"/>
          <w:color w:val="000000"/>
          <w:sz w:val="24"/>
          <w:szCs w:val="24"/>
          <w:highlight w:val="none"/>
        </w:rPr>
      </w:pPr>
      <w:r/>
      <w:bookmarkStart w:id="1" w:name="_Toc24120"/>
      <w:r>
        <w:rPr>
          <w:rFonts w:hint="eastAsia" w:ascii="宋体" w:hAnsi="宋体" w:eastAsia="宋体" w:cs="宋体"/>
          <w:color w:val="000000"/>
          <w:sz w:val="24"/>
          <w:szCs w:val="24"/>
          <w:highlight w:val="none"/>
        </w:rPr>
        <w:t xml:space="preserve">第一章  投标邀请</w:t>
      </w:r>
      <w:bookmarkEnd w:id="1"/>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江苏淮中工程管理咨询有限公司受</w:t>
      </w:r>
      <w:r>
        <w:rPr>
          <w:rFonts w:hint="eastAsia" w:ascii="宋体" w:hAnsi="宋体" w:cs="宋体"/>
          <w:color w:val="000000"/>
          <w:sz w:val="24"/>
          <w:highlight w:val="none"/>
          <w:lang w:eastAsia="zh-CN"/>
        </w:rPr>
        <w:t xml:space="preserve">徐州市公安局铜山分局</w:t>
      </w:r>
      <w:r>
        <w:rPr>
          <w:rFonts w:hint="eastAsia" w:ascii="宋体" w:hAnsi="宋体" w:cs="宋体"/>
          <w:color w:val="000000"/>
          <w:sz w:val="24"/>
          <w:highlight w:val="none"/>
        </w:rPr>
        <w:t xml:space="preserve">委托对“</w:t>
      </w: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cs="宋体"/>
          <w:color w:val="000000"/>
          <w:sz w:val="24"/>
          <w:highlight w:val="none"/>
        </w:rPr>
        <w:t xml:space="preserve">”进行公开招标采购，现邀请符合相关条件的供应商投标。</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一、项目名称和项目编号</w:t>
      </w:r>
      <w:r/>
    </w:p>
    <w:p>
      <w:pPr>
        <w:pStyle w:val="746"/>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lang w:eastAsia="zh-CN"/>
        </w:rPr>
        <w:t xml:space="preserve">徐州市公安局铜山分局2026年视频监控维保项目</w:t>
      </w:r>
      <w:r/>
    </w:p>
    <w:p>
      <w:pPr>
        <w:pStyle w:val="746"/>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(二)项目编号：</w:t>
      </w:r>
      <w:r>
        <w:rPr>
          <w:rFonts w:ascii="Segoe UI" w:hAnsi="Segoe UI" w:eastAsia="Segoe UI" w:cs="Segoe UI"/>
          <w:i w:val="0"/>
          <w:iCs w:val="0"/>
          <w:caps w:val="0"/>
          <w:spacing w:val="0"/>
          <w:sz w:val="21"/>
          <w:szCs w:val="21"/>
          <w:shd w:val="clear" w:color="auto" w:fill="ffffff"/>
        </w:rPr>
        <w:t xml:space="preserve">JSZC-320312-HZGC-G2026-0005</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二、对投标人的资格要求</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详见本项目公开招标公告。</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三、获取招标文件</w:t>
      </w:r>
      <w:bookmarkEnd w:id="0"/>
      <w:r/>
      <w:r/>
    </w:p>
    <w:p>
      <w:pPr>
        <w:pStyle w:val="746"/>
        <w:ind w:firstLine="560"/>
        <w:spacing w:line="52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（一）时间（时间期限）、地点、方式：详见本项目公开招标公告。</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（二）获取方式：</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1.地点：网上注册登记成功后系统内免费下载。</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2.获取方式：本项目采用网上注册登记方式。</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3.潜在投标人访问电子招标投标交易平台的网络地址和方法：</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（1）登录http://jszfcg.jsczt.cn/，或进入徐州政府采购网--业务工作--用户登录，点击“苏采云”进入系统。</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CA数字证书”的获取：供应商需重新办理CA锁，（“苏采云”系统目前仅支持“苏采云”系统下的国信CA，省内各地区办理的“苏采云”系统下的国信CA全省通用）。投标客户端工具及供应商操作手册可访问徐州市政府采购网，选中“业务工作”，“下载专区”进行下载《江苏省政府采购交易系统（苏采云）供应商操作手册及政府采购客户端》</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4.采购代理机构将数据电文形式的招标文件加载至电子招标投标交易平台，供潜在投标人下载或者查阅。</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5.招标文件售价：免费。</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四、投标有关信息</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（一）投标截止时间：2026</w:t>
      </w:r>
      <w:r>
        <w:rPr>
          <w:rFonts w:hint="eastAsia" w:ascii="宋体" w:hAnsi="宋体" w:cs="宋体"/>
          <w:b/>
          <w:bCs/>
          <w:color w:val="000000"/>
          <w:sz w:val="24"/>
          <w:highlight w:val="none"/>
        </w:rPr>
        <w:t xml:space="preserve">年09月</w:t>
      </w:r>
      <w:r>
        <w:rPr>
          <w:rFonts w:hint="eastAsia" w:ascii="宋体" w:hAnsi="宋体" w:cs="宋体"/>
          <w:b/>
          <w:bCs/>
          <w:color w:val="000000"/>
          <w:sz w:val="24"/>
          <w:highlight w:val="none"/>
          <w:lang w:val="en-US" w:eastAsia="zh-CN"/>
        </w:rPr>
        <w:t xml:space="preserve">11</w:t>
      </w:r>
      <w:r>
        <w:rPr>
          <w:rFonts w:hint="eastAsia" w:ascii="宋体" w:hAnsi="宋体" w:cs="宋体"/>
          <w:b/>
          <w:bCs/>
          <w:color w:val="000000"/>
          <w:sz w:val="24"/>
          <w:highlight w:val="none"/>
        </w:rPr>
        <w:t xml:space="preserve">日北京时间10：00</w:t>
      </w:r>
      <w:r>
        <w:rPr>
          <w:rFonts w:hint="eastAsia" w:ascii="宋体" w:hAnsi="宋体" w:cs="宋体"/>
          <w:color w:val="000000"/>
          <w:sz w:val="24"/>
          <w:highlight w:val="none"/>
        </w:rPr>
        <w:t xml:space="preserve">。</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（二）开标时间：2026</w:t>
      </w:r>
      <w:r>
        <w:rPr>
          <w:rFonts w:hint="eastAsia" w:ascii="宋体" w:hAnsi="宋体" w:cs="宋体"/>
          <w:b/>
          <w:bCs/>
          <w:color w:val="000000"/>
          <w:sz w:val="24"/>
          <w:highlight w:val="none"/>
        </w:rPr>
        <w:t xml:space="preserve">年09月</w:t>
      </w:r>
      <w:r>
        <w:rPr>
          <w:rFonts w:hint="eastAsia" w:ascii="宋体" w:hAnsi="宋体" w:cs="宋体"/>
          <w:b/>
          <w:bCs/>
          <w:color w:val="000000"/>
          <w:sz w:val="24"/>
          <w:highlight w:val="none"/>
          <w:lang w:val="en-US" w:eastAsia="zh-CN"/>
        </w:rPr>
        <w:t xml:space="preserve">11</w:t>
      </w:r>
      <w:r>
        <w:rPr>
          <w:rFonts w:hint="eastAsia" w:ascii="宋体" w:hAnsi="宋体" w:cs="宋体"/>
          <w:b/>
          <w:bCs/>
          <w:color w:val="000000"/>
          <w:sz w:val="24"/>
          <w:highlight w:val="none"/>
        </w:rPr>
        <w:t xml:space="preserve">日北京时间10：00</w:t>
      </w:r>
      <w:r>
        <w:rPr>
          <w:rFonts w:hint="eastAsia" w:ascii="宋体" w:hAnsi="宋体" w:cs="宋体"/>
          <w:color w:val="000000"/>
          <w:sz w:val="24"/>
          <w:highlight w:val="none"/>
        </w:rPr>
        <w:t xml:space="preserve">。</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（三）开标地点：“苏采云”系统（网址：http://jszfcg.jsczt.cn/）“开标大厅”或进入徐州政府采购网（网址：http://czj.xz.gov.cn/Home/HomeIndex）-业务工作 -用户登录，点击“苏采云”进入系统“开标大厅”。 </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五、采购人</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（一）名称：</w:t>
      </w:r>
      <w:r>
        <w:rPr>
          <w:rFonts w:hint="eastAsia" w:ascii="宋体" w:hAnsi="宋体" w:cs="宋体"/>
          <w:color w:val="000000"/>
          <w:sz w:val="24"/>
          <w:highlight w:val="none"/>
          <w:lang w:eastAsia="zh-CN"/>
        </w:rPr>
        <w:t xml:space="preserve">徐州市公安局铜山分局</w:t>
      </w:r>
      <w:r>
        <w:rPr>
          <w:rFonts w:hint="eastAsia" w:ascii="宋体" w:hAnsi="宋体" w:cs="宋体"/>
          <w:color w:val="000000"/>
          <w:sz w:val="24"/>
          <w:highlight w:val="none"/>
        </w:rPr>
        <w:t xml:space="preserve">。</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（二）地址：徐州市铜山区北京南路329号。</w:t>
      </w:r>
      <w:r/>
    </w:p>
    <w:p>
      <w:pPr>
        <w:pStyle w:val="746"/>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（三）联系方法：</w:t>
      </w:r>
      <w:r>
        <w:rPr>
          <w:rFonts w:hint="eastAsia" w:ascii="宋体" w:hAnsi="宋体" w:cs="宋体"/>
          <w:color w:val="000000"/>
          <w:sz w:val="24"/>
          <w:highlight w:val="none"/>
          <w:lang w:eastAsia="zh-CN"/>
        </w:rPr>
        <w:t xml:space="preserve">0516-83340090</w:t>
      </w:r>
      <w:r/>
    </w:p>
    <w:p>
      <w:pPr>
        <w:pStyle w:val="746"/>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（四）采购项目联系人：</w:t>
      </w:r>
      <w:r>
        <w:rPr>
          <w:rFonts w:hint="eastAsia" w:ascii="宋体" w:hAnsi="宋体" w:cs="宋体"/>
          <w:color w:val="000000"/>
          <w:sz w:val="24"/>
          <w:highlight w:val="none"/>
          <w:lang w:eastAsia="zh-CN"/>
        </w:rPr>
        <w:t xml:space="preserve">闫德生</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eastAsia="zh-CN"/>
        </w:rPr>
        <w:t xml:space="preserve">0516-83340090</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六、采购代理机构</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（一）名称： 江苏淮中工程管理咨询有限公司。</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（二）地址：徐州市铜山区汉府雅园综合楼613室。</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（三）联系方法：0516-83509912</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（四）采购项目联系人：闫星星；联系电话：0516-83509912</w:t>
      </w:r>
      <w:r/>
    </w:p>
    <w:p>
      <w:pPr>
        <w:pStyle w:val="746"/>
        <w:ind w:firstLine="560"/>
        <w:spacing w:line="36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p>
    <w:p>
      <w:pPr>
        <w:pStyle w:val="817"/>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一、总则</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（一）采购人。采购人即指依法进行政府采购的国家机关、事业单位和团体组织。</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（六）投标人的资格条件：</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投标人是指响应招标、参加投标竞争的法人、其他组织或者自然人。</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2.投标人授权代表系指法定代表人或受法人委托的受托人。</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二、招标</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（八）招标文件应包括以下内容：</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第一章，投标邀请；</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第二章，投标人须知；</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第三章，投标资料表；</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第四章，评标标准；</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第五章，拟签订的合同文本；</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第六章，采购需求；</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第七章，投标文件相关格式。</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（九）招标文件澄清或者修改：</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2.现场考察以本文件第三章《投标资料表》中的要求为准。</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3.开标前答疑会以本文件第三章《投标资料表》中的要求为准。</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三、投标</w:t>
      </w:r>
      <w:r/>
    </w:p>
    <w:p>
      <w:pPr>
        <w:pStyle w:val="746"/>
        <w:ind w:firstLine="6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p>
    <w:p>
      <w:pPr>
        <w:pStyle w:val="746"/>
        <w:ind w:firstLine="6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p>
    <w:p>
      <w:pPr>
        <w:pStyle w:val="746"/>
        <w:ind w:firstLine="6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（十二）投标文件的构成：</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1.投标文件的构成以本文件第三章《投标资料表》中的要求为准。</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2.投标人应当提交的资格、资信证明文件，以本文件第三章《投标资料表》中的所提要求为准。</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（十三）投标函和价格表、商务条件、交货和提供服务的时间：</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2.商务条件以本文件第三章《投标资料表》中的要求为准。</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3.交货和提供服务的时间，以本文件第三章《投标资料表》中所提要求为准。</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（十四）投标报价要求：</w:t>
      </w:r>
      <w:r/>
    </w:p>
    <w:p>
      <w:pPr>
        <w:pStyle w:val="746"/>
        <w:ind w:right="-638"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1.投标人应按照招标文件的要求报出分项价格和总价。</w:t>
      </w:r>
      <w:r/>
    </w:p>
    <w:p>
      <w:pPr>
        <w:pStyle w:val="746"/>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2.投标人应按照招标文件的要求进行报价，如投标人作出偏离，应在《偏离表》中列出。</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3.采购人不支付报价以外的任何费用。</w:t>
      </w:r>
      <w:r/>
    </w:p>
    <w:p>
      <w:pPr>
        <w:pStyle w:val="746"/>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4.投标人所报的价格，在合同执行过程中是固定的，不得以任何理由予以变更。投标人提交滑动价格的投标文件，在符合性检查时按照无效投标处理。</w:t>
      </w:r>
      <w:r/>
    </w:p>
    <w:p>
      <w:pPr>
        <w:pStyle w:val="746"/>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5.投标人只能提交一个投标价格，投标人提交多个价格的投标文件，在符合性检查时按照无效投标处理。</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（十五）投标货币。以本文件第三章《投标资料表》中所提要求为准。</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（十六）投标有效期：</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p>
    <w:p>
      <w:pPr>
        <w:pStyle w:val="746"/>
        <w:ind w:right="-420"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（十七）投标文件的编制要求和签署要求：</w:t>
      </w:r>
      <w:r/>
    </w:p>
    <w:p>
      <w:pPr>
        <w:pStyle w:val="746"/>
        <w:ind w:right="-420" w:firstLine="562"/>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1.电子投标文件要求</w:t>
      </w:r>
      <w:r/>
    </w:p>
    <w:p>
      <w:pPr>
        <w:pStyle w:val="746"/>
        <w:ind w:right="-420" w:firstLine="482"/>
        <w:jc w:val="left"/>
        <w:spacing w:line="520" w:lineRule="exact"/>
        <w:shd w:val="clear" w:color="auto" w:fill="auto"/>
        <w:widowControl/>
        <w:tabs>
          <w:tab w:val="left" w:pos="9030" w:leader="none"/>
          <w:tab w:val="left" w:pos="9460" w:leader="none"/>
        </w:tabs>
        <w:rPr>
          <w:rFonts w:ascii="宋体" w:hAnsi="宋体" w:cs="宋体"/>
          <w:color w:val="000000"/>
          <w:sz w:val="24"/>
          <w:highlight w:val="none"/>
        </w:rPr>
      </w:pPr>
      <w:r>
        <w:rPr>
          <w:rFonts w:hint="eastAsia" w:ascii="宋体" w:hAnsi="宋体" w:cs="宋体"/>
          <w:color w:val="000000"/>
          <w:sz w:val="24"/>
          <w:highlight w:val="none"/>
        </w:rPr>
        <w:t xml:space="preserve">（1）电子招标投标交易平台（即“苏采云”系统）相关要求是本招标文件的组成部分。</w:t>
      </w:r>
      <w:r/>
    </w:p>
    <w:p>
      <w:pPr>
        <w:pStyle w:val="746"/>
        <w:ind w:right="-420" w:firstLine="482"/>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（2）投标人应对 CA 证书妥善保管，如被他人盗用投标，因此带来的结果均由投标人自行承担。</w:t>
      </w:r>
      <w:r/>
    </w:p>
    <w:p>
      <w:pPr>
        <w:pStyle w:val="746"/>
        <w:ind w:right="-420" w:firstLine="482"/>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（3）投标人应当对招标文件提出的要求和条件作出实质性响应，并在电子投标系统逐条应答。</w:t>
      </w:r>
      <w:r/>
    </w:p>
    <w:p>
      <w:pPr>
        <w:pStyle w:val="746"/>
        <w:ind w:firstLine="482"/>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（十八）投标文件的密封、盖章要求：</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1.投标人未在规定时间内解密电子投标文件的，所导致的一切后果均由投标人承担。</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2.投标文件的盖章要求，以本文件第三章《投标资料表》中所提要求为准。</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（十九）提交投标文件的注意事项。投标人应在招标文件要求的提交投标文件的截止时间前，将电子投标文件上传“苏采云”系统。</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（二十）凡在招标文件要求提交投标文件的截止时间之后上传的投标文件，均为无效投标文件，“苏采云”系统将自动拒收。在规定时间内各投标人凭CA锁进行网上解密。</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（二十二）本项目不允许分包。</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（二十四）有下列情形之一的，其投标无效。</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1.不同投标人的投标文件，由同一单位或者个人编制；</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2.不同投标人委托同一单位或者个人办理投标事宜；</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3.不同投标人的投标文件中，所载明的项目管理成员或联系人为同一人；</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4.不同投标人的投标文件，异常一致或者投标报价呈规律性差异；</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5.不同投标人投标文件内容存在非正常一致、项目组成员出现同一人、投标文件中错误（或异常）一致或雷同、电子文档信息一致或雷同的、投标报价呈规律性差异的；</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6.电子投标文件未按规定期限投标的；</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7.电子投标文件未按招标文件要求签章的；</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8.投标人未在规定时间内解密电子投标文件的；</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9.投标文件未按招标文件规定的内容和要求填写的；没有在投标系统指定位置上传对应文件、材料的。</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10.不具备招标文件中规定的资格要求的；</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11.报价超过招标文件中规定的预算金额或者最高限价的；</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12.投标文件含有采购人不能接受的附加条件的；</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13.法律、法规和招标文件规定的其他无效情形。</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四、开标</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（二十五）开标：</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1.开标时间及地点。开标应当在招标文件确定的提交投标文件截止时间的同一时间公开进行；开标地点应当为招标文件中预先确定的地点。</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2.开标由采购代理机构主持，邀请投标人参加。</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3.所有投标单位在到达开标时间时，用CA证书解密各自投标文件，由工作人员操作系统进行开标。投标人不足3家的，不得开标。</w:t>
      </w:r>
      <w:r/>
    </w:p>
    <w:p>
      <w:pPr>
        <w:pStyle w:val="746"/>
        <w:ind w:firstLine="600"/>
        <w:spacing w:line="519"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4.因投标人原因造成投标文件未解密的，视为撤销其投标文件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因投标人之外的原因造成投标文件未解密的，视为撤回其投标文件。部分投标文件未解密的，其他投标文件的开标可以继续进行。</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5.投标人代表对开标过程和开标记录有疑义的，或者认为采购人、采购代理机构相关工作人员有需要回避情形的，应当场提出询问或者提出回避申请。</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投标人未参加开标的，视同认可开标结果。</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五、评标</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1.评标工作由采购代理机构负责组织，并履行下列职责：</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（2）宣布评标纪律；</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（3）公布投标人名单，告知评审专家应当回避的情形；</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（4）组织评标委员会推选评标组长（采购人代表不得担任组长）；</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（5）在评标期间采取必要的通讯管理措施，保证评标活动不受外界干扰；</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（6）根据评标委员会的要求介绍政府采购相关政策法规、招标文件；</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（8）核对评标结果，对有《</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"http://www.caigou2003.com/" \t "_blank"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政府采购</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（10）处理与评标有关的其他事项。</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2.评标委员会负责具体评标事务，并独立履行下列职责：</w:t>
      </w:r>
      <w:r/>
    </w:p>
    <w:p>
      <w:pPr>
        <w:pStyle w:val="746"/>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（1）审查、评价投标文件是否符合招标文件的商务、技术等实质性要求；</w:t>
      </w:r>
      <w:r/>
    </w:p>
    <w:p>
      <w:pPr>
        <w:pStyle w:val="746"/>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（2）要求投标人对投标文件有关事项作出澄清或者说明；</w:t>
      </w:r>
      <w:r/>
    </w:p>
    <w:p>
      <w:pPr>
        <w:pStyle w:val="746"/>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（3）对投标文件进行比较和评价；</w:t>
      </w:r>
      <w:r/>
    </w:p>
    <w:p>
      <w:pPr>
        <w:pStyle w:val="746"/>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（4）确定中标候选人名单，以及根据采购人委托直接确定中标人；</w:t>
      </w:r>
      <w:r/>
    </w:p>
    <w:p>
      <w:pPr>
        <w:pStyle w:val="746"/>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（5）向采购人、采购代理机构或有关部门报告评标中发现的违法行为。</w:t>
      </w:r>
      <w:r/>
    </w:p>
    <w:p>
      <w:pPr>
        <w:pStyle w:val="746"/>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（二十七）评标方法分为最低评标价法和综合评分法。</w:t>
      </w:r>
      <w:r/>
    </w:p>
    <w:p>
      <w:pPr>
        <w:pStyle w:val="746"/>
        <w:ind w:firstLine="42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（二十八）评标</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1.评标工作程序：</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（1）投标文件初审。</w:t>
      </w:r>
      <w:r/>
    </w:p>
    <w:p>
      <w:pPr>
        <w:pStyle w:val="746"/>
        <w:ind w:firstLine="84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①资格性审查。</w:t>
      </w:r>
      <w:r/>
    </w:p>
    <w:p>
      <w:pPr>
        <w:pStyle w:val="746"/>
        <w:ind w:firstLine="84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②符合性审查。</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（2）澄清有关问题。</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（3）比较与评价。</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（4）推荐中标候选供应商名单。</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（5）编写评审报告（评标报告）。</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"http://lilun.caigou2003.com/recijiedu/2365668.html" \t "_blank"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最低评标价法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采用</w:t>
      </w:r>
      <w:r>
        <w:rPr>
          <w:color w:val="000000"/>
          <w:highlight w:val="none"/>
        </w:rPr>
        <w:fldChar w:fldCharType="begin"/>
      </w:r>
      <w:r>
        <w:rPr>
          <w:color w:val="000000"/>
          <w:highlight w:val="none"/>
        </w:rPr>
        <w:instrText xml:space="preserve"> HYPERLINK "http://lilun.caigou2003.com/recijiedu/2365667.html" \t "_blank" </w:instrText>
      </w:r>
      <w:r>
        <w:rPr>
          <w:color w:val="000000"/>
          <w:highlight w:val="none"/>
        </w:rPr>
        <w:fldChar w:fldCharType="separate"/>
      </w:r>
      <w:r>
        <w:rPr>
          <w:rFonts w:hint="eastAsia" w:ascii="宋体" w:hAnsi="宋体" w:cs="宋体"/>
          <w:color w:val="000000"/>
          <w:sz w:val="24"/>
          <w:highlight w:val="none"/>
        </w:rPr>
        <w:t xml:space="preserve">综合评分法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非单一产品采购项目，多家投标人提供的核心产品品牌相同的，按前两款规定处理。</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（二十九）投标文件报价出现前后不一致的，按照下列规定修正：</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1.投标文件中开标一览表（报价表）内容与投标文件中相应内容不一致的，以开标一览表（报价表）为准；</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4.总价金额与按单价合计金额不一致的，以单价金额计算结果为准。</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评标中需要投标人对投标文件澄清或者说明的，应当通过“苏采云”系统交换数据电文。在评标期间，请投标人保持在线。</w:t>
      </w:r>
      <w:r/>
    </w:p>
    <w:p>
      <w:pPr>
        <w:pStyle w:val="746"/>
        <w:ind w:firstLine="560"/>
        <w:jc w:val="left"/>
        <w:spacing w:line="52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46"/>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（一）评审中出现下列情形之一的，评审（评标）委员会应当启动异常低价投标（响应）审查程序：</w:t>
      </w:r>
      <w:r/>
    </w:p>
    <w:p>
      <w:pPr>
        <w:pStyle w:val="746"/>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p>
    <w:p>
      <w:pPr>
        <w:pStyle w:val="746"/>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p>
    <w:p>
      <w:pPr>
        <w:pStyle w:val="746"/>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3.投标（响应）报价低于采购项目最高限价（未设定最高限价的采购项目，</w:t>
      </w:r>
      <w:r/>
    </w:p>
    <w:p>
      <w:pPr>
        <w:pStyle w:val="746"/>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以采购项目预算金额作为最高限价）45%的，即投标（响应）报价&lt;采购项目最高限价×45%；</w:t>
      </w:r>
      <w:r/>
    </w:p>
    <w:p>
      <w:pPr>
        <w:pStyle w:val="746"/>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4.评审（评标）委员会基于专业判断，认为供应商报价过低，有可能影响产品质量或者不能诚信履约的其他情形。</w:t>
      </w:r>
      <w:r/>
    </w:p>
    <w:p>
      <w:pPr>
        <w:pStyle w:val="746"/>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p>
    <w:p>
      <w:pPr>
        <w:pStyle w:val="746"/>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6"/>
        <w:ind w:firstLine="560"/>
        <w:jc w:val="left"/>
        <w:spacing w:line="520" w:lineRule="exact"/>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46"/>
        <w:ind w:firstLine="560"/>
        <w:jc w:val="left"/>
        <w:spacing w:line="520" w:lineRule="exact"/>
        <w:shd w:val="clear" w:color="auto" w:fill="auto"/>
        <w:widowControl/>
        <w:rPr>
          <w:rFonts w:eastAsia="宋体"/>
          <w:lang w:val="en-US" w:eastAsia="zh-CN"/>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（三十二）废标条款：</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出现下列情形之一的，应予废标。</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1.符合专业条件的供应商或者对招标文件作实质响应的供应商不足三家的；</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3.投标人的报价均超过了采购预算，采购人不能支付的；</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4.因重大变故，采购任务取消的。</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六、定标</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（三十三）采购代理机构应当在评标结束后2个工作日内将评标报告送采购人。</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七、政府采购合同</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（三十六）签订政府采购合同（合同签订方式）：</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采购人不得向中标人提出任何不合理的要求作为签订合同的条件。</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46"/>
        <w:ind w:firstLine="56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p>
    <w:p>
      <w:pPr>
        <w:pStyle w:val="746"/>
        <w:ind w:firstLine="56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（三十八）履约保证金：</w:t>
      </w:r>
      <w:r/>
    </w:p>
    <w:p>
      <w:pPr>
        <w:pStyle w:val="747"/>
        <w:ind w:left="0" w:firstLine="720"/>
        <w:spacing w:line="360" w:lineRule="auto"/>
        <w:rPr>
          <w:highlight w:val="none"/>
        </w:rPr>
      </w:pPr>
      <w:r>
        <w:rPr>
          <w:rFonts w:hint="eastAsia" w:ascii="宋体" w:hAnsi="宋体" w:eastAsia="宋体" w:cs="宋体"/>
          <w:color w:val="000000"/>
          <w:sz w:val="24"/>
          <w:highlight w:val="none"/>
          <w:lang w:val="en-US" w:eastAsia="zh-CN"/>
        </w:rPr>
        <w:t xml:space="preserve">本项目</w:t>
      </w:r>
      <w:r>
        <w:rPr>
          <w:rFonts w:hint="eastAsia" w:ascii="宋体" w:hAnsi="宋体" w:cs="宋体"/>
          <w:color w:val="000000"/>
          <w:sz w:val="24"/>
          <w:highlight w:val="none"/>
        </w:rPr>
        <w:t xml:space="preserve">履约保证金：无</w:t>
      </w:r>
      <w:r/>
    </w:p>
    <w:p>
      <w:pPr>
        <w:pStyle w:val="746"/>
        <w:ind w:firstLine="560"/>
        <w:jc w:val="left"/>
        <w:spacing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（三十九）腐败和欺诈行为：</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（1）腐败和欺诈行为的含义：</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②“欺诈行为”系指为了影响招标、采购和合同执行等过程，隐瞒事实真象，给买方、卖方、采购代理机构及他人造成损害的行为，其中包括投标人之间的串通行为。</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（2）如果被推荐的中标人有腐败和欺诈行为，将取消其中标资格。</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（3）如果投标人在任何时候，被法院及政府有关管理部门认定为有腐败和欺诈行为，采购代理机构有权拒绝其投标、取消其中标资格和撤消其已签署的合同。</w:t>
      </w:r>
      <w:r/>
    </w:p>
    <w:p>
      <w:pPr>
        <w:pStyle w:val="746"/>
        <w:ind w:firstLine="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八、询问和质疑</w:t>
      </w:r>
      <w:r/>
    </w:p>
    <w:p>
      <w:pPr>
        <w:pStyle w:val="746"/>
        <w:ind w:firstLine="560"/>
        <w:jc w:val="left"/>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（四十）询问和质疑</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九、电子招标投标交易平台</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（四十一）评标中需要投标人对投标文件澄清或者说明的，应当通过“苏采云”系统交换数据电文。在评标期间，请投标人保持在线。</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（四十二）对于投标文件中含义不明确、同类问题表述不一致或者有明显文字和计算错误的内容，评标委员会通过“苏采云”系统要求投标人作出必要的澄清、说明或者补正，并规定回复时间。</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四十三）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6"/>
        <w:ind w:firstLine="560"/>
        <w:jc w:val="left"/>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746"/>
        <w:ind w:firstLine="602"/>
        <w:jc w:val="center"/>
        <w:spacing w:line="360" w:lineRule="exact"/>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746"/>
        <w:shd w:val="clear" w:color="auto" w:fill="auto"/>
        <w:rPr>
          <w:rFonts w:ascii="宋体" w:hAnsi="宋体" w:cs="宋体"/>
          <w:color w:val="000000"/>
          <w:sz w:val="24"/>
          <w:highlight w:val="none"/>
        </w:rPr>
      </w:pPr>
      <w:r/>
      <w:bookmarkStart w:id="2" w:name="_Toc17318"/>
      <w:r/>
      <w:bookmarkStart w:id="3" w:name="_Toc522790132"/>
      <w:r>
        <w:rPr>
          <w:rFonts w:hint="eastAsia" w:ascii="宋体" w:hAnsi="宋体" w:cs="宋体"/>
          <w:color w:val="000000"/>
          <w:sz w:val="24"/>
          <w:highlight w:val="none"/>
        </w:rPr>
        <w:br w:type="page" w:clear="all"/>
      </w:r>
      <w:r/>
    </w:p>
    <w:p>
      <w:pPr>
        <w:pStyle w:val="817"/>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投标资料表</w:t>
      </w:r>
      <w:bookmarkEnd w:id="2"/>
      <w:r/>
      <w:bookmarkEnd w:id="3"/>
      <w:r/>
      <w:r/>
    </w:p>
    <w:p>
      <w:pPr>
        <w:pStyle w:val="848"/>
        <w:ind w:firstLine="560"/>
        <w:spacing w:line="520" w:lineRule="exact"/>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746"/>
        <w:spacing w:line="240" w:lineRule="exact"/>
        <w:shd w:val="clear" w:color="auto" w:fill="auto"/>
        <w:rPr>
          <w:rFonts w:ascii="宋体" w:hAnsi="宋体" w:cs="宋体"/>
          <w:color w:val="000000"/>
          <w:sz w:val="24"/>
          <w:highlight w:val="none"/>
        </w:rPr>
      </w:pPr>
      <w:r>
        <w:rPr>
          <w:rFonts w:ascii="宋体" w:hAnsi="宋体" w:cs="宋体"/>
          <w:color w:val="000000"/>
          <w:sz w:val="24"/>
          <w:highlight w:val="none"/>
        </w:rPr>
      </w:r>
      <w:r/>
    </w:p>
    <w:tbl>
      <w:tblPr>
        <w:tblStyle w:val="689"/>
        <w:tblW w:w="10408"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7"/>
        <w:gridCol w:w="8771"/>
      </w:tblGrid>
      <w:tr>
        <w:trPr/>
        <w:tc>
          <w:tcPr>
            <w:tcW w:w="1637" w:type="dxa"/>
            <w:vAlign w:val="top"/>
            <w:textDirection w:val="lrTb"/>
            <w:noWrap w:val="false"/>
          </w:tcPr>
          <w:p>
            <w:pPr>
              <w:pStyle w:val="746"/>
              <w:jc w:val="center"/>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条款项号</w:t>
            </w:r>
            <w:r/>
          </w:p>
        </w:tc>
        <w:tc>
          <w:tcPr>
            <w:tcW w:w="8771" w:type="dxa"/>
            <w:vAlign w:val="top"/>
            <w:textDirection w:val="lrTb"/>
            <w:noWrap w:val="false"/>
          </w:tcPr>
          <w:p>
            <w:pPr>
              <w:pStyle w:val="746"/>
              <w:jc w:val="center"/>
              <w:spacing w:line="52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内    容</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一</w:t>
            </w:r>
            <w:r/>
          </w:p>
        </w:tc>
        <w:tc>
          <w:tcPr>
            <w:tcW w:w="8771" w:type="dxa"/>
            <w:vAlign w:val="top"/>
            <w:textDirection w:val="lrTb"/>
            <w:noWrap w:val="false"/>
          </w:tcPr>
          <w:p>
            <w:pPr>
              <w:pStyle w:val="746"/>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总则</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w:t>
            </w:r>
            <w:r/>
          </w:p>
        </w:tc>
        <w:tc>
          <w:tcPr>
            <w:tcW w:w="8771" w:type="dxa"/>
            <w:vAlign w:val="top"/>
            <w:textDirection w:val="lrTb"/>
            <w:noWrap w:val="false"/>
          </w:tcPr>
          <w:p>
            <w:pPr>
              <w:pStyle w:val="746"/>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本项目采购人：</w:t>
            </w:r>
            <w:r>
              <w:rPr>
                <w:rFonts w:hint="eastAsia" w:ascii="宋体" w:hAnsi="宋体" w:cs="宋体"/>
                <w:color w:val="000000"/>
                <w:sz w:val="24"/>
                <w:highlight w:val="none"/>
                <w:lang w:eastAsia="zh-CN"/>
              </w:rPr>
              <w:t xml:space="preserve">徐州市公安局铜山分局</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本次采购采用的政府采购方式：公开招标</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采购人确定的采购项目属性：服务</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本项目采购代理机构：江苏淮中工程管理咨询有限公司</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投标人的资格条件：</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一、符合《中华人民共和国政府采购法》第二十二条的规定；</w:t>
            </w:r>
            <w:r/>
          </w:p>
          <w:p>
            <w:pPr>
              <w:pStyle w:val="746"/>
              <w:spacing w:line="520" w:lineRule="exact"/>
              <w:shd w:val="clear" w:color="auto" w:fill="auto"/>
              <w:rPr>
                <w:rFonts w:ascii="宋体" w:hAnsi="宋体" w:cs="宋体"/>
                <w:b/>
                <w:bCs/>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color w:val="000000"/>
                <w:sz w:val="24"/>
                <w:highlight w:val="none"/>
              </w:rPr>
              <w:t xml:space="preserve">落实政府采购政策需满足的资格要求：</w:t>
            </w:r>
            <w:r>
              <w:rPr>
                <w:rFonts w:hint="eastAsia" w:ascii="宋体" w:hAnsi="宋体" w:cs="宋体"/>
                <w:b/>
                <w:bCs/>
                <w:color w:val="000000"/>
                <w:sz w:val="24"/>
                <w:highlight w:val="none"/>
              </w:rPr>
              <w:t xml:space="preserve">此项目是不属于专门面向中小微企业采购的项目。</w:t>
            </w:r>
            <w:r/>
          </w:p>
          <w:p>
            <w:pPr>
              <w:pStyle w:val="746"/>
              <w:spacing w:line="52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三、本项目的特定资格要求：无。</w:t>
            </w:r>
            <w:r/>
          </w:p>
          <w:p>
            <w:pPr>
              <w:pStyle w:val="746"/>
              <w:spacing w:line="52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同时明确相关事项如下：</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一、本项目不接受联合体参与采</w:t>
            </w:r>
            <w:r>
              <w:rPr>
                <w:rFonts w:hint="eastAsia" w:ascii="宋体" w:hAnsi="宋体" w:cs="宋体"/>
                <w:color w:val="000000"/>
                <w:sz w:val="24"/>
                <w:highlight w:val="none"/>
              </w:rPr>
              <w:t xml:space="preserve">购活动，中标后不得转包或者分包。</w:t>
            </w:r>
            <w:r/>
          </w:p>
          <w:p>
            <w:pPr>
              <w:pStyle w:val="746"/>
              <w:ind w:left="56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二、单位负责人为同一人或者存在直接控股、管理关系的不同供应商，不得参加同一合同项下的政府采购活动。</w:t>
            </w:r>
            <w:r/>
          </w:p>
          <w:p>
            <w:pPr>
              <w:pStyle w:val="746"/>
              <w:ind w:left="56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三、为本采购项目提供整体设计、规范编制或者项目管理、监理、检测等服务的供应商，不得再参加本采购项目的采购活动。</w:t>
            </w:r>
            <w:r/>
          </w:p>
          <w:p>
            <w:pPr>
              <w:pStyle w:val="746"/>
              <w:ind w:left="56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四、查询及使用供应商信用记录：</w:t>
            </w:r>
            <w:r/>
          </w:p>
          <w:p>
            <w:pPr>
              <w:pStyle w:val="746"/>
              <w:ind w:firstLine="42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(一)由采购人查询信用信息。</w:t>
            </w:r>
            <w:r/>
          </w:p>
          <w:p>
            <w:pPr>
              <w:pStyle w:val="746"/>
              <w:ind w:firstLine="42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(二)查询渠道包括：</w:t>
            </w:r>
            <w:r/>
          </w:p>
          <w:p>
            <w:pPr>
              <w:pStyle w:val="746"/>
              <w:ind w:firstLine="7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1.“信用中国”网（</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"http://www.creditchina.gov.cn/"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www.creditchina.gov.cn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p>
          <w:p>
            <w:pPr>
              <w:pStyle w:val="746"/>
              <w:ind w:firstLine="7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2.中国政府采购网（</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"http://www.ccgp.gov.cn/"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www.ccgp.gov.cn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p>
          <w:p>
            <w:pPr>
              <w:pStyle w:val="746"/>
              <w:ind w:firstLine="7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3.“诚信江苏”网（www.jiangsu.gov.cn/jsxy/index.htm）</w:t>
            </w:r>
            <w:r/>
          </w:p>
          <w:p>
            <w:pPr>
              <w:pStyle w:val="746"/>
              <w:ind w:firstLine="7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或“信用江苏”网（http://credit.jiangsu.gov.cn/）；</w:t>
            </w:r>
            <w:r/>
          </w:p>
          <w:p>
            <w:pPr>
              <w:pStyle w:val="746"/>
              <w:ind w:firstLine="7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4.“信用中国（江苏徐州）”网</w:t>
            </w:r>
            <w:r/>
          </w:p>
          <w:p>
            <w:pPr>
              <w:pStyle w:val="746"/>
              <w:ind w:firstLine="7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rPr>
                <w:color w:val="000000"/>
                <w:highlight w:val="none"/>
              </w:rPr>
              <w:fldChar w:fldCharType="begin"/>
            </w:r>
            <w:r>
              <w:rPr>
                <w:color w:val="000000"/>
                <w:highlight w:val="none"/>
              </w:rPr>
              <w:instrText xml:space="preserve"> HYPERLINK "http://www.xuzhoucredit.gov.cn/" </w:instrText>
            </w:r>
            <w:r>
              <w:rPr>
                <w:color w:val="000000"/>
                <w:highlight w:val="none"/>
              </w:rPr>
              <w:fldChar w:fldCharType="separate"/>
            </w:r>
            <w:r>
              <w:rPr>
                <w:rFonts w:hint="eastAsia" w:ascii="宋体" w:hAnsi="宋体" w:cs="宋体"/>
                <w:color w:val="000000"/>
                <w:sz w:val="24"/>
                <w:highlight w:val="none"/>
              </w:rPr>
              <w:t xml:space="preserve">http://www.xuzhoucredit.gov.cn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p>
          <w:p>
            <w:pPr>
              <w:pStyle w:val="746"/>
              <w:ind w:firstLine="42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(三)截止时点（查询环节）：开标后资格审查结束前。</w:t>
            </w:r>
            <w:r/>
          </w:p>
          <w:p>
            <w:pPr>
              <w:pStyle w:val="746"/>
              <w:ind w:left="98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(四)信用信息查询记录和证据留存的具体方式：网页截屏打印，与其他采购文件一并保存。</w:t>
            </w:r>
            <w:r/>
          </w:p>
          <w:p>
            <w:pPr>
              <w:pStyle w:val="746"/>
              <w:ind w:firstLine="42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(五)信用信息的使用规则：</w:t>
            </w:r>
            <w:r/>
          </w:p>
          <w:p>
            <w:pPr>
              <w:pStyle w:val="746"/>
              <w:ind w:left="899"/>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二</w:t>
            </w:r>
            <w:r/>
          </w:p>
        </w:tc>
        <w:tc>
          <w:tcPr>
            <w:tcW w:w="8771" w:type="dxa"/>
            <w:vAlign w:val="top"/>
            <w:textDirection w:val="lrTb"/>
            <w:noWrap w:val="false"/>
          </w:tcPr>
          <w:p>
            <w:pPr>
              <w:pStyle w:val="746"/>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招标</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(九)1</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(九)2</w:t>
            </w:r>
            <w:r/>
          </w:p>
        </w:tc>
        <w:tc>
          <w:tcPr>
            <w:tcW w:w="8771" w:type="dxa"/>
            <w:vAlign w:val="top"/>
            <w:textDirection w:val="lrTb"/>
            <w:noWrap w:val="false"/>
          </w:tcPr>
          <w:p>
            <w:pPr>
              <w:pStyle w:val="746"/>
              <w:spacing w:line="520" w:lineRule="exact"/>
              <w:shd w:val="clear" w:color="auto" w:fill="auto"/>
              <w:tabs>
                <w:tab w:val="left" w:pos="5760" w:leader="none"/>
              </w:tabs>
              <w:rPr>
                <w:rFonts w:ascii="宋体" w:hAnsi="宋体" w:cs="宋体"/>
                <w:color w:val="000000"/>
                <w:sz w:val="24"/>
                <w:highlight w:val="none"/>
              </w:rPr>
            </w:pPr>
            <w:r>
              <w:rPr>
                <w:rFonts w:hint="eastAsia" w:ascii="宋体" w:hAnsi="宋体" w:cs="宋体"/>
                <w:color w:val="000000"/>
                <w:sz w:val="24"/>
                <w:highlight w:val="none"/>
              </w:rPr>
              <w:t xml:space="preserve">不安排现场考察。</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(九)3</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不安排开标前答疑会。</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三</w:t>
            </w:r>
            <w:r/>
          </w:p>
        </w:tc>
        <w:tc>
          <w:tcPr>
            <w:tcW w:w="8771" w:type="dxa"/>
            <w:vAlign w:val="top"/>
            <w:textDirection w:val="lrTb"/>
            <w:noWrap w:val="false"/>
          </w:tcPr>
          <w:p>
            <w:pPr>
              <w:pStyle w:val="746"/>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投标</w:t>
            </w:r>
            <w:r/>
          </w:p>
        </w:tc>
      </w:tr>
      <w:tr>
        <w:trPr>
          <w:trHeight w:val="482"/>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(十一)</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投标文件的语言为中文</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w:t>
            </w:r>
            <w:r/>
          </w:p>
        </w:tc>
        <w:tc>
          <w:tcPr>
            <w:tcW w:w="8771" w:type="dxa"/>
            <w:vAlign w:val="top"/>
            <w:textDirection w:val="lrTb"/>
            <w:noWrap w:val="false"/>
          </w:tcPr>
          <w:p>
            <w:pPr>
              <w:pStyle w:val="746"/>
              <w:spacing w:line="360" w:lineRule="auto"/>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 \o "http://jszfcg.jsczt.cn/" </w:instrText>
            </w:r>
            <w:r>
              <w:rPr>
                <w:rFonts w:hint="eastAsia" w:ascii="宋体" w:hAnsi="宋体" w:cs="宋体"/>
                <w:color w:val="000000"/>
                <w:sz w:val="24"/>
                <w:highlight w:val="none"/>
              </w:rPr>
              <w:fldChar w:fldCharType="separate"/>
            </w:r>
            <w:r>
              <w:rPr>
                <w:rFonts w:hint="eastAsia" w:ascii="宋体" w:hAnsi="宋体" w:cs="宋体"/>
                <w:bCs/>
                <w:color w:val="000000"/>
                <w:sz w:val="24"/>
                <w:highlight w:val="none"/>
              </w:rPr>
              <w:t xml:space="preserve">http://jszfcg.jsczt.cn/</w:t>
            </w:r>
            <w:r>
              <w:rPr>
                <w:rFonts w:hint="eastAsia" w:ascii="宋体" w:hAnsi="宋体" w:cs="宋体"/>
                <w:bCs/>
                <w:color w:val="000000"/>
                <w:sz w:val="24"/>
                <w:highlight w:val="none"/>
              </w:rPr>
              <w:fldChar w:fldCharType="end"/>
            </w:r>
            <w:r>
              <w:rPr>
                <w:rFonts w:hint="eastAsia" w:ascii="宋体" w:hAnsi="宋体" w:cs="宋体"/>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6"/>
              <w:jc w:val="left"/>
              <w:spacing w:line="520" w:lineRule="exact"/>
              <w:shd w:val="clear" w:color="auto" w:fill="auto"/>
              <w:rPr>
                <w:rFonts w:ascii="宋体" w:hAnsi="宋体" w:cs="宋体"/>
                <w:bCs/>
                <w:color w:val="000000"/>
                <w:sz w:val="24"/>
                <w:highlight w:val="none"/>
              </w:rPr>
            </w:pPr>
            <w:r>
              <w:rPr>
                <w:rFonts w:hint="eastAsia" w:ascii="宋体" w:hAnsi="宋体" w:cs="宋体"/>
                <w:b/>
                <w:bCs/>
                <w:color w:val="000000"/>
                <w:sz w:val="24"/>
                <w:highlight w:val="none"/>
              </w:rPr>
              <w:t xml:space="preserve">特别说明：政府采购客户端工具需要导出加密的投标文件（后缀名为zip）。投标文件不得超过350M！</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(十二)1</w:t>
            </w:r>
            <w:r/>
          </w:p>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(十二)2</w:t>
            </w:r>
            <w:r/>
          </w:p>
        </w:tc>
        <w:tc>
          <w:tcPr>
            <w:tcW w:w="8771" w:type="dxa"/>
            <w:vAlign w:val="top"/>
            <w:textDirection w:val="lrTb"/>
            <w:noWrap w:val="false"/>
          </w:tcPr>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线上投标文件编制要求：</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请按照以下要求（包括但不限于以下要求）制作：</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一、基本目录</w:t>
            </w:r>
            <w:r/>
          </w:p>
          <w:p>
            <w:pPr>
              <w:pStyle w:val="746"/>
              <w:ind w:firstLine="602"/>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1.《开标一览表》（加盖电子签章，政府采购客户端工具输入报价自动生成）；</w:t>
            </w:r>
            <w:r/>
          </w:p>
          <w:p>
            <w:pPr>
              <w:pStyle w:val="746"/>
              <w:ind w:firstLine="602"/>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2.《授权委托书》（加盖电子签章，格式见招标文件第七章《投标文件相关格式》）；</w:t>
            </w:r>
            <w:r/>
          </w:p>
          <w:p>
            <w:pPr>
              <w:pStyle w:val="746"/>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二、资格条件（1-5必须提供，否则投标无效）</w:t>
            </w:r>
            <w:r/>
          </w:p>
          <w:p>
            <w:pPr>
              <w:pStyle w:val="746"/>
              <w:ind w:firstLine="602"/>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合法有效的法人或者其他组织的营业执照原件扫描件，或事业单位法人证书原件扫描件，或民办非企业单位登记证书原件扫描件。（以分公司投标的供应商，应在响应文件中提供总公司的授权书及总公司或者分公司营业执照等证明材料）</w:t>
            </w:r>
            <w:r/>
          </w:p>
          <w:p>
            <w:pPr>
              <w:pStyle w:val="746"/>
              <w:ind w:firstLine="602"/>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（2）财务状况报告（即提供投标人的本项目开标时间</w:t>
            </w:r>
            <w:r>
              <w:rPr>
                <w:rFonts w:hint="eastAsia" w:ascii="宋体" w:hAnsi="宋体" w:eastAsia="宋体" w:cs="宋体"/>
                <w:b/>
                <w:bCs/>
                <w:color w:val="000000"/>
                <w:sz w:val="24"/>
                <w:highlight w:val="none"/>
              </w:rPr>
              <w:t xml:space="preserve">（不含开标当月）</w:t>
            </w:r>
            <w:r>
              <w:rPr>
                <w:rFonts w:hint="eastAsia" w:ascii="宋体" w:hAnsi="宋体" w:cs="宋体"/>
                <w:b/>
                <w:bCs/>
                <w:color w:val="000000"/>
                <w:sz w:val="24"/>
                <w:highlight w:val="none"/>
              </w:rPr>
              <w:t xml:space="preserve">前6个月内任何时间的资产负债表、利润表各一份或</w:t>
            </w:r>
            <w:r>
              <w:rPr>
                <w:rFonts w:hint="eastAsia" w:ascii="宋体" w:hAnsi="宋体" w:cs="宋体"/>
                <w:b/>
                <w:color w:val="000000"/>
                <w:sz w:val="24"/>
                <w:highlight w:val="none"/>
              </w:rPr>
              <w:t xml:space="preserve">合法有效的经第三方机构审计的上年度的年度财务审计报告（应包括审计报告正文、资产负债表、现金流量表、利润表）</w:t>
            </w:r>
            <w:r>
              <w:rPr>
                <w:rFonts w:hint="eastAsia" w:ascii="宋体" w:hAnsi="宋体" w:cs="宋体"/>
                <w:b/>
                <w:bCs/>
                <w:color w:val="000000"/>
                <w:sz w:val="24"/>
                <w:highlight w:val="none"/>
              </w:rPr>
              <w:t xml:space="preserve">或投标人的本项目开标时间</w:t>
            </w:r>
            <w:r>
              <w:rPr>
                <w:rFonts w:hint="eastAsia" w:ascii="宋体" w:hAnsi="宋体" w:eastAsia="宋体" w:cs="宋体"/>
                <w:b/>
                <w:bCs/>
                <w:color w:val="000000"/>
                <w:sz w:val="24"/>
                <w:highlight w:val="none"/>
              </w:rPr>
              <w:t xml:space="preserve">（不含开标当月）</w:t>
            </w:r>
            <w:r>
              <w:rPr>
                <w:rFonts w:hint="eastAsia" w:ascii="宋体" w:hAnsi="宋体" w:cs="宋体"/>
                <w:b/>
                <w:bCs/>
                <w:color w:val="000000"/>
                <w:sz w:val="24"/>
                <w:highlight w:val="none"/>
              </w:rPr>
              <w:t xml:space="preserve">前6个月内银行出具的资信证明扫描件）；</w:t>
            </w:r>
            <w:r/>
          </w:p>
          <w:p>
            <w:pPr>
              <w:pStyle w:val="746"/>
              <w:ind w:firstLine="602"/>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（3）投标人的本项目开标时间</w:t>
            </w:r>
            <w:r>
              <w:rPr>
                <w:rFonts w:hint="eastAsia" w:ascii="宋体" w:hAnsi="宋体" w:eastAsia="宋体" w:cs="宋体"/>
                <w:b/>
                <w:bCs/>
                <w:color w:val="000000"/>
                <w:sz w:val="24"/>
                <w:highlight w:val="none"/>
              </w:rPr>
              <w:t xml:space="preserve">（不含开标当月）</w:t>
            </w:r>
            <w:r>
              <w:rPr>
                <w:rFonts w:hint="eastAsia" w:ascii="宋体" w:hAnsi="宋体" w:cs="宋体"/>
                <w:b/>
                <w:bCs/>
                <w:color w:val="000000"/>
                <w:sz w:val="24"/>
                <w:highlight w:val="none"/>
              </w:rPr>
              <w:t xml:space="preserve">前6个月内任何1个月的依法缴纳税收和社会保障资金的相关材料扫描件（依法免税或不需要缴纳社会保障资金的投标人,提供相应文件证明其依法免税或不需要缴纳社会保障资金)；</w:t>
            </w:r>
            <w:r/>
          </w:p>
          <w:p>
            <w:pPr>
              <w:pStyle w:val="746"/>
              <w:ind w:firstLine="602"/>
              <w:spacing w:line="360" w:lineRule="auto"/>
              <w:shd w:val="clear" w:color="auto" w:fill="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（4）具备履行合同所必需的设备和专业技术能力的证明材料扫描件（即</w:t>
            </w:r>
            <w:r>
              <w:rPr>
                <w:rFonts w:hint="eastAsia" w:ascii="宋体" w:hAnsi="宋体" w:cs="宋体"/>
                <w:b/>
                <w:bCs/>
                <w:color w:val="000000"/>
                <w:sz w:val="24"/>
                <w:highlight w:val="none"/>
                <w:lang w:val="en-US" w:eastAsia="zh-CN"/>
              </w:rPr>
              <w:t xml:space="preserve">提供</w:t>
            </w:r>
            <w:r>
              <w:rPr>
                <w:rFonts w:hint="eastAsia" w:ascii="仿宋" w:hAnsi="仿宋" w:eastAsia="仿宋" w:cs="仿宋"/>
                <w:color w:val="000000"/>
                <w:sz w:val="24"/>
                <w:highlight w:val="none"/>
              </w:rPr>
              <w:t xml:space="preserve">《</w:t>
            </w:r>
            <w:bookmarkStart w:id="4" w:name="_Toc515551102"/>
            <w:r>
              <w:rPr>
                <w:rFonts w:hint="eastAsia" w:ascii="宋体" w:hAnsi="宋体" w:cs="宋体"/>
                <w:b/>
                <w:bCs/>
                <w:color w:val="000000"/>
                <w:sz w:val="24"/>
                <w:highlight w:val="none"/>
              </w:rPr>
              <w:t xml:space="preserve">具备履行合同所必需的设备和专业技术能力的书面声明</w:t>
            </w:r>
            <w:bookmarkEnd w:id="4"/>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及</w:t>
            </w:r>
            <w:r>
              <w:rPr>
                <w:rFonts w:hint="eastAsia" w:ascii="宋体" w:hAnsi="宋体" w:cs="宋体"/>
                <w:b/>
                <w:bCs/>
                <w:color w:val="000000"/>
                <w:sz w:val="24"/>
                <w:highlight w:val="none"/>
              </w:rPr>
              <w:t xml:space="preserve">投标人至少2名为本项目服务的技术人员劳务合同及社保部门出具的供应商为其缴纳的</w:t>
            </w:r>
            <w:r>
              <w:rPr>
                <w:rFonts w:hint="eastAsia" w:ascii="宋体" w:hAnsi="宋体" w:cs="宋体"/>
                <w:b/>
                <w:bCs/>
                <w:color w:val="000000"/>
                <w:sz w:val="24"/>
                <w:highlight w:val="none"/>
                <w:lang w:val="en-US" w:eastAsia="zh-CN"/>
              </w:rPr>
              <w:t xml:space="preserve">开标前三个月</w:t>
            </w:r>
            <w:r>
              <w:rPr>
                <w:rFonts w:hint="eastAsia" w:ascii="宋体" w:hAnsi="宋体" w:cs="宋体"/>
                <w:b/>
                <w:bCs/>
                <w:color w:val="000000"/>
                <w:sz w:val="24"/>
                <w:highlight w:val="none"/>
              </w:rPr>
              <w:t xml:space="preserve">社会保险证明扫描件</w:t>
            </w:r>
            <w:r>
              <w:rPr>
                <w:rFonts w:hint="eastAsia" w:ascii="宋体" w:hAnsi="宋体" w:eastAsia="宋体" w:cs="宋体"/>
                <w:b/>
                <w:bCs/>
                <w:color w:val="000000"/>
                <w:sz w:val="24"/>
                <w:highlight w:val="none"/>
              </w:rPr>
              <w:t xml:space="preserve">（不含开标当月）</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加盖电子签章，格式见招标文件第七章《投标文件相关格式》。）</w:t>
            </w:r>
            <w:r/>
          </w:p>
          <w:p>
            <w:pPr>
              <w:pStyle w:val="746"/>
              <w:ind w:firstLine="602"/>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（5）投标人参加政府采购活动前3年内在经营活动中没有重大违法记录的书面声明(加盖电子签章，格式见《招标文件》附件)；</w:t>
            </w:r>
            <w:r/>
          </w:p>
          <w:p>
            <w:pPr>
              <w:pStyle w:val="746"/>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三、符合条件（必须提供，否则投标无效）</w:t>
            </w:r>
            <w:r/>
          </w:p>
          <w:p>
            <w:pPr>
              <w:pStyle w:val="746"/>
              <w:spacing w:line="360" w:lineRule="auto"/>
              <w:shd w:val="clear" w:color="auto" w:fill="auto"/>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（一）报价</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1.《分项价格表》（加盖电子签章，格式见招标文件第七章《投标文件相关格式》。）</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（二）商务资信</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1.《投标函》（加盖电子签章，格式见招标文件第七章《投标文件相关格式》。）</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2.《授权委托书》（加盖电子签章，格式见招标文件第七章《投标文件相关格式》）；</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（三）技术响应</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1.《偏离表》（加盖电子签章，格式见招标文件第七章《投标文件相关格式》。）</w:t>
            </w:r>
            <w:r/>
          </w:p>
          <w:p>
            <w:pPr>
              <w:pStyle w:val="746"/>
              <w:spacing w:line="360" w:lineRule="auto"/>
              <w:shd w:val="clear" w:color="auto" w:fill="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四、综合评审评分项</w:t>
            </w:r>
            <w:r/>
          </w:p>
          <w:p>
            <w:pPr>
              <w:pStyle w:val="747"/>
              <w:ind w:left="0" w:right="0"/>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（一）商务部分</w:t>
            </w:r>
            <w:r/>
          </w:p>
          <w:p>
            <w:pPr>
              <w:pStyle w:val="746"/>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1.投标人评价（要求见招标文件第四章《评分标准》中《评分细则》）</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2.业绩（要求见招标文件第四章《评分标准》中《评分细则》）</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（二）技术部分</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1、所投产品的具体技术规格（要求见招标文件第六章《采购需求》和第四章《评分标准》中《评分细则》）；</w:t>
            </w:r>
            <w:r/>
          </w:p>
          <w:p>
            <w:pPr>
              <w:pStyle w:val="746"/>
              <w:spacing w:line="360" w:lineRule="auto"/>
              <w:shd w:val="clear" w:color="auto"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2、项目实施方案（要求见招标文件第六章《采购需求》和第四章《评分标准》中《评分细则》）；</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人员配备方案（要求见招标文件第四章《评分标准》中《评分细则》）</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.售后服务方案（要求见招标文件第六章《采购需求》和第四章《评分标准》中《评分细则》）；</w:t>
            </w:r>
            <w:r/>
          </w:p>
          <w:p>
            <w:pPr>
              <w:pStyle w:val="747"/>
              <w:ind w:left="0" w:right="0"/>
              <w:shd w:val="clear" w:color="auto" w:fill="auto"/>
              <w:rPr>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保障</w:t>
            </w:r>
            <w:r>
              <w:rPr>
                <w:rFonts w:hint="eastAsia" w:ascii="宋体" w:hAnsi="宋体" w:cs="宋体"/>
                <w:color w:val="000000"/>
                <w:sz w:val="24"/>
                <w:highlight w:val="none"/>
              </w:rPr>
              <w:t xml:space="preserve">服务方案（要求见招标文件第四章《评分标准》中《评分细则》）</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.培训服务方案（要求见招标文件第六章《采购需求》和第四章《评分标准》中《评分细则》）</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.招标文件中要求提交的和投标人认为需要提供的其它说明和资料。</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五、其他部分</w:t>
            </w:r>
            <w:r/>
          </w:p>
          <w:p>
            <w:pPr>
              <w:pStyle w:val="746"/>
              <w:spacing w:line="360" w:lineRule="auto"/>
              <w:shd w:val="clear" w:color="auto" w:fill="auto"/>
              <w:rPr>
                <w:rFonts w:hint="eastAsia" w:ascii="宋体" w:hAnsi="宋体" w:cs="宋体"/>
                <w:color w:val="0000ff"/>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ff"/>
                <w:sz w:val="24"/>
                <w:highlight w:val="none"/>
              </w:rPr>
              <w:t xml:space="preserve">1、</w:t>
            </w:r>
            <w:r>
              <w:rPr>
                <w:rFonts w:hint="eastAsia" w:ascii="宋体" w:hAnsi="宋体" w:cs="宋体"/>
                <w:color w:val="0000ff"/>
                <w:sz w:val="24"/>
                <w:highlight w:val="none"/>
                <w:lang w:eastAsia="zh-CN"/>
              </w:rPr>
              <w:t xml:space="preserve">投标人《关于符合本国产品标准的声明函》（填写完整，加盖</w:t>
            </w:r>
            <w:r>
              <w:rPr>
                <w:rFonts w:hint="eastAsia" w:ascii="宋体" w:hAnsi="宋体" w:cs="宋体"/>
                <w:color w:val="0000ff"/>
                <w:sz w:val="24"/>
                <w:highlight w:val="none"/>
                <w:lang w:val="en-US" w:eastAsia="zh-CN"/>
              </w:rPr>
              <w:t xml:space="preserve">电子签章</w:t>
            </w:r>
            <w:r>
              <w:rPr>
                <w:rFonts w:hint="eastAsia" w:ascii="宋体" w:hAnsi="宋体" w:cs="宋体"/>
                <w:color w:val="0000ff"/>
                <w:sz w:val="24"/>
                <w:highlight w:val="none"/>
                <w:lang w:eastAsia="zh-CN"/>
              </w:rPr>
              <w:t xml:space="preserve">，格式见招标文件第七章《投标文件相关格式》）（请填写完整，如不填写完整或未按要求填写的，视为非本国产品）。</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lang w:val="en-US" w:eastAsia="zh-CN"/>
              </w:rPr>
              <w:t xml:space="preserve">1、</w:t>
            </w:r>
            <w:r>
              <w:rPr>
                <w:rFonts w:hint="eastAsia" w:ascii="宋体" w:hAnsi="宋体" w:eastAsia="宋体" w:cs="宋体"/>
                <w:b w:val="0"/>
                <w:bCs/>
                <w:color w:val="0000ff"/>
                <w:sz w:val="24"/>
                <w:szCs w:val="24"/>
                <w:highlight w:val="none"/>
              </w:rPr>
              <w:t xml:space="preserve">本国产品应当符合以下条件：</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（一）在中国境内生产</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1.为确保产品在运输或者储存期间保持某种状态而进行的操作；</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2.为产品运输或者销售进行的包装或者展示；</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4.简单的上漆、磨光和分装；</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5.其他不属于属性改变的情形。</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（二）在中国境内生产的组件成本占比达到规定比例</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mc:AlternateContent>
                <mc:Choice Requires="wpg">
                  <w:drawing>
                    <wp:inline xmlns:wp="http://schemas.openxmlformats.org/drawingml/2006/wordprocessingDrawing" distT="0" distB="0" distL="0" distR="0">
                      <wp:extent cx="3275965" cy="495300"/>
                      <wp:effectExtent l="0" t="0" r="635" b="0"/>
                      <wp:docPr id="1"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3"/>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7.9pt;height:39.0pt;mso-wrap-distance-left:0.0pt;mso-wrap-distance-top:0.0pt;mso-wrap-distance-right:0.0pt;mso-wrap-distance-bottom:0.0pt;" stroked="f">
                      <v:path textboxrect="0,0,0,0"/>
                      <v:imagedata r:id="rId13" o:title=""/>
                    </v:shape>
                  </w:pict>
                </mc:Fallback>
              </mc:AlternateConten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（三）特定产品的关键组件、关键工序符合相关要求</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lang w:val="en-US" w:eastAsia="zh-CN"/>
              </w:rPr>
              <w:t xml:space="preserve">2、</w:t>
            </w:r>
            <w:r>
              <w:rPr>
                <w:rFonts w:hint="eastAsia" w:ascii="宋体" w:hAnsi="宋体" w:eastAsia="宋体" w:cs="宋体"/>
                <w:b w:val="0"/>
                <w:bCs/>
                <w:color w:val="0000ff"/>
                <w:sz w:val="24"/>
                <w:szCs w:val="24"/>
                <w:highlight w:val="none"/>
              </w:rPr>
              <w:t xml:space="preserve">本国产品标准的适用范围</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lang w:val="en-US" w:eastAsia="zh-CN"/>
              </w:rPr>
              <w:t xml:space="preserve">3、</w:t>
            </w:r>
            <w:r>
              <w:rPr>
                <w:rFonts w:hint="eastAsia" w:ascii="宋体" w:hAnsi="宋体" w:eastAsia="宋体" w:cs="宋体"/>
                <w:b w:val="0"/>
                <w:bCs/>
                <w:color w:val="0000ff"/>
                <w:sz w:val="24"/>
                <w:szCs w:val="24"/>
                <w:highlight w:val="none"/>
              </w:rPr>
              <w:t xml:space="preserve">对本国产品的支持政策</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三、产品总成本和组件成本以相关会计核算数据、采购合同、进货记录等为基础进行计算。</w:t>
            </w:r>
            <w:r/>
          </w:p>
          <w:p>
            <w:pPr>
              <w:rPr>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四、需要对成本核算规则予以进一步明确的其他有关事项，由财政部会同有关部门另行规定。</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2、价格折扣文件格式：</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投标人《中小企业声明函》（加盖电子签章，格式见招标文件第七章《投标文件相关格式》）（</w:t>
            </w:r>
            <w:r>
              <w:rPr>
                <w:rFonts w:hint="eastAsia" w:ascii="宋体" w:hAnsi="宋体" w:cs="宋体"/>
                <w:b/>
                <w:bCs/>
                <w:color w:val="000000"/>
                <w:sz w:val="24"/>
                <w:highlight w:val="none"/>
              </w:rPr>
              <w:t xml:space="preserve">非必须提供，请填写完整</w:t>
            </w:r>
            <w:r>
              <w:rPr>
                <w:rFonts w:hint="eastAsia" w:ascii="宋体" w:hAnsi="宋体" w:cs="宋体"/>
                <w:color w:val="000000"/>
                <w:sz w:val="24"/>
                <w:highlight w:val="none"/>
              </w:rPr>
              <w:t xml:space="preserve">）。查询渠道参考工业和信息化部发布的中小企业规模自测小程序。</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46"/>
              <w:spacing w:line="360" w:lineRule="auto"/>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46"/>
              <w:spacing w:line="360" w:lineRule="auto"/>
              <w:shd w:val="clear" w:color="auto" w:fill="auto"/>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注：</w:t>
            </w:r>
            <w:r/>
          </w:p>
          <w:p>
            <w:pPr>
              <w:pStyle w:val="746"/>
              <w:spacing w:line="360" w:lineRule="auto"/>
              <w:shd w:val="clear" w:color="auto" w:fill="auto"/>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1.投标人应对以上文件的合法性、真实性负责。</w:t>
            </w:r>
            <w:r/>
          </w:p>
          <w:p>
            <w:pPr>
              <w:pStyle w:val="746"/>
              <w:spacing w:line="360" w:lineRule="auto"/>
              <w:shd w:val="clear" w:color="auto" w:fill="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b/>
                <w:bCs/>
                <w:color w:val="000000"/>
                <w:sz w:val="24"/>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(十三)2</w:t>
            </w:r>
            <w:r/>
          </w:p>
        </w:tc>
        <w:tc>
          <w:tcPr>
            <w:tcW w:w="8771" w:type="dxa"/>
            <w:vAlign w:val="top"/>
            <w:textDirection w:val="lrTb"/>
            <w:noWrap w:val="false"/>
          </w:tcPr>
          <w:p>
            <w:pPr>
              <w:pStyle w:val="746"/>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商务条件见：</w:t>
            </w:r>
            <w:r/>
          </w:p>
          <w:p>
            <w:pPr>
              <w:pStyle w:val="746"/>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一、本文件第四章《评标标准》中《评分细则》。</w:t>
            </w:r>
            <w:r/>
          </w:p>
          <w:p>
            <w:pPr>
              <w:pStyle w:val="746"/>
              <w:spacing w:line="520" w:lineRule="exact"/>
              <w:shd w:val="clear" w:color="auto" w:fill="auto"/>
              <w:rPr>
                <w:rFonts w:ascii="宋体" w:hAnsi="宋体" w:cs="宋体"/>
                <w:bCs/>
                <w:color w:val="000000"/>
                <w:sz w:val="24"/>
                <w:highlight w:val="none"/>
              </w:rPr>
            </w:pPr>
            <w:r>
              <w:rPr>
                <w:rFonts w:hint="eastAsia" w:ascii="宋体" w:hAnsi="宋体" w:cs="宋体"/>
                <w:color w:val="000000"/>
                <w:sz w:val="24"/>
                <w:highlight w:val="none"/>
              </w:rPr>
              <w:t xml:space="preserve">二、本文件第三章《投标资料表》中(十二)1和(十二)2。</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(十三)3</w:t>
            </w:r>
            <w:r/>
          </w:p>
        </w:tc>
        <w:tc>
          <w:tcPr>
            <w:tcW w:w="8771" w:type="dxa"/>
            <w:vAlign w:val="top"/>
            <w:textDirection w:val="lrTb"/>
            <w:noWrap w:val="false"/>
          </w:tcPr>
          <w:p>
            <w:pPr>
              <w:pStyle w:val="746"/>
              <w:spacing w:line="5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交货和提供服务的时间：见本文件第五章《拟签订的合同文本》及或本文件第六章《采购需求》。</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(十四)3</w:t>
            </w:r>
            <w:r/>
          </w:p>
        </w:tc>
        <w:tc>
          <w:tcPr>
            <w:tcW w:w="8771" w:type="dxa"/>
            <w:vAlign w:val="top"/>
            <w:textDirection w:val="lrTb"/>
            <w:noWrap w:val="false"/>
          </w:tcPr>
          <w:p>
            <w:pPr>
              <w:pStyle w:val="746"/>
              <w:spacing w:line="360" w:lineRule="auto"/>
              <w:shd w:val="clear" w:color="auto" w:fill="auto"/>
              <w:rPr>
                <w:rFonts w:ascii="宋体" w:hAnsi="宋体" w:cs="宋体"/>
                <w:color w:val="000000"/>
                <w:sz w:val="24"/>
                <w:highlight w:val="none"/>
              </w:rPr>
            </w:pPr>
            <w:r>
              <w:rPr>
                <w:rFonts w:hint="eastAsia" w:ascii="宋体" w:hAnsi="宋体" w:eastAsia="宋体" w:cs="宋体"/>
                <w:b/>
                <w:bCs/>
                <w:color w:val="000000"/>
                <w:sz w:val="24"/>
                <w:highlight w:val="none"/>
              </w:rPr>
              <w:t xml:space="preserve">本项目不接受超过</w:t>
            </w:r>
            <w:r>
              <w:rPr>
                <w:rFonts w:hint="eastAsia" w:ascii="宋体" w:hAnsi="宋体" w:eastAsia="宋体" w:cs="宋体"/>
                <w:b/>
                <w:bCs/>
                <w:color w:val="000000"/>
                <w:sz w:val="24"/>
                <w:highlight w:val="none"/>
                <w:u w:val="single"/>
                <w:lang w:val="en-US" w:eastAsia="zh-CN"/>
              </w:rPr>
              <w:t xml:space="preserve">380.015262</w:t>
            </w:r>
            <w:r>
              <w:rPr>
                <w:rFonts w:hint="eastAsia" w:ascii="宋体" w:hAnsi="宋体" w:cs="宋体"/>
                <w:b/>
                <w:bCs/>
                <w:color w:val="000000"/>
                <w:sz w:val="24"/>
                <w:highlight w:val="none"/>
                <w:u w:val="single"/>
                <w:lang w:val="en-US" w:eastAsia="zh-CN"/>
              </w:rPr>
              <w:t xml:space="preserve">万</w:t>
            </w:r>
            <w:r>
              <w:rPr>
                <w:rFonts w:hint="eastAsia" w:ascii="宋体" w:hAnsi="宋体" w:eastAsia="宋体" w:cs="宋体"/>
                <w:b/>
                <w:bCs/>
                <w:color w:val="000000"/>
                <w:sz w:val="24"/>
                <w:highlight w:val="none"/>
              </w:rPr>
              <w:t xml:space="preserve">元</w:t>
            </w:r>
            <w:r>
              <w:rPr>
                <w:rFonts w:hint="eastAsia" w:ascii="宋体" w:hAnsi="宋体" w:eastAsia="宋体" w:cs="宋体"/>
                <w:b/>
                <w:bCs/>
                <w:color w:val="000000"/>
                <w:sz w:val="24"/>
                <w:highlight w:val="none"/>
                <w:lang w:val="en-US" w:eastAsia="zh-CN"/>
              </w:rPr>
              <w:t xml:space="preserve">（采购项目预算金额）</w:t>
            </w:r>
            <w:r>
              <w:rPr>
                <w:rFonts w:hint="eastAsia" w:ascii="宋体" w:hAnsi="宋体" w:eastAsia="宋体" w:cs="宋体"/>
                <w:b/>
                <w:bCs/>
                <w:color w:val="000000"/>
                <w:sz w:val="24"/>
                <w:highlight w:val="none"/>
              </w:rPr>
              <w:t xml:space="preserve">，其中</w:t>
            </w:r>
            <w:r>
              <w:rPr>
                <w:rFonts w:hint="eastAsia" w:ascii="宋体" w:hAnsi="宋体" w:eastAsia="宋体" w:cs="宋体"/>
                <w:b/>
                <w:bCs/>
                <w:color w:val="000000"/>
                <w:sz w:val="24"/>
                <w:highlight w:val="none"/>
                <w:lang w:val="en-US" w:eastAsia="zh-CN"/>
              </w:rPr>
              <w:t xml:space="preserve">基础运维费用不得高于1538620.29元，备品备件费用不得高于1520695.605元，链路租赁</w:t>
            </w:r>
            <w:r>
              <w:rPr>
                <w:rFonts w:hint="eastAsia" w:ascii="宋体" w:hAnsi="宋体" w:eastAsia="宋体" w:cs="宋体"/>
                <w:b/>
                <w:bCs/>
                <w:color w:val="000000"/>
                <w:sz w:val="24"/>
                <w:highlight w:val="none"/>
              </w:rPr>
              <w:t xml:space="preserve">费用不得高于</w:t>
            </w:r>
            <w:r>
              <w:rPr>
                <w:rFonts w:hint="eastAsia" w:ascii="宋体" w:hAnsi="宋体" w:eastAsia="宋体" w:cs="宋体"/>
                <w:b/>
                <w:bCs/>
                <w:color w:val="000000"/>
                <w:sz w:val="24"/>
                <w:highlight w:val="none"/>
                <w:lang w:val="en-US" w:eastAsia="zh-CN"/>
              </w:rPr>
              <w:t xml:space="preserve">740836.725</w:t>
            </w:r>
            <w:r>
              <w:rPr>
                <w:rFonts w:hint="eastAsia" w:ascii="宋体" w:hAnsi="宋体" w:eastAsia="宋体" w:cs="宋体"/>
                <w:b/>
                <w:bCs/>
                <w:color w:val="000000"/>
                <w:sz w:val="24"/>
                <w:highlight w:val="none"/>
              </w:rPr>
              <w:t xml:space="preserve">元。</w:t>
            </w:r>
            <w:r>
              <w:rPr>
                <w:rFonts w:hint="eastAsia" w:ascii="宋体" w:hAnsi="宋体" w:eastAsia="宋体" w:cs="宋体"/>
                <w:bCs/>
                <w:color w:val="000000"/>
                <w:sz w:val="24"/>
                <w:highlight w:val="none"/>
              </w:rPr>
              <w:t xml:space="preserve">报价包括产品价、税金、运费、安装调试、检验、保险等全部费用。采购人不再支付报价以外的任何费用</w:t>
            </w:r>
            <w:r>
              <w:rPr>
                <w:rFonts w:hint="eastAsia" w:ascii="宋体" w:hAnsi="宋体" w:eastAsia="宋体" w:cs="宋体"/>
                <w:b/>
                <w:color w:val="000000"/>
                <w:sz w:val="24"/>
                <w:highlight w:val="none"/>
              </w:rPr>
              <w:t xml:space="preserve">。</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(十五)</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以人民币报价。</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（十七）1（1）</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要求：</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投标人应当通过“苏采云”系统提交数据电文形式的投标文件（即电子投标）。</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特别说明：通过“苏采云”系统提交政府采购客户端工具导出加密的投标文件（后缀名为zip）。投标文件不得超过350M！</w:t>
            </w:r>
            <w:r/>
          </w:p>
          <w:p>
            <w:pPr>
              <w:pStyle w:val="746"/>
              <w:spacing w:line="520" w:lineRule="exact"/>
              <w:shd w:val="clear" w:color="auto" w:fill="auto"/>
              <w:rPr>
                <w:rFonts w:ascii="宋体" w:hAnsi="宋体" w:cs="宋体"/>
                <w:b/>
                <w:bCs/>
                <w:color w:val="000000"/>
                <w:sz w:val="24"/>
                <w:highlight w:val="none"/>
              </w:rPr>
            </w:pPr>
            <w:r>
              <w:rPr>
                <w:rFonts w:hint="eastAsia" w:ascii="宋体" w:hAnsi="宋体" w:cs="宋体"/>
                <w:color w:val="000000"/>
                <w:sz w:val="24"/>
                <w:highlight w:val="none"/>
              </w:rPr>
              <w:t xml:space="preserve">说明：供应商投标文件从政府采购客户端工具制作通过“苏采云”系统提交，未提供线上投标文件的，投标无效。 </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(十八)</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投标文件的密封、签署、盖章要求：</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一、投标文件的密封（加密）要求：</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二、投标文件的签署要求：见招标文件第七章《投标文件相关格式》。</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说明：</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未进行线上投标并解密(因“苏采云”系统导致解密失败的除外)的，所导致的一切后果均由投标人承担。</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投标人未按规定加密的投标文件，“苏采云”系统应当拒收并提示。</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(十九)</w:t>
            </w:r>
            <w:r/>
          </w:p>
        </w:tc>
        <w:tc>
          <w:tcPr>
            <w:tcW w:w="8771" w:type="dxa"/>
            <w:vAlign w:val="top"/>
            <w:textDirection w:val="lrTb"/>
            <w:noWrap w:val="false"/>
          </w:tcPr>
          <w:p>
            <w:pPr>
              <w:pStyle w:val="746"/>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投标文件开始接收时间：</w:t>
            </w:r>
            <w:r>
              <w:rPr>
                <w:rFonts w:hint="eastAsia" w:ascii="宋体" w:hAnsi="宋体" w:cs="宋体"/>
                <w:b/>
                <w:bCs/>
                <w:color w:val="000000"/>
                <w:sz w:val="24"/>
                <w:highlight w:val="none"/>
                <w:lang w:val="en-US" w:eastAsia="zh-CN"/>
              </w:rPr>
              <w:t xml:space="preserve">2026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11</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时00分（北京时间）前。</w:t>
            </w:r>
            <w:r/>
          </w:p>
          <w:p>
            <w:pPr>
              <w:pStyle w:val="746"/>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投标文件接收截止时间：</w:t>
            </w:r>
            <w:r>
              <w:rPr>
                <w:rFonts w:hint="eastAsia" w:ascii="宋体" w:hAnsi="宋体" w:cs="宋体"/>
                <w:b/>
                <w:bCs/>
                <w:color w:val="000000"/>
                <w:sz w:val="24"/>
                <w:highlight w:val="none"/>
                <w:lang w:val="en-US" w:eastAsia="zh-CN"/>
              </w:rPr>
              <w:t xml:space="preserve">2026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11</w:t>
            </w:r>
            <w:r>
              <w:rPr>
                <w:rFonts w:hint="eastAsia" w:ascii="宋体" w:hAnsi="宋体" w:cs="宋体"/>
                <w:b/>
                <w:bCs/>
                <w:color w:val="000000"/>
                <w:sz w:val="24"/>
                <w:highlight w:val="none"/>
              </w:rPr>
              <w:t xml:space="preserve">日10时00分（北京时间）。</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投标文件的接收地点：投标人应当通过“苏采云”系统提交数据电文形式的投标文件（即电子投标），“苏采云”系统自动接收。</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四</w:t>
            </w:r>
            <w:r/>
          </w:p>
        </w:tc>
        <w:tc>
          <w:tcPr>
            <w:tcW w:w="8771" w:type="dxa"/>
            <w:vAlign w:val="top"/>
            <w:textDirection w:val="lrTb"/>
            <w:noWrap w:val="false"/>
          </w:tcPr>
          <w:p>
            <w:pPr>
              <w:pStyle w:val="746"/>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开标</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(二十五)1</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开标时间及地点：</w:t>
            </w:r>
            <w:r/>
          </w:p>
          <w:p>
            <w:pPr>
              <w:pStyle w:val="746"/>
              <w:spacing w:line="520" w:lineRule="exact"/>
              <w:shd w:val="clear" w:color="auto" w:fill="auto"/>
              <w:rPr>
                <w:rFonts w:ascii="宋体" w:hAnsi="宋体" w:cs="宋体"/>
                <w:b/>
                <w:bCs/>
                <w:color w:val="000000"/>
                <w:sz w:val="24"/>
                <w:highlight w:val="none"/>
              </w:rPr>
            </w:pPr>
            <w:r>
              <w:rPr>
                <w:rFonts w:hint="eastAsia" w:ascii="宋体" w:hAnsi="宋体" w:cs="宋体"/>
                <w:color w:val="000000"/>
                <w:sz w:val="24"/>
                <w:highlight w:val="none"/>
              </w:rPr>
              <w:t xml:space="preserve">1.开标时间：</w:t>
            </w:r>
            <w:r>
              <w:rPr>
                <w:rFonts w:hint="eastAsia" w:ascii="宋体" w:hAnsi="宋体" w:eastAsia="宋体" w:cs="宋体"/>
                <w:b/>
                <w:bCs/>
                <w:color w:val="000000"/>
                <w:sz w:val="24"/>
                <w:highlight w:val="none"/>
                <w:lang w:val="en-US" w:eastAsia="zh-CN"/>
              </w:rPr>
              <w:t xml:space="preserve">2026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11</w:t>
            </w:r>
            <w:bookmarkStart w:id="22" w:name="_GoBack"/>
            <w:r/>
            <w:bookmarkEnd w:id="22"/>
            <w:r>
              <w:rPr>
                <w:rFonts w:hint="eastAsia" w:ascii="宋体" w:hAnsi="宋体" w:cs="宋体"/>
                <w:b/>
                <w:bCs/>
                <w:color w:val="000000"/>
                <w:sz w:val="24"/>
                <w:highlight w:val="none"/>
              </w:rPr>
              <w:t xml:space="preserve">日10：00（北京时间）</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2.开标地点：</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“苏采云”系统（网址： http://jszfcg.jsczt.cn/）“开标大厅”或进入徐州政府采购网（网址：http://czj.xz.gov.cn/Home/HomeIndex）--业务工作--用户登录，点击“苏采云”进入系统“开标大厅”。</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(二十五)3</w:t>
            </w:r>
            <w:r/>
          </w:p>
        </w:tc>
        <w:tc>
          <w:tcPr>
            <w:tcW w:w="8771" w:type="dxa"/>
            <w:vAlign w:val="top"/>
            <w:textDirection w:val="lrTb"/>
            <w:noWrap w:val="false"/>
          </w:tcPr>
          <w:p>
            <w:pPr>
              <w:pStyle w:val="755"/>
              <w:spacing w:line="44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所有投标人解密结束后或解密时间结束后，“苏采云”系统生成开标记录并向社会公众公布，但依法应当保密的除外。</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五</w:t>
            </w:r>
            <w:r/>
          </w:p>
        </w:tc>
        <w:tc>
          <w:tcPr>
            <w:tcW w:w="8771" w:type="dxa"/>
            <w:vAlign w:val="top"/>
            <w:textDirection w:val="lrTb"/>
            <w:noWrap w:val="false"/>
          </w:tcPr>
          <w:p>
            <w:pPr>
              <w:pStyle w:val="746"/>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评标</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(二十七)</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采用综合评分法。</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(二十八)1</w:t>
            </w:r>
            <w:r/>
          </w:p>
          <w:p>
            <w:pPr>
              <w:pStyle w:val="746"/>
              <w:jc w:val="center"/>
              <w:spacing w:line="520" w:lineRule="exact"/>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8771" w:type="dxa"/>
            <w:vAlign w:val="top"/>
            <w:textDirection w:val="lrTb"/>
            <w:noWrap w:val="false"/>
          </w:tcPr>
          <w:p>
            <w:pPr>
              <w:pStyle w:val="746"/>
              <w:ind w:left="56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一、推荐中标候选投标人名单。中标候选投标人数量应当根据采购需要确定，但必须按顺序排列中标候选供应商。</w:t>
            </w:r>
            <w:r/>
          </w:p>
          <w:p>
            <w:pPr>
              <w:pStyle w:val="746"/>
              <w:ind w:left="56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二、采用综合评分法的，按评审后得分由高到低顺序排列。得分相同的，按投标报价由低到高顺序排列。得分且投标报价相同的，按维保方案得分由高到低顺序排列。</w:t>
            </w:r>
            <w:r/>
          </w:p>
          <w:p>
            <w:pPr>
              <w:pStyle w:val="746"/>
              <w:ind w:left="560" w:hanging="56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三、采购人应当自收到评标报告之日起5个工作日内，在评标报告确定的中标候选人名单中按得分最高顺序确定一名中标人。</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（二十九）4</w:t>
            </w:r>
            <w:r/>
          </w:p>
        </w:tc>
        <w:tc>
          <w:tcPr>
            <w:tcW w:w="8771" w:type="dxa"/>
            <w:vAlign w:val="top"/>
            <w:textDirection w:val="lrTb"/>
            <w:noWrap w:val="false"/>
          </w:tcPr>
          <w:p>
            <w:pPr>
              <w:pStyle w:val="746"/>
              <w:spacing w:line="400"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1.评标中需要投标人对投标文件澄清或者说明的，应当通过“苏采云”系统交换数据电文。在评标期间，请投标人保持在线。</w:t>
            </w:r>
            <w:r/>
          </w:p>
          <w:p>
            <w:pPr>
              <w:pStyle w:val="746"/>
              <w:spacing w:line="400"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46"/>
              <w:spacing w:line="400"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6"/>
              <w:spacing w:line="400" w:lineRule="atLeast"/>
              <w:shd w:val="clear" w:color="auto"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七</w:t>
            </w:r>
            <w:r/>
          </w:p>
        </w:tc>
        <w:tc>
          <w:tcPr>
            <w:tcW w:w="8771" w:type="dxa"/>
            <w:vAlign w:val="top"/>
            <w:textDirection w:val="lrTb"/>
            <w:noWrap w:val="false"/>
          </w:tcPr>
          <w:p>
            <w:pPr>
              <w:pStyle w:val="746"/>
              <w:spacing w:line="52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政府采购合同</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(三十七)1</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采购人与中标、中标人应当在中标、成交通知书发出之日起30日内，按照采购文件确定的事项签订政府采购合同。</w:t>
            </w:r>
            <w:r/>
          </w:p>
        </w:tc>
      </w:tr>
      <w:tr>
        <w:trPr/>
        <w:tc>
          <w:tcPr>
            <w:tcW w:w="1637"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（三十八）</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履约保证金：无</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(四十一)</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质疑接收人：闫星星   联系电话：0516-83509912</w:t>
            </w:r>
            <w:r/>
          </w:p>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办公地址：徐州市铜山区汉府雅园综合楼613室</w:t>
            </w:r>
            <w:r/>
          </w:p>
        </w:tc>
      </w:tr>
      <w:tr>
        <w:trPr/>
        <w:tc>
          <w:tcPr>
            <w:tcW w:w="1637" w:type="dxa"/>
            <w:vAlign w:val="top"/>
            <w:textDirection w:val="lrTb"/>
            <w:noWrap w:val="false"/>
          </w:tcPr>
          <w:p>
            <w:pPr>
              <w:pStyle w:val="746"/>
              <w:jc w:val="center"/>
              <w:spacing w:line="520" w:lineRule="exact"/>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附加说明</w:t>
            </w:r>
            <w:r/>
          </w:p>
        </w:tc>
        <w:tc>
          <w:tcPr>
            <w:tcW w:w="8771" w:type="dxa"/>
            <w:vAlign w:val="top"/>
            <w:textDirection w:val="lrTb"/>
            <w:noWrap w:val="false"/>
          </w:tcPr>
          <w:p>
            <w:pPr>
              <w:pStyle w:val="746"/>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中标人在收到中标通知书时，须向采购代理机构提交《开标一览表》和《分项价格表》的数据文件（WORD格式）。</w:t>
            </w:r>
            <w:r/>
          </w:p>
        </w:tc>
      </w:tr>
    </w:tbl>
    <w:p>
      <w:pPr>
        <w:ind w:left="0" w:right="0" w:firstLine="600"/>
        <w:jc w:val="both"/>
        <w:spacing w:before="0" w:after="0" w:line="519"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bookmarkStart w:id="5" w:name="_Toc522790133"/>
      <w:r>
        <w:rPr>
          <w:rFonts w:ascii="宋体" w:hAnsi="宋体" w:eastAsia="宋体" w:cs="宋体"/>
          <w:color w:val="000000"/>
          <w:sz w:val="24"/>
          <w:highlight w:val="none"/>
        </w:rPr>
        <w:t xml:space="preserve">本章附件：</w:t>
      </w:r>
      <w:r>
        <w:rPr>
          <w:rFonts w:ascii="宋体" w:hAnsi="宋体" w:eastAsia="宋体" w:cs="宋体"/>
          <w:b/>
          <w:color w:val="000000"/>
          <w:sz w:val="24"/>
          <w:highlight w:val="none"/>
        </w:rPr>
        <w:t xml:space="preserve">招标代理服务收费标准</w:t>
      </w:r>
      <w:r/>
    </w:p>
    <w:tbl>
      <w:tblPr>
        <w:tblStyle w:val="689"/>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shd w:val="clear" w:color="auto" w:fill="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0.005%</w:t>
            </w:r>
            <w:r/>
          </w:p>
        </w:tc>
      </w:tr>
    </w:tbl>
    <w:p>
      <w:pPr>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400"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2.代理服务费按差额定率累进法计算。</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3.代理服务费基准金额(按差额定率累进法计算的)=中标金额(按差额定率累进法计算的)*费率(%)</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4.代理服务费应收取金额=代理服务费基准金额(按差额定率累进法计算的)的合计数。</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5.定点类等无金额或事先不能计算出价格总额的项目，按中标(成交)金额100万元计算。</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6.有分包(分标段)的按一个项目计算。</w:t>
      </w:r>
      <w:r/>
    </w:p>
    <w:p>
      <w:pPr>
        <w:ind w:left="0" w:right="0" w:firstLine="0"/>
        <w:jc w:val="both"/>
        <w:spacing w:before="0" w:after="0" w:line="400" w:lineRule="atLeast"/>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7.以上价格为协会指导价，双方可根据项目难易程度和优质优价原则协商确定。</w:t>
      </w:r>
      <w:r/>
    </w:p>
    <w:p>
      <w:pPr>
        <w:ind w:left="0" w:right="0" w:firstLine="0"/>
        <w:jc w:val="both"/>
        <w:spacing w:before="0" w:after="0" w:line="400"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8.账户信息：</w:t>
      </w:r>
      <w:r/>
    </w:p>
    <w:p>
      <w:pPr>
        <w:ind w:left="0" w:right="0" w:firstLine="0"/>
        <w:jc w:val="both"/>
        <w:spacing w:before="0" w:after="0" w:line="400"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收款人：江苏淮中工程管理咨询有限公司 </w:t>
      </w:r>
      <w:r/>
    </w:p>
    <w:p>
      <w:pPr>
        <w:ind w:left="0" w:right="0" w:firstLine="0"/>
        <w:jc w:val="both"/>
        <w:spacing w:before="0" w:after="0" w:line="400"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开户银行：中国银行股份有限公司徐州铜山支行</w:t>
      </w:r>
      <w:r/>
    </w:p>
    <w:p>
      <w:pPr>
        <w:ind w:left="0" w:right="0" w:firstLine="0"/>
        <w:jc w:val="both"/>
        <w:spacing w:before="0" w:after="0" w:line="400"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账号：539174723267</w:t>
      </w:r>
      <w:r/>
    </w:p>
    <w:p>
      <w:pPr>
        <w:pStyle w:val="746"/>
        <w:jc w:val="center"/>
        <w:spacing w:line="0" w:lineRule="atLeast"/>
        <w:shd w:val="clear" w:color="auto" w:fill="auto"/>
        <w:widowControl/>
        <w:rPr>
          <w:rStyle w:val="818"/>
          <w:rFonts w:ascii="宋体" w:hAnsi="宋体" w:eastAsia="宋体" w:cs="宋体"/>
          <w:color w:val="000000"/>
          <w:sz w:val="24"/>
          <w:szCs w:val="24"/>
          <w:highlight w:val="none"/>
        </w:rPr>
      </w:pPr>
      <w:r>
        <w:rPr>
          <w:rFonts w:hint="eastAsia" w:ascii="宋体" w:hAnsi="宋体" w:cs="宋体"/>
          <w:color w:val="000000"/>
          <w:sz w:val="24"/>
          <w:highlight w:val="none"/>
        </w:rPr>
        <w:br w:type="page" w:clear="all"/>
      </w:r>
      <w:bookmarkEnd w:id="5"/>
      <w:r/>
      <w:bookmarkStart w:id="6" w:name="_Toc522790134"/>
      <w:r>
        <w:rPr>
          <w:rFonts w:hint="eastAsia" w:ascii="宋体" w:hAnsi="宋体" w:cs="宋体"/>
          <w:color w:val="000000"/>
          <w:sz w:val="28"/>
          <w:szCs w:val="28"/>
          <w:highlight w:val="none"/>
        </w:rPr>
        <w:t xml:space="preserve">  </w:t>
      </w:r>
      <w:r>
        <w:rPr>
          <w:rStyle w:val="818"/>
          <w:rFonts w:hint="eastAsia" w:ascii="宋体" w:hAnsi="宋体" w:eastAsia="宋体" w:cs="宋体"/>
          <w:color w:val="000000"/>
          <w:sz w:val="28"/>
          <w:szCs w:val="28"/>
          <w:highlight w:val="none"/>
        </w:rPr>
        <w:t xml:space="preserve">第四章  评标标准</w:t>
      </w:r>
      <w:r/>
    </w:p>
    <w:tbl>
      <w:tblPr>
        <w:tblStyle w:val="689"/>
        <w:tblpPr w:horzAnchor="page" w:tblpX="888" w:vertAnchor="text" w:tblpY="477" w:leftFromText="180" w:topFromText="0" w:rightFromText="180" w:bottomFromText="0"/>
        <w:tblW w:w="52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38"/>
        <w:gridCol w:w="1488"/>
        <w:gridCol w:w="7524"/>
      </w:tblGrid>
      <w:tr>
        <w:trPr>
          <w:trHeight w:val="557"/>
        </w:trPr>
        <w:tc>
          <w:tcPr>
            <w:gridSpan w:val="2"/>
            <w:tcW w:w="2624" w:type="dxa"/>
            <w:vAlign w:val="center"/>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评审因素</w:t>
            </w:r>
            <w:r/>
          </w:p>
        </w:tc>
        <w:tc>
          <w:tcPr>
            <w:tcW w:w="7518" w:type="dxa"/>
            <w:vAlign w:val="center"/>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评审因素</w:t>
            </w:r>
            <w:r/>
          </w:p>
        </w:tc>
      </w:tr>
      <w:tr>
        <w:trPr>
          <w:trHeight w:val="1374"/>
        </w:trPr>
        <w:tc>
          <w:tcPr>
            <w:tcW w:w="1137" w:type="dxa"/>
            <w:vAlign w:val="center"/>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价格部分</w:t>
            </w:r>
            <w:r/>
          </w:p>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（30分）</w:t>
            </w:r>
            <w:r/>
          </w:p>
        </w:tc>
        <w:tc>
          <w:tcPr>
            <w:tcW w:w="1485" w:type="dxa"/>
            <w:vAlign w:val="center"/>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价 格</w:t>
            </w:r>
            <w:r/>
          </w:p>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（30分）</w:t>
            </w:r>
            <w:r/>
          </w:p>
        </w:tc>
        <w:tc>
          <w:tcPr>
            <w:tcW w:w="7518" w:type="dxa"/>
            <w:vAlign w:val="center"/>
            <w:textDirection w:val="lrTb"/>
            <w:noWrap w:val="false"/>
          </w:tcPr>
          <w:p>
            <w:pPr>
              <w:pStyle w:val="746"/>
              <w:jc w:val="left"/>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投标报价分采用最低价优先法计算，即满足招标文件要求且投标报价的最低报价为评标基准价，其报价分为满分，其他投标人的报价分按照下列公式计算：报价得分=（评标基准价/投标报价）×30</w:t>
            </w:r>
            <w:r/>
          </w:p>
          <w:p>
            <w:pPr>
              <w:pStyle w:val="746"/>
              <w:jc w:val="left"/>
              <w:spacing w:line="360" w:lineRule="auto"/>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w:t>
            </w:r>
            <w:r/>
          </w:p>
          <w:p>
            <w:pPr>
              <w:pStyle w:val="746"/>
              <w:jc w:val="left"/>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p>
            <w:pPr>
              <w:pStyle w:val="746"/>
              <w:jc w:val="left"/>
              <w:spacing w:line="360" w:lineRule="auto"/>
              <w:shd w:val="clear" w:color="auto" w:fill="auto"/>
              <w:rPr>
                <w:rFonts w:hint="eastAsia" w:ascii="宋体" w:hAnsi="宋体" w:cs="宋体"/>
                <w:color w:val="0000ff"/>
                <w:szCs w:val="21"/>
                <w:highlight w:val="none"/>
                <w:lang w:val="en-US" w:eastAsia="zh-CN"/>
              </w:rPr>
            </w:pPr>
            <w:r>
              <w:rPr>
                <w:rFonts w:hint="eastAsia" w:ascii="宋体" w:hAnsi="宋体" w:cs="宋体"/>
                <w:color w:val="0000ff"/>
                <w:szCs w:val="21"/>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pStyle w:val="746"/>
              <w:jc w:val="left"/>
              <w:spacing w:line="360" w:lineRule="auto"/>
              <w:shd w:val="clear" w:color="auto" w:fill="auto"/>
              <w:rPr>
                <w:rFonts w:hint="eastAsia" w:ascii="宋体" w:hAnsi="宋体" w:cs="宋体"/>
                <w:color w:val="0000ff"/>
                <w:szCs w:val="21"/>
                <w:highlight w:val="none"/>
                <w:lang w:val="en-US" w:eastAsia="zh-CN"/>
              </w:rPr>
            </w:pPr>
            <w:r>
              <w:rPr>
                <w:rFonts w:hint="eastAsia" w:ascii="宋体" w:hAnsi="宋体" w:cs="宋体"/>
                <w:color w:val="0000ff"/>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46"/>
              <w:jc w:val="left"/>
              <w:spacing w:line="360" w:lineRule="auto"/>
              <w:shd w:val="clear" w:color="auto" w:fill="auto"/>
              <w:rPr>
                <w:rFonts w:hint="eastAsia" w:ascii="宋体" w:hAnsi="宋体" w:cs="宋体"/>
                <w:color w:val="0000ff"/>
                <w:szCs w:val="21"/>
                <w:highlight w:val="none"/>
                <w:lang w:val="en-US" w:eastAsia="zh-CN"/>
              </w:rPr>
            </w:pPr>
            <w:r>
              <w:rPr>
                <w:rFonts w:hint="eastAsia" w:ascii="宋体" w:hAnsi="宋体" w:cs="宋体"/>
                <w:color w:val="0000ff"/>
                <w:szCs w:val="21"/>
                <w:highlight w:val="none"/>
                <w:lang w:val="en-US" w:eastAsia="zh-CN"/>
              </w:rPr>
              <w:t xml:space="preserve">该投标人的评审价格=《开标一览表》中的“总价”*（100%-20%）</w:t>
            </w:r>
            <w:r/>
          </w:p>
          <w:p>
            <w:pPr>
              <w:pStyle w:val="746"/>
              <w:jc w:val="left"/>
              <w:spacing w:line="360" w:lineRule="auto"/>
              <w:shd w:val="clear" w:color="auto" w:fill="auto"/>
              <w:rPr>
                <w:rFonts w:hint="eastAsia" w:ascii="宋体" w:hAnsi="宋体" w:cs="宋体"/>
                <w:color w:val="0000ff"/>
                <w:szCs w:val="21"/>
                <w:highlight w:val="none"/>
                <w:lang w:val="en-US" w:eastAsia="zh-CN"/>
              </w:rPr>
            </w:pPr>
            <w:r>
              <w:rPr>
                <w:rFonts w:hint="eastAsia" w:ascii="宋体" w:hAnsi="宋体" w:cs="宋体"/>
                <w:color w:val="0000ff"/>
                <w:szCs w:val="21"/>
                <w:highlight w:val="none"/>
                <w:lang w:val="en-US" w:eastAsia="zh-CN"/>
              </w:rPr>
              <w:t xml:space="preserve">3、上述1、2项评审优惠可同时享受，分别在供应商报价基础上予以扣除，用扣除后的价格参与评审，即该投标人的评审价格=《开标一览表》中的“总价”*（100%-30%）。</w:t>
            </w:r>
            <w:r/>
          </w:p>
          <w:p>
            <w:pPr>
              <w:pStyle w:val="746"/>
              <w:jc w:val="left"/>
              <w:spacing w:line="360" w:lineRule="auto"/>
              <w:shd w:val="clear" w:color="auto" w:fill="auto"/>
              <w:rPr>
                <w:rFonts w:hint="eastAsia" w:ascii="宋体" w:hAnsi="宋体" w:cs="宋体"/>
                <w:color w:val="0000ff"/>
                <w:szCs w:val="21"/>
                <w:highlight w:val="none"/>
                <w:lang w:val="en-US" w:eastAsia="zh-CN"/>
              </w:rPr>
            </w:pPr>
            <w:r>
              <w:rPr>
                <w:rFonts w:hint="eastAsia" w:ascii="宋体" w:hAnsi="宋体" w:cs="宋体"/>
                <w:color w:val="0000ff"/>
                <w:szCs w:val="21"/>
                <w:highlight w:val="none"/>
                <w:lang w:val="en-US" w:eastAsia="zh-CN"/>
              </w:rPr>
              <w:t xml:space="preserve">享受价格评审优惠不改变最终中标价格，政府采购合同仍按照中标供应商的报价签订。</w:t>
            </w:r>
            <w:r/>
          </w:p>
          <w:p>
            <w:pPr>
              <w:pStyle w:val="746"/>
              <w:jc w:val="left"/>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得分四舍五入保留小数点后2位。</w:t>
            </w:r>
            <w:r/>
          </w:p>
        </w:tc>
      </w:tr>
      <w:tr>
        <w:trPr>
          <w:trHeight w:val="90"/>
        </w:trPr>
        <w:tc>
          <w:tcPr>
            <w:tcW w:w="1137" w:type="dxa"/>
            <w:vAlign w:val="center"/>
            <w:vMerge w:val="restart"/>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商务部分</w:t>
            </w:r>
            <w:r/>
          </w:p>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（8分）</w:t>
            </w:r>
            <w:r/>
          </w:p>
          <w:p>
            <w:pPr>
              <w:pStyle w:val="74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485" w:type="dxa"/>
            <w:vAlign w:val="center"/>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投标人评价</w:t>
            </w:r>
            <w:r/>
          </w:p>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（4分）</w:t>
            </w:r>
            <w:r/>
          </w:p>
        </w:tc>
        <w:tc>
          <w:tcPr>
            <w:tcW w:w="7518" w:type="dxa"/>
            <w:vAlign w:val="center"/>
            <w:textDirection w:val="lrTb"/>
            <w:noWrap w:val="false"/>
          </w:tcPr>
          <w:p>
            <w:pPr>
              <w:pStyle w:val="746"/>
              <w:ind w:left="0" w:right="0" w:firstLine="0"/>
              <w:keepLines w:val="0"/>
              <w:keepNext w:val="0"/>
              <w:pageBreakBefore w:val="0"/>
              <w:spacing w:line="360" w:lineRule="auto"/>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rPr>
              <w:t xml:space="preserve">1、投标人</w:t>
            </w:r>
            <w:r>
              <w:rPr>
                <w:rFonts w:hint="eastAsia" w:ascii="宋体" w:hAnsi="宋体" w:cs="宋体"/>
                <w:color w:val="000000"/>
                <w:szCs w:val="21"/>
                <w:highlight w:val="none"/>
                <w:lang w:val="en-US" w:eastAsia="zh-CN"/>
              </w:rPr>
              <w:t xml:space="preserve">同时</w:t>
            </w:r>
            <w:r>
              <w:rPr>
                <w:rFonts w:hint="eastAsia" w:ascii="宋体" w:hAnsi="宋体" w:cs="宋体"/>
                <w:color w:val="000000"/>
                <w:szCs w:val="21"/>
                <w:highlight w:val="none"/>
              </w:rPr>
              <w:t xml:space="preserve">具有有效的ISO14001环境管理体系认证</w:t>
            </w:r>
            <w:r>
              <w:rPr>
                <w:rFonts w:hint="eastAsia" w:ascii="宋体" w:hAnsi="宋体" w:cs="宋体"/>
                <w:color w:val="000000"/>
                <w:szCs w:val="21"/>
                <w:highlight w:val="none"/>
                <w:lang w:val="en-US" w:eastAsia="zh-CN"/>
              </w:rPr>
              <w:t xml:space="preserve">证书</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ISO9001质量管理体系认证</w:t>
            </w:r>
            <w:r>
              <w:rPr>
                <w:rFonts w:hint="eastAsia" w:ascii="宋体" w:hAnsi="宋体" w:cs="宋体"/>
                <w:color w:val="000000"/>
                <w:szCs w:val="21"/>
                <w:highlight w:val="none"/>
                <w:lang w:val="en-US" w:eastAsia="zh-CN"/>
              </w:rPr>
              <w:t xml:space="preserve">证书</w:t>
            </w:r>
            <w:r>
              <w:rPr>
                <w:rFonts w:hint="eastAsia" w:ascii="宋体" w:hAnsi="宋体" w:cs="宋体"/>
                <w:color w:val="000000"/>
                <w:szCs w:val="21"/>
                <w:highlight w:val="none"/>
              </w:rPr>
              <w:t xml:space="preserve">、ISO45001 职业健康安全管理体系认证</w:t>
            </w:r>
            <w:r>
              <w:rPr>
                <w:rFonts w:hint="eastAsia" w:ascii="宋体" w:hAnsi="宋体" w:cs="宋体"/>
                <w:color w:val="000000"/>
                <w:szCs w:val="21"/>
                <w:highlight w:val="none"/>
                <w:lang w:val="en-US" w:eastAsia="zh-CN"/>
              </w:rPr>
              <w:t xml:space="preserve">证书</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ISO</w:t>
            </w:r>
            <w:r>
              <w:rPr>
                <w:rFonts w:hint="eastAsia" w:ascii="宋体" w:hAnsi="宋体" w:cs="宋体"/>
                <w:color w:val="000000"/>
                <w:szCs w:val="21"/>
                <w:highlight w:val="none"/>
                <w:lang w:val="en-US" w:eastAsia="zh-CN"/>
              </w:rPr>
              <w:t xml:space="preserve">27001信息安全管理体系认证证书、</w:t>
            </w:r>
            <w:r>
              <w:rPr>
                <w:rFonts w:hint="eastAsia" w:ascii="宋体" w:hAnsi="宋体" w:cs="宋体"/>
                <w:color w:val="000000"/>
                <w:szCs w:val="21"/>
                <w:highlight w:val="none"/>
              </w:rPr>
              <w:t xml:space="preserve">ISO</w:t>
            </w:r>
            <w:r>
              <w:rPr>
                <w:rFonts w:hint="eastAsia" w:ascii="宋体" w:hAnsi="宋体" w:cs="宋体"/>
                <w:color w:val="000000"/>
                <w:szCs w:val="21"/>
                <w:highlight w:val="none"/>
                <w:lang w:val="en-US" w:eastAsia="zh-CN"/>
              </w:rPr>
              <w:t xml:space="preserve">20000信息技术服务管理体系认证证书，</w:t>
            </w:r>
            <w:r>
              <w:rPr>
                <w:rFonts w:hint="eastAsia" w:ascii="宋体" w:hAnsi="宋体" w:cs="宋体"/>
                <w:color w:val="000000"/>
                <w:szCs w:val="21"/>
                <w:highlight w:val="none"/>
              </w:rPr>
              <w:t xml:space="preserve">并提供相关证明材料扫描件</w:t>
            </w:r>
            <w:r>
              <w:rPr>
                <w:rFonts w:hint="eastAsia" w:ascii="宋体" w:hAnsi="宋体" w:cs="宋体"/>
                <w:color w:val="000000"/>
                <w:szCs w:val="21"/>
                <w:highlight w:val="none"/>
                <w:lang w:val="en-US" w:eastAsia="zh-CN"/>
              </w:rPr>
              <w:t xml:space="preserve">的得2分；</w:t>
            </w:r>
            <w:r/>
          </w:p>
          <w:p>
            <w:pPr>
              <w:pStyle w:val="746"/>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投标人具有有效的涉密信息系统集成资质(业务种类</w:t>
            </w:r>
            <w:r>
              <w:rPr>
                <w:rFonts w:hint="eastAsia" w:ascii="宋体" w:hAnsi="宋体" w:cs="宋体"/>
                <w:color w:val="000000"/>
                <w:szCs w:val="21"/>
                <w:highlight w:val="none"/>
                <w:lang w:val="en-US" w:eastAsia="zh-CN"/>
              </w:rPr>
              <w:t xml:space="preserve">包含</w:t>
            </w:r>
            <w:r>
              <w:rPr>
                <w:rFonts w:hint="eastAsia" w:ascii="宋体" w:hAnsi="宋体" w:cs="宋体"/>
                <w:color w:val="000000"/>
                <w:szCs w:val="21"/>
                <w:highlight w:val="none"/>
              </w:rPr>
              <w:t xml:space="preserve">安防监控</w:t>
            </w:r>
            <w:r>
              <w:rPr>
                <w:rFonts w:hint="eastAsia" w:ascii="宋体" w:hAnsi="宋体" w:cs="宋体"/>
                <w:color w:val="000000"/>
                <w:szCs w:val="21"/>
                <w:highlight w:val="none"/>
                <w:lang w:val="en-US" w:eastAsia="zh-CN"/>
              </w:rPr>
              <w:t xml:space="preserve">和运行维护</w:t>
            </w:r>
            <w:r>
              <w:rPr>
                <w:rFonts w:hint="eastAsia" w:ascii="宋体" w:hAnsi="宋体" w:eastAsia="宋体" w:cs="宋体"/>
                <w:color w:val="000000"/>
                <w:szCs w:val="21"/>
                <w:highlight w:val="none"/>
              </w:rPr>
              <w:t xml:space="preserve">)：乙级</w:t>
            </w:r>
            <w:r>
              <w:rPr>
                <w:rFonts w:hint="eastAsia" w:ascii="宋体" w:hAnsi="宋体" w:eastAsia="宋体" w:cs="宋体"/>
                <w:color w:val="000000"/>
                <w:szCs w:val="21"/>
                <w:highlight w:val="none"/>
                <w:lang w:val="en-US" w:eastAsia="zh-CN"/>
              </w:rPr>
              <w:t xml:space="preserve">及以上</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p>
          <w:p>
            <w:pPr>
              <w:pStyle w:val="746"/>
              <w:spacing w:line="360" w:lineRule="auto"/>
              <w:shd w:val="clear" w:color="auto" w:fill="auto"/>
              <w:rPr>
                <w:rFonts w:ascii="宋体" w:hAnsi="宋体" w:cs="宋体"/>
                <w:color w:val="000000"/>
                <w:szCs w:val="21"/>
                <w:highlight w:val="none"/>
              </w:rPr>
            </w:pPr>
            <w:r>
              <w:rPr>
                <w:rFonts w:hint="eastAsia" w:ascii="宋体" w:hAnsi="宋体" w:eastAsia="宋体" w:cs="宋体"/>
                <w:b/>
                <w:bCs/>
                <w:color w:val="000000"/>
                <w:szCs w:val="21"/>
                <w:highlight w:val="none"/>
              </w:rPr>
              <w:t xml:space="preserve">（以上证书在投标文件中提供相关证明材料原件扫描件，不提供不得分）。</w:t>
            </w:r>
            <w:r/>
          </w:p>
        </w:tc>
      </w:tr>
      <w:tr>
        <w:trPr>
          <w:cantSplit/>
          <w:trHeight w:val="907"/>
        </w:trPr>
        <w:tc>
          <w:tcPr>
            <w:tcW w:w="1137" w:type="dxa"/>
            <w:vAlign w:val="center"/>
            <w:vMerge w:val="continue"/>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485" w:type="dxa"/>
            <w:vAlign w:val="center"/>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业绩（4分）</w:t>
            </w:r>
            <w:r/>
          </w:p>
        </w:tc>
        <w:tc>
          <w:tcPr>
            <w:tcW w:w="7518" w:type="dxa"/>
            <w:vAlign w:val="center"/>
            <w:textDirection w:val="lrTb"/>
            <w:noWrap w:val="false"/>
          </w:tcPr>
          <w:p>
            <w:pPr>
              <w:pStyle w:val="746"/>
              <w:ind w:left="0" w:right="0" w:firstLine="0"/>
              <w:keepLines w:val="0"/>
              <w:keepNext w:val="0"/>
              <w:pageBreakBefore w:val="0"/>
              <w:spacing w:line="360" w:lineRule="auto"/>
              <w:shd w:val="clear" w:color="auto" w:fill="auto"/>
              <w:rPr>
                <w:rFonts w:hint="eastAsia" w:ascii="宋体" w:hAnsi="宋体" w:eastAsia="宋体" w:cs="宋体"/>
                <w:color w:val="000000"/>
                <w:szCs w:val="21"/>
                <w:highlight w:val="none"/>
                <w:lang w:val="zh-CN" w:eastAsia="zh-CN"/>
              </w:rPr>
            </w:pPr>
            <w:r>
              <w:rPr>
                <w:rFonts w:hint="eastAsia" w:ascii="宋体" w:hAnsi="宋体" w:cs="宋体"/>
                <w:color w:val="000000"/>
                <w:szCs w:val="21"/>
                <w:highlight w:val="none"/>
                <w:lang w:val="zh-CN"/>
              </w:rPr>
              <w:t xml:space="preserve">提</w:t>
            </w:r>
            <w:r>
              <w:rPr>
                <w:rFonts w:hint="eastAsia" w:ascii="宋体" w:hAnsi="宋体" w:eastAsia="宋体" w:cs="宋体"/>
                <w:color w:val="000000"/>
                <w:szCs w:val="21"/>
                <w:highlight w:val="none"/>
                <w:lang w:val="zh-CN" w:eastAsia="zh-CN"/>
              </w:rPr>
              <w:t xml:space="preserve">供</w:t>
            </w:r>
            <w:r>
              <w:rPr>
                <w:rFonts w:hint="eastAsia" w:ascii="宋体" w:hAnsi="宋体" w:eastAsia="宋体" w:cs="宋体"/>
                <w:color w:val="000000"/>
                <w:szCs w:val="21"/>
                <w:highlight w:val="none"/>
                <w:lang w:val="en-US" w:eastAsia="zh-CN"/>
              </w:rPr>
              <w:t xml:space="preserve">投标人</w:t>
            </w:r>
            <w:r>
              <w:rPr>
                <w:rFonts w:hint="eastAsia" w:ascii="宋体" w:hAnsi="宋体" w:cs="宋体"/>
                <w:color w:val="000000"/>
                <w:szCs w:val="21"/>
                <w:highlight w:val="none"/>
                <w:lang w:val="en-US" w:eastAsia="zh-CN"/>
              </w:rPr>
              <w:t xml:space="preserve">2023</w:t>
            </w:r>
            <w:r>
              <w:rPr>
                <w:rFonts w:hint="eastAsia" w:ascii="宋体" w:hAnsi="宋体" w:eastAsia="宋体" w:cs="宋体"/>
                <w:color w:val="000000"/>
                <w:szCs w:val="21"/>
                <w:highlight w:val="none"/>
                <w:lang w:val="zh-CN" w:eastAsia="zh-CN"/>
              </w:rPr>
              <w:t xml:space="preserve">年1月</w:t>
            </w:r>
            <w:r>
              <w:rPr>
                <w:rFonts w:hint="eastAsia" w:ascii="宋体" w:hAnsi="宋体" w:eastAsia="宋体" w:cs="宋体"/>
                <w:color w:val="000000"/>
                <w:szCs w:val="21"/>
                <w:highlight w:val="none"/>
                <w:lang w:val="en-US" w:eastAsia="zh-CN"/>
              </w:rPr>
              <w:t xml:space="preserve">1日</w:t>
            </w:r>
            <w:r>
              <w:rPr>
                <w:rFonts w:hint="eastAsia" w:ascii="宋体" w:hAnsi="宋体" w:eastAsia="宋体" w:cs="宋体"/>
                <w:color w:val="000000"/>
                <w:szCs w:val="21"/>
                <w:highlight w:val="none"/>
                <w:lang w:val="zh-CN" w:eastAsia="zh-CN"/>
              </w:rPr>
              <w:t xml:space="preserve">以来（以合同签订的时间为准）</w:t>
            </w:r>
            <w:r>
              <w:rPr>
                <w:rFonts w:hint="eastAsia" w:ascii="宋体" w:hAnsi="宋体" w:eastAsia="宋体" w:cs="宋体"/>
                <w:color w:val="000000"/>
                <w:szCs w:val="21"/>
                <w:highlight w:val="none"/>
                <w:lang w:val="en-US" w:eastAsia="zh-CN"/>
              </w:rPr>
              <w:t xml:space="preserve">与本项目相同或类似的合同扫描件</w:t>
            </w:r>
            <w:r>
              <w:rPr>
                <w:rFonts w:hint="eastAsia" w:ascii="宋体" w:hAnsi="宋体" w:eastAsia="宋体" w:cs="宋体"/>
                <w:color w:val="000000"/>
                <w:szCs w:val="21"/>
                <w:highlight w:val="none"/>
                <w:lang w:val="zh-CN" w:eastAsia="zh-CN"/>
              </w:rPr>
              <w:t xml:space="preserve">，每有一个得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分，最高得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eastAsia="zh-CN"/>
              </w:rPr>
              <w:t xml:space="preserve">分。</w:t>
            </w:r>
            <w:r/>
          </w:p>
          <w:p>
            <w:pPr>
              <w:pStyle w:val="746"/>
              <w:ind w:left="0" w:right="0" w:firstLine="0"/>
              <w:keepLines w:val="0"/>
              <w:keepNext w:val="0"/>
              <w:pageBreakBefore w:val="0"/>
              <w:spacing w:line="360" w:lineRule="auto"/>
              <w:shd w:val="clear" w:color="auto" w:fill="auto"/>
              <w:rPr>
                <w:color w:val="000000"/>
                <w:highlight w:val="none"/>
              </w:rPr>
            </w:pPr>
            <w:r>
              <w:rPr>
                <w:rFonts w:hint="eastAsia" w:ascii="宋体" w:hAnsi="宋体" w:eastAsia="宋体" w:cs="宋体"/>
                <w:color w:val="000000"/>
                <w:szCs w:val="21"/>
                <w:highlight w:val="none"/>
                <w:lang w:val="en-US" w:eastAsia="zh-CN"/>
              </w:rPr>
              <w:t xml:space="preserve">以上材料需要提供合同扫描件加盖公章，未提供或者提供不完整不得分</w:t>
            </w:r>
            <w:r>
              <w:rPr>
                <w:rFonts w:hint="eastAsia" w:ascii="宋体" w:hAnsi="宋体" w:cs="宋体"/>
                <w:color w:val="000000"/>
                <w:szCs w:val="21"/>
                <w:highlight w:val="none"/>
                <w:lang w:val="en-US" w:eastAsia="zh-CN"/>
              </w:rPr>
              <w:t xml:space="preserve">。</w:t>
            </w:r>
            <w:r/>
          </w:p>
        </w:tc>
      </w:tr>
      <w:tr>
        <w:trPr>
          <w:cantSplit/>
          <w:trHeight w:val="1190"/>
        </w:trPr>
        <w:tc>
          <w:tcPr>
            <w:tcW w:w="1137" w:type="dxa"/>
            <w:vAlign w:val="center"/>
            <w:vMerge w:val="restart"/>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技</w:t>
            </w:r>
            <w:r/>
          </w:p>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术</w:t>
            </w:r>
            <w:r/>
          </w:p>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部</w:t>
            </w:r>
            <w:r/>
          </w:p>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分</w:t>
            </w:r>
            <w:r/>
          </w:p>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（62分）</w:t>
            </w:r>
            <w:r/>
          </w:p>
        </w:tc>
        <w:tc>
          <w:tcPr>
            <w:tcW w:w="1485" w:type="dxa"/>
            <w:vAlign w:val="center"/>
            <w:textDirection w:val="lrTb"/>
            <w:noWrap w:val="false"/>
          </w:tcPr>
          <w:p>
            <w:pPr>
              <w:pStyle w:val="746"/>
              <w:ind w:left="0" w:right="0" w:firstLine="0"/>
              <w:keepLines w:val="0"/>
              <w:keepNext w:val="0"/>
              <w:pageBreakBefore w:val="0"/>
              <w:spacing w:line="360" w:lineRule="auto"/>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所投产品的具体技术规格（21分）</w:t>
            </w:r>
            <w:r/>
          </w:p>
        </w:tc>
        <w:tc>
          <w:tcPr>
            <w:tcW w:w="7518" w:type="dxa"/>
            <w:vAlign w:val="center"/>
            <w:textDirection w:val="lrTb"/>
            <w:noWrap w:val="false"/>
          </w:tcPr>
          <w:p>
            <w:pPr>
              <w:pStyle w:val="746"/>
              <w:ind w:left="0" w:right="0" w:firstLine="0"/>
              <w:keepLines w:val="0"/>
              <w:keepNext w:val="0"/>
              <w:pageBreakBefore w:val="0"/>
              <w:spacing w:line="360" w:lineRule="auto"/>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依据投标文件中偏离表、技术规格说明对招标文件《第六章 采购需求》中“技术参数要求”满足程度进行评分。</w:t>
            </w:r>
            <w:r/>
          </w:p>
          <w:p>
            <w:pPr>
              <w:pStyle w:val="746"/>
              <w:ind w:left="0" w:right="0" w:firstLine="0"/>
              <w:keepLines w:val="0"/>
              <w:keepNext w:val="0"/>
              <w:pageBreakBefore w:val="0"/>
              <w:spacing w:line="360" w:lineRule="auto"/>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满足招标文件基本技术要求的得21分，次重要响应指标共计30项，不满足或负偏离每项扣0.7分，扣完为止；其余响应指标70项，如有不满足或负偏离，每一项扣0.3分，扣完为止。本项最高得21分，最低得0分。</w:t>
            </w:r>
            <w:r/>
          </w:p>
          <w:p>
            <w:pPr>
              <w:pStyle w:val="746"/>
              <w:ind w:left="0" w:right="0" w:firstLine="0"/>
              <w:keepLines w:val="0"/>
              <w:keepNext w:val="0"/>
              <w:pageBreakBefore w:val="0"/>
              <w:spacing w:line="360" w:lineRule="auto"/>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注：加“★”标志为实质性响应指标不允许负偏离，否则按无效投标处理；加“▲”的指标为次重要响应指标，其他为一般响应指标，未按要求提供证明材料的视为不满足。</w:t>
            </w:r>
            <w:r/>
          </w:p>
        </w:tc>
      </w:tr>
      <w:tr>
        <w:trPr>
          <w:cantSplit/>
          <w:trHeight w:val="269"/>
        </w:trPr>
        <w:tc>
          <w:tcPr>
            <w:tcW w:w="1137" w:type="dxa"/>
            <w:vAlign w:val="center"/>
            <w:vMerge w:val="continue"/>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485" w:type="dxa"/>
            <w:vAlign w:val="center"/>
            <w:vMerge w:val="restart"/>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分）</w:t>
            </w:r>
            <w:r/>
          </w:p>
        </w:tc>
        <w:tc>
          <w:tcPr>
            <w:tcW w:w="7518" w:type="dxa"/>
            <w:vAlign w:val="center"/>
            <w:textDirection w:val="lrTb"/>
            <w:noWrap w:val="false"/>
          </w:tcPr>
          <w:p>
            <w:pPr>
              <w:spacing w:line="360" w:lineRule="auto"/>
              <w:shd w:val="clear" w:color="auto" w:fill="auto"/>
              <w:rPr>
                <w:rFonts w:ascii="宋体" w:hAnsi="宋体" w:cs="宋体"/>
                <w:color w:val="000000"/>
                <w:sz w:val="21"/>
                <w:szCs w:val="21"/>
                <w:highlight w:val="none"/>
              </w:rPr>
            </w:pPr>
            <w:r>
              <w:rPr>
                <w:rFonts w:ascii="宋体" w:hAnsi="宋体" w:cs="宋体"/>
                <w:color w:val="000000"/>
                <w:sz w:val="21"/>
                <w:szCs w:val="21"/>
                <w:highlight w:val="none"/>
              </w:rPr>
            </w:r>
            <w:r/>
          </w:p>
          <w:p>
            <w:pPr>
              <w:pStyle w:val="746"/>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对项目实施方案中的（项目实施、勘察、</w:t>
            </w:r>
            <w:r>
              <w:rPr>
                <w:rFonts w:hint="eastAsia" w:ascii="宋体" w:hAnsi="宋体" w:cs="宋体"/>
                <w:color w:val="000000"/>
                <w:szCs w:val="21"/>
                <w:highlight w:val="none"/>
                <w:lang w:val="en-US" w:eastAsia="zh-CN"/>
              </w:rPr>
              <w:t xml:space="preserve">安装交付</w:t>
            </w:r>
            <w:r>
              <w:rPr>
                <w:rFonts w:hint="eastAsia" w:ascii="宋体" w:hAnsi="宋体" w:cs="宋体"/>
                <w:color w:val="000000"/>
                <w:szCs w:val="21"/>
                <w:highlight w:val="none"/>
              </w:rPr>
              <w:t xml:space="preserve">方案等）内容完整可行性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规范性、合理性、进行评价，不提供不得分。</w:t>
            </w:r>
            <w:r/>
          </w:p>
        </w:tc>
      </w:tr>
      <w:tr>
        <w:trPr>
          <w:cantSplit/>
          <w:trHeight w:val="269"/>
        </w:trPr>
        <w:tc>
          <w:tcPr>
            <w:tcW w:w="1137" w:type="dxa"/>
            <w:vAlign w:val="center"/>
            <w:vMerge w:val="continue"/>
            <w:textDirection w:val="lrTb"/>
            <w:noWrap w:val="false"/>
          </w:tcPr>
          <w:p>
            <w:pPr>
              <w:pStyle w:val="746"/>
              <w:spacing w:line="360" w:lineRule="auto"/>
              <w:shd w:val="clear" w:color="auto" w:fill="auto"/>
              <w:rPr>
                <w:color w:val="000000"/>
                <w:highlight w:val="none"/>
              </w:rPr>
            </w:pPr>
            <w:r>
              <w:rPr>
                <w:color w:val="000000"/>
                <w:highlight w:val="none"/>
              </w:rPr>
            </w:r>
            <w:r/>
          </w:p>
        </w:tc>
        <w:tc>
          <w:tcPr>
            <w:tcW w:w="1485" w:type="dxa"/>
            <w:vAlign w:val="center"/>
            <w:vMerge w:val="continue"/>
            <w:textDirection w:val="lrTb"/>
            <w:noWrap w:val="false"/>
          </w:tcPr>
          <w:p>
            <w:pPr>
              <w:pStyle w:val="746"/>
              <w:spacing w:line="360" w:lineRule="auto"/>
              <w:shd w:val="clear" w:color="auto" w:fill="auto"/>
              <w:rPr>
                <w:color w:val="000000"/>
                <w:highlight w:val="none"/>
              </w:rPr>
            </w:pPr>
            <w:r>
              <w:rPr>
                <w:color w:val="000000"/>
                <w:highlight w:val="none"/>
              </w:rPr>
            </w:r>
            <w:r/>
          </w:p>
        </w:tc>
        <w:tc>
          <w:tcPr>
            <w:tcW w:w="7518" w:type="dxa"/>
            <w:vAlign w:val="center"/>
            <w:textDirection w:val="lrTb"/>
            <w:noWrap w:val="false"/>
          </w:tcPr>
          <w:p>
            <w:pPr>
              <w:pStyle w:val="746"/>
              <w:numPr>
                <w:ilvl w:val="0"/>
                <w:numId w:val="1"/>
              </w:numPr>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投标人提供的维保整体方案完全响应采购需求的基础上，根据方案的完整程度、详实情况打分</w:t>
            </w:r>
            <w:r>
              <w:rPr>
                <w:rFonts w:hint="eastAsia" w:ascii="宋体" w:hAnsi="宋体" w:cs="宋体"/>
                <w:color w:val="000000"/>
                <w:szCs w:val="21"/>
                <w:highlight w:val="none"/>
                <w:lang w:eastAsia="zh-CN"/>
              </w:rPr>
              <w:t xml:space="preserve">；</w:t>
            </w:r>
            <w:r/>
          </w:p>
          <w:p>
            <w:pPr>
              <w:pStyle w:val="785"/>
              <w:ind w:left="0" w:right="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内容的全面性（</w:t>
            </w:r>
            <w:r>
              <w:rPr>
                <w:rFonts w:hint="eastAsia" w:ascii="宋体" w:hAnsi="宋体" w:eastAsia="宋体" w:cs="宋体"/>
                <w:color w:val="000000"/>
                <w:sz w:val="21"/>
                <w:szCs w:val="21"/>
                <w:shd w:val="clear" w:color="auto" w:fill="ffffff"/>
                <w:lang w:val="en-US" w:eastAsia="zh-CN"/>
              </w:rPr>
              <w:t xml:space="preserve">4</w:t>
            </w:r>
            <w:r>
              <w:rPr>
                <w:rFonts w:hint="eastAsia" w:ascii="宋体" w:hAnsi="宋体" w:eastAsia="宋体" w:cs="宋体"/>
                <w:color w:val="000000"/>
                <w:sz w:val="21"/>
                <w:szCs w:val="21"/>
                <w:shd w:val="clear" w:color="auto" w:fill="ffffff"/>
              </w:rPr>
              <w:t xml:space="preserve">分）：全面具体详实得</w:t>
            </w:r>
            <w:r>
              <w:rPr>
                <w:rFonts w:hint="eastAsia" w:ascii="宋体" w:hAnsi="宋体" w:eastAsia="宋体" w:cs="宋体"/>
                <w:color w:val="000000"/>
                <w:sz w:val="21"/>
                <w:szCs w:val="21"/>
                <w:shd w:val="clear" w:color="auto" w:fill="ffffff"/>
                <w:lang w:val="en-US" w:eastAsia="zh-CN"/>
              </w:rPr>
              <w:t xml:space="preserve">4</w:t>
            </w:r>
            <w:r>
              <w:rPr>
                <w:rFonts w:hint="eastAsia" w:ascii="宋体" w:hAnsi="宋体" w:eastAsia="宋体" w:cs="宋体"/>
                <w:color w:val="000000"/>
                <w:sz w:val="21"/>
                <w:szCs w:val="21"/>
                <w:shd w:val="clear" w:color="auto" w:fill="ffffff"/>
              </w:rPr>
              <w:t xml:space="preserve">分；全面性一般得</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分；全面性较差的得</w:t>
            </w:r>
            <w:r>
              <w:rPr>
                <w:rFonts w:hint="eastAsia" w:ascii="宋体" w:hAnsi="宋体" w:eastAsia="宋体" w:cs="宋体"/>
                <w:color w:val="000000"/>
                <w:sz w:val="21"/>
                <w:szCs w:val="21"/>
                <w:shd w:val="clear" w:color="auto" w:fill="ffffff"/>
                <w:lang w:val="en-US" w:eastAsia="zh-CN"/>
              </w:rPr>
              <w:t xml:space="preserve">2</w:t>
            </w:r>
            <w:r>
              <w:rPr>
                <w:rFonts w:hint="eastAsia" w:ascii="宋体" w:hAnsi="宋体" w:eastAsia="宋体" w:cs="宋体"/>
                <w:color w:val="000000"/>
                <w:sz w:val="21"/>
                <w:szCs w:val="21"/>
                <w:shd w:val="clear" w:color="auto" w:fill="ffffff"/>
              </w:rPr>
              <w:t xml:space="preserve">分；存在较大漏项或缺陷得1分；</w:t>
            </w:r>
            <w:r/>
          </w:p>
          <w:p>
            <w:pPr>
              <w:pStyle w:val="785"/>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内容的可行性（</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分）：切实可行得</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分；可行性一般得</w:t>
            </w:r>
            <w:r>
              <w:rPr>
                <w:rFonts w:hint="eastAsia" w:ascii="宋体" w:hAnsi="宋体" w:eastAsia="宋体" w:cs="宋体"/>
                <w:color w:val="000000"/>
                <w:sz w:val="21"/>
                <w:szCs w:val="21"/>
                <w:shd w:val="clear" w:color="auto" w:fill="ffffff"/>
                <w:lang w:val="en-US" w:eastAsia="zh-CN"/>
              </w:rPr>
              <w:t xml:space="preserve">2</w:t>
            </w:r>
            <w:r>
              <w:rPr>
                <w:rFonts w:hint="eastAsia" w:ascii="宋体" w:hAnsi="宋体" w:eastAsia="宋体" w:cs="宋体"/>
                <w:color w:val="000000"/>
                <w:sz w:val="21"/>
                <w:szCs w:val="21"/>
                <w:shd w:val="clear" w:color="auto" w:fill="ffffff"/>
              </w:rPr>
              <w:t xml:space="preserve">分；可行性较差的得</w:t>
            </w:r>
            <w:r>
              <w:rPr>
                <w:rFonts w:hint="eastAsia" w:ascii="宋体" w:hAnsi="宋体" w:eastAsia="宋体" w:cs="宋体"/>
                <w:color w:val="000000"/>
                <w:sz w:val="21"/>
                <w:szCs w:val="21"/>
                <w:shd w:val="clear" w:color="auto" w:fill="ffffff"/>
                <w:lang w:val="en-US" w:eastAsia="zh-CN"/>
              </w:rPr>
              <w:t xml:space="preserve">1</w:t>
            </w:r>
            <w:r>
              <w:rPr>
                <w:rFonts w:hint="eastAsia" w:ascii="宋体" w:hAnsi="宋体" w:eastAsia="宋体" w:cs="宋体"/>
                <w:color w:val="000000"/>
                <w:sz w:val="21"/>
                <w:szCs w:val="21"/>
                <w:shd w:val="clear" w:color="auto" w:fill="ffffff"/>
              </w:rPr>
              <w:t xml:space="preserve">分；可行性欠缺得</w:t>
            </w:r>
            <w:r>
              <w:rPr>
                <w:rFonts w:hint="eastAsia" w:ascii="宋体" w:hAnsi="宋体" w:eastAsia="宋体" w:cs="宋体"/>
                <w:color w:val="000000"/>
                <w:sz w:val="21"/>
                <w:szCs w:val="21"/>
                <w:shd w:val="clear" w:color="auto" w:fill="ffffff"/>
                <w:lang w:val="en-US" w:eastAsia="zh-CN"/>
              </w:rPr>
              <w:t xml:space="preserve">0.5</w:t>
            </w:r>
            <w:r>
              <w:rPr>
                <w:rFonts w:hint="eastAsia" w:ascii="宋体" w:hAnsi="宋体" w:eastAsia="宋体" w:cs="宋体"/>
                <w:color w:val="000000"/>
                <w:sz w:val="21"/>
                <w:szCs w:val="21"/>
                <w:shd w:val="clear" w:color="auto" w:fill="ffffff"/>
              </w:rPr>
              <w:t xml:space="preserve">分。</w:t>
            </w:r>
            <w:r/>
          </w:p>
          <w:p>
            <w:pPr>
              <w:pStyle w:val="785"/>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内容的针对性（</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分）：针对性强得</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分；针对性一般得</w:t>
            </w:r>
            <w:r>
              <w:rPr>
                <w:rFonts w:hint="eastAsia" w:ascii="宋体" w:hAnsi="宋体" w:eastAsia="宋体" w:cs="宋体"/>
                <w:color w:val="000000"/>
                <w:sz w:val="21"/>
                <w:szCs w:val="21"/>
                <w:shd w:val="clear" w:color="auto" w:fill="ffffff"/>
                <w:lang w:val="en-US" w:eastAsia="zh-CN"/>
              </w:rPr>
              <w:t xml:space="preserve">2</w:t>
            </w:r>
            <w:r>
              <w:rPr>
                <w:rFonts w:hint="eastAsia" w:ascii="宋体" w:hAnsi="宋体" w:eastAsia="宋体" w:cs="宋体"/>
                <w:color w:val="000000"/>
                <w:sz w:val="21"/>
                <w:szCs w:val="21"/>
                <w:shd w:val="clear" w:color="auto" w:fill="ffffff"/>
              </w:rPr>
              <w:t xml:space="preserve">分；针对性较差的得</w:t>
            </w:r>
            <w:r>
              <w:rPr>
                <w:rFonts w:hint="eastAsia" w:ascii="宋体" w:hAnsi="宋体" w:eastAsia="宋体" w:cs="宋体"/>
                <w:color w:val="000000"/>
                <w:sz w:val="21"/>
                <w:szCs w:val="21"/>
                <w:shd w:val="clear" w:color="auto" w:fill="ffffff"/>
                <w:lang w:val="en-US" w:eastAsia="zh-CN"/>
              </w:rPr>
              <w:t xml:space="preserve">1</w:t>
            </w:r>
            <w:r>
              <w:rPr>
                <w:rFonts w:hint="eastAsia" w:ascii="宋体" w:hAnsi="宋体" w:eastAsia="宋体" w:cs="宋体"/>
                <w:color w:val="000000"/>
                <w:sz w:val="21"/>
                <w:szCs w:val="21"/>
                <w:shd w:val="clear" w:color="auto" w:fill="ffffff"/>
              </w:rPr>
              <w:t xml:space="preserve">分；针对性欠缺得</w:t>
            </w:r>
            <w:r>
              <w:rPr>
                <w:rFonts w:hint="eastAsia" w:ascii="宋体" w:hAnsi="宋体" w:eastAsia="宋体" w:cs="宋体"/>
                <w:color w:val="000000"/>
                <w:sz w:val="21"/>
                <w:szCs w:val="21"/>
                <w:shd w:val="clear" w:color="auto" w:fill="ffffff"/>
                <w:lang w:val="en-US" w:eastAsia="zh-CN"/>
              </w:rPr>
              <w:t xml:space="preserve">0.5</w:t>
            </w:r>
            <w:r>
              <w:rPr>
                <w:rFonts w:hint="eastAsia" w:ascii="宋体" w:hAnsi="宋体" w:eastAsia="宋体" w:cs="宋体"/>
                <w:color w:val="000000"/>
                <w:sz w:val="21"/>
                <w:szCs w:val="21"/>
                <w:shd w:val="clear" w:color="auto" w:fill="ffffff"/>
              </w:rPr>
              <w:t xml:space="preserve">分。</w:t>
            </w:r>
            <w:r/>
          </w:p>
          <w:p>
            <w:pPr>
              <w:pStyle w:val="785"/>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未提供的得0分，本项最高得</w:t>
            </w:r>
            <w:r>
              <w:rPr>
                <w:rFonts w:hint="eastAsia" w:ascii="宋体" w:hAnsi="宋体" w:eastAsia="宋体" w:cs="宋体"/>
                <w:color w:val="000000"/>
                <w:sz w:val="21"/>
                <w:szCs w:val="21"/>
                <w:shd w:val="clear" w:color="auto" w:fill="ffffff"/>
                <w:lang w:val="en-US" w:eastAsia="zh-CN"/>
              </w:rPr>
              <w:t xml:space="preserve">10</w:t>
            </w:r>
            <w:r>
              <w:rPr>
                <w:rFonts w:hint="eastAsia" w:ascii="宋体" w:hAnsi="宋体" w:eastAsia="宋体" w:cs="宋体"/>
                <w:color w:val="000000"/>
                <w:sz w:val="21"/>
                <w:szCs w:val="21"/>
                <w:shd w:val="clear" w:color="auto" w:fill="ffffff"/>
              </w:rPr>
              <w:t xml:space="preserve">分，最低得0分。</w:t>
            </w:r>
            <w:r/>
          </w:p>
        </w:tc>
      </w:tr>
      <w:tr>
        <w:trPr>
          <w:cantSplit/>
          <w:trHeight w:val="269"/>
        </w:trPr>
        <w:tc>
          <w:tcPr>
            <w:tcW w:w="1137" w:type="dxa"/>
            <w:vAlign w:val="center"/>
            <w:vMerge w:val="continue"/>
            <w:textDirection w:val="lrTb"/>
            <w:noWrap w:val="false"/>
          </w:tcPr>
          <w:p>
            <w:pPr>
              <w:pStyle w:val="74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485" w:type="dxa"/>
            <w:vAlign w:val="center"/>
            <w:vMerge w:val="continue"/>
            <w:textDirection w:val="lrTb"/>
            <w:noWrap w:val="false"/>
          </w:tcPr>
          <w:p>
            <w:pPr>
              <w:pStyle w:val="746"/>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518" w:type="dxa"/>
            <w:vAlign w:val="center"/>
            <w:textDirection w:val="lrTb"/>
            <w:noWrap w:val="false"/>
          </w:tcPr>
          <w:p>
            <w:pPr>
              <w:numPr>
                <w:ilvl w:val="0"/>
                <w:numId w:val="0"/>
              </w:numPr>
              <w:ind w:left="0" w:right="0" w:firstLine="0"/>
              <w:keepLines w:val="0"/>
              <w:keepNext w:val="0"/>
              <w:pageBreakBefore w:val="0"/>
              <w:spacing w:line="360" w:lineRule="auto"/>
              <w:shd w:val="clear" w:color="auto" w:fill="auto"/>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根据材料组织、质量保证体系、监控平台及数据的安全性、保密性、工序工艺以及系统工作的协调等方面对投标文件中的项目实施细则进行打分</w:t>
            </w:r>
            <w:r>
              <w:rPr>
                <w:rFonts w:hint="eastAsia" w:ascii="宋体" w:hAnsi="宋体" w:cs="宋体"/>
                <w:color w:val="000000"/>
                <w:sz w:val="21"/>
                <w:szCs w:val="21"/>
                <w:highlight w:val="none"/>
                <w:lang w:val="en-US" w:eastAsia="zh-CN" w:bidi="ar-SA"/>
              </w:rPr>
              <w:t xml:space="preserve">；</w:t>
            </w:r>
            <w:r/>
          </w:p>
          <w:p>
            <w:pPr>
              <w:pStyle w:val="785"/>
              <w:ind w:left="0" w:right="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内容的全面性（</w:t>
            </w:r>
            <w:r>
              <w:rPr>
                <w:rFonts w:hint="eastAsia" w:ascii="宋体" w:hAnsi="宋体" w:eastAsia="宋体" w:cs="宋体"/>
                <w:color w:val="000000"/>
                <w:sz w:val="21"/>
                <w:szCs w:val="21"/>
                <w:shd w:val="clear" w:color="auto" w:fill="ffffff"/>
                <w:lang w:val="en-US" w:eastAsia="zh-CN"/>
              </w:rPr>
              <w:t xml:space="preserve">4</w:t>
            </w:r>
            <w:r>
              <w:rPr>
                <w:rFonts w:hint="eastAsia" w:ascii="宋体" w:hAnsi="宋体" w:eastAsia="宋体" w:cs="宋体"/>
                <w:color w:val="000000"/>
                <w:sz w:val="21"/>
                <w:szCs w:val="21"/>
                <w:shd w:val="clear" w:color="auto" w:fill="ffffff"/>
              </w:rPr>
              <w:t xml:space="preserve">分）：全面具体详实得</w:t>
            </w:r>
            <w:r>
              <w:rPr>
                <w:rFonts w:hint="eastAsia" w:ascii="宋体" w:hAnsi="宋体" w:eastAsia="宋体" w:cs="宋体"/>
                <w:color w:val="000000"/>
                <w:sz w:val="21"/>
                <w:szCs w:val="21"/>
                <w:shd w:val="clear" w:color="auto" w:fill="ffffff"/>
                <w:lang w:val="en-US" w:eastAsia="zh-CN"/>
              </w:rPr>
              <w:t xml:space="preserve">4</w:t>
            </w:r>
            <w:r>
              <w:rPr>
                <w:rFonts w:hint="eastAsia" w:ascii="宋体" w:hAnsi="宋体" w:eastAsia="宋体" w:cs="宋体"/>
                <w:color w:val="000000"/>
                <w:sz w:val="21"/>
                <w:szCs w:val="21"/>
                <w:shd w:val="clear" w:color="auto" w:fill="ffffff"/>
              </w:rPr>
              <w:t xml:space="preserve">分；全面性一般得</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分；全面性较差的得</w:t>
            </w:r>
            <w:r>
              <w:rPr>
                <w:rFonts w:hint="eastAsia" w:ascii="宋体" w:hAnsi="宋体" w:eastAsia="宋体" w:cs="宋体"/>
                <w:color w:val="000000"/>
                <w:sz w:val="21"/>
                <w:szCs w:val="21"/>
                <w:shd w:val="clear" w:color="auto" w:fill="ffffff"/>
                <w:lang w:val="en-US" w:eastAsia="zh-CN"/>
              </w:rPr>
              <w:t xml:space="preserve">2</w:t>
            </w:r>
            <w:r>
              <w:rPr>
                <w:rFonts w:hint="eastAsia" w:ascii="宋体" w:hAnsi="宋体" w:eastAsia="宋体" w:cs="宋体"/>
                <w:color w:val="000000"/>
                <w:sz w:val="21"/>
                <w:szCs w:val="21"/>
                <w:shd w:val="clear" w:color="auto" w:fill="ffffff"/>
              </w:rPr>
              <w:t xml:space="preserve">分；存在较大漏项或缺陷得1分；</w:t>
            </w:r>
            <w:r/>
          </w:p>
          <w:p>
            <w:pPr>
              <w:pStyle w:val="785"/>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内容的可行性（</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分）：切实可行得</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分；可行性一般得</w:t>
            </w:r>
            <w:r>
              <w:rPr>
                <w:rFonts w:hint="eastAsia" w:ascii="宋体" w:hAnsi="宋体" w:eastAsia="宋体" w:cs="宋体"/>
                <w:color w:val="000000"/>
                <w:sz w:val="21"/>
                <w:szCs w:val="21"/>
                <w:shd w:val="clear" w:color="auto" w:fill="ffffff"/>
                <w:lang w:val="en-US" w:eastAsia="zh-CN"/>
              </w:rPr>
              <w:t xml:space="preserve">2</w:t>
            </w:r>
            <w:r>
              <w:rPr>
                <w:rFonts w:hint="eastAsia" w:ascii="宋体" w:hAnsi="宋体" w:eastAsia="宋体" w:cs="宋体"/>
                <w:color w:val="000000"/>
                <w:sz w:val="21"/>
                <w:szCs w:val="21"/>
                <w:shd w:val="clear" w:color="auto" w:fill="ffffff"/>
              </w:rPr>
              <w:t xml:space="preserve">分；可行性较差的得</w:t>
            </w:r>
            <w:r>
              <w:rPr>
                <w:rFonts w:hint="eastAsia" w:ascii="宋体" w:hAnsi="宋体" w:eastAsia="宋体" w:cs="宋体"/>
                <w:color w:val="000000"/>
                <w:sz w:val="21"/>
                <w:szCs w:val="21"/>
                <w:shd w:val="clear" w:color="auto" w:fill="ffffff"/>
                <w:lang w:val="en-US" w:eastAsia="zh-CN"/>
              </w:rPr>
              <w:t xml:space="preserve">1</w:t>
            </w:r>
            <w:r>
              <w:rPr>
                <w:rFonts w:hint="eastAsia" w:ascii="宋体" w:hAnsi="宋体" w:eastAsia="宋体" w:cs="宋体"/>
                <w:color w:val="000000"/>
                <w:sz w:val="21"/>
                <w:szCs w:val="21"/>
                <w:shd w:val="clear" w:color="auto" w:fill="ffffff"/>
              </w:rPr>
              <w:t xml:space="preserve">分；可行性欠缺得</w:t>
            </w:r>
            <w:r>
              <w:rPr>
                <w:rFonts w:hint="eastAsia" w:ascii="宋体" w:hAnsi="宋体" w:eastAsia="宋体" w:cs="宋体"/>
                <w:color w:val="000000"/>
                <w:sz w:val="21"/>
                <w:szCs w:val="21"/>
                <w:shd w:val="clear" w:color="auto" w:fill="ffffff"/>
                <w:lang w:val="en-US" w:eastAsia="zh-CN"/>
              </w:rPr>
              <w:t xml:space="preserve">0.5</w:t>
            </w:r>
            <w:r>
              <w:rPr>
                <w:rFonts w:hint="eastAsia" w:ascii="宋体" w:hAnsi="宋体" w:eastAsia="宋体" w:cs="宋体"/>
                <w:color w:val="000000"/>
                <w:sz w:val="21"/>
                <w:szCs w:val="21"/>
                <w:shd w:val="clear" w:color="auto" w:fill="ffffff"/>
              </w:rPr>
              <w:t xml:space="preserve">分。</w:t>
            </w:r>
            <w:r/>
          </w:p>
          <w:p>
            <w:pPr>
              <w:pStyle w:val="785"/>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内容的针对性（</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分）：针对性强得</w:t>
            </w:r>
            <w:r>
              <w:rPr>
                <w:rFonts w:hint="eastAsia" w:ascii="宋体" w:hAnsi="宋体" w:eastAsia="宋体" w:cs="宋体"/>
                <w:color w:val="000000"/>
                <w:sz w:val="21"/>
                <w:szCs w:val="21"/>
                <w:shd w:val="clear" w:color="auto" w:fill="ffffff"/>
                <w:lang w:val="en-US" w:eastAsia="zh-CN"/>
              </w:rPr>
              <w:t xml:space="preserve">3</w:t>
            </w:r>
            <w:r>
              <w:rPr>
                <w:rFonts w:hint="eastAsia" w:ascii="宋体" w:hAnsi="宋体" w:eastAsia="宋体" w:cs="宋体"/>
                <w:color w:val="000000"/>
                <w:sz w:val="21"/>
                <w:szCs w:val="21"/>
                <w:shd w:val="clear" w:color="auto" w:fill="ffffff"/>
              </w:rPr>
              <w:t xml:space="preserve">分；针对性一般得</w:t>
            </w:r>
            <w:r>
              <w:rPr>
                <w:rFonts w:hint="eastAsia" w:ascii="宋体" w:hAnsi="宋体" w:eastAsia="宋体" w:cs="宋体"/>
                <w:color w:val="000000"/>
                <w:sz w:val="21"/>
                <w:szCs w:val="21"/>
                <w:shd w:val="clear" w:color="auto" w:fill="ffffff"/>
                <w:lang w:val="en-US" w:eastAsia="zh-CN"/>
              </w:rPr>
              <w:t xml:space="preserve">2</w:t>
            </w:r>
            <w:r>
              <w:rPr>
                <w:rFonts w:hint="eastAsia" w:ascii="宋体" w:hAnsi="宋体" w:eastAsia="宋体" w:cs="宋体"/>
                <w:color w:val="000000"/>
                <w:sz w:val="21"/>
                <w:szCs w:val="21"/>
                <w:shd w:val="clear" w:color="auto" w:fill="ffffff"/>
              </w:rPr>
              <w:t xml:space="preserve">分；针对性较差的得</w:t>
            </w:r>
            <w:r>
              <w:rPr>
                <w:rFonts w:hint="eastAsia" w:ascii="宋体" w:hAnsi="宋体" w:eastAsia="宋体" w:cs="宋体"/>
                <w:color w:val="000000"/>
                <w:sz w:val="21"/>
                <w:szCs w:val="21"/>
                <w:shd w:val="clear" w:color="auto" w:fill="ffffff"/>
                <w:lang w:val="en-US" w:eastAsia="zh-CN"/>
              </w:rPr>
              <w:t xml:space="preserve">1</w:t>
            </w:r>
            <w:r>
              <w:rPr>
                <w:rFonts w:hint="eastAsia" w:ascii="宋体" w:hAnsi="宋体" w:eastAsia="宋体" w:cs="宋体"/>
                <w:color w:val="000000"/>
                <w:sz w:val="21"/>
                <w:szCs w:val="21"/>
                <w:shd w:val="clear" w:color="auto" w:fill="ffffff"/>
              </w:rPr>
              <w:t xml:space="preserve">分；针对性欠缺得</w:t>
            </w:r>
            <w:r>
              <w:rPr>
                <w:rFonts w:hint="eastAsia" w:ascii="宋体" w:hAnsi="宋体" w:eastAsia="宋体" w:cs="宋体"/>
                <w:color w:val="000000"/>
                <w:sz w:val="21"/>
                <w:szCs w:val="21"/>
                <w:shd w:val="clear" w:color="auto" w:fill="ffffff"/>
                <w:lang w:val="en-US" w:eastAsia="zh-CN"/>
              </w:rPr>
              <w:t xml:space="preserve">0.5</w:t>
            </w:r>
            <w:r>
              <w:rPr>
                <w:rFonts w:hint="eastAsia" w:ascii="宋体" w:hAnsi="宋体" w:eastAsia="宋体" w:cs="宋体"/>
                <w:color w:val="000000"/>
                <w:sz w:val="21"/>
                <w:szCs w:val="21"/>
                <w:shd w:val="clear" w:color="auto" w:fill="ffffff"/>
              </w:rPr>
              <w:t xml:space="preserve">分。</w:t>
            </w:r>
            <w:r/>
          </w:p>
          <w:p>
            <w:pPr>
              <w:pStyle w:val="747"/>
              <w:numPr>
                <w:ilvl w:val="0"/>
                <w:numId w:val="0"/>
              </w:numPr>
              <w:ind w:right="1440"/>
              <w:shd w:val="clear" w:color="auto" w:fill="auto"/>
              <w:rPr>
                <w:color w:val="000000"/>
                <w:highlight w:val="none"/>
              </w:rPr>
            </w:pPr>
            <w:r>
              <w:rPr>
                <w:rFonts w:hint="eastAsia" w:ascii="宋体" w:hAnsi="宋体" w:eastAsia="宋体" w:cs="宋体"/>
                <w:color w:val="000000"/>
                <w:sz w:val="21"/>
                <w:szCs w:val="21"/>
                <w:shd w:val="clear" w:color="auto" w:fill="ffffff"/>
              </w:rPr>
              <w:t xml:space="preserve">未提供的得0分，本项最高得</w:t>
            </w:r>
            <w:r>
              <w:rPr>
                <w:rFonts w:hint="eastAsia" w:ascii="宋体" w:hAnsi="宋体" w:eastAsia="宋体" w:cs="宋体"/>
                <w:color w:val="000000"/>
                <w:sz w:val="21"/>
                <w:szCs w:val="21"/>
                <w:shd w:val="clear" w:color="auto" w:fill="ffffff"/>
                <w:lang w:val="en-US" w:eastAsia="zh-CN"/>
              </w:rPr>
              <w:t xml:space="preserve">10</w:t>
            </w:r>
            <w:r>
              <w:rPr>
                <w:rFonts w:hint="eastAsia" w:ascii="宋体" w:hAnsi="宋体" w:eastAsia="宋体" w:cs="宋体"/>
                <w:color w:val="000000"/>
                <w:sz w:val="21"/>
                <w:szCs w:val="21"/>
                <w:shd w:val="clear" w:color="auto" w:fill="ffffff"/>
              </w:rPr>
              <w:t xml:space="preserve">分，最低得0分。</w:t>
            </w:r>
            <w:r/>
          </w:p>
        </w:tc>
      </w:tr>
      <w:tr>
        <w:trPr>
          <w:cantSplit/>
          <w:trHeight w:val="1424"/>
        </w:trPr>
        <w:tc>
          <w:tcPr>
            <w:tcW w:w="1137" w:type="dxa"/>
            <w:vAlign w:val="center"/>
            <w:vMerge w:val="continue"/>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485" w:type="dxa"/>
            <w:vAlign w:val="center"/>
            <w:textDirection w:val="lrTb"/>
            <w:noWrap w:val="false"/>
          </w:tcPr>
          <w:p>
            <w:pPr>
              <w:spacing w:line="360" w:lineRule="auto"/>
              <w:shd w:val="clear" w:color="auto" w:fill="auto"/>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人员配备方案（</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p>
        </w:tc>
        <w:tc>
          <w:tcPr>
            <w:tcW w:w="7518" w:type="dxa"/>
            <w:vAlign w:val="center"/>
            <w:textDirection w:val="lrTb"/>
            <w:noWrap w:val="false"/>
          </w:tcPr>
          <w:p>
            <w:pPr>
              <w:numPr>
                <w:ilvl w:val="0"/>
                <w:numId w:val="0"/>
              </w:numPr>
              <w:ind w:left="0" w:right="0" w:firstLine="0"/>
              <w:keepLines w:val="0"/>
              <w:keepNext w:val="0"/>
              <w:pageBreakBefore w:val="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投标人配置</w:t>
            </w:r>
            <w:r>
              <w:rPr>
                <w:rFonts w:hint="eastAsia" w:ascii="宋体" w:hAnsi="宋体" w:eastAsia="宋体" w:cs="宋体"/>
                <w:color w:val="000000"/>
                <w:sz w:val="21"/>
                <w:szCs w:val="21"/>
                <w:highlight w:val="none"/>
                <w:lang w:eastAsia="zh-CN"/>
              </w:rPr>
              <w:t xml:space="preserve">项目经理一名，</w:t>
            </w:r>
            <w:r>
              <w:rPr>
                <w:rFonts w:hint="eastAsia" w:ascii="宋体" w:hAnsi="宋体" w:eastAsia="宋体" w:cs="宋体"/>
                <w:color w:val="000000"/>
                <w:sz w:val="21"/>
                <w:szCs w:val="21"/>
                <w:highlight w:val="none"/>
              </w:rPr>
              <w:t xml:space="preserve">具备</w:t>
            </w:r>
            <w:r>
              <w:rPr>
                <w:rFonts w:hint="eastAsia" w:ascii="宋体" w:hAnsi="宋体" w:eastAsia="宋体" w:cs="宋体"/>
                <w:color w:val="000000"/>
                <w:sz w:val="21"/>
                <w:szCs w:val="21"/>
                <w:highlight w:val="none"/>
                <w:lang w:val="en-US" w:eastAsia="zh-CN"/>
              </w:rPr>
              <w:t xml:space="preserve">高级网络工程师证书</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numPr>
                <w:ilvl w:val="0"/>
                <w:numId w:val="0"/>
              </w:numPr>
              <w:ind w:left="0" w:right="0" w:firstLine="0"/>
              <w:keepLines w:val="0"/>
              <w:keepNext w:val="0"/>
              <w:pageBreakBefore w:val="0"/>
              <w:spacing w:line="360" w:lineRule="auto"/>
              <w:shd w:val="clear" w:color="auto" w:fill="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投标人</w:t>
            </w:r>
            <w:r>
              <w:rPr>
                <w:rFonts w:hint="eastAsia" w:ascii="宋体" w:hAnsi="宋体" w:cs="宋体"/>
                <w:color w:val="000000"/>
                <w:sz w:val="21"/>
                <w:szCs w:val="21"/>
                <w:highlight w:val="none"/>
                <w:lang w:val="en-US" w:eastAsia="zh-CN"/>
              </w:rPr>
              <w:t xml:space="preserve">在基础配置上增加内场专职技术支撑人员，要求整体素质高、专业，（投标人提供承诺函，格式自拟）</w:t>
            </w:r>
            <w:r>
              <w:rPr>
                <w:rFonts w:hint="eastAsia" w:ascii="宋体" w:hAnsi="宋体" w:eastAsia="宋体" w:cs="宋体"/>
                <w:color w:val="000000"/>
                <w:sz w:val="21"/>
                <w:szCs w:val="21"/>
                <w:highlight w:val="none"/>
                <w:lang w:val="en-US" w:eastAsia="zh-CN" w:bidi="ar-SA"/>
              </w:rPr>
              <w:t xml:space="preserve">每</w:t>
            </w:r>
            <w:r>
              <w:rPr>
                <w:rFonts w:hint="eastAsia" w:ascii="宋体" w:hAnsi="宋体" w:cs="宋体"/>
                <w:color w:val="000000"/>
                <w:sz w:val="21"/>
                <w:szCs w:val="21"/>
                <w:highlight w:val="none"/>
                <w:lang w:val="en-US" w:eastAsia="zh-CN" w:bidi="ar-SA"/>
              </w:rPr>
              <w:t xml:space="preserve">增加一人</w:t>
            </w:r>
            <w:r>
              <w:rPr>
                <w:rFonts w:hint="eastAsia" w:ascii="宋体" w:hAnsi="宋体" w:eastAsia="宋体" w:cs="宋体"/>
                <w:color w:val="000000"/>
                <w:sz w:val="21"/>
                <w:szCs w:val="21"/>
                <w:highlight w:val="none"/>
                <w:lang w:val="en-US" w:eastAsia="zh-CN" w:bidi="ar-SA"/>
              </w:rPr>
              <w:t xml:space="preserve">得1分，</w:t>
            </w:r>
            <w:r>
              <w:rPr>
                <w:rFonts w:hint="eastAsia" w:ascii="宋体" w:hAnsi="宋体" w:cs="宋体"/>
                <w:color w:val="000000"/>
                <w:sz w:val="21"/>
                <w:szCs w:val="21"/>
                <w:highlight w:val="none"/>
                <w:lang w:val="en-US" w:eastAsia="zh-CN" w:bidi="ar-SA"/>
              </w:rPr>
              <w:t xml:space="preserve">最高得</w:t>
            </w:r>
            <w:r>
              <w:rPr>
                <w:rFonts w:hint="eastAsia" w:ascii="宋体" w:hAnsi="宋体" w:eastAsia="宋体" w:cs="宋体"/>
                <w:color w:val="000000"/>
                <w:sz w:val="21"/>
                <w:szCs w:val="21"/>
                <w:highlight w:val="none"/>
                <w:lang w:val="en-US" w:eastAsia="zh-CN" w:bidi="ar-SA"/>
              </w:rPr>
              <w:t xml:space="preserve">2分</w:t>
            </w:r>
            <w:r>
              <w:rPr>
                <w:rFonts w:hint="eastAsia" w:ascii="宋体" w:hAnsi="宋体" w:cs="宋体"/>
                <w:color w:val="000000"/>
                <w:sz w:val="21"/>
                <w:szCs w:val="21"/>
                <w:highlight w:val="none"/>
                <w:lang w:val="en-US" w:eastAsia="zh-CN"/>
              </w:rPr>
              <w:t xml:space="preserve">。</w:t>
            </w:r>
            <w:r/>
          </w:p>
          <w:p>
            <w:pPr>
              <w:spacing w:line="360" w:lineRule="auto"/>
              <w:shd w:val="clear" w:color="auto" w:fill="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注：</w:t>
            </w:r>
            <w:r>
              <w:rPr>
                <w:rFonts w:hint="eastAsia" w:ascii="宋体" w:hAnsi="宋体" w:cs="宋体"/>
                <w:b/>
                <w:bCs/>
                <w:color w:val="000000"/>
                <w:sz w:val="21"/>
                <w:szCs w:val="21"/>
                <w:highlight w:val="none"/>
                <w:lang w:val="en-US" w:eastAsia="zh-CN"/>
              </w:rPr>
              <w:t xml:space="preserve">以上人员</w:t>
            </w:r>
            <w:r>
              <w:rPr>
                <w:rFonts w:hint="eastAsia" w:ascii="宋体" w:hAnsi="宋体" w:cs="宋体"/>
                <w:b/>
                <w:bCs/>
                <w:color w:val="000000"/>
                <w:sz w:val="21"/>
                <w:szCs w:val="21"/>
                <w:highlight w:val="none"/>
              </w:rPr>
              <w:t xml:space="preserve">必须为投标人单位员工，提供相关证书以及开标前六个月内连续三个月（不含开标当月）由政府主管部门出具的由本单位缴纳的社保证明。（需提供有效证书扫描件</w:t>
            </w:r>
            <w:r>
              <w:rPr>
                <w:rFonts w:hint="eastAsia" w:ascii="宋体" w:hAnsi="宋体" w:cs="宋体"/>
                <w:b/>
                <w:bCs/>
                <w:color w:val="000000"/>
                <w:sz w:val="21"/>
                <w:szCs w:val="21"/>
                <w:highlight w:val="none"/>
                <w:lang w:val="zh-CN"/>
              </w:rPr>
              <w:t xml:space="preserve">加盖公章</w:t>
            </w:r>
            <w:r>
              <w:rPr>
                <w:rFonts w:hint="eastAsia" w:ascii="宋体" w:hAnsi="宋体" w:cs="宋体"/>
                <w:b/>
                <w:bCs/>
                <w:color w:val="000000"/>
                <w:sz w:val="21"/>
                <w:szCs w:val="21"/>
                <w:highlight w:val="none"/>
              </w:rPr>
              <w:t xml:space="preserve">）</w:t>
            </w:r>
            <w:r/>
          </w:p>
        </w:tc>
      </w:tr>
      <w:tr>
        <w:trPr>
          <w:cantSplit/>
          <w:trHeight w:val="1987"/>
        </w:trPr>
        <w:tc>
          <w:tcPr>
            <w:tcW w:w="1137" w:type="dxa"/>
            <w:vAlign w:val="center"/>
            <w:vMerge w:val="continue"/>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485" w:type="dxa"/>
            <w:vAlign w:val="center"/>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售后服务方案（6分）</w:t>
            </w:r>
            <w:r/>
          </w:p>
        </w:tc>
        <w:tc>
          <w:tcPr>
            <w:tcW w:w="7518" w:type="dxa"/>
            <w:vAlign w:val="center"/>
            <w:textDirection w:val="lrTb"/>
            <w:noWrap w:val="false"/>
          </w:tcPr>
          <w:p>
            <w:pPr>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投标人应提供完善的售后服务方案，包括但不限于售后服务承诺、质保服务年限、服务计划、服务内容、服务响应时间、流程，现场服务支持能力等，对售后服务方案科学合理性进行综合评比。</w:t>
            </w:r>
            <w:r/>
          </w:p>
          <w:p>
            <w:pPr>
              <w:pStyle w:val="785"/>
              <w:ind w:left="0" w:right="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对该方案内容的全面性、可行性、针对性进行评价。</w:t>
            </w:r>
            <w:r/>
          </w:p>
          <w:p>
            <w:pPr>
              <w:pStyle w:val="785"/>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内容的全面性（2分）：全面具体详实得2分；全面性一般得1.5分；全面性较差的得1分；存在较大漏项或缺陷得0.5分；</w:t>
            </w:r>
            <w:r/>
          </w:p>
          <w:p>
            <w:pPr>
              <w:pStyle w:val="785"/>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内容的可行性（2分）：切实可行得2分；可行性一般得1.5分；可行性较差的得1分；可行性欠缺得0.5分。</w:t>
            </w:r>
            <w:r/>
          </w:p>
          <w:p>
            <w:pPr>
              <w:pStyle w:val="785"/>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内容的针对性（2分）：针对性强得2分；针对性一般得1.5分；针对性较差的得1分；针对性欠缺得0.5分。</w:t>
            </w:r>
            <w:r/>
          </w:p>
          <w:p>
            <w:pPr>
              <w:pStyle w:val="785"/>
              <w:keepLines w:val="0"/>
              <w:keepNext w:val="0"/>
              <w:spacing w:before="0" w:beforeAutospacing="0" w:after="0" w:afterAutospacing="0"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未提供的得0分，本项最高得</w:t>
            </w:r>
            <w:r>
              <w:rPr>
                <w:rFonts w:hint="eastAsia" w:ascii="宋体" w:hAnsi="宋体" w:eastAsia="宋体" w:cs="宋体"/>
                <w:color w:val="000000"/>
                <w:sz w:val="20"/>
                <w:szCs w:val="20"/>
                <w:shd w:val="clear" w:color="auto" w:fill="ffffff"/>
              </w:rPr>
              <w:t xml:space="preserve">6</w:t>
            </w:r>
            <w:r>
              <w:rPr>
                <w:rFonts w:hint="eastAsia" w:ascii="宋体" w:hAnsi="宋体" w:eastAsia="宋体" w:cs="宋体"/>
                <w:color w:val="000000"/>
                <w:sz w:val="21"/>
                <w:szCs w:val="21"/>
                <w:shd w:val="clear" w:color="auto" w:fill="ffffff"/>
              </w:rPr>
              <w:t xml:space="preserve">分，最低得0分。</w:t>
            </w:r>
            <w:r/>
          </w:p>
        </w:tc>
      </w:tr>
      <w:tr>
        <w:trPr>
          <w:cantSplit/>
          <w:trHeight w:val="561"/>
        </w:trPr>
        <w:tc>
          <w:tcPr>
            <w:tcW w:w="1137" w:type="dxa"/>
            <w:vAlign w:val="center"/>
            <w:vMerge w:val="continue"/>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485" w:type="dxa"/>
            <w:vAlign w:val="center"/>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保障服务方案（</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w:t>
            </w:r>
            <w:r/>
          </w:p>
        </w:tc>
        <w:tc>
          <w:tcPr>
            <w:tcW w:w="7518" w:type="dxa"/>
            <w:vAlign w:val="center"/>
            <w:textDirection w:val="lrTb"/>
            <w:noWrap w:val="false"/>
          </w:tcPr>
          <w:p>
            <w:pPr>
              <w:numPr>
                <w:ilvl w:val="0"/>
                <w:numId w:val="0"/>
              </w:numPr>
              <w:ind w:left="0" w:right="0" w:firstLine="0"/>
              <w:keepLines w:val="0"/>
              <w:keepNext w:val="0"/>
              <w:pageBreakBefore w:val="0"/>
              <w:spacing w:line="360" w:lineRule="auto"/>
              <w:shd w:val="clear" w:color="auto" w:fill="auto"/>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lang w:val="en-US" w:eastAsia="zh-CN" w:bidi="ar-SA"/>
              </w:rPr>
              <w:t xml:space="preserve">1、</w:t>
            </w:r>
            <w:r>
              <w:rPr>
                <w:rFonts w:hint="eastAsia" w:ascii="宋体" w:hAnsi="宋体" w:cs="宋体"/>
                <w:color w:val="000000"/>
                <w:sz w:val="21"/>
                <w:szCs w:val="21"/>
                <w:highlight w:val="none"/>
                <w:lang w:val="en-US" w:eastAsia="zh-CN"/>
              </w:rPr>
              <w:t xml:space="preserve">投标人对本项目的实施提供稳定、可行的</w:t>
            </w:r>
            <w:r>
              <w:rPr>
                <w:rFonts w:hint="eastAsia" w:ascii="宋体" w:hAnsi="宋体" w:cs="宋体"/>
                <w:color w:val="000000"/>
                <w:sz w:val="21"/>
                <w:szCs w:val="21"/>
                <w:highlight w:val="none"/>
              </w:rPr>
              <w:t xml:space="preserve">应急方案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内容完整、针对性强、科学合理可行、表述详细</w:t>
            </w:r>
            <w:r>
              <w:rPr>
                <w:rFonts w:hint="eastAsia" w:ascii="宋体" w:hAnsi="宋体" w:cs="宋体"/>
                <w:color w:val="000000"/>
                <w:sz w:val="21"/>
                <w:szCs w:val="21"/>
                <w:highlight w:val="none"/>
                <w:lang w:eastAsia="zh-CN"/>
              </w:rPr>
              <w:t xml:space="preserve">得</w:t>
            </w:r>
            <w:r>
              <w:rPr>
                <w:rFonts w:hint="eastAsia" w:ascii="宋体" w:hAnsi="宋体" w:cs="宋体"/>
                <w:color w:val="000000"/>
                <w:sz w:val="21"/>
                <w:szCs w:val="21"/>
                <w:highlight w:val="none"/>
                <w:lang w:val="en-US" w:eastAsia="zh-CN"/>
              </w:rPr>
              <w:t xml:space="preserve">4分，内容一般得2分，内容不完整的得1分；</w:t>
            </w:r>
            <w:r/>
          </w:p>
          <w:p>
            <w:pPr>
              <w:numPr>
                <w:ilvl w:val="0"/>
                <w:numId w:val="2"/>
              </w:numPr>
              <w:spacing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投标人自有高空作业车辆，提供车辆所有人与投标人名称一致的车辆年检合格的行驶证、交强险保单的复印件，每有一辆得1分，最高得4分。</w:t>
            </w:r>
            <w:r/>
          </w:p>
          <w:p>
            <w:pPr>
              <w:pStyle w:val="794"/>
              <w:numPr>
                <w:ilvl w:val="0"/>
                <w:numId w:val="0"/>
              </w:numPr>
              <w:shd w:val="clear" w:color="auto" w:fill="auto"/>
              <w:rPr>
                <w:color w:val="000000"/>
                <w:highlight w:val="none"/>
              </w:rPr>
            </w:pPr>
            <w:r>
              <w:rPr>
                <w:rFonts w:hint="eastAsia" w:ascii="宋体" w:hAnsi="宋体" w:cs="宋体"/>
                <w:color w:val="000000"/>
                <w:sz w:val="21"/>
                <w:szCs w:val="21"/>
                <w:highlight w:val="none"/>
              </w:rPr>
              <w:t xml:space="preserve">未提供的得0分，本项最高得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分，最低得0分。</w:t>
            </w:r>
            <w:r/>
          </w:p>
        </w:tc>
      </w:tr>
      <w:tr>
        <w:trPr>
          <w:cantSplit/>
          <w:trHeight w:val="1801"/>
        </w:trPr>
        <w:tc>
          <w:tcPr>
            <w:tcW w:w="1137" w:type="dxa"/>
            <w:vAlign w:val="center"/>
            <w:vMerge w:val="continue"/>
            <w:textDirection w:val="lrTb"/>
            <w:noWrap w:val="false"/>
          </w:tcPr>
          <w:p>
            <w:pPr>
              <w:pStyle w:val="746"/>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485" w:type="dxa"/>
            <w:vAlign w:val="center"/>
            <w:textDirection w:val="lrTb"/>
            <w:noWrap w:val="false"/>
          </w:tcPr>
          <w:p>
            <w:pPr>
              <w:numPr>
                <w:ilvl w:val="0"/>
                <w:numId w:val="0"/>
              </w:numPr>
              <w:ind w:left="0" w:right="0" w:firstLine="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培训方案（4分）</w:t>
            </w:r>
            <w:r/>
          </w:p>
        </w:tc>
        <w:tc>
          <w:tcPr>
            <w:tcW w:w="7518" w:type="dxa"/>
            <w:vAlign w:val="center"/>
            <w:textDirection w:val="lrTb"/>
            <w:noWrap w:val="false"/>
          </w:tcPr>
          <w:p>
            <w:pPr>
              <w:numPr>
                <w:ilvl w:val="0"/>
                <w:numId w:val="0"/>
              </w:numPr>
              <w:ind w:right="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根据供应商提供的培训方案进行综合评价：</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提供的培训方案详细、全面，完全满足要求得4分；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提供的培训方案较详细，较为满足要求得3分；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提供的培训方案简单，基本满足要求得2分；</w:t>
            </w:r>
            <w:r/>
          </w:p>
          <w:p>
            <w:pPr>
              <w:numPr>
                <w:ilvl w:val="0"/>
                <w:numId w:val="0"/>
              </w:numPr>
              <w:ind w:right="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提供的培训方案较差，不完整、存在漏项的得1分；</w:t>
            </w:r>
            <w:r/>
          </w:p>
          <w:p>
            <w:pPr>
              <w:numPr>
                <w:ilvl w:val="0"/>
                <w:numId w:val="0"/>
              </w:numPr>
              <w:ind w:right="0"/>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未提供的得0分，本项最高得4分，最低得0分。</w:t>
            </w:r>
            <w:r/>
          </w:p>
        </w:tc>
      </w:tr>
    </w:tbl>
    <w:p>
      <w:pPr>
        <w:pStyle w:val="861"/>
        <w:jc w:val="center"/>
        <w:shd w:val="clear" w:color="auto" w:fill="auto"/>
        <w:rPr>
          <w:rFonts w:hAnsi="宋体" w:eastAsia="宋体" w:cs="宋体"/>
          <w:color w:val="000000"/>
          <w:sz w:val="24"/>
          <w:szCs w:val="24"/>
          <w:highlight w:val="none"/>
        </w:rPr>
      </w:pPr>
      <w:r>
        <w:rPr>
          <w:rFonts w:hAnsi="宋体" w:eastAsia="宋体" w:cs="宋体"/>
          <w:color w:val="000000"/>
          <w:sz w:val="24"/>
          <w:szCs w:val="24"/>
          <w:highlight w:val="none"/>
        </w:rPr>
      </w:r>
      <w:r/>
    </w:p>
    <w:p>
      <w:pPr>
        <w:pStyle w:val="746"/>
        <w:ind w:firstLine="281"/>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注：1、本项目采用综合评分法。2、评分结果精确到小数点后两位。</w:t>
      </w:r>
      <w:r/>
    </w:p>
    <w:p>
      <w:pPr>
        <w:pStyle w:val="746"/>
        <w:jc w:val="center"/>
        <w:spacing w:line="360" w:lineRule="auto"/>
        <w:shd w:val="clear" w:color="auto" w:fill="auto"/>
        <w:rPr>
          <w:rFonts w:ascii="宋体" w:hAnsi="宋体" w:cs="宋体"/>
          <w:b/>
          <w:bCs/>
          <w:color w:val="000000"/>
          <w:sz w:val="28"/>
          <w:szCs w:val="28"/>
          <w:highlight w:val="none"/>
        </w:rPr>
      </w:pPr>
      <w:r/>
      <w:bookmarkStart w:id="7" w:name="_Toc13862"/>
      <w:r>
        <w:rPr>
          <w:rFonts w:hint="eastAsia" w:ascii="宋体" w:hAnsi="宋体" w:cs="宋体"/>
          <w:color w:val="000000"/>
          <w:sz w:val="28"/>
          <w:szCs w:val="28"/>
          <w:highlight w:val="none"/>
        </w:rPr>
        <w:br w:type="page" w:clear="all"/>
      </w:r>
      <w:bookmarkEnd w:id="6"/>
      <w:r/>
      <w:bookmarkEnd w:id="7"/>
      <w:r/>
      <w:bookmarkStart w:id="8" w:name="_Toc522790136"/>
      <w:r/>
      <w:bookmarkStart w:id="9" w:name="_Toc7211"/>
      <w:r>
        <w:rPr>
          <w:rFonts w:hint="eastAsia" w:ascii="宋体" w:hAnsi="宋体" w:cs="宋体"/>
          <w:b/>
          <w:bCs/>
          <w:color w:val="000000"/>
          <w:sz w:val="28"/>
          <w:szCs w:val="28"/>
          <w:highlight w:val="none"/>
        </w:rPr>
        <w:t xml:space="preserve">第五章  拟签订的合同文本</w:t>
      </w:r>
      <w:r/>
    </w:p>
    <w:p>
      <w:pPr>
        <w:pStyle w:val="758"/>
        <w:spacing w:before="210" w:after="120"/>
        <w:shd w:val="clear" w:color="auto" w:fill="auto"/>
        <w:rPr>
          <w:rFonts w:hint="eastAsia" w:ascii="宋体" w:hAnsi="宋体" w:eastAsia="宋体" w:cs="宋体"/>
          <w:color w:val="000000"/>
          <w:sz w:val="24"/>
          <w:highlight w:val="none"/>
          <w:lang w:eastAsia="zh-CN"/>
        </w:rPr>
      </w:pPr>
      <w:r/>
      <w:bookmarkStart w:id="10" w:name="_Toc32499"/>
      <w:r/>
      <w:bookmarkStart w:id="11" w:name="_Toc522790135"/>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徐州市公安局铜山分局2026年视频监控维保项目</w:t>
      </w:r>
      <w:r/>
    </w:p>
    <w:p>
      <w:pPr>
        <w:pStyle w:val="758"/>
        <w:spacing w:before="210" w:after="120"/>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JSZC-320312-HZGC-G2026-0005</w:t>
      </w:r>
      <w:r/>
    </w:p>
    <w:p>
      <w:pPr>
        <w:pStyle w:val="758"/>
        <w:jc w:val="center"/>
        <w:spacing w:before="210" w:after="120"/>
        <w:shd w:val="clear" w:color="auto" w:fill="auto"/>
        <w:rPr>
          <w:rFonts w:ascii="宋体" w:hAnsi="宋体" w:eastAsia="宋体" w:cs="宋体"/>
          <w:b/>
          <w:color w:val="000000"/>
          <w:sz w:val="72"/>
          <w:szCs w:val="72"/>
          <w:highlight w:val="none"/>
          <w:lang w:bidi="en-US"/>
        </w:rPr>
      </w:pPr>
      <w:r>
        <w:rPr>
          <w:rFonts w:ascii="宋体" w:hAnsi="宋体" w:eastAsia="宋体" w:cs="宋体"/>
          <w:b/>
          <w:color w:val="000000"/>
          <w:sz w:val="72"/>
          <w:szCs w:val="72"/>
          <w:highlight w:val="none"/>
          <w:lang w:bidi="en-US"/>
        </w:rPr>
      </w:r>
      <w:r/>
    </w:p>
    <w:p>
      <w:pPr>
        <w:pStyle w:val="758"/>
        <w:jc w:val="center"/>
        <w:spacing w:before="210" w:after="120"/>
        <w:shd w:val="clear" w:color="auto" w:fill="auto"/>
        <w:rPr>
          <w:rFonts w:ascii="宋体" w:hAnsi="宋体" w:eastAsia="宋体" w:cs="宋体"/>
          <w:b/>
          <w:color w:val="000000"/>
          <w:sz w:val="72"/>
          <w:szCs w:val="72"/>
          <w:highlight w:val="none"/>
          <w:lang w:bidi="en-US"/>
        </w:rPr>
      </w:pPr>
      <w:r>
        <w:rPr>
          <w:rFonts w:ascii="宋体" w:hAnsi="宋体" w:eastAsia="宋体" w:cs="宋体"/>
          <w:b/>
          <w:color w:val="000000"/>
          <w:sz w:val="72"/>
          <w:szCs w:val="72"/>
          <w:highlight w:val="none"/>
          <w:lang w:bidi="en-US"/>
        </w:rPr>
      </w:r>
      <w:r/>
    </w:p>
    <w:p>
      <w:pPr>
        <w:pStyle w:val="758"/>
        <w:jc w:val="center"/>
        <w:spacing w:before="210" w:after="120"/>
        <w:shd w:val="clear" w:color="auto" w:fill="auto"/>
        <w:rPr>
          <w:rFonts w:ascii="宋体" w:hAnsi="宋体" w:eastAsia="宋体" w:cs="宋体"/>
          <w:b/>
          <w:color w:val="000000"/>
          <w:sz w:val="72"/>
          <w:szCs w:val="72"/>
          <w:highlight w:val="none"/>
          <w:lang w:bidi="en-US"/>
        </w:rPr>
      </w:pPr>
      <w:r>
        <w:rPr>
          <w:rFonts w:ascii="宋体" w:hAnsi="宋体" w:eastAsia="宋体" w:cs="宋体"/>
          <w:b/>
          <w:color w:val="000000"/>
          <w:sz w:val="72"/>
          <w:szCs w:val="72"/>
          <w:highlight w:val="none"/>
          <w:lang w:bidi="en-US"/>
        </w:rPr>
      </w:r>
      <w:r/>
    </w:p>
    <w:p>
      <w:pPr>
        <w:pStyle w:val="758"/>
        <w:jc w:val="center"/>
        <w:spacing w:before="210" w:after="120"/>
        <w:shd w:val="clear" w:color="auto" w:fill="auto"/>
        <w:rPr>
          <w:rFonts w:ascii="宋体" w:hAnsi="宋体" w:eastAsia="宋体" w:cs="宋体"/>
          <w:color w:val="000000"/>
          <w:sz w:val="24"/>
          <w:highlight w:val="none"/>
        </w:rPr>
      </w:pPr>
      <w:r>
        <w:rPr>
          <w:rFonts w:hint="eastAsia" w:ascii="宋体" w:hAnsi="宋体" w:eastAsia="宋体" w:cs="宋体"/>
          <w:b/>
          <w:color w:val="000000"/>
          <w:sz w:val="72"/>
          <w:szCs w:val="72"/>
          <w:highlight w:val="none"/>
          <w:lang w:bidi="en-US"/>
        </w:rPr>
        <w:t xml:space="preserve">政 府 采 购 合 同</w:t>
      </w:r>
      <w:r/>
    </w:p>
    <w:p>
      <w:pPr>
        <w:pStyle w:val="758"/>
        <w:spacing w:before="210" w:after="120"/>
        <w:shd w:val="clear" w:color="auto" w:fill="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 </w:t>
      </w:r>
      <w:r/>
    </w:p>
    <w:p>
      <w:pPr>
        <w:pStyle w:val="758"/>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58"/>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58"/>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58"/>
        <w:spacing w:before="210" w:after="120"/>
        <w:shd w:val="clear" w:color="auto" w:fill="auto"/>
        <w:rPr>
          <w:rFonts w:ascii="宋体" w:hAnsi="宋体" w:eastAsia="宋体" w:cs="宋体"/>
          <w:color w:val="000000"/>
          <w:sz w:val="22"/>
          <w:highlight w:val="none"/>
        </w:rPr>
      </w:pPr>
      <w:r>
        <w:rPr>
          <w:rFonts w:ascii="宋体" w:hAnsi="宋体" w:eastAsia="宋体" w:cs="宋体"/>
          <w:color w:val="000000"/>
          <w:sz w:val="22"/>
          <w:highlight w:val="none"/>
        </w:rPr>
      </w:r>
      <w:r/>
    </w:p>
    <w:p>
      <w:pPr>
        <w:pStyle w:val="758"/>
        <w:spacing w:before="210" w:after="120"/>
        <w:shd w:val="clear" w:color="auto" w:fill="auto"/>
        <w:rPr>
          <w:rFonts w:ascii="宋体" w:hAnsi="宋体" w:eastAsia="宋体" w:cs="宋体"/>
          <w:color w:val="000000"/>
          <w:sz w:val="24"/>
          <w:highlight w:val="none"/>
        </w:rPr>
      </w:pPr>
      <w:r>
        <w:rPr>
          <w:rFonts w:hint="eastAsia" w:ascii="宋体" w:hAnsi="宋体" w:eastAsia="宋体" w:cs="宋体"/>
          <w:color w:val="000000"/>
          <w:sz w:val="22"/>
          <w:highlight w:val="none"/>
        </w:rPr>
        <w:t xml:space="preserve"> </w:t>
      </w:r>
      <w:r/>
    </w:p>
    <w:p>
      <w:pPr>
        <w:pStyle w:val="758"/>
        <w:spacing w:before="210" w:after="120" w:line="360" w:lineRule="auto"/>
        <w:shd w:val="clear" w:color="auto" w:fill="auto"/>
        <w:rPr>
          <w:rFonts w:hint="eastAsia" w:ascii="宋体" w:hAnsi="宋体" w:eastAsia="宋体" w:cs="宋体"/>
          <w:color w:val="000000"/>
          <w:sz w:val="24"/>
          <w:highlight w:val="none"/>
          <w:lang w:eastAsia="zh-CN" w:bidi="ar-SA"/>
        </w:rPr>
      </w:pPr>
      <w:r>
        <w:rPr>
          <w:rFonts w:hint="eastAsia" w:ascii="宋体" w:hAnsi="宋体" w:eastAsia="宋体" w:cs="宋体"/>
          <w:color w:val="000000"/>
          <w:sz w:val="24"/>
          <w:highlight w:val="none"/>
          <w:lang w:bidi="ar-SA"/>
        </w:rPr>
        <w:t xml:space="preserve">采  购  人：</w:t>
      </w:r>
      <w:r>
        <w:rPr>
          <w:rFonts w:hint="eastAsia" w:ascii="宋体" w:hAnsi="宋体" w:eastAsia="宋体" w:cs="宋体"/>
          <w:color w:val="000000"/>
          <w:sz w:val="24"/>
          <w:highlight w:val="none"/>
          <w:lang w:eastAsia="zh-CN" w:bidi="ar-SA"/>
        </w:rPr>
        <w:t xml:space="preserve">徐州市公安局铜山分局</w:t>
      </w:r>
      <w:r/>
    </w:p>
    <w:p>
      <w:pPr>
        <w:pStyle w:val="758"/>
        <w:spacing w:before="210" w:after="120"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中  标</w:t>
      </w:r>
      <w:r>
        <w:rPr>
          <w:rFonts w:hint="eastAsia" w:ascii="宋体" w:hAnsi="宋体" w:eastAsia="宋体" w:cs="宋体"/>
          <w:color w:val="000000"/>
          <w:sz w:val="24"/>
          <w:highlight w:val="none"/>
          <w:lang w:val="en-US" w:eastAsia="zh-CN" w:bidi="ar-SA"/>
        </w:rPr>
        <w:t xml:space="preserve">  </w:t>
      </w:r>
      <w:r>
        <w:rPr>
          <w:rFonts w:hint="eastAsia" w:ascii="宋体" w:hAnsi="宋体" w:eastAsia="宋体" w:cs="宋体"/>
          <w:color w:val="000000"/>
          <w:sz w:val="24"/>
          <w:highlight w:val="none"/>
          <w:lang w:bidi="ar-SA"/>
        </w:rPr>
        <w:t xml:space="preserve"> 人：</w:t>
      </w:r>
      <w:r/>
    </w:p>
    <w:p>
      <w:pPr>
        <w:pStyle w:val="758"/>
        <w:spacing w:before="210" w:after="120"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合同签订日期： 年   月   日</w:t>
      </w:r>
      <w:r/>
    </w:p>
    <w:p>
      <w:pPr>
        <w:pStyle w:val="758"/>
        <w:ind w:firstLine="600"/>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友情提醒：采购人与中标人应当在中标通知书发出之日起三十日内，按照采购文件确定的事项签订政府采购合同。</w:t>
      </w:r>
      <w:r/>
    </w:p>
    <w:p>
      <w:pPr>
        <w:pStyle w:val="758"/>
        <w:ind w:firstLine="600"/>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采购人应当自政府采购合同签订之日起2个工作日内，将政府采购合同在省级以上人民政府财政部门指定的媒体上公告，但政府采购合同中涉及国家秘密、商业秘密的内容除外。</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甲方： </w:t>
      </w:r>
      <w:r>
        <w:rPr>
          <w:rFonts w:hint="eastAsia" w:ascii="宋体" w:hAnsi="宋体" w:cs="宋体"/>
          <w:color w:val="000000"/>
          <w:sz w:val="24"/>
          <w:highlight w:val="none"/>
          <w:lang w:eastAsia="zh-CN"/>
        </w:rPr>
        <w:t xml:space="preserve">徐州市公安局铜山分局</w:t>
      </w:r>
      <w:r>
        <w:rPr>
          <w:rFonts w:hint="eastAsia" w:ascii="宋体" w:hAnsi="宋体" w:cs="宋体"/>
          <w:color w:val="000000"/>
          <w:sz w:val="24"/>
          <w:highlight w:val="none"/>
        </w:rPr>
        <w:t xml:space="preserve">                                    </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w:t>
      </w:r>
      <w:r/>
    </w:p>
    <w:p>
      <w:pPr>
        <w:pStyle w:val="74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JSZC-320312-HZGC-G2026-0005</w:t>
      </w:r>
      <w:r/>
    </w:p>
    <w:p>
      <w:pPr>
        <w:pStyle w:val="746"/>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徐州市公安局铜山分局2026年视频监控维保项目</w:t>
      </w:r>
      <w:r/>
    </w:p>
    <w:p>
      <w:pPr>
        <w:pStyle w:val="747"/>
        <w:ind w:left="1470" w:right="1470" w:firstLine="480"/>
        <w:spacing w:after="0"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480"/>
        <w:spacing w:line="360" w:lineRule="auto"/>
        <w:shd w:val="clear" w:color="auto" w:fill="auto"/>
        <w:rPr>
          <w:rFonts w:ascii="宋体" w:hAnsi="宋体" w:cs="宋体"/>
          <w:color w:val="000000"/>
          <w:sz w:val="24"/>
          <w:highlight w:val="none"/>
          <w:lang w:eastAsia="zh-TW"/>
        </w:rPr>
      </w:pPr>
      <w:r>
        <w:rPr>
          <w:rFonts w:hint="eastAsia" w:ascii="宋体" w:hAnsi="宋体" w:cs="宋体"/>
          <w:color w:val="000000"/>
          <w:sz w:val="24"/>
          <w:highlight w:val="none"/>
        </w:rPr>
        <w:t xml:space="preserve">甲、乙双方根据《中华人民共和国政府采购法》及《中华人民共和国民法典》等相关法律、法规的规定，本着诚信和平等自愿的原则，经双方友好协商，就乙方为甲方提供</w:t>
      </w:r>
      <w:r>
        <w:rPr>
          <w:rFonts w:hint="eastAsia" w:ascii="宋体" w:hAnsi="宋体" w:cs="宋体"/>
          <w:color w:val="000000"/>
          <w:sz w:val="24"/>
          <w:highlight w:val="none"/>
          <w:u w:val="single"/>
          <w:lang w:eastAsia="zh-CN"/>
        </w:rPr>
        <w:t xml:space="preserve">徐州市公安局铜山分局2026年视频监控维保项目</w:t>
      </w:r>
      <w:r>
        <w:rPr>
          <w:rFonts w:hint="eastAsia" w:ascii="宋体" w:hAnsi="宋体" w:cs="宋体"/>
          <w:color w:val="000000"/>
          <w:sz w:val="24"/>
          <w:highlight w:val="none"/>
        </w:rPr>
        <w:t xml:space="preserve">，签订以下合同条款，共同遵守。</w:t>
      </w:r>
      <w:r>
        <w:rPr>
          <w:rFonts w:hint="eastAsia" w:ascii="宋体" w:hAnsi="宋体" w:cs="宋体"/>
          <w:color w:val="000000"/>
          <w:sz w:val="24"/>
          <w:highlight w:val="none"/>
          <w:lang w:eastAsia="zh-TW"/>
        </w:rPr>
        <w:t xml:space="preserve">                 </w:t>
      </w:r>
      <w:r/>
    </w:p>
    <w:p>
      <w:pPr>
        <w:pStyle w:val="1023"/>
        <w:numPr>
          <w:ilvl w:val="0"/>
          <w:numId w:val="3"/>
        </w:numP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维保服务内容、服务地点及采购需求</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维保服务内容:详见采购需求，具体见合同附件1。</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服务地点：甲方工作所在地。</w:t>
      </w:r>
      <w:r/>
    </w:p>
    <w:p>
      <w:pPr>
        <w:pStyle w:val="1023"/>
        <w:numPr>
          <w:ilvl w:val="0"/>
          <w:numId w:val="3"/>
        </w:numP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维保服务期限</w:t>
      </w:r>
      <w:r/>
    </w:p>
    <w:p>
      <w:pPr>
        <w:pStyle w:val="747"/>
        <w:ind w:left="0" w:right="-57" w:firstLine="480"/>
        <w:spacing w:after="0"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自合同签订生效之日起1年，具体时间以合同规定时间为准。</w:t>
      </w:r>
      <w:r/>
    </w:p>
    <w:p>
      <w:pPr>
        <w:pStyle w:val="1023"/>
        <w:numPr>
          <w:ilvl w:val="0"/>
          <w:numId w:val="3"/>
        </w:numP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价格</w:t>
      </w:r>
      <w:r/>
    </w:p>
    <w:p>
      <w:pPr>
        <w:pStyle w:val="746"/>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合同总价为￥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746"/>
        <w:ind w:firstLine="480"/>
        <w:spacing w:line="360" w:lineRule="auto"/>
        <w:shd w:val="clear" w:color="auto" w:fill="auto"/>
        <w:rPr>
          <w:rFonts w:ascii="宋体" w:hAnsi="宋体" w:cs="宋体"/>
          <w:color w:val="000000"/>
          <w:highlight w:val="none"/>
        </w:rPr>
      </w:pPr>
      <w:r>
        <w:rPr>
          <w:rFonts w:hint="eastAsia" w:ascii="宋体" w:hAnsi="宋体" w:cs="宋体"/>
          <w:color w:val="000000"/>
          <w:sz w:val="24"/>
          <w:highlight w:val="none"/>
          <w:lang w:val="zh-CN"/>
        </w:rPr>
        <w:t xml:space="preserve">本合同执行</w:t>
      </w:r>
      <w:r>
        <w:rPr>
          <w:rFonts w:hint="eastAsia" w:ascii="宋体" w:hAnsi="宋体" w:cs="宋体"/>
          <w:b/>
          <w:bCs/>
          <w:color w:val="000000"/>
          <w:sz w:val="24"/>
          <w:highlight w:val="none"/>
          <w:u w:val="single"/>
          <w:lang w:val="en-US" w:eastAsia="zh-CN"/>
        </w:rPr>
        <w:t xml:space="preserve">固定单价合同</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合同价款</w:t>
      </w:r>
      <w:r>
        <w:rPr>
          <w:rFonts w:hint="eastAsia" w:ascii="宋体" w:hAnsi="宋体" w:cs="宋体"/>
          <w:color w:val="000000"/>
          <w:sz w:val="24"/>
          <w:highlight w:val="none"/>
          <w:lang w:val="zh-CN"/>
        </w:rPr>
        <w:t xml:space="preserve">是完成本项目所发生的所有含税费用、支付给相关人员的工资和国家强制缴纳的各种社会保障资金</w:t>
      </w:r>
      <w:r>
        <w:rPr>
          <w:rFonts w:hint="eastAsia" w:ascii="宋体" w:hAnsi="宋体" w:cs="宋体"/>
          <w:color w:val="000000"/>
          <w:sz w:val="24"/>
          <w:highlight w:val="none"/>
        </w:rPr>
        <w:t xml:space="preserve">，以及乙方认为履行本项目需要的其他一切费用</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p>
    <w:p>
      <w:pPr>
        <w:ind w:firstLine="560"/>
        <w:spacing w:line="360" w:lineRule="auto"/>
        <w:shd w:val="clear" w:color="auto" w:fill="auto"/>
        <w:rPr>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第4条 支付</w:t>
      </w:r>
      <w:r/>
    </w:p>
    <w:p>
      <w:pPr>
        <w:ind w:firstLine="630"/>
        <w:jc w:val="both"/>
        <w:spacing w:line="360" w:lineRule="auto"/>
        <w:shd w:val="clear" w:color="auto" w:fill="auto"/>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4.1结算金额的计算方式</w:t>
      </w:r>
      <w:r/>
    </w:p>
    <w:p>
      <w:pPr>
        <w:spacing w:line="360" w:lineRule="auto"/>
        <w:shd w:val="clear" w:color="auto" w:fill="auto"/>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经双方协商一致，选择以下第</w:t>
      </w:r>
      <w:r>
        <w:rPr>
          <w:rFonts w:hint="eastAsia" w:ascii="宋体" w:hAnsi="宋体" w:cs="宋体"/>
          <w:color w:val="000000"/>
          <w:sz w:val="24"/>
          <w:szCs w:val="24"/>
          <w:highlight w:val="none"/>
          <w:u w:val="single"/>
          <w:lang w:val="en-US" w:eastAsia="zh-CN"/>
        </w:rPr>
        <w:t xml:space="preserve">二</w:t>
      </w:r>
      <w:r>
        <w:rPr>
          <w:rFonts w:ascii="宋体" w:hAnsi="宋体" w:cs="宋体"/>
          <w:color w:val="000000"/>
          <w:sz w:val="24"/>
          <w:szCs w:val="24"/>
          <w:highlight w:val="none"/>
        </w:rPr>
        <w:t xml:space="preserve">种付款方式：</w:t>
      </w:r>
      <w:r/>
    </w:p>
    <w:p>
      <w:pPr>
        <w:ind w:firstLine="480"/>
        <w:spacing w:before="240" w:after="240" w:line="360" w:lineRule="auto"/>
        <w:shd w:val="clear" w:color="auto" w:fill="auto"/>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付款方式一：提交预付款保函的</w:t>
      </w:r>
      <w:r/>
    </w:p>
    <w:p>
      <w:pPr>
        <w:ind w:firstLine="480"/>
        <w:spacing w:before="240" w:after="240" w:line="360" w:lineRule="auto"/>
        <w:shd w:val="clear" w:color="auto" w:fill="auto"/>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合同总价的百分之四十(40%)即￥</w:t>
      </w:r>
      <w:r>
        <w:rPr>
          <w:rFonts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，大写：人民币</w:t>
      </w:r>
      <w:r>
        <w:rPr>
          <w:rFonts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元整，在双方签订合同后15个工作日内，乙方向甲方出具等额预付款保函后，办理政府采购资金结算手续支付给乙方。</w:t>
      </w:r>
      <w:r/>
    </w:p>
    <w:p>
      <w:pPr>
        <w:ind w:firstLine="480"/>
        <w:spacing w:before="240" w:after="240" w:line="360" w:lineRule="auto"/>
        <w:shd w:val="clear" w:color="auto" w:fill="auto"/>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合同总价的百分之六十(60%)即￥</w:t>
      </w:r>
      <w:r>
        <w:rPr>
          <w:rFonts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，大写：人民币</w:t>
      </w:r>
      <w:r>
        <w:rPr>
          <w:rFonts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元整，合同标的全部交付并安装完毕验收后15个工作日内，由买方办理政府采购资金结算手续，经审核后支付给卖方。</w:t>
      </w:r>
      <w:r/>
    </w:p>
    <w:p>
      <w:pPr>
        <w:ind w:firstLine="480"/>
        <w:spacing w:before="240" w:after="240" w:line="360" w:lineRule="auto"/>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付款方式二：不提交预付款保函的</w:t>
      </w:r>
      <w:r/>
    </w:p>
    <w:p>
      <w:pPr>
        <w:pStyle w:val="871"/>
        <w:ind w:left="0" w:firstLine="480"/>
        <w:spacing w:after="0"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1.合同价款的百分之四十（40%），即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人民币    </w:t>
      </w:r>
      <w:r>
        <w:rPr>
          <w:rFonts w:hint="eastAsia" w:ascii="宋体" w:hAnsi="宋体" w:cs="宋体"/>
          <w:color w:val="000000"/>
          <w:sz w:val="24"/>
          <w:highlight w:val="none"/>
        </w:rPr>
        <w:t xml:space="preserve">，在合同签订生效，甲方自收到发票（发票金额为合同总价的40%）后（15）日内，将资金支付到合同约定的乙方账户。</w:t>
      </w:r>
      <w:r/>
    </w:p>
    <w:p>
      <w:pPr>
        <w:pStyle w:val="74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2.合同价款的百分之六十（60%），即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人民币    </w:t>
      </w:r>
      <w:r>
        <w:rPr>
          <w:rFonts w:hint="eastAsia" w:ascii="宋体" w:hAnsi="宋体" w:cs="宋体"/>
          <w:color w:val="000000"/>
          <w:sz w:val="24"/>
          <w:highlight w:val="none"/>
        </w:rPr>
        <w:t xml:space="preserve">，在乙方履行维护服务期限满1年，达到甲方服务要求，并经甲方确认合格后，甲方自收到发票（</w:t>
      </w:r>
      <w:r>
        <w:rPr>
          <w:rFonts w:hint="eastAsia" w:ascii="宋体" w:hAnsi="宋体" w:cs="宋体"/>
          <w:b/>
          <w:bCs/>
          <w:color w:val="000000"/>
          <w:sz w:val="24"/>
          <w:highlight w:val="none"/>
        </w:rPr>
        <w:t xml:space="preserve">发票金额</w:t>
      </w:r>
      <w:r>
        <w:rPr>
          <w:rFonts w:hint="eastAsia" w:ascii="宋体" w:hAnsi="宋体" w:cs="宋体"/>
          <w:b/>
          <w:bCs/>
          <w:color w:val="000000"/>
          <w:sz w:val="24"/>
          <w:highlight w:val="none"/>
          <w:lang w:val="en-US" w:eastAsia="zh-CN"/>
        </w:rPr>
        <w:t xml:space="preserve">=结算金额-初期预付合同价款40%</w:t>
      </w:r>
      <w:r>
        <w:rPr>
          <w:rFonts w:hint="eastAsia" w:ascii="宋体" w:hAnsi="宋体" w:cs="宋体"/>
          <w:color w:val="000000"/>
          <w:sz w:val="24"/>
          <w:highlight w:val="none"/>
        </w:rPr>
        <w:t xml:space="preserve">）后（15）日内，将资金支付到合同约定的乙方账户。</w:t>
      </w:r>
      <w:r/>
    </w:p>
    <w:p>
      <w:pPr>
        <w:pStyle w:val="746"/>
        <w:ind w:firstLine="480"/>
        <w:spacing w:line="360" w:lineRule="auto"/>
        <w:shd w:val="clear" w:color="auto" w:fill="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款项到账时间以财政拨付为准，</w:t>
      </w:r>
      <w:r>
        <w:rPr>
          <w:rFonts w:hint="eastAsia" w:ascii="宋体" w:hAnsi="宋体" w:cs="宋体"/>
          <w:b/>
          <w:bCs/>
          <w:color w:val="000000"/>
          <w:sz w:val="24"/>
          <w:highlight w:val="none"/>
          <w:lang w:val="en-US" w:eastAsia="zh-CN"/>
        </w:rPr>
        <w:t xml:space="preserve">结算周期内甲方领导认为需要结算审计的，当结算金额超出预算10%或变更金额超合同价5%时，甲方可委托第三方审计，审减率</w:t>
      </w:r>
      <w:r>
        <w:rPr>
          <w:rFonts w:ascii="Arial" w:hAnsi="Arial" w:cs="Arial"/>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5%时，则乙方承担审计费；反之甲方承担审计费。</w:t>
      </w:r>
      <w:r/>
    </w:p>
    <w:p>
      <w:pPr>
        <w:pStyle w:val="746"/>
        <w:jc w:val="left"/>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备注：1、备品备件据实结算。</w:t>
      </w:r>
      <w:r/>
    </w:p>
    <w:p>
      <w:pPr>
        <w:pStyle w:val="746"/>
        <w:ind w:firstLine="482"/>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  2、每次支付合同价款时，成交供应商需向采购人提供合法有效的经采购人财务部门认可的发票。采购人收到发票后按照上述约定期限付款；若成交供应商不按本条约定提供发票的，采购人有权拒绝付款且不视为违规。</w:t>
      </w:r>
      <w:r/>
    </w:p>
    <w:p>
      <w:pPr>
        <w:pStyle w:val="1043"/>
        <w:ind w:firstLine="560"/>
        <w:spacing w:line="360" w:lineRule="auto"/>
        <w:shd w:val="clear" w:color="auto" w:fill="auto"/>
        <w:rPr>
          <w:rFonts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4.2上述费用甲方支付至乙方指定账户内。除乙方另行指定外该指定账户信息为：</w:t>
      </w:r>
      <w:r/>
    </w:p>
    <w:p>
      <w:pPr>
        <w:pStyle w:val="1043"/>
        <w:ind w:firstLine="560"/>
        <w:spacing w:line="360" w:lineRule="auto"/>
        <w:shd w:val="clear" w:color="auto" w:fill="auto"/>
        <w:rPr>
          <w:rFonts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户名： </w:t>
      </w:r>
      <w:r/>
    </w:p>
    <w:p>
      <w:pPr>
        <w:pStyle w:val="1043"/>
        <w:ind w:firstLine="560"/>
        <w:spacing w:line="360" w:lineRule="auto"/>
        <w:shd w:val="clear" w:color="auto" w:fill="auto"/>
        <w:rPr>
          <w:rFonts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账号：</w:t>
      </w:r>
      <w:r/>
    </w:p>
    <w:p>
      <w:pPr>
        <w:pStyle w:val="748"/>
        <w:ind w:firstLine="480"/>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开户行：</w:t>
      </w:r>
      <w:r/>
    </w:p>
    <w:p>
      <w:pPr>
        <w:pStyle w:val="748"/>
        <w:ind w:firstLine="480"/>
        <w:spacing w:line="360" w:lineRule="auto"/>
        <w:shd w:val="clear" w:color="auto" w:fill="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5.1</w:t>
      </w:r>
      <w:r>
        <w:rPr>
          <w:rFonts w:hint="eastAsia" w:ascii="宋体" w:hAnsi="宋体" w:eastAsia="宋体" w:cs="宋体"/>
          <w:color w:val="000000"/>
          <w:sz w:val="24"/>
          <w:szCs w:val="24"/>
          <w:highlight w:val="none"/>
          <w:lang w:val="zh-CN" w:eastAsia="zh-CN" w:bidi="ar-SA"/>
        </w:rPr>
        <w:t xml:space="preserve"> 履约保证金：本项目无履约保证金。</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第五条 甲方的权利与义务</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甲方的权利</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乙方如有人员调整应经甲方书面同意。涉及项目经理的调整应提前2个月告知甲方。</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甲方有权警告违反本合同规定的乙方人员。按照甲方要求，乙方更换违反本合同规定的人员。</w:t>
      </w:r>
      <w:r/>
    </w:p>
    <w:p>
      <w:pPr>
        <w:pStyle w:val="747"/>
        <w:ind w:left="0" w:right="-134"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）甲方有权教育乙方员工规范操作、定期检查系统运行情况及维</w:t>
      </w:r>
      <w:r>
        <w:rPr>
          <w:rFonts w:hint="eastAsia" w:ascii="宋体" w:hAnsi="宋体" w:cs="宋体"/>
          <w:color w:val="000000"/>
          <w:sz w:val="24"/>
          <w:highlight w:val="none"/>
        </w:rPr>
        <w:t xml:space="preserve">保</w:t>
      </w:r>
      <w:r>
        <w:rPr>
          <w:rFonts w:hint="eastAsia" w:ascii="宋体" w:hAnsi="宋体" w:cs="宋体"/>
          <w:color w:val="000000"/>
          <w:sz w:val="24"/>
          <w:highlight w:val="none"/>
          <w:lang w:val="zh-CN"/>
        </w:rPr>
        <w:t xml:space="preserve">情况。</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甲方的义务</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按合同约定支付维</w:t>
      </w:r>
      <w:r>
        <w:rPr>
          <w:rFonts w:hint="eastAsia" w:ascii="宋体" w:hAnsi="宋体" w:cs="宋体"/>
          <w:color w:val="000000"/>
          <w:sz w:val="24"/>
          <w:highlight w:val="none"/>
        </w:rPr>
        <w:t xml:space="preserve">保</w:t>
      </w:r>
      <w:r>
        <w:rPr>
          <w:rFonts w:hint="eastAsia" w:ascii="宋体" w:hAnsi="宋体" w:cs="宋体"/>
          <w:color w:val="000000"/>
          <w:sz w:val="24"/>
          <w:highlight w:val="none"/>
          <w:lang w:val="zh-CN"/>
        </w:rPr>
        <w:t xml:space="preserve">服务费。</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（2）甲方应当向乙方工作提供良好的外部条件。</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（3）甲方应当向乙方提供相应的资料，便于乙方开展维保服务工作。</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（4）甲方应授权一名熟悉本项目情况、能迅速做出决定的项目代表，负责与乙方联系。更换代表，要提前通知乙方。</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第六条 乙方的权利与义务</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乙方的权利</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（1）有权要求甲方按合同约定支付维保服务费。</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（2）有权要求甲方为工作提供良好的外部条件。</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（3）有权要求甲方提供相应的资料，便于乙方开展维保服务工作。</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（4）有权要求甲方应授权一名熟悉本项目情况、能迅速做出决定的项目代表，负责与乙方联系。更换代表，要提前通知乙方。</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乙方的义务</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（1）在本合同期内或合同终止后，未征得有关方同意，不得泄漏在为甲方服务期间所获得的技术秘密、商业秘密等，不得以任何形式侵害甲方的知识产权。</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负责保证甲方在使用该服务或其任何一部分时不受第三方提出侵犯其专利权、版权、商标权或其他权利的起诉。一旦出现侵权，乙方应承担全部责任。</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所提供的服务与</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zh-CN"/>
        </w:rPr>
        <w:t xml:space="preserve">文件规定的要求相一致；若技术性能无特殊说明，则按国家有关部门最新颁布的标准及规范为准。</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）乙方应诚实信用，严格按照</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zh-CN"/>
        </w:rPr>
        <w:t xml:space="preserve">文件要求和投标承诺履行合同，不向甲方进行商业贿赂或者提供不正当利益。</w:t>
      </w:r>
      <w:r/>
    </w:p>
    <w:p>
      <w:pPr>
        <w:pStyle w:val="758"/>
        <w:ind w:firstLine="480"/>
        <w:jc w:val="left"/>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（5）为确保系统正常运行，乙方必须配备检修、保养工作所必须的交通工具、检测设备、仪器仪表以及用于系统维修所需的备品备件、周转设备，配备维保队伍</w:t>
      </w:r>
      <w:r>
        <w:rPr>
          <w:rFonts w:hint="eastAsia" w:ascii="宋体" w:hAnsi="宋体" w:eastAsia="宋体" w:cs="宋体"/>
          <w:b/>
          <w:bCs/>
          <w:color w:val="000000"/>
          <w:sz w:val="24"/>
          <w:highlight w:val="none"/>
          <w:lang w:bidi="ar-SA"/>
        </w:rPr>
        <w:t xml:space="preserve">并承担所派维保人员的人身安全责任（</w:t>
      </w:r>
      <w:r>
        <w:rPr>
          <w:rFonts w:hint="eastAsia" w:ascii="宋体" w:hAnsi="宋体" w:eastAsia="宋体" w:cs="宋体"/>
          <w:color w:val="000000"/>
          <w:sz w:val="24"/>
          <w:highlight w:val="none"/>
          <w:lang w:bidi="ar-SA"/>
        </w:rPr>
        <w:t xml:space="preserve">见乙方投标文件）。</w:t>
      </w:r>
      <w:r/>
    </w:p>
    <w:p>
      <w:pPr>
        <w:pStyle w:val="758"/>
        <w:ind w:firstLine="480"/>
        <w:jc w:val="left"/>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w:t>
      </w:r>
      <w:r>
        <w:rPr>
          <w:rFonts w:hint="eastAsia" w:ascii="宋体" w:hAnsi="宋体" w:eastAsia="宋体" w:cs="宋体"/>
          <w:color w:val="000000"/>
          <w:sz w:val="24"/>
          <w:highlight w:val="none"/>
          <w:lang w:val="en-US" w:eastAsia="zh-CN" w:bidi="ar-SA"/>
        </w:rPr>
        <w:t xml:space="preserve">6</w:t>
      </w:r>
      <w:r>
        <w:rPr>
          <w:rFonts w:hint="eastAsia" w:ascii="宋体" w:hAnsi="宋体" w:eastAsia="宋体" w:cs="宋体"/>
          <w:color w:val="000000"/>
          <w:sz w:val="24"/>
          <w:highlight w:val="none"/>
          <w:lang w:bidi="ar-SA"/>
        </w:rPr>
        <w:t xml:space="preserve">）乙方须拟定具体的维修保养方案，</w:t>
      </w:r>
      <w:r>
        <w:rPr>
          <w:rFonts w:hint="eastAsia" w:ascii="宋体" w:hAnsi="宋体" w:eastAsia="宋体" w:cs="宋体"/>
          <w:b/>
          <w:bCs/>
          <w:color w:val="000000"/>
          <w:sz w:val="24"/>
          <w:highlight w:val="none"/>
          <w:lang w:bidi="ar-SA"/>
        </w:rPr>
        <w:t xml:space="preserve">项目实施以后提供2名专业技术人员1年驻场服务</w:t>
      </w:r>
      <w:r>
        <w:rPr>
          <w:rFonts w:hint="eastAsia" w:ascii="宋体" w:hAnsi="宋体" w:eastAsia="宋体" w:cs="宋体"/>
          <w:color w:val="000000"/>
          <w:sz w:val="24"/>
          <w:highlight w:val="none"/>
          <w:lang w:bidi="ar-SA"/>
        </w:rPr>
        <w:t xml:space="preserve">，驻场期间由中标人提供办公场所，驻场人员的各项费用由中标人自行负责。并将相关人员的通讯方式告知甲方。专业技术人员维修保养时应当认真如实填写维修保养记录。</w:t>
      </w:r>
      <w:r/>
    </w:p>
    <w:p>
      <w:pPr>
        <w:pStyle w:val="758"/>
        <w:ind w:firstLine="480"/>
        <w:jc w:val="left"/>
        <w:spacing w:line="360" w:lineRule="auto"/>
        <w:shd w:val="clear" w:color="auto" w:fill="auto"/>
        <w:rPr>
          <w:rFonts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w:t>
      </w:r>
      <w:r>
        <w:rPr>
          <w:rFonts w:hint="eastAsia" w:ascii="宋体" w:hAnsi="宋体" w:eastAsia="宋体" w:cs="宋体"/>
          <w:color w:val="000000"/>
          <w:sz w:val="24"/>
          <w:highlight w:val="none"/>
          <w:lang w:val="en-US" w:eastAsia="zh-CN" w:bidi="ar-SA"/>
        </w:rPr>
        <w:t xml:space="preserve">7</w:t>
      </w:r>
      <w:r>
        <w:rPr>
          <w:rFonts w:hint="eastAsia" w:ascii="宋体" w:hAnsi="宋体" w:eastAsia="宋体" w:cs="宋体"/>
          <w:color w:val="000000"/>
          <w:sz w:val="24"/>
          <w:highlight w:val="none"/>
          <w:lang w:bidi="ar-SA"/>
        </w:rPr>
        <w:t xml:space="preserve">）设备发生故障，乙方接收到故障信息或接到甲方通知30分钟内派人到达现场，24小时内检修解除故障，并采取有效的应急措施，防止出现安全事故。</w:t>
      </w:r>
      <w:r/>
    </w:p>
    <w:p>
      <w:pPr>
        <w:pStyle w:val="758"/>
        <w:ind w:firstLine="480"/>
        <w:jc w:val="left"/>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lang w:bidi="ar-SA"/>
        </w:rPr>
        <w:t xml:space="preserve">（</w:t>
      </w:r>
      <w:r>
        <w:rPr>
          <w:rFonts w:hint="eastAsia" w:ascii="宋体" w:hAnsi="宋体" w:eastAsia="宋体" w:cs="宋体"/>
          <w:color w:val="000000"/>
          <w:sz w:val="24"/>
          <w:highlight w:val="none"/>
          <w:lang w:val="en-US" w:eastAsia="zh-CN" w:bidi="ar-SA"/>
        </w:rPr>
        <w:t xml:space="preserve">8</w:t>
      </w:r>
      <w:r>
        <w:rPr>
          <w:rFonts w:hint="eastAsia" w:ascii="宋体" w:hAnsi="宋体" w:eastAsia="宋体" w:cs="宋体"/>
          <w:color w:val="000000"/>
          <w:sz w:val="24"/>
          <w:highlight w:val="none"/>
          <w:lang w:bidi="ar-SA"/>
        </w:rPr>
        <w:t xml:space="preserve">）维保设备清单见采购需求文件。</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第七条 违约责任</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（一）甲方违约责任</w:t>
      </w:r>
      <w:r/>
    </w:p>
    <w:p>
      <w:pPr>
        <w:pStyle w:val="746"/>
        <w:ind w:firstLine="54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乙方按合同履约，甲方按合同约定支付维保服务费，如甲方逾期双方协商解决。</w:t>
      </w:r>
      <w:r/>
    </w:p>
    <w:p>
      <w:pPr>
        <w:pStyle w:val="746"/>
        <w:numPr>
          <w:ilvl w:val="0"/>
          <w:numId w:val="4"/>
        </w:numPr>
        <w:ind w:firstLine="480"/>
        <w:spacing w:line="360" w:lineRule="auto"/>
        <w:shd w:val="clear" w:color="auto" w:fill="auto"/>
        <w:rPr>
          <w:color w:val="000000"/>
          <w:highlight w:val="none"/>
          <w:lang w:val="zh-CN"/>
        </w:rPr>
      </w:pPr>
      <w:r>
        <w:rPr>
          <w:rFonts w:hint="eastAsia" w:ascii="宋体" w:hAnsi="宋体" w:cs="宋体"/>
          <w:color w:val="000000"/>
          <w:sz w:val="24"/>
          <w:highlight w:val="none"/>
        </w:rPr>
        <w:t xml:space="preserve">乙方违约责任</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乙方应确保在线率不低于95%，若在48小时内未及时修复的，每超24小时，每次承担200元违约金；在紧急情况下，未按时到达现场处理的，每次承担1000元违约金，且由此造成的损失由乙方负责。造成重大影响的，甲方有权提前终止合同。</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2.乙方不按照规定在备件库中存放相关备机备件，发现一次，承担1000元违约金，若发生2次以上，甲方有权终止合同。</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乙方所交付的服务不符合合同规定的，甲方有权拒绝验收。甲方拒绝验收的，乙方应向甲方支付合同总款5%的违约金，</w:t>
      </w:r>
      <w:r>
        <w:rPr>
          <w:rFonts w:hint="eastAsia" w:ascii="宋体" w:hAnsi="宋体" w:cs="宋体"/>
          <w:b/>
          <w:bCs/>
          <w:color w:val="000000"/>
          <w:sz w:val="24"/>
          <w:highlight w:val="none"/>
          <w:lang w:val="en-US" w:eastAsia="zh-CN"/>
        </w:rPr>
        <w:t xml:space="preserve">乙方另需赔偿甲方由此产生的直接及间接损失</w:t>
      </w:r>
      <w:r>
        <w:rPr>
          <w:rFonts w:hint="eastAsia" w:ascii="宋体" w:hAnsi="宋体" w:cs="宋体"/>
          <w:color w:val="000000"/>
          <w:sz w:val="24"/>
          <w:highlight w:val="none"/>
          <w:lang w:val="zh-CN"/>
        </w:rPr>
        <w:t xml:space="preserve">。甲方未拒绝验收的，甲方将向有关部门反映，并责成乙方按照采购结果提供服务，同时视情况给予不退还部分或全部履约保证金处理。</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乙方未按本合同的规定提供服务的，应按合同总价款的5%</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向甲方承担违约责任。</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乙方在承担上述</w:t>
      </w: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乙方投标属虚假承诺，或经权威部门监测提供的服务不能满足</w:t>
      </w:r>
      <w:r>
        <w:rPr>
          <w:rFonts w:hint="eastAsia" w:ascii="宋体" w:hAnsi="宋体" w:cs="宋体"/>
          <w:color w:val="000000"/>
          <w:sz w:val="24"/>
          <w:highlight w:val="none"/>
        </w:rPr>
        <w:t xml:space="preserve">招标</w:t>
      </w:r>
      <w:r>
        <w:rPr>
          <w:rFonts w:hint="eastAsia" w:ascii="宋体" w:hAnsi="宋体" w:cs="宋体"/>
          <w:color w:val="000000"/>
          <w:sz w:val="24"/>
          <w:highlight w:val="none"/>
          <w:lang w:val="zh-CN"/>
        </w:rPr>
        <w:t xml:space="preserve">文件要求，或是由于乙方的过错造成合同无法继续履行的，除支付违约金外，还应赔偿由此给甲方造成的一切损失。</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（三）其他</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.本合同执行期间发生不可抗力事件，致使合同无法履行时，双方均不承担</w:t>
      </w:r>
      <w:r>
        <w:rPr>
          <w:rFonts w:hint="eastAsia" w:ascii="宋体" w:hAnsi="宋体" w:cs="宋体"/>
          <w:color w:val="000000"/>
          <w:sz w:val="24"/>
          <w:highlight w:val="none"/>
          <w:lang w:val="zh-CN"/>
        </w:rPr>
        <w:t xml:space="preserve">违约责任，并按有关政策法规及时协商处理善后事宜。</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因服务的质量问题发生争议的，应当邀请国家认可的质量检测机构对服务质量进行鉴定。符合标准的，鉴定费由甲方承担；不符合质量标准的，鉴定费由乙方承担。</w:t>
      </w:r>
      <w:r/>
    </w:p>
    <w:p>
      <w:pPr>
        <w:pStyle w:val="746"/>
        <w:ind w:firstLine="480"/>
        <w:spacing w:line="360" w:lineRule="auto"/>
        <w:shd w:val="clear" w:color="auto" w:fill="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rPr>
        <w:t xml:space="preserve">第八条 </w:t>
      </w:r>
      <w:r>
        <w:rPr>
          <w:rFonts w:hint="eastAsia" w:ascii="宋体" w:hAnsi="宋体" w:cs="宋体"/>
          <w:b/>
          <w:bCs/>
          <w:color w:val="000000"/>
          <w:sz w:val="24"/>
          <w:highlight w:val="none"/>
          <w:lang w:val="en-US" w:eastAsia="zh-CN"/>
        </w:rPr>
        <w:t xml:space="preserve">履约验收</w:t>
      </w:r>
      <w:r/>
    </w:p>
    <w:p>
      <w:pPr>
        <w:pStyle w:val="746"/>
        <w:ind w:firstLine="480"/>
        <w:spacing w:line="360" w:lineRule="auto"/>
        <w:shd w:val="clear" w:color="auto" w:fill="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1、验收时间：预计202</w:t>
      </w:r>
      <w:r>
        <w:rPr>
          <w:rFonts w:hint="eastAsia" w:ascii="宋体" w:hAnsi="宋体" w:eastAsia="宋体" w:cs="宋体"/>
          <w:b/>
          <w:bCs/>
          <w:color w:val="000000"/>
          <w:sz w:val="24"/>
          <w:highlight w:val="none"/>
          <w:lang w:val="en-US" w:eastAsia="zh-CN"/>
        </w:rPr>
        <w:t xml:space="preserve">7</w:t>
      </w:r>
      <w:r>
        <w:rPr>
          <w:rFonts w:ascii="宋体" w:hAnsi="宋体" w:eastAsia="宋体" w:cs="宋体"/>
          <w:b/>
          <w:bCs/>
          <w:color w:val="000000"/>
          <w:sz w:val="24"/>
          <w:highlight w:val="none"/>
          <w:lang w:val="en-US" w:eastAsia="zh-CN"/>
        </w:rPr>
        <w:t xml:space="preserve">年</w:t>
      </w:r>
      <w:r>
        <w:rPr>
          <w:rFonts w:hint="eastAsia" w:ascii="宋体" w:hAnsi="宋体" w:eastAsia="宋体" w:cs="宋体"/>
          <w:b/>
          <w:bCs/>
          <w:color w:val="000000"/>
          <w:sz w:val="24"/>
          <w:highlight w:val="none"/>
          <w:lang w:val="en-US" w:eastAsia="zh-CN"/>
        </w:rPr>
        <w:t xml:space="preserve">9</w:t>
      </w:r>
      <w:r>
        <w:rPr>
          <w:rFonts w:ascii="宋体" w:hAnsi="宋体" w:eastAsia="宋体" w:cs="宋体"/>
          <w:b/>
          <w:bCs/>
          <w:color w:val="000000"/>
          <w:sz w:val="24"/>
          <w:highlight w:val="none"/>
          <w:lang w:val="en-US" w:eastAsia="zh-CN"/>
        </w:rPr>
        <w:t xml:space="preserve">月初。</w:t>
      </w:r>
      <w:r/>
    </w:p>
    <w:p>
      <w:pPr>
        <w:pStyle w:val="746"/>
        <w:ind w:firstLine="480"/>
        <w:spacing w:line="360" w:lineRule="auto"/>
        <w:shd w:val="clear" w:color="auto" w:fill="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2、验收地点：</w:t>
      </w:r>
      <w:r>
        <w:rPr>
          <w:rFonts w:hint="eastAsia" w:ascii="宋体" w:hAnsi="宋体" w:cs="宋体"/>
          <w:b/>
          <w:bCs/>
          <w:color w:val="000000"/>
          <w:sz w:val="24"/>
          <w:highlight w:val="none"/>
          <w:lang w:eastAsia="zh-CN"/>
        </w:rPr>
        <w:t xml:space="preserve">徐州市公安局铜山分局</w:t>
      </w:r>
      <w:r>
        <w:rPr>
          <w:rFonts w:ascii="宋体" w:hAnsi="宋体" w:eastAsia="宋体" w:cs="宋体"/>
          <w:b/>
          <w:bCs/>
          <w:color w:val="000000"/>
          <w:sz w:val="24"/>
          <w:highlight w:val="none"/>
          <w:lang w:val="en-US" w:eastAsia="zh-CN"/>
        </w:rPr>
        <w:t xml:space="preserve">。</w:t>
      </w:r>
      <w:r/>
    </w:p>
    <w:p>
      <w:pPr>
        <w:pStyle w:val="746"/>
        <w:ind w:firstLine="480"/>
        <w:spacing w:line="360" w:lineRule="auto"/>
        <w:shd w:val="clear" w:color="auto" w:fill="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3、验收方式：由采购人组织相关人员</w:t>
      </w:r>
      <w:r>
        <w:rPr>
          <w:rFonts w:hint="eastAsia" w:ascii="宋体" w:hAnsi="宋体" w:eastAsia="宋体" w:cs="宋体"/>
          <w:b/>
          <w:bCs/>
          <w:color w:val="000000"/>
          <w:sz w:val="24"/>
          <w:highlight w:val="none"/>
          <w:lang w:val="en-US" w:eastAsia="zh-CN"/>
        </w:rPr>
        <w:t xml:space="preserve">对全年的运维情况</w:t>
      </w:r>
      <w:r>
        <w:rPr>
          <w:rFonts w:ascii="宋体" w:hAnsi="宋体" w:eastAsia="宋体" w:cs="宋体"/>
          <w:b/>
          <w:bCs/>
          <w:color w:val="000000"/>
          <w:sz w:val="24"/>
          <w:highlight w:val="none"/>
          <w:lang w:val="en-US" w:eastAsia="zh-CN"/>
        </w:rPr>
        <w:t xml:space="preserve">进行</w:t>
      </w:r>
      <w:r>
        <w:rPr>
          <w:rFonts w:hint="eastAsia" w:ascii="宋体" w:hAnsi="宋体" w:eastAsia="宋体" w:cs="宋体"/>
          <w:b/>
          <w:bCs/>
          <w:color w:val="000000"/>
          <w:sz w:val="24"/>
          <w:highlight w:val="none"/>
          <w:lang w:val="en-US" w:eastAsia="zh-CN"/>
        </w:rPr>
        <w:t xml:space="preserve">综合评价</w:t>
      </w:r>
      <w:r>
        <w:rPr>
          <w:rFonts w:ascii="宋体" w:hAnsi="宋体" w:eastAsia="宋体" w:cs="宋体"/>
          <w:b/>
          <w:bCs/>
          <w:color w:val="000000"/>
          <w:sz w:val="24"/>
          <w:highlight w:val="none"/>
          <w:lang w:val="en-US" w:eastAsia="zh-CN"/>
        </w:rPr>
        <w:t xml:space="preserve">。</w:t>
      </w:r>
      <w:r/>
    </w:p>
    <w:p>
      <w:pPr>
        <w:pStyle w:val="746"/>
        <w:ind w:firstLine="480"/>
        <w:spacing w:line="360" w:lineRule="auto"/>
        <w:rPr>
          <w:rFonts w:hint="eastAsia" w:ascii="宋体" w:hAnsi="宋体" w:eastAsia="宋体" w:cs="宋体"/>
          <w:b/>
          <w:bCs/>
          <w:color w:val="000000"/>
          <w:sz w:val="24"/>
          <w:highlight w:val="none"/>
        </w:rPr>
      </w:pPr>
      <w:r>
        <w:rPr>
          <w:rFonts w:ascii="宋体" w:hAnsi="宋体" w:eastAsia="宋体" w:cs="宋体"/>
          <w:b/>
          <w:bCs/>
          <w:color w:val="000000"/>
          <w:sz w:val="24"/>
          <w:highlight w:val="none"/>
          <w:lang w:val="en-US" w:eastAsia="zh-CN"/>
        </w:rPr>
        <w:t xml:space="preserve">4、验收内容：</w:t>
      </w:r>
      <w:r>
        <w:rPr>
          <w:rFonts w:hint="eastAsia" w:ascii="宋体" w:hAnsi="宋体" w:eastAsia="宋体" w:cs="宋体"/>
          <w:b/>
          <w:bCs/>
          <w:color w:val="000000"/>
          <w:sz w:val="24"/>
          <w:szCs w:val="24"/>
          <w:highlight w:val="none"/>
          <w:lang w:val="en-US" w:eastAsia="zh-CN" w:bidi="ar-SA"/>
        </w:rPr>
        <w:t xml:space="preserve">维护铜山区范围内建设的监控点3520处。视频监控维保项目由前端子系统、网络传输子系统以及后端管理子系统三大部分。技防城、三道防线、测速卡口、道路320、雪亮工程、闯红灯自动记录系统、报警柱、高空瞭望、</w:t>
      </w:r>
      <w:r>
        <w:rPr>
          <w:rFonts w:hint="eastAsia" w:ascii="宋体" w:hAnsi="宋体" w:eastAsia="宋体" w:cs="宋体"/>
          <w:b/>
          <w:bCs/>
          <w:i w:val="0"/>
          <w:iCs w:val="0"/>
          <w:color w:val="000000"/>
          <w:sz w:val="24"/>
          <w:szCs w:val="24"/>
          <w:highlight w:val="none"/>
          <w:lang w:val="en-US" w:eastAsia="zh-CN" w:bidi="ar-SA"/>
        </w:rPr>
        <w:t xml:space="preserve">图像设备</w:t>
      </w:r>
      <w:r>
        <w:rPr>
          <w:rFonts w:hint="eastAsia" w:ascii="宋体" w:hAnsi="宋体" w:eastAsia="宋体" w:cs="宋体"/>
          <w:b/>
          <w:bCs/>
          <w:color w:val="000000"/>
          <w:sz w:val="24"/>
          <w:szCs w:val="24"/>
          <w:highlight w:val="none"/>
          <w:lang w:val="en-US" w:eastAsia="zh-CN" w:bidi="ar-SA"/>
        </w:rPr>
        <w:t xml:space="preserve">、市局移交、政府移交项目、宗教场所的全系统前后端设备、立杆、平台的维护保养，负责前端设备的用电保障，负责数据传输专线的接入并承担使用费用。在设备接入、使用、维护保养中出现的问题。</w:t>
      </w:r>
      <w:r>
        <w:rPr>
          <w:rFonts w:hint="eastAsia" w:ascii="宋体" w:hAnsi="宋体" w:eastAsia="宋体" w:cs="宋体"/>
          <w:b/>
          <w:bCs/>
          <w:color w:val="000000"/>
          <w:sz w:val="24"/>
          <w:highlight w:val="none"/>
          <w:lang w:val="en-US" w:eastAsia="zh-CN"/>
        </w:rPr>
        <w:t xml:space="preserve">详见采购需求及</w:t>
      </w:r>
      <w:r>
        <w:rPr>
          <w:rFonts w:hint="eastAsia" w:ascii="宋体" w:hAnsi="宋体" w:eastAsia="宋体" w:cs="宋体"/>
          <w:b/>
          <w:bCs/>
          <w:color w:val="000000"/>
          <w:sz w:val="24"/>
          <w:szCs w:val="24"/>
          <w:highlight w:val="none"/>
          <w:lang w:val="en-US" w:eastAsia="zh-CN" w:bidi="ar-SA"/>
        </w:rPr>
        <w:t xml:space="preserve">监控维保及备品备件清单。</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ascii="宋体" w:hAnsi="宋体" w:eastAsia="宋体" w:cs="宋体"/>
          <w:b/>
          <w:bCs/>
          <w:color w:val="000000"/>
          <w:sz w:val="24"/>
          <w:highlight w:val="none"/>
          <w:lang w:val="en-US" w:eastAsia="zh-CN"/>
        </w:rPr>
        <w:t xml:space="preserve">5、验收标准：</w:t>
      </w:r>
      <w:r>
        <w:rPr>
          <w:rFonts w:hint="eastAsia" w:ascii="宋体" w:hAnsi="宋体" w:eastAsia="宋体" w:cs="宋体"/>
          <w:b/>
          <w:bCs/>
          <w:color w:val="000000"/>
          <w:sz w:val="24"/>
          <w:highlight w:val="none"/>
          <w:lang w:val="en-US" w:eastAsia="zh-CN"/>
        </w:rPr>
        <w:t xml:space="preserve">符合招标人约定的采购需求及国家或者部门规定的验收标准（《公共安全视频监控联网系统信息传输、交换、控制技术要求》GB28181-2022；《公安视频图像信息系统运维管理规范》GA/T 2016‑2023；《公安视频图像屏幕显示信息叠加规范》GA/T 751-2024等）</w:t>
      </w:r>
      <w:r>
        <w:rPr>
          <w:rFonts w:hint="eastAsia" w:ascii="宋体" w:hAnsi="宋体" w:eastAsia="宋体" w:cs="宋体"/>
          <w:b/>
          <w:bCs/>
          <w:color w:val="000000"/>
          <w:sz w:val="24"/>
          <w:szCs w:val="24"/>
          <w:highlight w:val="none"/>
          <w:lang w:val="en-US" w:eastAsia="zh-CN" w:bidi="ar-SA"/>
        </w:rPr>
        <w:t xml:space="preserve">。</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zh-CN"/>
        </w:rPr>
        <w:t xml:space="preserve">第</w:t>
      </w: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lang w:val="zh-CN"/>
        </w:rPr>
        <w:t xml:space="preserve">条</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本合同在下列条件全部满足后生效，生效日期以下列条件全部满足的最晚日期为准： </w:t>
      </w:r>
      <w:r/>
    </w:p>
    <w:p>
      <w:pPr>
        <w:pStyle w:val="746"/>
        <w:ind w:left="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 双方加盖公章或合同专用章； </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w:t>
      </w:r>
      <w:r>
        <w:rPr>
          <w:rFonts w:hint="eastAsia" w:ascii="宋体" w:hAnsi="宋体" w:cs="宋体"/>
          <w:color w:val="000000"/>
          <w:sz w:val="24"/>
          <w:highlight w:val="none"/>
          <w:lang w:val="zh-CN"/>
        </w:rPr>
        <w:t xml:space="preserve">十</w:t>
      </w:r>
      <w:r>
        <w:rPr>
          <w:rFonts w:hint="eastAsia" w:ascii="宋体" w:hAnsi="宋体" w:cs="宋体"/>
          <w:color w:val="000000"/>
          <w:sz w:val="24"/>
          <w:highlight w:val="none"/>
        </w:rPr>
        <w:t xml:space="preserve">条 合同的双方当事人不得擅自变更、中止或者终止合同。 </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第十</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lang w:val="zh-CN"/>
        </w:rPr>
        <w:t xml:space="preserve">条 因履行本合同引起的或与本合同有关的争议，甲、乙双方应首先通过友好协商解决，如协商不能解决争议，采取第（</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）种方</w:t>
      </w:r>
      <w:r>
        <w:rPr>
          <w:rFonts w:hint="eastAsia" w:ascii="宋体" w:hAnsi="宋体" w:cs="宋体"/>
          <w:color w:val="000000"/>
          <w:sz w:val="24"/>
          <w:highlight w:val="none"/>
          <w:lang w:val="en-US" w:eastAsia="zh-CN"/>
        </w:rPr>
        <w:t xml:space="preserve">法</w:t>
      </w:r>
      <w:r>
        <w:rPr>
          <w:rFonts w:hint="eastAsia" w:ascii="宋体" w:hAnsi="宋体" w:cs="宋体"/>
          <w:color w:val="000000"/>
          <w:sz w:val="24"/>
          <w:highlight w:val="none"/>
          <w:lang w:val="zh-CN"/>
        </w:rPr>
        <w:t xml:space="preserve">解决争议：</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向甲方所在地有管辖权的人民法院提起诉讼；</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向徐州仲裁委员会按其仲裁规则申请仲裁。</w:t>
      </w:r>
      <w:r/>
    </w:p>
    <w:p>
      <w:pPr>
        <w:pStyle w:val="746"/>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如没有约定，默认采取第2种方式解决争议。</w:t>
      </w:r>
      <w:r/>
    </w:p>
    <w:p>
      <w:pPr>
        <w:pStyle w:val="746"/>
        <w:numPr>
          <w:ilvl w:val="0"/>
          <w:numId w:val="5"/>
        </w:numPr>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在仲裁期间，本合同应继续履行。</w:t>
      </w:r>
      <w:r/>
    </w:p>
    <w:p>
      <w:pPr>
        <w:pStyle w:val="746"/>
        <w:numPr>
          <w:ilvl w:val="0"/>
          <w:numId w:val="0"/>
        </w:numPr>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zh-CN"/>
        </w:rPr>
        <w:t xml:space="preserve">第十</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lang w:val="zh-CN"/>
        </w:rPr>
        <w:t xml:space="preserve">条</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合同其他未尽事宜及与招投标文件有矛盾之处，以招投标文件[项目编号：</w:t>
      </w:r>
      <w:r>
        <w:rPr>
          <w:rFonts w:ascii="Segoe UI" w:hAnsi="Segoe UI" w:eastAsia="Segoe UI" w:cs="Segoe UI"/>
          <w:i w:val="0"/>
          <w:iCs w:val="0"/>
          <w:caps w:val="0"/>
          <w:spacing w:val="0"/>
          <w:sz w:val="21"/>
          <w:szCs w:val="21"/>
          <w:shd w:val="clear" w:color="auto" w:fill="ffffff"/>
        </w:rPr>
        <w:t xml:space="preserve">JSZC-320312-HZGC-G2026-0005</w:t>
      </w:r>
      <w:r>
        <w:rPr>
          <w:rFonts w:hint="eastAsia" w:ascii="宋体" w:hAnsi="宋体" w:cs="宋体"/>
          <w:color w:val="000000"/>
          <w:sz w:val="24"/>
          <w:highlight w:val="none"/>
        </w:rPr>
        <w:t xml:space="preserve">]为准。合同履行过程中，经协商一致，可签订补充协议。</w:t>
      </w:r>
      <w:r/>
    </w:p>
    <w:p>
      <w:pPr>
        <w:pStyle w:val="746"/>
        <w:ind w:firstLine="480"/>
        <w:spacing w:line="360" w:lineRule="auto"/>
        <w:shd w:val="clear" w:color="auto" w:fill="auto"/>
        <w:rPr>
          <w:rFonts w:ascii="宋体" w:hAnsi="宋体" w:cs="宋体"/>
          <w:color w:val="000000"/>
          <w:highlight w:val="none"/>
        </w:rPr>
      </w:pPr>
      <w:r>
        <w:rPr>
          <w:rFonts w:hint="eastAsia" w:ascii="宋体" w:hAnsi="宋体" w:cs="宋体"/>
          <w:color w:val="000000"/>
          <w:sz w:val="24"/>
          <w:highlight w:val="none"/>
          <w:lang w:val="zh-CN"/>
        </w:rPr>
        <w:t xml:space="preserve">第十</w:t>
      </w: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lang w:val="zh-CN"/>
        </w:rPr>
        <w:t xml:space="preserve">条</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在维保期内，甲方与乙方商定《徐州市公安局铜山分局2026年视频监控维保项目》，甲方将按照</w:t>
      </w:r>
      <w:r>
        <w:rPr>
          <w:rFonts w:hint="eastAsia" w:ascii="宋体" w:hAnsi="宋体" w:cs="宋体"/>
          <w:color w:val="000000"/>
          <w:sz w:val="24"/>
          <w:highlight w:val="none"/>
          <w:lang w:val="en-US" w:eastAsia="zh-CN"/>
        </w:rPr>
        <w:t xml:space="preserve">相关验收标准</w:t>
      </w:r>
      <w:r>
        <w:rPr>
          <w:rFonts w:hint="eastAsia" w:ascii="宋体" w:hAnsi="宋体" w:cs="宋体"/>
          <w:color w:val="000000"/>
          <w:sz w:val="24"/>
          <w:highlight w:val="none"/>
          <w:lang w:val="zh-CN"/>
        </w:rPr>
        <w:t xml:space="preserve">监督检查乙方工作，并根据实际检查情况兑现奖惩、拨付费用。</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第十</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条 合同一式四份，具有同等法律效力，甲方一份，乙方一份，徐州市政府采购中心一份存档，政府采购管理部门一份备案。</w:t>
      </w:r>
      <w:r/>
    </w:p>
    <w:p>
      <w:pPr>
        <w:pStyle w:val="746"/>
        <w:ind w:firstLine="480"/>
        <w:spacing w:line="360" w:lineRule="auto"/>
        <w:shd w:val="clear" w:color="auto" w:fill="auto"/>
        <w:rPr>
          <w:rFonts w:hint="eastAsia" w:ascii="宋体" w:hAnsi="宋体" w:eastAsia="宋体" w:cs="宋体"/>
          <w:color w:val="ff0000"/>
          <w:sz w:val="24"/>
          <w:highlight w:val="cyan"/>
          <w:lang w:eastAsia="zh-CN"/>
        </w:rPr>
      </w:pPr>
      <w:r>
        <w:rPr>
          <w:rFonts w:hint="eastAsia" w:ascii="宋体" w:hAnsi="宋体" w:cs="宋体"/>
          <w:color w:val="000000"/>
          <w:sz w:val="24"/>
          <w:highlight w:val="none"/>
        </w:rPr>
        <w:t xml:space="preserve">第十</w:t>
      </w:r>
      <w:r>
        <w:rPr>
          <w:rFonts w:hint="eastAsia" w:ascii="宋体" w:hAnsi="宋体" w:cs="宋体"/>
          <w:color w:val="000000"/>
          <w:sz w:val="24"/>
          <w:highlight w:val="none"/>
          <w:lang w:val="en-US" w:eastAsia="zh-CN"/>
        </w:rPr>
        <w:t xml:space="preserve">五</w:t>
      </w:r>
      <w:r>
        <w:rPr>
          <w:rFonts w:hint="eastAsia" w:ascii="宋体" w:hAnsi="宋体" w:cs="宋体"/>
          <w:color w:val="000000"/>
          <w:sz w:val="24"/>
          <w:highlight w:val="none"/>
        </w:rPr>
        <w:t xml:space="preserve">条按照《财政部关于做好政府采购信息公开工作的通知》（财库〔2015〕135号），甲方依据《保守国家秘密法》等法律制度规定确定本合同</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部分涉及国家秘密，该涉及国家秘密部分不公告</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val="en-US" w:eastAsia="zh-CN"/>
        </w:rPr>
        <w:t xml:space="preserve">保密义务持续至合同终止后5年，核心机密永久保密</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甲方依据《反不正当竞争法》等法律制度的规定与乙方约定本合同（          ）部分涉及商业秘密，该涉及商业秘密部分不公告</w:t>
      </w:r>
      <w:r>
        <w:rPr>
          <w:rFonts w:hint="eastAsia" w:ascii="宋体" w:hAnsi="宋体" w:cs="宋体"/>
          <w:color w:val="000000"/>
          <w:sz w:val="24"/>
          <w:highlight w:val="none"/>
          <w:lang w:eastAsia="zh-CN"/>
        </w:rPr>
        <w:t xml:space="preserve">。</w:t>
      </w:r>
      <w:r/>
    </w:p>
    <w:p>
      <w:pPr>
        <w:pStyle w:val="746"/>
        <w:ind w:firstLine="48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48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甲   方：               乙   方： </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单位签章： </w:t>
      </w:r>
      <w:r>
        <w:rPr>
          <w:rFonts w:hint="eastAsia" w:ascii="宋体" w:hAnsi="宋体" w:cs="宋体"/>
          <w:color w:val="000000"/>
          <w:sz w:val="24"/>
          <w:highlight w:val="none"/>
        </w:rPr>
        <w:tab/>
      </w:r>
      <w:r>
        <w:rPr>
          <w:rFonts w:hint="eastAsia" w:ascii="宋体" w:hAnsi="宋体" w:cs="宋体"/>
          <w:color w:val="000000"/>
          <w:sz w:val="24"/>
          <w:highlight w:val="none"/>
        </w:rPr>
        <w:t xml:space="preserve">                        单位签章： </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单位地址：                           单位地址：</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开户银行： </w:t>
      </w:r>
      <w:r>
        <w:rPr>
          <w:rFonts w:hint="eastAsia" w:ascii="宋体" w:hAnsi="宋体" w:cs="宋体"/>
          <w:color w:val="000000"/>
          <w:sz w:val="24"/>
          <w:highlight w:val="none"/>
        </w:rPr>
        <w:tab/>
      </w:r>
      <w:r>
        <w:rPr>
          <w:rFonts w:hint="eastAsia" w:ascii="宋体" w:hAnsi="宋体" w:cs="宋体"/>
          <w:color w:val="000000"/>
          <w:sz w:val="24"/>
          <w:highlight w:val="none"/>
        </w:rPr>
        <w:t xml:space="preserve">                        开户银行：</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银行帐号：                            银行帐号：</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联 系 人：                            联 系 人：</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联系电话：                            联系电话：</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日期：              </w:t>
      </w:r>
      <w:bookmarkEnd w:id="10"/>
      <w:bookmarkEnd w:id="11"/>
      <w:r/>
    </w:p>
    <w:p>
      <w:pPr>
        <w:pStyle w:val="746"/>
        <w:ind w:firstLine="48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spacing w:line="24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ind w:left="0" w:right="0" w:firstLine="0"/>
        <w:jc w:val="center"/>
        <w:keepLines w:val="0"/>
        <w:keepNext w:val="0"/>
        <w:pageBreakBefore w:val="0"/>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br w:type="page" w:clear="all"/>
      </w:r>
      <w:r>
        <w:rPr>
          <w:rFonts w:hint="eastAsia" w:ascii="宋体" w:hAnsi="宋体" w:eastAsia="宋体" w:cs="宋体"/>
          <w:b/>
          <w:bCs/>
          <w:sz w:val="28"/>
          <w:szCs w:val="28"/>
        </w:rPr>
        <w:t xml:space="preserve">第六章  采 购 需 求</w:t>
      </w:r>
      <w:r/>
    </w:p>
    <w:p>
      <w:pPr>
        <w:pStyle w:val="746"/>
        <w:ind w:firstLine="482"/>
        <w:spacing w:line="360" w:lineRule="auto"/>
        <w:rPr>
          <w:rFonts w:hint="eastAsia"/>
          <w:color w:val="0000ff"/>
        </w:rPr>
      </w:pPr>
      <w:r>
        <w:rPr>
          <w:rFonts w:hint="eastAsia" w:ascii="宋体" w:hAnsi="宋体" w:eastAsia="宋体" w:cs="宋体"/>
          <w:b/>
          <w:bCs/>
          <w:color w:val="000000"/>
          <w:sz w:val="24"/>
          <w:highlight w:val="none"/>
        </w:rPr>
        <w:t xml:space="preserve">一、本项目不接受超过</w:t>
      </w:r>
      <w:r>
        <w:rPr>
          <w:rFonts w:hint="eastAsia" w:ascii="宋体" w:hAnsi="宋体" w:eastAsia="宋体" w:cs="宋体"/>
          <w:b/>
          <w:bCs/>
          <w:color w:val="000000"/>
          <w:sz w:val="24"/>
          <w:highlight w:val="none"/>
          <w:u w:val="single"/>
          <w:lang w:val="en-US" w:eastAsia="zh-CN"/>
        </w:rPr>
        <w:t xml:space="preserve">380.015262</w:t>
      </w:r>
      <w:r>
        <w:rPr>
          <w:rFonts w:hint="eastAsia" w:ascii="宋体" w:hAnsi="宋体" w:cs="宋体"/>
          <w:b/>
          <w:bCs/>
          <w:color w:val="000000"/>
          <w:sz w:val="24"/>
          <w:highlight w:val="none"/>
          <w:u w:val="single"/>
          <w:lang w:val="en-US" w:eastAsia="zh-CN"/>
        </w:rPr>
        <w:t xml:space="preserve">万</w:t>
      </w:r>
      <w:r>
        <w:rPr>
          <w:rFonts w:hint="eastAsia" w:ascii="宋体" w:hAnsi="宋体" w:eastAsia="宋体" w:cs="宋体"/>
          <w:b/>
          <w:bCs/>
          <w:color w:val="000000"/>
          <w:sz w:val="24"/>
          <w:highlight w:val="none"/>
        </w:rPr>
        <w:t xml:space="preserve">元</w:t>
      </w:r>
      <w:r>
        <w:rPr>
          <w:rFonts w:hint="eastAsia" w:ascii="宋体" w:hAnsi="宋体" w:eastAsia="宋体" w:cs="宋体"/>
          <w:b/>
          <w:bCs/>
          <w:color w:val="000000"/>
          <w:sz w:val="24"/>
          <w:highlight w:val="none"/>
          <w:lang w:val="en-US" w:eastAsia="zh-CN"/>
        </w:rPr>
        <w:t xml:space="preserve">（采购项目预算金额）</w:t>
      </w:r>
      <w:r>
        <w:rPr>
          <w:rFonts w:hint="eastAsia" w:ascii="宋体" w:hAnsi="宋体" w:eastAsia="宋体" w:cs="宋体"/>
          <w:b/>
          <w:bCs/>
          <w:color w:val="000000"/>
          <w:sz w:val="24"/>
          <w:highlight w:val="none"/>
        </w:rPr>
        <w:t xml:space="preserve">，其中</w:t>
      </w:r>
      <w:r>
        <w:rPr>
          <w:rFonts w:hint="eastAsia" w:ascii="宋体" w:hAnsi="宋体" w:eastAsia="宋体" w:cs="宋体"/>
          <w:b/>
          <w:bCs/>
          <w:color w:val="000000"/>
          <w:sz w:val="24"/>
          <w:highlight w:val="none"/>
          <w:lang w:val="en-US" w:eastAsia="zh-CN"/>
        </w:rPr>
        <w:t xml:space="preserve">基础运维费用不得高于1538620.29元，备品备件费用不得高于1520695.605元，链路租赁</w:t>
      </w:r>
      <w:r>
        <w:rPr>
          <w:rFonts w:hint="eastAsia" w:ascii="宋体" w:hAnsi="宋体" w:eastAsia="宋体" w:cs="宋体"/>
          <w:b/>
          <w:bCs/>
          <w:color w:val="000000"/>
          <w:sz w:val="24"/>
          <w:highlight w:val="none"/>
        </w:rPr>
        <w:t xml:space="preserve">费用不得高于</w:t>
      </w:r>
      <w:r>
        <w:rPr>
          <w:rFonts w:hint="eastAsia" w:ascii="宋体" w:hAnsi="宋体" w:eastAsia="宋体" w:cs="宋体"/>
          <w:b/>
          <w:bCs/>
          <w:color w:val="000000"/>
          <w:sz w:val="24"/>
          <w:highlight w:val="none"/>
          <w:lang w:val="en-US" w:eastAsia="zh-CN"/>
        </w:rPr>
        <w:t xml:space="preserve">740836.725</w:t>
      </w:r>
      <w:r>
        <w:rPr>
          <w:rFonts w:hint="eastAsia" w:ascii="宋体" w:hAnsi="宋体" w:eastAsia="宋体" w:cs="宋体"/>
          <w:b/>
          <w:bCs/>
          <w:color w:val="000000"/>
          <w:sz w:val="24"/>
          <w:highlight w:val="none"/>
        </w:rPr>
        <w:t xml:space="preserve">元。</w:t>
      </w:r>
      <w:r>
        <w:rPr>
          <w:rFonts w:hint="eastAsia" w:ascii="宋体" w:hAnsi="宋体" w:eastAsia="宋体" w:cs="宋体"/>
          <w:bCs/>
          <w:color w:val="000000"/>
          <w:sz w:val="24"/>
          <w:highlight w:val="none"/>
        </w:rPr>
        <w:t xml:space="preserve">报价包括产品价、税金、运费、安装调试、检验、保险等全部费用。采购人不再支付报价以外的任何费用</w:t>
      </w:r>
      <w:r>
        <w:rPr>
          <w:rFonts w:hint="eastAsia" w:ascii="宋体" w:hAnsi="宋体" w:eastAsia="宋体" w:cs="宋体"/>
          <w:b/>
          <w:color w:val="000000"/>
          <w:sz w:val="24"/>
        </w:rPr>
        <w:t xml:space="preserve">。</w:t>
      </w:r>
      <w:r/>
    </w:p>
    <w:p>
      <w:pPr>
        <w:pStyle w:val="1044"/>
        <w:ind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二、项目简介：</w:t>
      </w:r>
      <w:r/>
    </w:p>
    <w:p>
      <w:pPr>
        <w:pStyle w:val="746"/>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铜山区视频监控维保项目主要是维护铜山区范围内建设的监控点</w:t>
      </w:r>
      <w:r>
        <w:rPr>
          <w:rFonts w:hint="eastAsia" w:ascii="仿宋" w:hAnsi="仿宋" w:eastAsia="仿宋"/>
          <w:bCs/>
          <w:color w:val="000000"/>
          <w:sz w:val="24"/>
          <w:lang w:val="en-US" w:eastAsia="zh-CN"/>
        </w:rPr>
        <w:t xml:space="preserve">3520</w:t>
      </w:r>
      <w:r>
        <w:rPr>
          <w:rFonts w:hint="eastAsia" w:ascii="宋体" w:hAnsi="宋体" w:eastAsia="宋体" w:cs="宋体"/>
          <w:bCs/>
          <w:color w:val="000000"/>
          <w:sz w:val="24"/>
        </w:rPr>
        <w:t xml:space="preserve">处。视频监控维保项目由前端子系统、网络传输子系统以及后端管理子系统三大部分组成，实现对路口机动车的自动抓拍、记录、传输和处理，同时系统还兼具录像功能，能够实时记录通行车辆信息。</w:t>
      </w:r>
      <w:r/>
    </w:p>
    <w:p>
      <w:pPr>
        <w:pStyle w:val="762"/>
        <w:ind w:left="0" w:firstLine="480"/>
        <w:spacing w:after="0" w:line="360" w:lineRule="auto"/>
        <w:rPr>
          <w:rFonts w:hint="eastAsia" w:ascii="宋体" w:hAnsi="宋体" w:eastAsia="宋体" w:cs="宋体"/>
          <w:b/>
          <w:color w:val="000000"/>
          <w:sz w:val="24"/>
        </w:rPr>
      </w:pPr>
      <w:r>
        <w:rPr>
          <w:rFonts w:hint="eastAsia" w:ascii="宋体" w:hAnsi="宋体" w:cs="宋体"/>
          <w:bCs/>
          <w:color w:val="000000"/>
          <w:sz w:val="24"/>
          <w:lang w:val="en-US" w:eastAsia="zh-CN"/>
        </w:rPr>
        <w:t xml:space="preserve">项目</w:t>
      </w:r>
      <w:r>
        <w:rPr>
          <w:rFonts w:hint="eastAsia" w:ascii="宋体" w:hAnsi="宋体" w:eastAsia="宋体" w:cs="宋体"/>
          <w:bCs/>
          <w:color w:val="000000"/>
          <w:sz w:val="24"/>
        </w:rPr>
        <w:t xml:space="preserve">维保时间为</w:t>
      </w:r>
      <w:r>
        <w:rPr>
          <w:rFonts w:hint="eastAsia" w:ascii="宋体" w:hAnsi="宋体" w:eastAsia="宋体" w:cs="宋体"/>
          <w:b/>
          <w:color w:val="000000"/>
          <w:sz w:val="24"/>
        </w:rPr>
        <w:t xml:space="preserve">1年，具体时间以合同规定时间为准。</w:t>
      </w:r>
      <w:r/>
    </w:p>
    <w:p>
      <w:pPr>
        <w:pStyle w:val="762"/>
        <w:ind w:left="0" w:firstLine="482"/>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rPr>
        <w:t xml:space="preserve">在线率</w:t>
      </w:r>
      <w:r>
        <w:rPr>
          <w:rFonts w:hint="eastAsia" w:ascii="宋体" w:hAnsi="宋体" w:eastAsia="宋体" w:cs="宋体"/>
          <w:b/>
          <w:color w:val="000000"/>
          <w:sz w:val="24"/>
          <w:highlight w:val="none"/>
        </w:rPr>
        <w:t xml:space="preserve">：≥95%</w:t>
      </w:r>
      <w:r/>
    </w:p>
    <w:p>
      <w:pPr>
        <w:pStyle w:val="762"/>
        <w:ind w:left="0"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维保范围包括：技防城、三道防线、测速卡口、道路320、雪亮工程、闯红灯自动记录系统、</w:t>
      </w:r>
      <w:r>
        <w:rPr>
          <w:rFonts w:hint="eastAsia" w:ascii="宋体" w:hAnsi="宋体" w:eastAsia="宋体" w:cs="宋体"/>
          <w:bCs/>
          <w:color w:val="000000"/>
          <w:sz w:val="24"/>
          <w:highlight w:val="none"/>
          <w:lang w:val="en-US" w:eastAsia="zh-CN"/>
        </w:rPr>
        <w:t xml:space="preserve">报警柱、高空瞭望、图像设备</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市局移交、</w:t>
      </w:r>
      <w:r>
        <w:rPr>
          <w:rFonts w:hint="eastAsia" w:ascii="宋体" w:hAnsi="宋体" w:eastAsia="宋体" w:cs="宋体"/>
          <w:bCs/>
          <w:color w:val="000000"/>
          <w:sz w:val="24"/>
          <w:highlight w:val="none"/>
        </w:rPr>
        <w:t xml:space="preserve">政府移交项目、宗教场所的全系统前后端设备、立杆、平台的维护保养，负责前端设备的用电</w:t>
      </w:r>
      <w:r>
        <w:rPr>
          <w:rFonts w:hint="eastAsia" w:ascii="宋体" w:hAnsi="宋体" w:eastAsia="宋体" w:cs="宋体"/>
          <w:bCs/>
          <w:color w:val="000000"/>
          <w:sz w:val="24"/>
          <w:highlight w:val="none"/>
          <w:lang w:val="en-US" w:eastAsia="zh-CN"/>
        </w:rPr>
        <w:t xml:space="preserve">保障</w:t>
      </w:r>
      <w:r>
        <w:rPr>
          <w:rFonts w:hint="eastAsia" w:ascii="宋体" w:hAnsi="宋体" w:eastAsia="宋体" w:cs="宋体"/>
          <w:bCs/>
          <w:color w:val="000000"/>
          <w:sz w:val="24"/>
          <w:highlight w:val="none"/>
        </w:rPr>
        <w:t xml:space="preserve">，负责数据传输专线的接入并承担使用费用。在设备接入、使用、维护保养中出现的问题。</w:t>
      </w:r>
      <w:r/>
    </w:p>
    <w:p>
      <w:pPr>
        <w:pStyle w:val="758"/>
        <w:rPr>
          <w:rFonts w:hint="eastAsia"/>
        </w:rPr>
      </w:pPr>
      <w:r>
        <w:rPr>
          <w:rFonts w:hint="eastAsia"/>
        </w:rPr>
      </w:r>
      <w:r/>
    </w:p>
    <w:p>
      <w:pPr>
        <w:pStyle w:val="746"/>
        <w:numPr>
          <w:ilvl w:val="0"/>
          <w:numId w:val="6"/>
        </w:numPr>
        <w:ind w:firstLine="241"/>
        <w:spacing w:after="156"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监控维保及备品备件清单</w:t>
      </w:r>
      <w:r/>
    </w:p>
    <w:tbl>
      <w:tblPr>
        <w:tblStyle w:val="689"/>
        <w:tblW w:w="9498" w:type="dxa"/>
        <w:tblInd w:w="0" w:type="dxa"/>
        <w:tblLayout w:type="autofit"/>
        <w:tblCellMar>
          <w:left w:w="108" w:type="dxa"/>
          <w:top w:w="0" w:type="dxa"/>
          <w:right w:w="108" w:type="dxa"/>
          <w:bottom w:w="0" w:type="dxa"/>
        </w:tblCellMar>
        <w:tblLook w:val="04A0" w:firstRow="1" w:lastRow="0" w:firstColumn="1" w:lastColumn="0" w:noHBand="0" w:noVBand="1"/>
      </w:tblPr>
      <w:tblGrid>
        <w:gridCol w:w="960"/>
        <w:gridCol w:w="1734"/>
        <w:gridCol w:w="4252"/>
        <w:gridCol w:w="1276"/>
        <w:gridCol w:w="1276"/>
      </w:tblGrid>
      <w:tr>
        <w:trPr>
          <w:trHeight w:val="520"/>
        </w:trPr>
        <w:tc>
          <w:tcPr>
            <w:gridSpan w:val="5"/>
            <w:tcBorders>
              <w:top w:val="none" w:color="000000" w:sz="4" w:space="0"/>
              <w:left w:val="none" w:color="000000" w:sz="4" w:space="0"/>
              <w:bottom w:val="none" w:color="000000" w:sz="4" w:space="0"/>
              <w:right w:val="none" w:color="000000" w:sz="4" w:space="0"/>
            </w:tcBorders>
            <w:tcW w:w="9498" w:type="dxa"/>
            <w:vAlign w:val="center"/>
            <w:textDirection w:val="lrTb"/>
            <w:noWrap/>
          </w:tcPr>
          <w:p>
            <w:pPr>
              <w:pStyle w:val="746"/>
              <w:ind w:firstLine="280"/>
              <w:jc w:val="center"/>
              <w:spacing w:line="360" w:lineRule="auto"/>
              <w:rPr>
                <w:rFonts w:ascii="宋体" w:hAnsi="宋体" w:cs="宋体"/>
                <w:b/>
                <w:bCs/>
                <w:color w:val="000000"/>
                <w:sz w:val="32"/>
                <w:szCs w:val="32"/>
                <w:highlight w:val="none"/>
              </w:rPr>
            </w:pPr>
            <w:r>
              <w:rPr>
                <w:rFonts w:hint="eastAsia" w:ascii="宋体" w:hAnsi="宋体" w:eastAsia="宋体" w:cs="宋体"/>
                <w:bCs/>
                <w:color w:val="000000"/>
                <w:sz w:val="28"/>
                <w:szCs w:val="28"/>
                <w:highlight w:val="none"/>
                <w:lang w:val="en-US" w:eastAsia="zh-CN" w:bidi="ar-SA"/>
              </w:rPr>
              <w:br w:type="page" w:clear="all"/>
            </w:r>
            <w:r>
              <w:rPr>
                <w:rFonts w:hint="eastAsia" w:ascii="仿宋" w:hAnsi="仿宋" w:eastAsia="仿宋"/>
                <w:b/>
                <w:color w:val="000000"/>
                <w:sz w:val="28"/>
                <w:szCs w:val="28"/>
                <w:highlight w:val="none"/>
              </w:rPr>
              <w:t xml:space="preserve">清单</w:t>
            </w:r>
            <w:r/>
          </w:p>
        </w:tc>
      </w:tr>
      <w:tr>
        <w:trPr>
          <w:trHeight w:val="520"/>
        </w:trPr>
        <w:tc>
          <w:tcPr>
            <w:shd w:val="clear" w:color="000000" w:fill="c0c0c0"/>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shd w:val="clear" w:color="000000" w:fill="c0c0c0"/>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名称</w:t>
            </w:r>
            <w:r/>
          </w:p>
        </w:tc>
        <w:tc>
          <w:tcPr>
            <w:shd w:val="clear" w:color="000000" w:fill="c0c0c0"/>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描述</w:t>
            </w:r>
            <w:r/>
          </w:p>
        </w:tc>
        <w:tc>
          <w:tcPr>
            <w:shd w:val="clear" w:color="000000" w:fill="c0c0c0"/>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p>
        </w:tc>
        <w:tc>
          <w:tcPr>
            <w:shd w:val="clear" w:color="000000" w:fill="c0c0c0"/>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数量</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000000" w:sz="4" w:space="0"/>
              <w:bottom w:val="single" w:color="000000" w:sz="4" w:space="0"/>
              <w:right w:val="single" w:color="000000" w:sz="4" w:space="0"/>
            </w:tcBorders>
            <w:tcW w:w="1734" w:type="dxa"/>
            <w:vAlign w:val="center"/>
            <w:vMerge w:val="restart"/>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基础运维</w:t>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电警设备维护费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1205</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卡口设备维护费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756</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val="en-US" w:eastAsia="zh-CN"/>
              </w:rPr>
              <w:t xml:space="preserve">图像</w:t>
            </w:r>
            <w:r>
              <w:rPr>
                <w:rFonts w:hint="eastAsia" w:ascii="宋体" w:hAnsi="宋体" w:cs="宋体"/>
                <w:color w:val="000000"/>
                <w:sz w:val="24"/>
                <w:szCs w:val="24"/>
              </w:rPr>
              <w:t xml:space="preserve">设备维护费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624</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普通设备维护费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935</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single" w:color="000000" w:sz="4" w:space="0"/>
            </w:tcBorders>
            <w:tcW w:w="42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机房基础环境维护</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none" w:color="000000" w:sz="4" w:space="0"/>
              <w:right w:val="single" w:color="000000" w:sz="4" w:space="0"/>
            </w:tcBorders>
            <w:tcW w:w="42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网络设备维护</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none" w:color="000000" w:sz="4" w:space="0"/>
              <w:right w:val="single" w:color="000000" w:sz="4" w:space="0"/>
            </w:tcBorders>
            <w:tcW w:w="42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存储设备维护</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none" w:color="000000" w:sz="4" w:space="0"/>
              <w:right w:val="single" w:color="000000" w:sz="4" w:space="0"/>
            </w:tcBorders>
            <w:tcW w:w="42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仓库、场地租赁</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9</w:t>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none" w:color="000000" w:sz="4" w:space="0"/>
              <w:right w:val="single" w:color="000000" w:sz="4" w:space="0"/>
            </w:tcBorders>
            <w:tcW w:w="42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平台运维</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single" w:color="000000" w:sz="4" w:space="0"/>
              <w:left w:val="none" w:color="000000" w:sz="4" w:space="0"/>
              <w:bottom w:val="none" w:color="000000" w:sz="4" w:space="0"/>
              <w:right w:val="single" w:color="000000" w:sz="4" w:space="0"/>
            </w:tcBorders>
            <w:tcW w:w="42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杆件及基础维护</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项</w:t>
            </w:r>
            <w:r/>
          </w:p>
        </w:tc>
        <w:tc>
          <w:tcPr>
            <w:shd w:val="clear" w:color="000000"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tcBorders>
              <w:top w:val="none" w:color="000000" w:sz="4" w:space="0"/>
              <w:left w:val="single" w:color="000000" w:sz="4" w:space="0"/>
              <w:bottom w:val="none" w:color="000000" w:sz="4" w:space="0"/>
              <w:right w:val="single" w:color="000000" w:sz="4" w:space="0"/>
            </w:tcBorders>
            <w:tcW w:w="1734"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备品备件</w:t>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400万全彩摄像机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15</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none" w:color="000000" w:sz="4" w:space="0"/>
              <w:left w:val="single" w:color="000000" w:sz="4" w:space="0"/>
              <w:bottom w:val="none" w:color="000000" w:sz="4" w:space="0"/>
              <w:right w:val="single" w:color="000000" w:sz="4" w:space="0"/>
            </w:tcBorders>
            <w:tcW w:w="1734"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color w:val="000000"/>
                <w:sz w:val="24"/>
                <w:szCs w:val="24"/>
                <w:lang w:val="en-US" w:eastAsia="zh-CN"/>
              </w:rPr>
              <w:t xml:space="preserve">800万+400万全结构化摄像机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20</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none" w:color="000000" w:sz="4" w:space="0"/>
              <w:left w:val="single" w:color="000000" w:sz="4" w:space="0"/>
              <w:bottom w:val="none" w:color="000000" w:sz="4" w:space="0"/>
              <w:right w:val="single" w:color="000000" w:sz="4" w:space="0"/>
            </w:tcBorders>
            <w:tcW w:w="1734"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900万电子警察</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110</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none" w:color="000000" w:sz="4" w:space="0"/>
              <w:left w:val="single" w:color="000000" w:sz="4" w:space="0"/>
              <w:bottom w:val="none" w:color="000000" w:sz="4" w:space="0"/>
              <w:right w:val="single" w:color="000000" w:sz="4" w:space="0"/>
            </w:tcBorders>
            <w:tcW w:w="1734"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补光灯</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110</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15</w:t>
            </w:r>
            <w:r/>
          </w:p>
        </w:tc>
        <w:tc>
          <w:tcPr>
            <w:tcBorders>
              <w:top w:val="none" w:color="000000" w:sz="4" w:space="0"/>
              <w:left w:val="single" w:color="000000" w:sz="4" w:space="0"/>
              <w:bottom w:val="none" w:color="000000" w:sz="4" w:space="0"/>
              <w:right w:val="single" w:color="000000" w:sz="4" w:space="0"/>
            </w:tcBorders>
            <w:tcW w:w="1734"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爆闪灯</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50</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16</w:t>
            </w:r>
            <w:r/>
          </w:p>
        </w:tc>
        <w:tc>
          <w:tcPr>
            <w:tcBorders>
              <w:top w:val="none" w:color="000000" w:sz="4" w:space="0"/>
              <w:left w:val="single" w:color="000000" w:sz="4" w:space="0"/>
              <w:bottom w:val="none" w:color="000000" w:sz="4" w:space="0"/>
              <w:right w:val="single" w:color="000000" w:sz="4" w:space="0"/>
            </w:tcBorders>
            <w:tcW w:w="1734"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ascii="宋体" w:hAnsi="宋体" w:cs="宋体"/>
                <w:color w:val="000000"/>
                <w:sz w:val="24"/>
                <w:szCs w:val="24"/>
                <w:lang w:val="en-US"/>
              </w:rPr>
            </w:pPr>
            <w:r>
              <w:rPr>
                <w:rFonts w:hint="eastAsia" w:ascii="宋体" w:hAnsi="宋体" w:cs="宋体"/>
                <w:color w:val="000000"/>
                <w:sz w:val="24"/>
                <w:szCs w:val="24"/>
                <w:lang w:val="en-US" w:eastAsia="zh-CN"/>
              </w:rPr>
              <w:t xml:space="preserve">交通终端控制模块</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套</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15</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17</w:t>
            </w:r>
            <w:r/>
          </w:p>
        </w:tc>
        <w:tc>
          <w:tcPr>
            <w:tcBorders>
              <w:top w:val="none" w:color="000000" w:sz="4" w:space="0"/>
              <w:left w:val="single" w:color="000000" w:sz="4" w:space="0"/>
              <w:bottom w:val="none" w:color="000000" w:sz="4" w:space="0"/>
              <w:right w:val="single" w:color="000000" w:sz="4" w:space="0"/>
            </w:tcBorders>
            <w:tcW w:w="1734"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违章自动抓拍球</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18</w:t>
            </w:r>
            <w:r/>
          </w:p>
        </w:tc>
        <w:tc>
          <w:tcPr>
            <w:tcBorders>
              <w:top w:val="none" w:color="000000" w:sz="4" w:space="0"/>
              <w:left w:val="single" w:color="000000" w:sz="4" w:space="0"/>
              <w:bottom w:val="none" w:color="000000" w:sz="4" w:space="0"/>
              <w:right w:val="single" w:color="000000" w:sz="4" w:space="0"/>
            </w:tcBorders>
            <w:tcW w:w="1734"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ascii="宋体" w:hAnsi="宋体" w:cs="宋体"/>
                <w:color w:val="000000"/>
                <w:sz w:val="24"/>
                <w:szCs w:val="24"/>
                <w:lang w:val="en-US"/>
              </w:rPr>
            </w:pPr>
            <w:r>
              <w:rPr>
                <w:rFonts w:hint="eastAsia" w:ascii="宋体" w:hAnsi="宋体" w:cs="宋体"/>
                <w:color w:val="000000"/>
                <w:sz w:val="24"/>
                <w:szCs w:val="24"/>
                <w:lang w:val="en-US" w:eastAsia="zh-CN"/>
              </w:rPr>
              <w:t xml:space="preserve">视频图像云存储设备扩容模块</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19</w:t>
            </w:r>
            <w:r/>
          </w:p>
        </w:tc>
        <w:tc>
          <w:tcPr>
            <w:tcBorders>
              <w:top w:val="none" w:color="000000" w:sz="4" w:space="0"/>
              <w:left w:val="single" w:color="000000" w:sz="4" w:space="0"/>
              <w:bottom w:val="none" w:color="000000" w:sz="4" w:space="0"/>
              <w:right w:val="single" w:color="000000" w:sz="4" w:space="0"/>
            </w:tcBorders>
            <w:tcW w:w="1734"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雷达</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台</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w:t>
            </w:r>
            <w:r/>
          </w:p>
        </w:tc>
      </w:tr>
      <w:tr>
        <w:trPr>
          <w:trHeight w:val="520"/>
        </w:trPr>
        <w:tc>
          <w:tcPr>
            <w:tcBorders>
              <w:top w:val="non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20</w:t>
            </w:r>
            <w:r/>
          </w:p>
        </w:tc>
        <w:tc>
          <w:tcPr>
            <w:tcBorders>
              <w:top w:val="none" w:color="000000" w:sz="4" w:space="0"/>
              <w:left w:val="single" w:color="000000" w:sz="4" w:space="0"/>
              <w:bottom w:val="none" w:color="000000" w:sz="4" w:space="0"/>
              <w:right w:val="single" w:color="000000" w:sz="4" w:space="0"/>
            </w:tcBorders>
            <w:tcW w:w="1734"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硬盘</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块</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10</w:t>
            </w:r>
            <w:r/>
          </w:p>
        </w:tc>
      </w:tr>
      <w:tr>
        <w:trPr>
          <w:trHeight w:val="5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734" w:type="dxa"/>
            <w:vAlign w:val="center"/>
            <w:vMerge w:val="restart"/>
            <w:textDirection w:val="lrTb"/>
            <w:noWrap/>
          </w:tcPr>
          <w:p>
            <w:pPr>
              <w:jc w:val="center"/>
              <w:rPr>
                <w:rFonts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链路租赁</w:t>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20M光纤租赁</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条/年</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353</w:t>
            </w:r>
            <w:r/>
          </w:p>
        </w:tc>
      </w:tr>
      <w:tr>
        <w:trPr>
          <w:trHeight w:val="5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eastAsia="宋体" w:cs="宋体"/>
                <w:color w:val="000000"/>
                <w:sz w:val="24"/>
                <w:szCs w:val="24"/>
                <w:lang w:val="en-US"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p>
        </w:tc>
        <w:tc>
          <w:tcPr>
            <w:tcBorders>
              <w:top w:val="none" w:color="000000" w:sz="4" w:space="0"/>
              <w:left w:val="single" w:color="000000" w:sz="4" w:space="0"/>
              <w:bottom w:val="none" w:color="000000" w:sz="4" w:space="0"/>
              <w:right w:val="single" w:color="000000" w:sz="4" w:space="0"/>
            </w:tcBorders>
            <w:tcW w:w="1734" w:type="dxa"/>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50M光纤租赁</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条/年</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279</w:t>
            </w:r>
            <w:r/>
          </w:p>
        </w:tc>
      </w:tr>
      <w:tr>
        <w:trPr>
          <w:trHeight w:val="5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23</w:t>
            </w:r>
            <w:r/>
          </w:p>
        </w:tc>
        <w:tc>
          <w:tcPr>
            <w:tcBorders>
              <w:top w:val="none" w:color="000000" w:sz="4" w:space="0"/>
              <w:left w:val="single" w:color="000000" w:sz="4" w:space="0"/>
              <w:bottom w:val="none" w:color="000000" w:sz="4" w:space="0"/>
              <w:right w:val="single" w:color="000000" w:sz="4" w:space="0"/>
            </w:tcBorders>
            <w:tcW w:w="1734" w:type="dxa"/>
            <w:vAlign w:val="center"/>
            <w:vMerge w:val="continue"/>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100M光纤租赁</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条/年</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486</w:t>
            </w:r>
            <w:r/>
          </w:p>
        </w:tc>
      </w:tr>
      <w:tr>
        <w:trPr>
          <w:trHeight w:val="5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34" w:type="dxa"/>
            <w:vAlign w:val="center"/>
            <w:vMerge w:val="continue"/>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1000M裸纤传输</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条/年</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30</w:t>
            </w:r>
            <w:r/>
          </w:p>
        </w:tc>
      </w:tr>
    </w:tbl>
    <w:p>
      <w:pPr>
        <w:pStyle w:val="746"/>
        <w:ind w:firstLine="480"/>
        <w:rPr>
          <w:rFonts w:hint="eastAsia" w:ascii="宋体" w:hAnsi="宋体" w:eastAsia="宋体" w:cs="宋体"/>
          <w:bCs/>
          <w:color w:val="000000"/>
          <w:sz w:val="24"/>
        </w:rPr>
      </w:pPr>
      <w:r>
        <w:rPr>
          <w:rFonts w:hint="eastAsia" w:ascii="宋体" w:hAnsi="宋体" w:eastAsia="宋体" w:cs="宋体"/>
          <w:bCs/>
          <w:color w:val="000000"/>
          <w:sz w:val="24"/>
        </w:rPr>
      </w:r>
      <w:r/>
    </w:p>
    <w:p>
      <w:pPr>
        <w:pStyle w:val="746"/>
        <w:numPr>
          <w:ilvl w:val="0"/>
          <w:numId w:val="6"/>
        </w:numPr>
        <w:ind w:left="0" w:firstLine="241"/>
        <w:spacing w:after="156"/>
        <w:rPr>
          <w:rFonts w:hint="eastAsia" w:ascii="宋体" w:hAnsi="宋体" w:eastAsia="宋体" w:cs="宋体"/>
          <w:b/>
          <w:color w:val="000000"/>
          <w:sz w:val="24"/>
        </w:rPr>
      </w:pPr>
      <w:r>
        <w:rPr>
          <w:rFonts w:hint="eastAsia" w:ascii="宋体" w:hAnsi="宋体" w:eastAsia="宋体" w:cs="宋体"/>
          <w:b/>
          <w:color w:val="000000"/>
          <w:sz w:val="24"/>
        </w:rPr>
        <w:t xml:space="preserve">维保备品备件清单</w:t>
      </w:r>
      <w:r/>
    </w:p>
    <w:tbl>
      <w:tblPr>
        <w:tblStyle w:val="87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0"/>
        <w:gridCol w:w="4890"/>
        <w:gridCol w:w="3270"/>
      </w:tblGrid>
      <w:tr>
        <w:trPr>
          <w:trHeight w:val="501"/>
        </w:trPr>
        <w:tc>
          <w:tcPr>
            <w:tcW w:w="1540" w:type="dxa"/>
            <w:vAlign w:val="center"/>
            <w:textDirection w:val="lrTb"/>
            <w:noWrap w:val="false"/>
          </w:tcPr>
          <w:p>
            <w:pPr>
              <w:pStyle w:val="746"/>
              <w:jc w:val="center"/>
              <w:widowControl/>
              <w:rPr>
                <w:rFonts w:ascii="仿宋" w:hAnsi="仿宋" w:eastAsia="仿宋"/>
                <w:bCs/>
                <w:color w:val="000000"/>
                <w:sz w:val="24"/>
              </w:rPr>
            </w:pPr>
            <w:r>
              <w:rPr>
                <w:rFonts w:ascii="仿宋" w:hAnsi="仿宋" w:eastAsia="仿宋"/>
                <w:bCs/>
                <w:color w:val="000000"/>
                <w:sz w:val="24"/>
              </w:rPr>
              <w:t xml:space="preserve">序号</w:t>
            </w:r>
            <w:r/>
          </w:p>
        </w:tc>
        <w:tc>
          <w:tcPr>
            <w:tcW w:w="4890" w:type="dxa"/>
            <w:vAlign w:val="center"/>
            <w:textDirection w:val="lrTb"/>
            <w:noWrap w:val="false"/>
          </w:tcPr>
          <w:p>
            <w:pPr>
              <w:pStyle w:val="746"/>
              <w:jc w:val="center"/>
              <w:widowControl/>
              <w:rPr>
                <w:rFonts w:ascii="仿宋" w:hAnsi="仿宋" w:eastAsia="仿宋"/>
                <w:bCs/>
                <w:color w:val="000000"/>
                <w:sz w:val="24"/>
              </w:rPr>
            </w:pPr>
            <w:r>
              <w:rPr>
                <w:rFonts w:ascii="仿宋" w:hAnsi="仿宋" w:eastAsia="仿宋"/>
                <w:bCs/>
                <w:color w:val="000000"/>
                <w:sz w:val="24"/>
              </w:rPr>
              <w:t xml:space="preserve">设备名称</w:t>
            </w:r>
            <w:r/>
          </w:p>
        </w:tc>
        <w:tc>
          <w:tcPr>
            <w:tcW w:w="3270" w:type="dxa"/>
            <w:vAlign w:val="center"/>
            <w:textDirection w:val="lrTb"/>
            <w:noWrap w:val="false"/>
          </w:tcPr>
          <w:p>
            <w:pPr>
              <w:pStyle w:val="746"/>
              <w:jc w:val="center"/>
              <w:rPr>
                <w:rFonts w:ascii="仿宋" w:hAnsi="仿宋" w:eastAsia="仿宋"/>
                <w:color w:val="000000"/>
                <w:sz w:val="24"/>
              </w:rPr>
            </w:pPr>
            <w:r>
              <w:rPr>
                <w:rFonts w:ascii="仿宋" w:hAnsi="仿宋" w:eastAsia="仿宋"/>
                <w:color w:val="000000"/>
                <w:sz w:val="24"/>
              </w:rPr>
              <w:t xml:space="preserve">备品备件数量（台</w:t>
            </w:r>
            <w:r>
              <w:rPr>
                <w:rFonts w:hint="eastAsia" w:ascii="仿宋" w:hAnsi="仿宋" w:eastAsia="仿宋"/>
                <w:color w:val="000000"/>
                <w:sz w:val="24"/>
              </w:rPr>
              <w:t xml:space="preserve">/套</w:t>
            </w:r>
            <w:r>
              <w:rPr>
                <w:rFonts w:ascii="仿宋" w:hAnsi="仿宋" w:eastAsia="仿宋"/>
                <w:color w:val="000000"/>
                <w:sz w:val="24"/>
              </w:rPr>
              <w:t xml:space="preserve">）</w:t>
            </w:r>
            <w:r/>
          </w:p>
        </w:tc>
      </w:tr>
      <w:tr>
        <w:trPr>
          <w:trHeight w:val="435"/>
        </w:trPr>
        <w:tc>
          <w:tcPr>
            <w:tcW w:w="1540" w:type="dxa"/>
            <w:vAlign w:val="center"/>
            <w:textDirection w:val="lrTb"/>
            <w:noWrap w:val="false"/>
          </w:tcPr>
          <w:p>
            <w:pPr>
              <w:pStyle w:val="746"/>
              <w:jc w:val="center"/>
              <w:widowControl/>
              <w:rPr>
                <w:rFonts w:ascii="仿宋" w:hAnsi="仿宋" w:eastAsia="仿宋"/>
                <w:color w:val="000000"/>
                <w:sz w:val="24"/>
              </w:rPr>
            </w:pPr>
            <w:r>
              <w:rPr>
                <w:rFonts w:ascii="仿宋" w:hAnsi="仿宋" w:eastAsia="仿宋"/>
                <w:color w:val="000000"/>
                <w:sz w:val="24"/>
              </w:rPr>
              <w:t xml:space="preserve">1</w:t>
            </w:r>
            <w:r/>
          </w:p>
        </w:tc>
        <w:tc>
          <w:tcPr>
            <w:tcW w:w="4890" w:type="dxa"/>
            <w:vAlign w:val="center"/>
            <w:textDirection w:val="lrTb"/>
            <w:noWrap w:val="false"/>
          </w:tcPr>
          <w:p>
            <w:pPr>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400万全彩摄像机</w:t>
            </w:r>
            <w:r/>
          </w:p>
        </w:tc>
        <w:tc>
          <w:tcPr>
            <w:tcW w:w="3270" w:type="dxa"/>
            <w:vAlign w:val="center"/>
            <w:textDirection w:val="lrTb"/>
            <w:noWrap w:val="false"/>
          </w:tcPr>
          <w:p>
            <w:pPr>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15</w:t>
            </w:r>
            <w:r/>
          </w:p>
        </w:tc>
      </w:tr>
      <w:tr>
        <w:trPr>
          <w:trHeight w:val="414"/>
        </w:trPr>
        <w:tc>
          <w:tcPr>
            <w:tcW w:w="1540" w:type="dxa"/>
            <w:vAlign w:val="center"/>
            <w:textDirection w:val="lrTb"/>
            <w:noWrap w:val="false"/>
          </w:tcPr>
          <w:p>
            <w:pPr>
              <w:pStyle w:val="746"/>
              <w:jc w:val="center"/>
              <w:widowControl/>
              <w:rPr>
                <w:rFonts w:ascii="仿宋" w:hAnsi="仿宋" w:eastAsia="仿宋"/>
                <w:color w:val="000000"/>
                <w:sz w:val="24"/>
              </w:rPr>
            </w:pPr>
            <w:r>
              <w:rPr>
                <w:rFonts w:ascii="仿宋" w:hAnsi="仿宋" w:eastAsia="仿宋"/>
                <w:color w:val="000000"/>
                <w:sz w:val="24"/>
              </w:rPr>
              <w:t xml:space="preserve">2</w:t>
            </w:r>
            <w:r/>
          </w:p>
        </w:tc>
        <w:tc>
          <w:tcPr>
            <w:tcW w:w="4890" w:type="dxa"/>
            <w:vAlign w:val="center"/>
            <w:textDirection w:val="lrTb"/>
            <w:noWrap w:val="false"/>
          </w:tcPr>
          <w:p>
            <w:pPr>
              <w:jc w:val="center"/>
              <w:keepLines w:val="0"/>
              <w:keepNext w:val="0"/>
              <w:widowControl/>
              <w:rPr>
                <w:rFonts w:ascii="仿宋" w:hAnsi="仿宋" w:eastAsia="仿宋"/>
                <w:color w:val="000000"/>
                <w:sz w:val="24"/>
                <w:szCs w:val="24"/>
              </w:rPr>
              <w:suppressLineNumbers w:val="0"/>
            </w:pPr>
            <w:r>
              <w:rPr>
                <w:rFonts w:hint="eastAsia" w:ascii="宋体" w:hAnsi="宋体" w:cs="宋体"/>
                <w:color w:val="000000"/>
                <w:sz w:val="24"/>
                <w:szCs w:val="24"/>
                <w:lang w:val="en-US" w:eastAsia="zh-CN"/>
              </w:rPr>
              <w:t xml:space="preserve">800万+400万全结构化摄像机</w:t>
            </w:r>
            <w:r/>
          </w:p>
        </w:tc>
        <w:tc>
          <w:tcPr>
            <w:tcW w:w="3270" w:type="dxa"/>
            <w:vAlign w:val="center"/>
            <w:textDirection w:val="lrTb"/>
            <w:noWrap w:val="false"/>
          </w:tcPr>
          <w:p>
            <w:pPr>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20</w:t>
            </w:r>
            <w:r/>
          </w:p>
        </w:tc>
      </w:tr>
      <w:tr>
        <w:trPr>
          <w:trHeight w:val="435"/>
        </w:trPr>
        <w:tc>
          <w:tcPr>
            <w:tcW w:w="1540" w:type="dxa"/>
            <w:vAlign w:val="center"/>
            <w:textDirection w:val="lrTb"/>
            <w:noWrap w:val="false"/>
          </w:tcPr>
          <w:p>
            <w:pPr>
              <w:pStyle w:val="746"/>
              <w:jc w:val="center"/>
              <w:widowControl/>
              <w:rPr>
                <w:rFonts w:ascii="仿宋" w:hAnsi="仿宋" w:eastAsia="仿宋"/>
                <w:color w:val="000000"/>
                <w:sz w:val="24"/>
              </w:rPr>
            </w:pPr>
            <w:r>
              <w:rPr>
                <w:rFonts w:ascii="仿宋" w:hAnsi="仿宋" w:eastAsia="仿宋"/>
                <w:color w:val="000000"/>
                <w:sz w:val="24"/>
              </w:rPr>
              <w:t xml:space="preserve">3</w:t>
            </w:r>
            <w:r/>
          </w:p>
        </w:tc>
        <w:tc>
          <w:tcPr>
            <w:tcW w:w="4890" w:type="dxa"/>
            <w:vAlign w:val="center"/>
            <w:textDirection w:val="lrTb"/>
            <w:noWrap w:val="false"/>
          </w:tcPr>
          <w:p>
            <w:pPr>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900万电子警察</w:t>
            </w:r>
            <w:r/>
          </w:p>
        </w:tc>
        <w:tc>
          <w:tcPr>
            <w:tcW w:w="3270" w:type="dxa"/>
            <w:vAlign w:val="center"/>
            <w:textDirection w:val="lrTb"/>
            <w:noWrap w:val="false"/>
          </w:tcPr>
          <w:p>
            <w:pPr>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110</w:t>
            </w:r>
            <w:r/>
          </w:p>
        </w:tc>
      </w:tr>
      <w:tr>
        <w:trPr>
          <w:trHeight w:val="435"/>
        </w:trPr>
        <w:tc>
          <w:tcPr>
            <w:tcW w:w="1540" w:type="dxa"/>
            <w:vAlign w:val="center"/>
            <w:textDirection w:val="lrTb"/>
            <w:noWrap w:val="false"/>
          </w:tcPr>
          <w:p>
            <w:pPr>
              <w:pStyle w:val="746"/>
              <w:jc w:val="center"/>
              <w:widowControl/>
              <w:rPr>
                <w:rFonts w:ascii="仿宋" w:hAnsi="仿宋" w:eastAsia="仿宋"/>
                <w:color w:val="000000"/>
                <w:sz w:val="24"/>
              </w:rPr>
            </w:pPr>
            <w:r>
              <w:rPr>
                <w:rFonts w:ascii="仿宋" w:hAnsi="仿宋" w:eastAsia="仿宋"/>
                <w:color w:val="000000"/>
                <w:sz w:val="24"/>
              </w:rPr>
              <w:t xml:space="preserve">4</w:t>
            </w:r>
            <w:r/>
          </w:p>
        </w:tc>
        <w:tc>
          <w:tcPr>
            <w:tcW w:w="4890" w:type="dxa"/>
            <w:vAlign w:val="center"/>
            <w:textDirection w:val="lrTb"/>
            <w:noWrap w:val="false"/>
          </w:tcPr>
          <w:p>
            <w:pPr>
              <w:jc w:val="center"/>
              <w:rPr>
                <w:rFonts w:ascii="仿宋" w:hAnsi="仿宋" w:eastAsia="仿宋" w:cs="仿宋"/>
                <w:color w:val="000000"/>
                <w:sz w:val="24"/>
                <w:szCs w:val="24"/>
                <w:lang w:bidi="ar"/>
              </w:rPr>
            </w:pPr>
            <w:r>
              <w:rPr>
                <w:rFonts w:hint="eastAsia" w:ascii="宋体" w:hAnsi="宋体" w:cs="宋体"/>
                <w:color w:val="000000"/>
                <w:sz w:val="24"/>
                <w:szCs w:val="24"/>
                <w:lang w:val="en-US" w:eastAsia="zh-CN"/>
              </w:rPr>
              <w:t xml:space="preserve">补光灯</w:t>
            </w:r>
            <w:r/>
          </w:p>
        </w:tc>
        <w:tc>
          <w:tcPr>
            <w:tcW w:w="3270" w:type="dxa"/>
            <w:vAlign w:val="center"/>
            <w:textDirection w:val="lrTb"/>
            <w:noWrap w:val="false"/>
          </w:tcPr>
          <w:p>
            <w:pPr>
              <w:jc w:val="center"/>
              <w:rPr>
                <w:rFonts w:ascii="仿宋" w:hAnsi="仿宋" w:eastAsia="仿宋" w:cs="仿宋"/>
                <w:color w:val="000000"/>
                <w:sz w:val="24"/>
                <w:szCs w:val="24"/>
                <w:lang w:bidi="ar"/>
              </w:rPr>
            </w:pPr>
            <w:r>
              <w:rPr>
                <w:rFonts w:hint="eastAsia" w:ascii="宋体" w:hAnsi="宋体" w:cs="宋体"/>
                <w:color w:val="000000"/>
                <w:sz w:val="24"/>
                <w:szCs w:val="24"/>
                <w:lang w:val="en-US" w:eastAsia="zh-CN"/>
              </w:rPr>
              <w:t xml:space="preserve">110</w:t>
            </w:r>
            <w:r/>
          </w:p>
        </w:tc>
      </w:tr>
      <w:tr>
        <w:trPr>
          <w:trHeight w:val="414"/>
        </w:trPr>
        <w:tc>
          <w:tcPr>
            <w:tcW w:w="1540" w:type="dxa"/>
            <w:vAlign w:val="center"/>
            <w:textDirection w:val="lrTb"/>
            <w:noWrap w:val="false"/>
          </w:tcPr>
          <w:p>
            <w:pPr>
              <w:pStyle w:val="746"/>
              <w:jc w:val="center"/>
              <w:widowControl/>
              <w:rPr>
                <w:rFonts w:ascii="仿宋" w:hAnsi="仿宋" w:eastAsia="仿宋"/>
                <w:color w:val="000000"/>
                <w:sz w:val="24"/>
              </w:rPr>
            </w:pPr>
            <w:r>
              <w:rPr>
                <w:rFonts w:ascii="仿宋" w:hAnsi="仿宋" w:eastAsia="仿宋"/>
                <w:color w:val="000000"/>
                <w:sz w:val="24"/>
              </w:rPr>
              <w:t xml:space="preserve">5</w:t>
            </w:r>
            <w:r/>
          </w:p>
        </w:tc>
        <w:tc>
          <w:tcPr>
            <w:tcW w:w="4890" w:type="dxa"/>
            <w:vAlign w:val="center"/>
            <w:textDirection w:val="lrTb"/>
            <w:noWrap w:val="false"/>
          </w:tcPr>
          <w:p>
            <w:pPr>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爆闪灯</w:t>
            </w:r>
            <w:r/>
          </w:p>
        </w:tc>
        <w:tc>
          <w:tcPr>
            <w:tcW w:w="3270" w:type="dxa"/>
            <w:vAlign w:val="center"/>
            <w:textDirection w:val="lrTb"/>
            <w:noWrap w:val="false"/>
          </w:tcPr>
          <w:p>
            <w:pPr>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50</w:t>
            </w:r>
            <w:r/>
          </w:p>
        </w:tc>
      </w:tr>
      <w:tr>
        <w:trPr>
          <w:trHeight w:val="435"/>
        </w:trPr>
        <w:tc>
          <w:tcPr>
            <w:tcW w:w="1540" w:type="dxa"/>
            <w:vAlign w:val="center"/>
            <w:textDirection w:val="lrTb"/>
            <w:noWrap w:val="false"/>
          </w:tcPr>
          <w:p>
            <w:pPr>
              <w:pStyle w:val="746"/>
              <w:jc w:val="center"/>
              <w:widowControl/>
              <w:rPr>
                <w:rFonts w:ascii="仿宋" w:hAnsi="仿宋" w:eastAsia="仿宋"/>
                <w:color w:val="000000"/>
                <w:sz w:val="24"/>
              </w:rPr>
            </w:pPr>
            <w:r>
              <w:rPr>
                <w:rFonts w:ascii="仿宋" w:hAnsi="仿宋" w:eastAsia="仿宋"/>
                <w:color w:val="000000"/>
                <w:sz w:val="24"/>
              </w:rPr>
              <w:t xml:space="preserve">6</w:t>
            </w:r>
            <w:r/>
          </w:p>
        </w:tc>
        <w:tc>
          <w:tcPr>
            <w:tcW w:w="4890" w:type="dxa"/>
            <w:vAlign w:val="center"/>
            <w:textDirection w:val="lrTb"/>
            <w:noWrap w:val="false"/>
          </w:tcPr>
          <w:p>
            <w:pPr>
              <w:jc w:val="center"/>
              <w:rPr>
                <w:rFonts w:ascii="仿宋" w:hAnsi="仿宋" w:eastAsia="仿宋"/>
                <w:color w:val="000000"/>
                <w:sz w:val="24"/>
                <w:szCs w:val="24"/>
                <w:lang w:val="en-US"/>
              </w:rPr>
            </w:pPr>
            <w:r>
              <w:rPr>
                <w:rFonts w:hint="eastAsia" w:ascii="宋体" w:hAnsi="宋体" w:cs="宋体"/>
                <w:color w:val="000000"/>
                <w:sz w:val="24"/>
                <w:szCs w:val="24"/>
                <w:lang w:val="en-US" w:eastAsia="zh-CN"/>
              </w:rPr>
              <w:t xml:space="preserve">交通终端控制模块</w:t>
            </w:r>
            <w:r/>
          </w:p>
        </w:tc>
        <w:tc>
          <w:tcPr>
            <w:tcW w:w="3270" w:type="dxa"/>
            <w:vAlign w:val="center"/>
            <w:textDirection w:val="lrTb"/>
            <w:noWrap w:val="false"/>
          </w:tcPr>
          <w:p>
            <w:pPr>
              <w:jc w:val="center"/>
              <w:rPr>
                <w:rFonts w:ascii="仿宋" w:hAnsi="仿宋" w:eastAsia="仿宋"/>
                <w:color w:val="000000"/>
                <w:sz w:val="24"/>
                <w:szCs w:val="24"/>
              </w:rPr>
            </w:pPr>
            <w:r>
              <w:rPr>
                <w:rFonts w:hint="eastAsia" w:ascii="宋体" w:hAnsi="宋体" w:cs="宋体"/>
                <w:color w:val="000000"/>
                <w:sz w:val="24"/>
                <w:szCs w:val="24"/>
                <w:lang w:val="en-US" w:eastAsia="zh-CN"/>
              </w:rPr>
              <w:t xml:space="preserve">15</w:t>
            </w:r>
            <w:r/>
          </w:p>
        </w:tc>
      </w:tr>
      <w:tr>
        <w:trPr>
          <w:trHeight w:val="435"/>
        </w:trPr>
        <w:tc>
          <w:tcPr>
            <w:tcW w:w="1540" w:type="dxa"/>
            <w:vAlign w:val="center"/>
            <w:textDirection w:val="lrTb"/>
            <w:noWrap w:val="false"/>
          </w:tcPr>
          <w:p>
            <w:pPr>
              <w:pStyle w:val="746"/>
              <w:jc w:val="center"/>
              <w:widowControl/>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7</w:t>
            </w:r>
            <w:r/>
          </w:p>
        </w:tc>
        <w:tc>
          <w:tcPr>
            <w:tcW w:w="489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val="en-US" w:eastAsia="zh-CN"/>
              </w:rPr>
              <w:t xml:space="preserve">违章自动抓拍球</w:t>
            </w:r>
            <w:r/>
          </w:p>
        </w:tc>
        <w:tc>
          <w:tcPr>
            <w:tcW w:w="327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val="en-US" w:eastAsia="zh-CN"/>
              </w:rPr>
              <w:t xml:space="preserve">3</w:t>
            </w:r>
            <w:r/>
          </w:p>
        </w:tc>
      </w:tr>
      <w:tr>
        <w:trPr>
          <w:trHeight w:val="435"/>
        </w:trPr>
        <w:tc>
          <w:tcPr>
            <w:tcW w:w="1540" w:type="dxa"/>
            <w:vAlign w:val="center"/>
            <w:textDirection w:val="lrTb"/>
            <w:noWrap w:val="false"/>
          </w:tcPr>
          <w:p>
            <w:pPr>
              <w:pStyle w:val="746"/>
              <w:jc w:val="center"/>
              <w:widowControl/>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8</w:t>
            </w:r>
            <w:r/>
          </w:p>
        </w:tc>
        <w:tc>
          <w:tcPr>
            <w:tcW w:w="4890" w:type="dxa"/>
            <w:vAlign w:val="center"/>
            <w:textDirection w:val="lrTb"/>
            <w:noWrap w:val="false"/>
          </w:tcPr>
          <w:p>
            <w:pPr>
              <w:jc w:val="center"/>
              <w:rPr>
                <w:rFonts w:ascii="宋体" w:hAnsi="宋体" w:cs="宋体"/>
                <w:color w:val="000000"/>
                <w:sz w:val="24"/>
                <w:szCs w:val="24"/>
                <w:lang w:val="en-US"/>
              </w:rPr>
            </w:pPr>
            <w:r>
              <w:rPr>
                <w:rFonts w:hint="eastAsia" w:ascii="宋体" w:hAnsi="宋体" w:cs="宋体"/>
                <w:color w:val="000000"/>
                <w:sz w:val="24"/>
                <w:szCs w:val="24"/>
                <w:lang w:val="en-US" w:eastAsia="zh-CN"/>
              </w:rPr>
              <w:t xml:space="preserve">视频图像云存储设备扩容模块</w:t>
            </w:r>
            <w:r/>
          </w:p>
        </w:tc>
        <w:tc>
          <w:tcPr>
            <w:tcW w:w="327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val="en-US" w:eastAsia="zh-CN"/>
              </w:rPr>
              <w:t xml:space="preserve">1</w:t>
            </w:r>
            <w:r/>
          </w:p>
        </w:tc>
      </w:tr>
      <w:tr>
        <w:trPr>
          <w:trHeight w:val="435"/>
        </w:trPr>
        <w:tc>
          <w:tcPr>
            <w:tcW w:w="1540" w:type="dxa"/>
            <w:vAlign w:val="center"/>
            <w:textDirection w:val="lrTb"/>
            <w:noWrap w:val="false"/>
          </w:tcPr>
          <w:p>
            <w:pPr>
              <w:pStyle w:val="746"/>
              <w:jc w:val="center"/>
              <w:widowControl/>
              <w:rPr>
                <w:rFonts w:ascii="仿宋" w:hAnsi="仿宋" w:eastAsia="仿宋"/>
                <w:color w:val="000000"/>
                <w:sz w:val="24"/>
                <w:lang w:val="en-US" w:eastAsia="zh-CN"/>
              </w:rPr>
            </w:pPr>
            <w:r>
              <w:rPr>
                <w:rFonts w:hint="eastAsia" w:ascii="仿宋" w:hAnsi="仿宋" w:eastAsia="仿宋"/>
                <w:color w:val="000000"/>
                <w:sz w:val="24"/>
                <w:lang w:val="en-US" w:eastAsia="zh-CN"/>
              </w:rPr>
              <w:t xml:space="preserve">9</w:t>
            </w:r>
            <w:r/>
          </w:p>
        </w:tc>
        <w:tc>
          <w:tcPr>
            <w:tcW w:w="4890"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雷达</w:t>
            </w:r>
            <w:r/>
          </w:p>
        </w:tc>
        <w:tc>
          <w:tcPr>
            <w:tcW w:w="3270"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w:t>
            </w:r>
            <w:r/>
          </w:p>
        </w:tc>
      </w:tr>
      <w:tr>
        <w:trPr>
          <w:trHeight w:val="435"/>
        </w:trPr>
        <w:tc>
          <w:tcPr>
            <w:tcW w:w="1540" w:type="dxa"/>
            <w:vAlign w:val="center"/>
            <w:textDirection w:val="lrTb"/>
            <w:noWrap w:val="false"/>
          </w:tcPr>
          <w:p>
            <w:pPr>
              <w:pStyle w:val="746"/>
              <w:jc w:val="center"/>
              <w:widowControl/>
              <w:rPr>
                <w:rFonts w:ascii="仿宋" w:hAnsi="仿宋" w:eastAsia="仿宋"/>
                <w:color w:val="000000"/>
                <w:sz w:val="24"/>
                <w:lang w:val="en-US" w:eastAsia="zh-CN"/>
              </w:rPr>
            </w:pPr>
            <w:r>
              <w:rPr>
                <w:rFonts w:hint="eastAsia" w:ascii="仿宋" w:hAnsi="仿宋" w:eastAsia="仿宋"/>
                <w:color w:val="000000"/>
                <w:sz w:val="24"/>
                <w:lang w:val="en-US" w:eastAsia="zh-CN"/>
              </w:rPr>
              <w:t xml:space="preserve">10</w:t>
            </w:r>
            <w:r/>
          </w:p>
        </w:tc>
        <w:tc>
          <w:tcPr>
            <w:tcW w:w="4890"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硬盘</w:t>
            </w:r>
            <w:r/>
          </w:p>
        </w:tc>
        <w:tc>
          <w:tcPr>
            <w:tcW w:w="3270" w:type="dxa"/>
            <w:vAlign w:val="center"/>
            <w:textDirection w:val="lrTb"/>
            <w:noWrap w:val="false"/>
          </w:tcPr>
          <w:p>
            <w:pPr>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10</w:t>
            </w:r>
            <w:r/>
          </w:p>
        </w:tc>
      </w:tr>
    </w:tbl>
    <w:p>
      <w:pPr>
        <w:pStyle w:val="747"/>
        <w:numPr>
          <w:ilvl w:val="0"/>
          <w:numId w:val="0"/>
        </w:numPr>
        <w:ind w:left="241" w:right="1440"/>
        <w:rPr>
          <w:rFonts w:hint="eastAsia"/>
        </w:rPr>
      </w:pPr>
      <w:r>
        <w:rPr>
          <w:rFonts w:hint="eastAsia"/>
        </w:rPr>
      </w:r>
      <w:r/>
    </w:p>
    <w:p>
      <w:pPr>
        <w:pStyle w:val="746"/>
        <w:ind w:firstLine="480"/>
        <w:spacing w:before="156"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★投标人应为本项目提供常用产品的备品备件，投标人应结合实际情况，充分考虑自行配置的备品备件数量供甲方随时抽查。</w:t>
      </w:r>
      <w:r/>
    </w:p>
    <w:p>
      <w:pPr>
        <w:pStyle w:val="747"/>
        <w:ind w:left="281" w:right="-25"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更换后的废旧设备中标人提供场地储存，等甲方确认处理方式后进行集中处理，备品备件费用按照实际使用数量进行结算。</w:t>
      </w:r>
      <w:r/>
    </w:p>
    <w:p>
      <w:pPr>
        <w:pStyle w:val="747"/>
        <w:ind w:left="281" w:right="-25"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47"/>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747"/>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747"/>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747"/>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747"/>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747"/>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747"/>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747"/>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747"/>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747"/>
        <w:ind w:left="281" w:right="-25" w:firstLine="540"/>
        <w:rPr>
          <w:rFonts w:hint="eastAsia" w:ascii="宋体" w:hAnsi="宋体" w:eastAsia="宋体" w:cs="宋体"/>
          <w:color w:val="000000"/>
          <w:sz w:val="24"/>
        </w:rPr>
      </w:pPr>
      <w:r>
        <w:rPr>
          <w:rFonts w:hint="eastAsia" w:ascii="宋体" w:hAnsi="宋体" w:eastAsia="宋体" w:cs="宋体"/>
          <w:color w:val="000000"/>
          <w:sz w:val="24"/>
        </w:rPr>
      </w:r>
      <w:r/>
    </w:p>
    <w:p>
      <w:pPr>
        <w:pStyle w:val="746"/>
        <w:numPr>
          <w:ilvl w:val="0"/>
          <w:numId w:val="7"/>
        </w:numPr>
        <w:keepLines w:val="0"/>
        <w:keepNext/>
        <w:pageBreakBefore w:val="0"/>
        <w:spacing w:before="156" w:line="360" w:lineRule="auto"/>
        <w:widowControl w:val="off"/>
        <w:rPr>
          <w:rFonts w:hint="eastAsia" w:ascii="宋体" w:hAnsi="宋体" w:eastAsia="宋体" w:cs="宋体"/>
          <w:b/>
          <w:color w:val="000000"/>
          <w:sz w:val="24"/>
        </w:rPr>
      </w:pPr>
      <w:r/>
      <w:bookmarkStart w:id="12" w:name="_Toc303079680"/>
      <w:r/>
      <w:bookmarkStart w:id="13" w:name="_Toc354565923"/>
      <w:r/>
      <w:bookmarkStart w:id="14" w:name="_Toc303185605"/>
      <w:r/>
      <w:bookmarkStart w:id="15" w:name="_Toc303185604"/>
      <w:r/>
      <w:bookmarkStart w:id="16" w:name="_Toc303079676"/>
      <w:r>
        <w:rPr>
          <w:rFonts w:hint="eastAsia" w:ascii="宋体" w:hAnsi="宋体" w:eastAsia="宋体" w:cs="宋体"/>
          <w:b/>
          <w:color w:val="000000"/>
          <w:sz w:val="24"/>
        </w:rPr>
        <w:t xml:space="preserve">备品备件设备配置参数要求</w:t>
      </w:r>
      <w:bookmarkEnd w:id="12"/>
      <w:r/>
      <w:bookmarkEnd w:id="13"/>
      <w:r/>
      <w:bookmarkEnd w:id="14"/>
      <w:r/>
      <w:bookmarkEnd w:id="15"/>
      <w:r/>
      <w:bookmarkEnd w:id="16"/>
      <w:r/>
      <w:r/>
    </w:p>
    <w:p>
      <w:pPr>
        <w:pStyle w:val="823"/>
        <w:numPr>
          <w:ilvl w:val="4"/>
          <w:numId w:val="0"/>
        </w:numPr>
        <w:spacing w:before="156"/>
        <w:tabs>
          <w:tab w:val="left" w:pos="1008" w:leader="none"/>
        </w:tabs>
        <w:rPr>
          <w:rFonts w:hint="eastAsia" w:ascii="宋体" w:hAnsi="宋体" w:eastAsia="宋体" w:cs="宋体"/>
          <w:color w:val="000000"/>
          <w:lang w:val="en-US" w:eastAsia="zh-CN"/>
        </w:rPr>
      </w:pPr>
      <w:r/>
      <w:bookmarkStart w:id="17" w:name="_Toc303185607"/>
      <w:r/>
      <w:bookmarkStart w:id="18" w:name="_Toc354565926"/>
      <w:r>
        <w:rPr>
          <w:rFonts w:hint="eastAsia" w:ascii="宋体" w:hAnsi="宋体" w:eastAsia="宋体" w:cs="宋体"/>
          <w:color w:val="000000"/>
          <w:lang w:val="en-US" w:eastAsia="zh-CN"/>
        </w:rPr>
        <w:t xml:space="preserve">1、400万全彩摄像机</w:t>
      </w:r>
      <w:r/>
    </w:p>
    <w:p>
      <w:pPr>
        <w:pStyle w:val="823"/>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内置靶面尺寸不小于1/1.8英寸的CMOS图像传感器，光圈不小于F1.0。</w:t>
      </w:r>
      <w:r/>
    </w:p>
    <w:p>
      <w:pPr>
        <w:pStyle w:val="823"/>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支持输出图像分辨率不低于2560x1440。</w:t>
      </w:r>
      <w:r/>
    </w:p>
    <w:p>
      <w:pPr>
        <w:pStyle w:val="823"/>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内置1颗CPU、GPU、NPU于一体的芯片。</w:t>
      </w:r>
      <w:r/>
    </w:p>
    <w:p>
      <w:pPr>
        <w:pStyle w:val="823"/>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▲补光灯灯杯采用双层透镜结构，外表平面为柔光层，采用复眼式微透镜阵列，具有六边形阵列纹路;下层束光层为鳞甲TIR透镜，内壁具有鳞甲阵列纹路。</w:t>
      </w:r>
      <w:r/>
    </w:p>
    <w:p>
      <w:pPr>
        <w:pStyle w:val="823"/>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补光灯开启后，灯光应为椭圆形形状，且补光灯均匀无波纹状、圆环状、麻点状、条纹状和不规则亮斑。</w:t>
      </w:r>
      <w:r/>
    </w:p>
    <w:p>
      <w:pPr>
        <w:pStyle w:val="823"/>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▲具有AI-ISP图像质量提升功能，在低照度环境下，可自动调节预览场景视频画面中人脸、人体、车辆等目标及预览场景视频画面的区域曝光、亮度、色彩饱和度、对比度、锐度等。</w:t>
      </w:r>
      <w:r/>
    </w:p>
    <w:p>
      <w:pPr>
        <w:pStyle w:val="823"/>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在低照环境下，开启补光灯，可识别距离设备30m处人体轮廓。</w:t>
      </w:r>
      <w:r/>
    </w:p>
    <w:p>
      <w:pPr>
        <w:pStyle w:val="823"/>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具有日夜场景自适应功能，在白天和夜晚环境下，设备均可输出彩色图像，在夜晚自动开启补光灯条件下，夜晚图像清晰度应不低于白天图像清晰度的95%。</w:t>
      </w:r>
      <w:r/>
    </w:p>
    <w:p>
      <w:pPr>
        <w:pStyle w:val="823"/>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可通过IE浏览器设置码流套餐为画质优先、均衡模式、存储优先及自定义多种类型。</w:t>
      </w:r>
      <w:r/>
    </w:p>
    <w:p>
      <w:pPr>
        <w:pStyle w:val="823"/>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▲支持对H.264、H.265编码格式的视频进行AI编码。开启AI编码功能后，视频编码格式、分辨率、帧率保持不变。</w:t>
      </w:r>
      <w:r/>
    </w:p>
    <w:p>
      <w:pPr>
        <w:pStyle w:val="823"/>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支持流量管理功能，可设置日平均码率和最大码率上限。功能开启后，可控制平均网传流量和统计日流量余额；无历史结余流量时，实时网传码率应不超过日平均码率，存在历史结余流量时，历史结余流量可按需动态分配给当前场景使用。</w:t>
      </w:r>
      <w:r/>
    </w:p>
    <w:p>
      <w:pPr>
        <w:pStyle w:val="823"/>
        <w:numPr>
          <w:ilvl w:val="4"/>
          <w:numId w:val="0"/>
        </w:numPr>
        <w:spacing w:before="156"/>
        <w:tabs>
          <w:tab w:val="left" w:pos="1008" w:leader="none"/>
        </w:tabs>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以上提供公安部检测报告复印件。</w:t>
      </w:r>
      <w:r/>
    </w:p>
    <w:p>
      <w:pPr>
        <w:pStyle w:val="823"/>
        <w:numPr>
          <w:ilvl w:val="4"/>
          <w:numId w:val="0"/>
        </w:numPr>
        <w:spacing w:before="156"/>
        <w:tabs>
          <w:tab w:val="left" w:pos="1008" w:leader="none"/>
        </w:tabs>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、800万+400万全结构化摄像机</w:t>
      </w:r>
      <w:r/>
    </w:p>
    <w:p>
      <w:pPr>
        <w:pStyle w:val="823"/>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通道1主码流不小于3840×2160，通道2主码流不小于2688×1520。</w:t>
      </w:r>
      <w:r/>
    </w:p>
    <w:p>
      <w:pPr>
        <w:pStyle w:val="823"/>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内置双镜头，2颗靶面尺寸不小于1/1.8英寸的CMOS图像传感器。</w:t>
      </w:r>
      <w:r/>
    </w:p>
    <w:p>
      <w:pPr>
        <w:pStyle w:val="823"/>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具有不少于2个音频输入接口、1个音频输出接口、3个报警输入接口、2个报警输出接口，内置2个麦克风、1个扬声器。</w:t>
      </w:r>
      <w:r/>
    </w:p>
    <w:p>
      <w:pPr>
        <w:pStyle w:val="823"/>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▲具有不少于6颗鳞镜式补光灯，补光灯开启后正面不可见补光灯灯珠，灯光亮度均匀，无波纹状、圆环状、麻点状、条纹状及不规则亮斑。</w:t>
      </w:r>
      <w:r/>
    </w:p>
    <w:p>
      <w:pPr>
        <w:pStyle w:val="823"/>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▲采用基于transformer架构的大模型算法，内置算力不小于8TOPS。</w:t>
      </w:r>
      <w:r/>
    </w:p>
    <w:p>
      <w:pPr>
        <w:pStyle w:val="823"/>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大模型结构化混行目标检测功能，支持混行目标（行人、人脸、车辆、非机动车）检测、抓拍及结构化属性分析。可关联显示人脸/人体图片和车牌/车辆图片，并可将抓拍结果上传平台，上传延时不超过1S。</w:t>
      </w:r>
      <w:r/>
    </w:p>
    <w:p>
      <w:pPr>
        <w:pStyle w:val="823"/>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▲支持大模型人脸比对功能，对监控画面中出现的人脸与设备人脸库中的人脸图片进行比对，比对准确率不低于95%。</w:t>
      </w:r>
      <w:r/>
    </w:p>
    <w:p>
      <w:pPr>
        <w:pStyle w:val="823"/>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▲支持大模型人脸成像增强功能，开启后可提升低照度、雨、雾等环境下的人脸抓拍图片的成像效果。</w:t>
      </w:r>
      <w:r/>
    </w:p>
    <w:p>
      <w:pPr>
        <w:pStyle w:val="823"/>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▲具有AI-ISP图像质量提升功能，在低照度环境下，可自动调节预览场景视频画面中人脸、人体、车辆等目标及预览场景视频画面的区域曝光、亮度、色彩饱和度、对比度、锐度等。</w:t>
      </w:r>
      <w:r/>
    </w:p>
    <w:p>
      <w:pPr>
        <w:pStyle w:val="823"/>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外壳防护等级不低于IP67。</w:t>
      </w:r>
      <w:r/>
    </w:p>
    <w:p>
      <w:pPr>
        <w:pStyle w:val="823"/>
        <w:numPr>
          <w:ilvl w:val="4"/>
          <w:numId w:val="0"/>
        </w:numPr>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以上提供公安部检测报告复印件。</w:t>
      </w:r>
      <w:r/>
    </w:p>
    <w:p>
      <w:pPr>
        <w:pStyle w:val="823"/>
        <w:numPr>
          <w:ilvl w:val="4"/>
          <w:numId w:val="0"/>
        </w:numPr>
        <w:spacing w:before="156"/>
        <w:tabs>
          <w:tab w:val="left" w:pos="1008" w:leader="none"/>
        </w:tabs>
        <w:rPr>
          <w:rFonts w:hint="eastAsia" w:ascii="宋体" w:hAnsi="宋体" w:eastAsia="宋体" w:cs="宋体"/>
          <w:color w:val="0000ff"/>
          <w:highlight w:val="none"/>
        </w:rPr>
      </w:pPr>
      <w:r>
        <w:rPr>
          <w:rFonts w:hint="eastAsia" w:ascii="宋体" w:hAnsi="宋体" w:eastAsia="宋体" w:cs="宋体"/>
          <w:color w:val="0000ff"/>
          <w:highlight w:val="none"/>
          <w:lang w:val="en-US" w:eastAsia="zh-CN"/>
        </w:rPr>
        <w:t xml:space="preserve">3、900万高清</w:t>
      </w:r>
      <w:r>
        <w:rPr>
          <w:rFonts w:hint="eastAsia" w:ascii="宋体" w:hAnsi="宋体" w:eastAsia="宋体" w:cs="宋体"/>
          <w:color w:val="0000ff"/>
          <w:highlight w:val="none"/>
        </w:rPr>
        <w:t xml:space="preserve">抓拍单元</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由摄像机、高清镜头、室外防护罩、风扇、补光灯、电源适配器、安装万向节等组成。</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支持视频分辨率设置为：50fps：4096×2160、3840×2336、1920×1080、1600×1200、1280×720；25fps：4096×2160、3840×2336、1920×1080、1600×1200、1280×720。</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▲在天气晴朗无雾，号牌无遮挡，无污损的条件进行测试，白天测试时的环境光照度不低于200lx，晚上测试时辅助照明光照度不高于30lx。 白天和晚上闯红灯捕获率均不小于99%。</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支持按车道和时间段配置机动车违法检测抓拍规则，包括压线、违法变道、不按导向行驶、占用非机动车道、倒车、闯红灯、不按规定车道行驶、占用公交车道、逆行、违反禁止左/右转、违法掉头、违反禁货车通行。</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▲支持对25×10 像素～1100×3000 像素的机动车车牌进行抓拍并识别号码； 支持抓拍并识别垂直倾斜角度≤45°、水平倾斜角度≤35°、俯仰角度≤40°的机动车车牌号码。</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▲支持闯禁行记录功能，可对不少于5种普通车型及9种特种车型进行检测、抓拍记录、识别及图片存储。</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支持识别不少于39种车身颜色，支持识别车身副颜色。</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支持车辆子品牌识别，对车头图片进行分析抓拍，可分析输出OSD叠加不少于7200种车辆子品牌并显示相应的年款，对车尾图片进行分析抓拍，可分析输出OSD叠加不少于3900 种车辆子品牌并显示相应的年款。</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▲支持通过视频检测信号灯状态，支持接收信号机广播的信号灯状态，通过对比判断信号灯的整体运行状况，可在视频预览画面上叠加信号机异常的结果指标。</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货车右转不停车违法检测、抓拍，支持导入静态标志图合成。</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在成像清晰场景，支持道路塌陷检测、车辆轨迹消失报警事件。</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支持配置开启码流智能编码模式，通过算法识别画面中的关键目标，对高价值目标保留高清细节，重复背景信息进行超高压缩，降低码率功能，目标时间占有率低于50%时，码率可降低不少于50%,，降低视频码流存储压力。</w:t>
      </w:r>
      <w:r/>
    </w:p>
    <w:p>
      <w:pPr>
        <w:pStyle w:val="823"/>
        <w:numPr>
          <w:ilvl w:val="4"/>
          <w:numId w:val="0"/>
        </w:numPr>
        <w:spacing w:before="156"/>
        <w:tabs>
          <w:tab w:val="left" w:pos="1008" w:leader="none"/>
        </w:tabs>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rPr>
        <w:t xml:space="preserve">以上提供公安部检测报告复印件。</w:t>
      </w:r>
      <w:r/>
    </w:p>
    <w:p>
      <w:pPr>
        <w:pStyle w:val="823"/>
        <w:numPr>
          <w:ilvl w:val="4"/>
          <w:numId w:val="0"/>
        </w:numPr>
        <w:ind w:left="1008" w:hanging="1008"/>
        <w:spacing w:before="156"/>
        <w:tabs>
          <w:tab w:val="left" w:pos="1008" w:leader="none"/>
        </w:tabs>
        <w:rPr>
          <w:rFonts w:hint="eastAsia" w:ascii="宋体" w:hAnsi="宋体" w:eastAsia="宋体" w:cs="宋体"/>
          <w:color w:val="000000"/>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、LED频闪灯</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符合GA/T 1202-2022《交通技术监控成像补光装置通用技术条件》的要求。</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光源类型：16颗原装大功率LED。</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发光角度12°。</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补光距离16米～25米。</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响应时间小于20us。</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触发方式： 高电平有效（可选配开关量触发）。</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触发信号：频率1~250HZ，占空比1%~39%。</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工作温度：-40℃~70℃。</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工作湿度：湿度5%~95%@40℃，无凝结。</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电源：220V±10%。</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功耗：35W MAX。</w:t>
      </w:r>
      <w:r/>
    </w:p>
    <w:p>
      <w:pPr>
        <w:pStyle w:val="823"/>
        <w:numPr>
          <w:ilvl w:val="4"/>
          <w:numId w:val="0"/>
        </w:numPr>
        <w:ind w:left="1008" w:hanging="1008"/>
        <w:spacing w:before="156"/>
        <w:tabs>
          <w:tab w:val="left" w:pos="1008" w:leader="none"/>
        </w:tabs>
        <w:rPr>
          <w:rFonts w:hint="eastAsia" w:ascii="宋体" w:hAnsi="宋体" w:eastAsia="宋体" w:cs="宋体"/>
          <w:color w:val="000000"/>
        </w:rPr>
      </w:pPr>
      <w:r>
        <w:rPr>
          <w:rFonts w:hint="eastAsia" w:ascii="宋体" w:hAnsi="宋体" w:eastAsia="宋体" w:cs="宋体"/>
          <w:b w:val="0"/>
          <w:bCs w:val="0"/>
          <w:color w:val="000000"/>
        </w:rPr>
        <w:t xml:space="preserve">防护等级：IP66 。</w:t>
      </w:r>
      <w:r/>
    </w:p>
    <w:p>
      <w:pPr>
        <w:pStyle w:val="823"/>
        <w:numPr>
          <w:ilvl w:val="4"/>
          <w:numId w:val="0"/>
        </w:numPr>
        <w:ind w:left="1008" w:hanging="1008"/>
        <w:spacing w:before="156"/>
        <w:tabs>
          <w:tab w:val="left" w:pos="1008" w:leader="none"/>
        </w:tabs>
        <w:rPr>
          <w:rFonts w:hint="eastAsia" w:ascii="宋体" w:hAnsi="宋体" w:eastAsia="宋体" w:cs="宋体"/>
          <w:color w:val="000000"/>
        </w:rPr>
      </w:pPr>
      <w:r>
        <w:rPr>
          <w:rFonts w:hint="eastAsia" w:ascii="宋体" w:hAnsi="宋体" w:eastAsia="宋体" w:cs="宋体"/>
          <w:color w:val="000000"/>
        </w:rPr>
        <w:t xml:space="preserve">5、</w:t>
      </w:r>
      <w:bookmarkEnd w:id="17"/>
      <w:r/>
      <w:bookmarkEnd w:id="18"/>
      <w:r>
        <w:rPr>
          <w:rFonts w:hint="eastAsia" w:ascii="宋体" w:hAnsi="宋体" w:eastAsia="宋体" w:cs="宋体"/>
          <w:color w:val="000000"/>
        </w:rPr>
        <w:t xml:space="preserve">爆闪补光灯</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bookmarkStart w:id="19" w:name="_Toc303185608"/>
      <w:r/>
      <w:bookmarkStart w:id="20" w:name="_Toc354565927"/>
      <w:r>
        <w:rPr>
          <w:rFonts w:hint="eastAsia" w:ascii="宋体" w:hAnsi="宋体" w:eastAsia="宋体" w:cs="宋体"/>
          <w:b w:val="0"/>
          <w:bCs w:val="0"/>
          <w:color w:val="000000"/>
        </w:rPr>
        <w:t xml:space="preserve">符合GA/T 1202-2022《交通技术监控成像补光装置通用技术条件》二级要求。</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色温5500±500k。</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▲回电时间应≤50ms。</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曝光指数试验：64NG。</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在-40℃~80℃温度范围内均能正常工作。</w:t>
      </w:r>
      <w:r/>
    </w:p>
    <w:p>
      <w:pPr>
        <w:pStyle w:val="823"/>
        <w:numPr>
          <w:ilvl w:val="4"/>
          <w:numId w:val="0"/>
        </w:numPr>
        <w:ind w:left="1008" w:hanging="1008"/>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防护等级IP66。</w:t>
      </w:r>
      <w:r/>
    </w:p>
    <w:p>
      <w:pPr>
        <w:pStyle w:val="823"/>
        <w:numPr>
          <w:ilvl w:val="4"/>
          <w:numId w:val="0"/>
        </w:numPr>
        <w:ind w:left="1008" w:hanging="1008"/>
        <w:spacing w:before="156"/>
        <w:tabs>
          <w:tab w:val="left" w:pos="1008" w:leader="none"/>
        </w:tabs>
        <w:rPr>
          <w:rFonts w:hint="eastAsia" w:ascii="宋体" w:hAnsi="宋体" w:eastAsia="宋体" w:cs="宋体"/>
          <w:color w:val="000000"/>
          <w:lang w:val="en-US" w:eastAsia="zh-CN"/>
        </w:rPr>
      </w:pPr>
      <w:r>
        <w:rPr>
          <w:rFonts w:hint="eastAsia" w:ascii="宋体" w:hAnsi="宋体" w:eastAsia="宋体" w:cs="宋体"/>
          <w:color w:val="000000"/>
        </w:rPr>
        <w:t xml:space="preserve">6、</w:t>
      </w:r>
      <w:bookmarkEnd w:id="19"/>
      <w:r/>
      <w:bookmarkEnd w:id="20"/>
      <w:r>
        <w:rPr>
          <w:rFonts w:hint="eastAsia" w:ascii="宋体" w:hAnsi="宋体" w:eastAsia="宋体" w:cs="宋体"/>
          <w:color w:val="000000"/>
          <w:lang w:val="en-US" w:eastAsia="zh-CN"/>
        </w:rPr>
        <w:t xml:space="preserve">交通</w:t>
      </w:r>
      <w:r>
        <w:rPr>
          <w:rFonts w:hint="eastAsia" w:ascii="宋体" w:hAnsi="宋体" w:eastAsia="宋体" w:cs="宋体"/>
          <w:color w:val="000000"/>
        </w:rPr>
        <w:t xml:space="preserve">终端</w:t>
      </w:r>
      <w:r>
        <w:rPr>
          <w:rFonts w:hint="eastAsia" w:ascii="宋体" w:hAnsi="宋体" w:eastAsia="宋体" w:cs="宋体"/>
          <w:color w:val="000000"/>
          <w:lang w:val="en-US" w:eastAsia="zh-CN"/>
        </w:rPr>
        <w:t xml:space="preserve">控制模块</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rPr>
      </w:pPr>
      <w:r/>
      <w:bookmarkStart w:id="21" w:name="_Toc363597274"/>
      <w:r>
        <w:rPr>
          <w:rFonts w:hint="eastAsia" w:ascii="宋体" w:hAnsi="宋体" w:eastAsia="宋体" w:cs="宋体"/>
          <w:b w:val="0"/>
          <w:bCs w:val="0"/>
          <w:color w:val="000000"/>
        </w:rPr>
        <w:t xml:space="preserve">支持设置图片的存储空间，在规定的空间内自动循环覆盖，剩余空间为录像存储空间。</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▲对于在记录过程中出现的系统死机或意外故障，设备能够在规定的时间内自动恢复其正常工作状态并使故障前的信息不丢失。</w:t>
      </w:r>
      <w:r/>
    </w:p>
    <w:p>
      <w:pPr>
        <w:pStyle w:val="823"/>
        <w:spacing w:before="156" w:line="24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▲设备内的录像、图片文件无法直接删除或者修改，只能通过循环覆盖和硬盘格式化操作。</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数据直存，可将视频流直接写入存储；采用自动分段记录格式时，相邻两段间最大记录间隔时间应≤0.4s；对于记录在存储介质上的视频信息，取出的存储介质应能在同型号的其他设备上正常回放，以保证设备发生故障后记录资料的留存(或复制)。</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支持实时显示接入的摄像机、线圈、车检器、红绿灯检测器等前端设备的工作状态、设备内部温度、工作时间等信息；外接机柜门时具有机柜门状态实时显示与查询功能。</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以上提供公安部检测报告复印件。</w:t>
      </w:r>
      <w:r/>
    </w:p>
    <w:p>
      <w:pPr>
        <w:pStyle w:val="823"/>
        <w:numPr>
          <w:ilvl w:val="0"/>
          <w:numId w:val="8"/>
        </w:numPr>
        <w:spacing w:before="156"/>
        <w:tabs>
          <w:tab w:val="left" w:pos="1008" w:leader="none"/>
        </w:tabs>
        <w:rPr>
          <w:rFonts w:hint="eastAsia" w:ascii="宋体" w:hAnsi="宋体" w:eastAsia="宋体" w:cs="宋体"/>
          <w:color w:val="000000"/>
        </w:rPr>
      </w:pPr>
      <w:r>
        <w:rPr>
          <w:rFonts w:hint="eastAsia" w:ascii="宋体" w:hAnsi="宋体" w:eastAsia="宋体" w:cs="宋体"/>
          <w:color w:val="000000"/>
        </w:rPr>
        <w:t xml:space="preserve">违章抓拍球机</w:t>
      </w:r>
      <w:r/>
    </w:p>
    <w:p>
      <w:pPr>
        <w:pStyle w:val="823"/>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靶面尺寸不小于1/1.8英寸、分辨率与帧率可设置为2688x1520@30fps。</w:t>
      </w:r>
      <w:r/>
    </w:p>
    <w:p>
      <w:pPr>
        <w:pStyle w:val="823"/>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支持最低照度可达彩色0.0002Lx，黑白0.0001Lx。</w:t>
      </w:r>
      <w:r/>
    </w:p>
    <w:p>
      <w:pPr>
        <w:pStyle w:val="823"/>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水平旋转范围：0°~360°连续旋转，垂直旋转范围：-20°~90°。</w:t>
      </w:r>
      <w:r/>
    </w:p>
    <w:p>
      <w:pPr>
        <w:pStyle w:val="823"/>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内置不少于1颗8GB eMMC芯片、12颗补光灯、1颗GPU芯片，具有不少于1个RJ45网络接口、1路音频输入、1路音频输出、7路报警输入、2路报警输出、1个RS485接口、1个调试串口、1个SD卡槽。采用DC36V供电。</w:t>
      </w:r>
      <w:r/>
    </w:p>
    <w:p>
      <w:pPr>
        <w:pStyle w:val="823"/>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▲内置镜头，支持不小于32倍光学变倍，镜头最大焦距不小于192mm。</w:t>
      </w:r>
      <w:r/>
    </w:p>
    <w:p>
      <w:pPr>
        <w:pStyle w:val="823"/>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▲自带雨刷，可通过网络远程控制雨刷功能检验雨刷开启、关闭。</w:t>
      </w:r>
      <w:r/>
    </w:p>
    <w:p>
      <w:pPr>
        <w:pStyle w:val="823"/>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交通事件和道路事件可根据布防时间自动切换。</w:t>
      </w:r>
      <w:r/>
    </w:p>
    <w:p>
      <w:pPr>
        <w:pStyle w:val="823"/>
        <w:spacing w:before="156"/>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支持对距离设备200m处机动车违法停车行为进行抓拍。</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支持对机动车违停、逆行、压线、连续变道、机占非、掉头、变道等交通违法行为进行检测并抓拍，当触发报警后，可联动报警并上传图片.</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▲检测到违停车辆时，若目标车牌被遮挡物遮挡时，设备可不对该目标进行车牌识别，并上报无车牌报警。</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▲具有VR全景图拼接功能，拼接图可选择柱状全景图和鱼眼全景图的模式，生成的柱状全景图分辨率为8192x2446，鱼眼全景图分辨率为3458x3458。</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▲具有VR展示功能，可在客户端软件展示生成的全景图和实时视频，全景图可与实时视频联动，可通过点击；全景图使实时画面转动至点击位置。</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支持在智能展示界面显示通过监视画面中的机动车子品牌标志，显示车尾子品牌标志不少于3100种；显示车头子品牌标志不少于7100种。</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开启车牌增强功能后，在检测到车辆违停时，可对目标车辆的车牌进行降噪处理。</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▲设备安装接口具有双防脱落装置(安全绳、圆形安装盘)，具有12个安装孔位。</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▲支持对抛洒物事件中的树影、标线进行过滤；可对停车事件中的施工车辆进行过滤；可对行人事件中的交通设施、车身部件、影子进行过滤。</w:t>
      </w:r>
      <w:r/>
    </w:p>
    <w:p>
      <w:pPr>
        <w:pStyle w:val="823"/>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抛洒物检测、行人检测、拥堵检测、路障检测、施工检测、交通事故检测、烟雾检测、火灾检测，当监控场景内道路事件触发报警后，可联动报警输出并上传图片，支持配置灵敏度、持续时间和过滤时间，支持布防多边形检测区域。</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以上提供公安部检验报告复印件。</w:t>
      </w:r>
      <w:r/>
    </w:p>
    <w:p>
      <w:pPr>
        <w:pStyle w:val="823"/>
        <w:spacing w:before="156"/>
        <w:tabs>
          <w:tab w:val="left" w:pos="1008" w:leader="none"/>
        </w:tabs>
        <w:rPr>
          <w:rFonts w:hint="eastAsia" w:ascii="宋体" w:hAnsi="宋体" w:eastAsia="宋体" w:cs="宋体"/>
          <w:color w:val="000000"/>
          <w:lang w:val="en-US" w:eastAsia="zh-CN"/>
        </w:rPr>
      </w:pPr>
      <w:r>
        <w:rPr>
          <w:rFonts w:hint="eastAsia" w:ascii="宋体" w:hAnsi="宋体" w:eastAsia="宋体" w:cs="宋体"/>
          <w:color w:val="000000"/>
        </w:rPr>
        <w:t xml:space="preserve">8、视频图像云存储设备扩容</w:t>
      </w:r>
      <w:r>
        <w:rPr>
          <w:rFonts w:hint="eastAsia" w:ascii="宋体" w:hAnsi="宋体" w:eastAsia="宋体" w:cs="宋体"/>
          <w:color w:val="000000"/>
          <w:lang w:val="en-US" w:eastAsia="zh-CN"/>
        </w:rPr>
        <w:t xml:space="preserve">模块（含云存储软件扩容）</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配置2颗64位多核处理器，配置32GB内存，并可扩展至512GB，内置SSD固态硬盘(可扩展至4个SSD作为缓存盘)，可支持3个风扇，风扇支持热插拔并可冗余温控调速。</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配置6个千兆网口、1个千兆管理网口，1个IPMI管理口、4个 USB3.0 接口、1个VGA接口、1个RS-232串口、6个PCI-E3.0插槽、24个硬盘热插拔插槽，</w:t>
      </w:r>
      <w:r>
        <w:rPr>
          <w:rFonts w:hint="eastAsia" w:ascii="宋体" w:hAnsi="宋体" w:eastAsia="宋体" w:cs="宋体"/>
          <w:b w:val="0"/>
          <w:bCs w:val="0"/>
          <w:color w:val="000000"/>
          <w:lang w:val="en-US" w:eastAsia="zh-CN"/>
        </w:rPr>
        <w:t xml:space="preserve">满配246T企业级硬盘，</w:t>
      </w:r>
      <w:r>
        <w:rPr>
          <w:rFonts w:hint="eastAsia" w:ascii="宋体" w:hAnsi="宋体" w:eastAsia="宋体" w:cs="宋体"/>
          <w:b w:val="0"/>
          <w:bCs w:val="0"/>
          <w:color w:val="000000"/>
        </w:rPr>
        <w:t xml:space="preserve">采用可热插拔1+1AC220V电源或1+1直流冗余电源供电。机箱具备防尘滤网，采用双立柱防震设计。</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支持集群管理功能，包括集群单元弹性扩容、负载均衡、故障迁移等；支持集群节点生命周期管理，支持集群节点服务启动/停止，集群节点服务组建、扩展、删除。</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将多台节点配置为集群管理方式，当其中的主服务器出现死机或者磁盘损坏等故障时，备用主机可自动替换故障主机继续录像，图片存储，并自动导入所有配置信息，可配置高速、中速、低速回传速率（1&lt;M&lt;N），故障恢复后，备用主机可将存储的录像回传；当发生故障时，可在Web日志和客户端给出报警提示。</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按照接入任务数实现自动负载均衡，支持前端设备自动分配到存储节点。各节点间读写任务数差距±1；节点间的自动业务负载均衡，各节点上的存储数据量在稳定情况下，存储容量使用率差距小于万分之一。</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▲具备一键快速部署能力，存储节点并行部署，互不影响，单台部署时间150秒内完成。快速部署过程中，自动检测节点是否符合配置要求。当检测到当前节点的配置与预期有差距时给予报警提示。</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 KB 图片加速提取。</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支持网络故障自动发现和隔离，在1秒内感知到故障节点，1秒内进行隔离。</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以上提供公安部检测报告复印件。</w:t>
      </w:r>
      <w:r/>
    </w:p>
    <w:p>
      <w:pPr>
        <w:pStyle w:val="823"/>
        <w:numPr>
          <w:ilvl w:val="4"/>
          <w:numId w:val="0"/>
        </w:numPr>
        <w:spacing w:before="156" w:line="360" w:lineRule="auto"/>
        <w:tabs>
          <w:tab w:val="left" w:pos="1008" w:leader="none"/>
        </w:tabs>
        <w:rPr>
          <w:rFonts w:hint="eastAsia" w:ascii="宋体" w:hAnsi="宋体" w:eastAsia="宋体" w:cs="宋体"/>
          <w:b w:val="0"/>
          <w:bCs w:val="0"/>
          <w:color w:val="000000"/>
        </w:rPr>
      </w:pPr>
      <w:r>
        <w:rPr>
          <w:rFonts w:hint="eastAsia" w:ascii="宋体" w:hAnsi="宋体" w:eastAsia="宋体" w:cs="宋体"/>
          <w:b w:val="0"/>
          <w:bCs w:val="0"/>
          <w:color w:val="000000"/>
        </w:rPr>
        <w:t xml:space="preserve">★本次视频图像云存储设备扩容需基于铜山区公安局现有的视频图像云存储系统进行扩容，提供不少于本次云存储设备扩容需要的软件容量模块，同时扩容图云加速模块，实现图片即存即取的业务需求，并融合云存储系统原有的容量形成一朵云，实现云存储系统的动态在线扩容和统一管理，在扩容及数据迁移过程中保障业务不中断、数据不丢失。针对此项需提供承诺函并加盖投标人公章。</w:t>
      </w:r>
      <w:r/>
    </w:p>
    <w:p>
      <w:pPr>
        <w:pStyle w:val="746"/>
        <w:numPr>
          <w:ilvl w:val="0"/>
          <w:numId w:val="9"/>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雷达</w:t>
      </w:r>
      <w:r/>
    </w:p>
    <w:p>
      <w:pPr>
        <w:pStyle w:val="747"/>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模拟测速范围10km/h-250km/h。</w:t>
      </w:r>
      <w:r/>
    </w:p>
    <w:p>
      <w:pPr>
        <w:pStyle w:val="747"/>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测速误差：车速20km/h-180km/h，误差-0.5km/h-0km/h；车速180km/h及以上，误差-1km/h-0km/h。</w:t>
      </w:r>
      <w:r/>
    </w:p>
    <w:p>
      <w:pPr>
        <w:pStyle w:val="747"/>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WIFI升级及参数配置，可通过WIFI连接进行升级，升级后功能正常，可进行雷达触发位置设置和雷达灵敏度进行配置。</w:t>
      </w:r>
      <w:r/>
    </w:p>
    <w:p>
      <w:pPr>
        <w:pStyle w:val="747"/>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输入电压为9V-24V范围内测速雷达能正常工作。</w:t>
      </w:r>
      <w:r/>
    </w:p>
    <w:p>
      <w:pPr>
        <w:pStyle w:val="747"/>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雷达测速单元功耗应不大于2W。</w:t>
      </w:r>
      <w:r/>
    </w:p>
    <w:p>
      <w:pPr>
        <w:pStyle w:val="747"/>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防护等级IP66。</w:t>
      </w:r>
      <w:r/>
    </w:p>
    <w:p>
      <w:pPr>
        <w:pStyle w:val="746"/>
        <w:numPr>
          <w:ilvl w:val="0"/>
          <w:numId w:val="9"/>
        </w:num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硬盘</w:t>
      </w:r>
      <w:r/>
    </w:p>
    <w:p>
      <w:pPr>
        <w:pStyle w:val="747"/>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4TB容量，3.5英寸，SATA3.0接口，5400RPM</w:t>
      </w:r>
      <w:r/>
    </w:p>
    <w:p>
      <w:pPr>
        <w:pStyle w:val="747"/>
        <w:numPr>
          <w:ilvl w:val="0"/>
          <w:numId w:val="0"/>
        </w:numPr>
        <w:ind w:right="1440"/>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标称容量：4TB</w:t>
      </w:r>
      <w:r/>
    </w:p>
    <w:p>
      <w:pPr>
        <w:pStyle w:val="747"/>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外形规格：3.5-inch</w:t>
      </w:r>
      <w:r/>
    </w:p>
    <w:p>
      <w:pPr>
        <w:pStyle w:val="747"/>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接口类型：SATA</w:t>
      </w:r>
      <w:r/>
    </w:p>
    <w:p>
      <w:pPr>
        <w:pStyle w:val="747"/>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刻录技术：CMR</w:t>
      </w:r>
      <w:r/>
    </w:p>
    <w:p>
      <w:pPr>
        <w:pStyle w:val="747"/>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转速：5400RPM，缓存：256MB</w:t>
      </w:r>
      <w:r/>
    </w:p>
    <w:p>
      <w:pPr>
        <w:pStyle w:val="747"/>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最大读取速度：180MB/s</w:t>
      </w:r>
      <w:r/>
    </w:p>
    <w:p>
      <w:pPr>
        <w:pStyle w:val="747"/>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接口传输速率（最大值）：6.0Gb/s</w:t>
      </w:r>
      <w:r/>
    </w:p>
    <w:p>
      <w:pPr>
        <w:pStyle w:val="747"/>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平均读写功率（W）：4.7W</w:t>
      </w:r>
      <w:r/>
    </w:p>
    <w:p>
      <w:pPr>
        <w:pStyle w:val="747"/>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加载/卸载周期：300，000</w:t>
      </w:r>
      <w:r/>
    </w:p>
    <w:p>
      <w:pPr>
        <w:pStyle w:val="747"/>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MTBF：1，000，000</w:t>
      </w:r>
      <w:r/>
    </w:p>
    <w:p>
      <w:pPr>
        <w:pStyle w:val="747"/>
        <w:numPr>
          <w:ilvl w:val="0"/>
          <w:numId w:val="0"/>
        </w:numPr>
        <w:ind w:right="144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年负荷（TB/年）：180TB</w:t>
      </w:r>
      <w:r/>
    </w:p>
    <w:p>
      <w:pPr>
        <w:pStyle w:val="746"/>
        <w:rPr>
          <w:rFonts w:hint="eastAsia" w:ascii="宋体" w:hAnsi="宋体" w:eastAsia="宋体" w:cs="宋体"/>
        </w:rPr>
      </w:pPr>
      <w:r>
        <w:rPr>
          <w:rFonts w:hint="eastAsia" w:ascii="宋体" w:hAnsi="宋体" w:eastAsia="宋体" w:cs="宋体"/>
          <w:b w:val="0"/>
          <w:bCs w:val="0"/>
          <w:color w:val="000000"/>
          <w:sz w:val="24"/>
          <w:szCs w:val="24"/>
          <w:lang w:val="en-US" w:eastAsia="zh-CN" w:bidi="ar-SA"/>
        </w:rPr>
        <w:t xml:space="preserve">工作状态温度(°C)：0-65℃</w:t>
      </w:r>
      <w:r/>
    </w:p>
    <w:p>
      <w:pPr>
        <w:pStyle w:val="746"/>
        <w:ind w:firstLine="569"/>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746"/>
        <w:ind w:firstLine="569"/>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备注：1、备品备件设备要能无缝接</w:t>
      </w:r>
      <w:r>
        <w:rPr>
          <w:rFonts w:hint="eastAsia" w:ascii="宋体" w:hAnsi="宋体" w:eastAsia="宋体" w:cs="宋体"/>
          <w:b/>
          <w:bCs/>
          <w:color w:val="000000"/>
          <w:sz w:val="24"/>
          <w:highlight w:val="none"/>
        </w:rPr>
        <w:t xml:space="preserve">入区公安局视频监控平台</w:t>
      </w:r>
      <w:r>
        <w:rPr>
          <w:rFonts w:hint="eastAsia" w:ascii="宋体" w:hAnsi="宋体" w:eastAsia="宋体" w:cs="宋体"/>
          <w:b/>
          <w:bCs/>
          <w:color w:val="000000"/>
          <w:sz w:val="24"/>
        </w:rPr>
        <w:t xml:space="preserve">及督察平台，平台可实现对前端包括存储服务器等新建存储设备的直接数据调取。</w:t>
      </w:r>
      <w:r/>
    </w:p>
    <w:p>
      <w:pPr>
        <w:pStyle w:val="746"/>
        <w:ind w:firstLine="482"/>
        <w:spacing w:before="156" w:line="360" w:lineRule="auto"/>
        <w:rPr>
          <w:rFonts w:hint="eastAsia" w:ascii="宋体" w:hAnsi="宋体" w:eastAsia="宋体" w:cs="宋体"/>
          <w:color w:val="000000"/>
        </w:rPr>
      </w:pPr>
      <w:r>
        <w:rPr>
          <w:rFonts w:hint="eastAsia" w:ascii="宋体" w:hAnsi="宋体" w:eastAsia="宋体" w:cs="宋体"/>
          <w:b/>
          <w:bCs/>
          <w:color w:val="000000"/>
          <w:sz w:val="24"/>
        </w:rPr>
        <w:t xml:space="preserve">2、</w:t>
      </w:r>
      <w:r>
        <w:rPr>
          <w:rFonts w:hint="eastAsia" w:ascii="宋体" w:hAnsi="宋体" w:eastAsia="宋体" w:cs="宋体"/>
          <w:b/>
          <w:color w:val="000000"/>
          <w:sz w:val="24"/>
        </w:rPr>
        <w:t xml:space="preserve">★投标人应在投标文件中注明其维护期间用于更换设备的品牌型号，并提供产品的检测报告复印件加盖</w:t>
      </w:r>
      <w:r>
        <w:rPr>
          <w:rFonts w:hint="eastAsia" w:ascii="宋体" w:hAnsi="宋体" w:eastAsia="宋体" w:cs="宋体"/>
          <w:b/>
          <w:color w:val="000000"/>
          <w:sz w:val="24"/>
          <w:lang w:val="en-US" w:eastAsia="zh-CN"/>
        </w:rPr>
        <w:t xml:space="preserve">投标人</w:t>
      </w:r>
      <w:r>
        <w:rPr>
          <w:rFonts w:hint="eastAsia" w:ascii="宋体" w:hAnsi="宋体" w:eastAsia="宋体" w:cs="宋体"/>
          <w:b/>
          <w:color w:val="000000"/>
          <w:sz w:val="24"/>
        </w:rPr>
        <w:t xml:space="preserve">鲜章。</w:t>
      </w:r>
      <w:r/>
    </w:p>
    <w:p>
      <w:pPr>
        <w:pStyle w:val="746"/>
        <w:ind w:firstLine="569"/>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3、投标人报价时应充分考虑以上设备安装、维护、质保及相关税金。甲方不再额外增加相关费用。</w:t>
      </w:r>
      <w:bookmarkEnd w:id="21"/>
      <w:r/>
      <w:r/>
    </w:p>
    <w:p>
      <w:pPr>
        <w:pStyle w:val="746"/>
        <w:rPr>
          <w:rFonts w:hint="eastAsia" w:ascii="宋体" w:hAnsi="宋体" w:eastAsia="宋体" w:cs="宋体"/>
          <w:color w:val="000000"/>
          <w:sz w:val="24"/>
        </w:rPr>
      </w:pPr>
      <w:r>
        <w:rPr>
          <w:rFonts w:hint="eastAsia" w:ascii="宋体" w:hAnsi="宋体" w:eastAsia="宋体" w:cs="宋体"/>
          <w:color w:val="000000"/>
          <w:sz w:val="24"/>
        </w:rPr>
        <w:br w:type="page" w:clear="all"/>
      </w:r>
      <w:r/>
    </w:p>
    <w:p>
      <w:pPr>
        <w:pStyle w:val="746"/>
        <w:spacing w:line="360" w:lineRule="auto"/>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链路租赁</w:t>
      </w:r>
      <w:r>
        <w:rPr>
          <w:rFonts w:hint="eastAsia" w:ascii="宋体" w:hAnsi="宋体" w:eastAsia="宋体" w:cs="宋体"/>
          <w:b/>
          <w:bCs/>
          <w:color w:val="000000"/>
          <w:sz w:val="24"/>
        </w:rPr>
        <w:t xml:space="preserve">：</w:t>
      </w:r>
      <w:r/>
    </w:p>
    <w:tbl>
      <w:tblPr>
        <w:tblStyle w:val="689"/>
        <w:tblW w:w="912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468"/>
      </w:tblGrid>
      <w:tr>
        <w:trPr/>
        <w:tc>
          <w:tcPr>
            <w:tcW w:w="2660" w:type="dxa"/>
            <w:vAlign w:val="center"/>
            <w:textDirection w:val="lrTb"/>
            <w:noWrap w:val="false"/>
          </w:tcPr>
          <w:p>
            <w:pPr>
              <w:pStyle w:val="746"/>
              <w:jc w:val="center"/>
              <w:rPr>
                <w:rFonts w:hint="eastAsia" w:ascii="宋体" w:hAnsi="宋体" w:eastAsia="宋体" w:cs="宋体"/>
                <w:color w:val="000000"/>
                <w:sz w:val="24"/>
              </w:rPr>
            </w:pPr>
            <w:r>
              <w:rPr>
                <w:rFonts w:hint="eastAsia" w:ascii="宋体" w:hAnsi="宋体" w:eastAsia="宋体" w:cs="宋体"/>
                <w:color w:val="000000"/>
                <w:sz w:val="24"/>
              </w:rPr>
              <w:t xml:space="preserve">项目</w:t>
            </w:r>
            <w:r/>
          </w:p>
        </w:tc>
        <w:tc>
          <w:tcPr>
            <w:tcW w:w="6468" w:type="dxa"/>
            <w:vAlign w:val="center"/>
            <w:textDirection w:val="lrTb"/>
            <w:noWrap w:val="false"/>
          </w:tcPr>
          <w:p>
            <w:pPr>
              <w:pStyle w:val="746"/>
              <w:ind w:firstLine="480"/>
              <w:jc w:val="center"/>
              <w:rPr>
                <w:rFonts w:hint="eastAsia" w:ascii="宋体" w:hAnsi="宋体" w:eastAsia="宋体" w:cs="宋体"/>
                <w:color w:val="000000"/>
                <w:sz w:val="24"/>
              </w:rPr>
            </w:pPr>
            <w:r>
              <w:rPr>
                <w:rFonts w:hint="eastAsia" w:ascii="宋体" w:hAnsi="宋体" w:eastAsia="宋体" w:cs="宋体"/>
                <w:color w:val="000000"/>
                <w:sz w:val="24"/>
              </w:rPr>
              <w:t xml:space="preserve">建设需求</w:t>
            </w:r>
            <w:r/>
          </w:p>
        </w:tc>
      </w:tr>
      <w:tr>
        <w:trPr/>
        <w:tc>
          <w:tcPr>
            <w:tcW w:w="2660" w:type="dxa"/>
            <w:vAlign w:val="center"/>
            <w:textDirection w:val="lrTb"/>
            <w:noWrap w:val="false"/>
          </w:tcPr>
          <w:p>
            <w:pPr>
              <w:pStyle w:val="746"/>
              <w:jc w:val="center"/>
              <w:rPr>
                <w:rFonts w:hint="eastAsia" w:ascii="宋体" w:hAnsi="宋体" w:eastAsia="宋体" w:cs="宋体"/>
                <w:color w:val="000000"/>
                <w:sz w:val="24"/>
              </w:rPr>
            </w:pPr>
            <w:r>
              <w:rPr>
                <w:rFonts w:hint="eastAsia" w:ascii="宋体" w:hAnsi="宋体" w:eastAsia="宋体" w:cs="宋体"/>
                <w:color w:val="000000"/>
                <w:sz w:val="24"/>
              </w:rPr>
              <w:t xml:space="preserve">电路类型要求</w:t>
            </w:r>
            <w:r/>
          </w:p>
        </w:tc>
        <w:tc>
          <w:tcPr>
            <w:tcW w:w="6468" w:type="dxa"/>
            <w:vAlign w:val="top"/>
            <w:textDirection w:val="lrTb"/>
            <w:noWrap w:val="false"/>
          </w:tcPr>
          <w:p>
            <w:pPr>
              <w:pStyle w:val="746"/>
              <w:rPr>
                <w:rFonts w:hint="eastAsia" w:ascii="宋体" w:hAnsi="宋体" w:eastAsia="宋体" w:cs="宋体"/>
                <w:color w:val="000000"/>
                <w:sz w:val="24"/>
              </w:rPr>
            </w:pPr>
            <w:r>
              <w:rPr>
                <w:rFonts w:hint="eastAsia" w:ascii="宋体" w:hAnsi="宋体" w:eastAsia="宋体" w:cs="宋体"/>
                <w:color w:val="000000"/>
                <w:sz w:val="24"/>
              </w:rPr>
              <w:t xml:space="preserve">★基于现有公安视频专网的网络架构，提供安全、稳定、带宽独享的数据电路，与互联网物理隔离。</w:t>
            </w:r>
            <w:r/>
          </w:p>
        </w:tc>
      </w:tr>
      <w:tr>
        <w:trPr>
          <w:trHeight w:val="320"/>
        </w:trPr>
        <w:tc>
          <w:tcPr>
            <w:tcW w:w="2660" w:type="dxa"/>
            <w:vAlign w:val="center"/>
            <w:textDirection w:val="lrTb"/>
            <w:noWrap w:val="false"/>
          </w:tcPr>
          <w:p>
            <w:pPr>
              <w:pStyle w:val="746"/>
              <w:jc w:val="center"/>
              <w:rPr>
                <w:rFonts w:hint="eastAsia" w:ascii="宋体" w:hAnsi="宋体" w:eastAsia="宋体" w:cs="宋体"/>
                <w:color w:val="000000"/>
                <w:sz w:val="24"/>
              </w:rPr>
            </w:pPr>
            <w:r>
              <w:rPr>
                <w:rFonts w:hint="eastAsia" w:ascii="宋体" w:hAnsi="宋体" w:eastAsia="宋体" w:cs="宋体"/>
                <w:color w:val="000000"/>
                <w:sz w:val="24"/>
              </w:rPr>
              <w:t xml:space="preserve">网络安全要求</w:t>
            </w:r>
            <w:r/>
          </w:p>
        </w:tc>
        <w:tc>
          <w:tcPr>
            <w:tcW w:w="6468" w:type="dxa"/>
            <w:vAlign w:val="top"/>
            <w:textDirection w:val="lrTb"/>
            <w:noWrap w:val="false"/>
          </w:tcPr>
          <w:p>
            <w:pPr>
              <w:pStyle w:val="746"/>
              <w:rPr>
                <w:rFonts w:hint="eastAsia" w:ascii="宋体" w:hAnsi="宋体" w:eastAsia="宋体" w:cs="宋体"/>
                <w:color w:val="000000"/>
                <w:sz w:val="24"/>
              </w:rPr>
            </w:pPr>
            <w:r>
              <w:rPr>
                <w:rFonts w:hint="eastAsia" w:ascii="宋体" w:hAnsi="宋体" w:eastAsia="宋体" w:cs="宋体"/>
                <w:color w:val="000000"/>
                <w:sz w:val="24"/>
              </w:rPr>
              <w:t xml:space="preserve">优化网络，提高网络的可靠性和安全性，对监控信号在网络传输过程中可能遭受的网络窃听、网络病毒和恶意代码攻击等安全风险，进行必要的防护。</w:t>
            </w:r>
            <w:r/>
          </w:p>
        </w:tc>
      </w:tr>
      <w:tr>
        <w:trPr>
          <w:trHeight w:val="90"/>
        </w:trPr>
        <w:tc>
          <w:tcPr>
            <w:tcW w:w="2660" w:type="dxa"/>
            <w:vAlign w:val="center"/>
            <w:textDirection w:val="lrTb"/>
            <w:noWrap w:val="false"/>
          </w:tcPr>
          <w:p>
            <w:pPr>
              <w:pStyle w:val="746"/>
              <w:jc w:val="center"/>
              <w:rPr>
                <w:rFonts w:hint="eastAsia" w:ascii="宋体" w:hAnsi="宋体" w:eastAsia="宋体" w:cs="宋体"/>
                <w:color w:val="000000"/>
                <w:sz w:val="24"/>
              </w:rPr>
            </w:pPr>
            <w:r>
              <w:rPr>
                <w:rFonts w:hint="eastAsia" w:ascii="宋体" w:hAnsi="宋体" w:eastAsia="宋体" w:cs="宋体"/>
                <w:color w:val="000000"/>
                <w:sz w:val="24"/>
              </w:rPr>
              <w:t xml:space="preserve">维护要求</w:t>
            </w:r>
            <w:r/>
          </w:p>
        </w:tc>
        <w:tc>
          <w:tcPr>
            <w:tcW w:w="6468" w:type="dxa"/>
            <w:vAlign w:val="top"/>
            <w:textDirection w:val="lrTb"/>
            <w:noWrap w:val="false"/>
          </w:tcPr>
          <w:p>
            <w:pPr>
              <w:pStyle w:val="746"/>
              <w:rPr>
                <w:rFonts w:hint="eastAsia" w:ascii="宋体" w:hAnsi="宋体" w:eastAsia="宋体" w:cs="宋体"/>
                <w:color w:val="000000"/>
                <w:sz w:val="24"/>
              </w:rPr>
            </w:pPr>
            <w:r>
              <w:rPr>
                <w:rFonts w:hint="eastAsia" w:ascii="宋体" w:hAnsi="宋体" w:eastAsia="宋体" w:cs="宋体"/>
                <w:color w:val="000000"/>
                <w:sz w:val="24"/>
              </w:rPr>
              <w:t xml:space="preserve">要求供应商所提供的网络具有对所有节点传输设备的日常运行状态、故障响应、资源分配和调度控制等监测管理功能，提供端到端的客户网络监控等业务，供应商对于客户网络监控服务应具备7*24小时的实时服务监控团队。</w:t>
            </w:r>
            <w:r/>
          </w:p>
        </w:tc>
      </w:tr>
      <w:tr>
        <w:trPr/>
        <w:tc>
          <w:tcPr>
            <w:tcW w:w="2660" w:type="dxa"/>
            <w:vAlign w:val="center"/>
            <w:textDirection w:val="lrTb"/>
            <w:noWrap w:val="false"/>
          </w:tcPr>
          <w:p>
            <w:pPr>
              <w:pStyle w:val="746"/>
              <w:jc w:val="center"/>
              <w:rPr>
                <w:rFonts w:hint="eastAsia" w:ascii="宋体" w:hAnsi="宋体" w:eastAsia="宋体" w:cs="宋体"/>
                <w:color w:val="000000"/>
                <w:sz w:val="24"/>
              </w:rPr>
            </w:pPr>
            <w:r>
              <w:rPr>
                <w:rFonts w:hint="eastAsia" w:ascii="宋体" w:hAnsi="宋体" w:eastAsia="宋体" w:cs="宋体"/>
                <w:color w:val="000000"/>
                <w:sz w:val="24"/>
              </w:rPr>
              <w:t xml:space="preserve">时延要求</w:t>
            </w:r>
            <w:r/>
          </w:p>
        </w:tc>
        <w:tc>
          <w:tcPr>
            <w:tcW w:w="6468" w:type="dxa"/>
            <w:vAlign w:val="top"/>
            <w:textDirection w:val="lrTb"/>
            <w:noWrap w:val="false"/>
          </w:tcPr>
          <w:p>
            <w:pPr>
              <w:pStyle w:val="746"/>
              <w:rPr>
                <w:rFonts w:hint="eastAsia" w:ascii="宋体" w:hAnsi="宋体" w:eastAsia="宋体" w:cs="宋体"/>
                <w:color w:val="000000"/>
                <w:sz w:val="24"/>
              </w:rPr>
            </w:pPr>
            <w:r>
              <w:rPr>
                <w:rFonts w:hint="eastAsia" w:ascii="宋体" w:hAnsi="宋体" w:eastAsia="宋体" w:cs="宋体"/>
                <w:color w:val="000000"/>
                <w:sz w:val="24"/>
              </w:rPr>
              <w:t xml:space="preserve">点对点测试，传输1500 bytes，延时≤10ms，丢包率≤0.1%。 </w:t>
            </w:r>
            <w:r/>
          </w:p>
        </w:tc>
      </w:tr>
      <w:tr>
        <w:trPr/>
        <w:tc>
          <w:tcPr>
            <w:tcW w:w="2660" w:type="dxa"/>
            <w:vAlign w:val="center"/>
            <w:textDirection w:val="lrTb"/>
            <w:noWrap w:val="false"/>
          </w:tcPr>
          <w:p>
            <w:pPr>
              <w:pStyle w:val="746"/>
              <w:jc w:val="center"/>
              <w:rPr>
                <w:rFonts w:hint="eastAsia" w:ascii="宋体" w:hAnsi="宋体" w:eastAsia="宋体" w:cs="宋体"/>
                <w:color w:val="000000"/>
                <w:sz w:val="24"/>
              </w:rPr>
            </w:pPr>
            <w:r>
              <w:rPr>
                <w:rFonts w:hint="eastAsia" w:ascii="宋体" w:hAnsi="宋体" w:eastAsia="宋体" w:cs="宋体"/>
                <w:color w:val="000000"/>
                <w:sz w:val="24"/>
              </w:rPr>
              <w:t xml:space="preserve">设备要求</w:t>
            </w:r>
            <w:r/>
          </w:p>
        </w:tc>
        <w:tc>
          <w:tcPr>
            <w:tcW w:w="6468" w:type="dxa"/>
            <w:vAlign w:val="top"/>
            <w:textDirection w:val="lrTb"/>
            <w:noWrap w:val="false"/>
          </w:tcPr>
          <w:p>
            <w:pPr>
              <w:pStyle w:val="746"/>
              <w:rPr>
                <w:rFonts w:hint="eastAsia" w:ascii="宋体" w:hAnsi="宋体" w:eastAsia="宋体" w:cs="宋体"/>
                <w:color w:val="000000"/>
                <w:sz w:val="24"/>
              </w:rPr>
            </w:pPr>
            <w:r>
              <w:rPr>
                <w:rFonts w:hint="eastAsia" w:ascii="宋体" w:hAnsi="宋体" w:eastAsia="宋体" w:cs="宋体"/>
                <w:color w:val="000000"/>
                <w:sz w:val="24"/>
              </w:rPr>
              <w:t xml:space="preserve">★公安侧的核心汇聚设备应满足一下：</w:t>
            </w:r>
            <w:r/>
          </w:p>
          <w:p>
            <w:pPr>
              <w:pStyle w:val="746"/>
              <w:rPr>
                <w:rFonts w:hint="eastAsia" w:ascii="宋体" w:hAnsi="宋体" w:eastAsia="宋体" w:cs="宋体"/>
                <w:color w:val="000000"/>
                <w:sz w:val="24"/>
              </w:rPr>
            </w:pPr>
            <w:r>
              <w:rPr>
                <w:rFonts w:hint="eastAsia" w:ascii="宋体" w:hAnsi="宋体" w:eastAsia="宋体" w:cs="宋体"/>
                <w:color w:val="000000"/>
                <w:sz w:val="24"/>
              </w:rPr>
              <w:t xml:space="preserve">1.需支持-48V直流和220V交流两种供电模式。</w:t>
            </w:r>
            <w:r/>
          </w:p>
          <w:p>
            <w:pPr>
              <w:pStyle w:val="746"/>
              <w:rPr>
                <w:rFonts w:hint="eastAsia" w:ascii="宋体" w:hAnsi="宋体" w:eastAsia="宋体" w:cs="宋体"/>
                <w:color w:val="000000"/>
                <w:sz w:val="24"/>
              </w:rPr>
            </w:pPr>
            <w:r>
              <w:rPr>
                <w:rFonts w:hint="eastAsia" w:ascii="宋体" w:hAnsi="宋体" w:eastAsia="宋体" w:cs="宋体"/>
                <w:color w:val="000000"/>
                <w:sz w:val="24"/>
              </w:rPr>
              <w:t xml:space="preserve">2.需支持槽位：低速槽位≥6个，应满足每个槽位背板带宽至少8个GE；高速槽位≥4个，应满足每个槽位容量至少为10G。</w:t>
            </w:r>
            <w:r/>
          </w:p>
          <w:p>
            <w:pPr>
              <w:pStyle w:val="746"/>
              <w:rPr>
                <w:rFonts w:hint="eastAsia" w:ascii="宋体" w:hAnsi="宋体" w:eastAsia="宋体" w:cs="宋体"/>
                <w:color w:val="000000"/>
                <w:sz w:val="24"/>
              </w:rPr>
            </w:pPr>
            <w:r>
              <w:rPr>
                <w:rFonts w:hint="eastAsia" w:ascii="宋体" w:hAnsi="宋体" w:eastAsia="宋体" w:cs="宋体"/>
                <w:color w:val="000000"/>
                <w:sz w:val="24"/>
              </w:rPr>
              <w:t xml:space="preserve">3.需支持TDM E1、ATM E1、ML-PPP E1、STM-1/4、CEP STM-1/4、FE（光口和电口）、GE（光口和电口）、10GE（光口）等接口。</w:t>
            </w:r>
            <w:r/>
          </w:p>
          <w:p>
            <w:pPr>
              <w:pStyle w:val="746"/>
              <w:rPr>
                <w:rFonts w:hint="eastAsia" w:ascii="宋体" w:hAnsi="宋体" w:eastAsia="宋体" w:cs="宋体"/>
                <w:color w:val="000000"/>
                <w:sz w:val="24"/>
              </w:rPr>
            </w:pPr>
            <w:r>
              <w:rPr>
                <w:rFonts w:hint="eastAsia" w:ascii="宋体" w:hAnsi="宋体" w:eastAsia="宋体" w:cs="宋体"/>
                <w:color w:val="000000"/>
                <w:sz w:val="24"/>
              </w:rPr>
              <w:t xml:space="preserve">4.需要至少有两个Interface槽位，可以提供E1板的1:2支路保护。</w:t>
            </w:r>
            <w:r/>
          </w:p>
          <w:p>
            <w:pPr>
              <w:pStyle w:val="746"/>
              <w:rPr>
                <w:rFonts w:hint="eastAsia" w:ascii="宋体" w:hAnsi="宋体" w:eastAsia="宋体" w:cs="宋体"/>
                <w:color w:val="000000"/>
                <w:sz w:val="24"/>
              </w:rPr>
            </w:pPr>
            <w:r>
              <w:rPr>
                <w:rFonts w:hint="eastAsia" w:ascii="宋体" w:hAnsi="宋体" w:eastAsia="宋体" w:cs="宋体"/>
                <w:color w:val="000000"/>
                <w:sz w:val="24"/>
              </w:rPr>
              <w:t xml:space="preserve">4.需支持与其他分组传送产品共同组网。</w:t>
            </w:r>
            <w:r/>
          </w:p>
          <w:p>
            <w:pPr>
              <w:pStyle w:val="746"/>
              <w:rPr>
                <w:rFonts w:hint="eastAsia" w:ascii="宋体" w:hAnsi="宋体" w:eastAsia="宋体" w:cs="宋体"/>
                <w:color w:val="000000"/>
                <w:sz w:val="24"/>
              </w:rPr>
            </w:pPr>
            <w:r>
              <w:rPr>
                <w:rFonts w:hint="eastAsia" w:ascii="宋体" w:hAnsi="宋体" w:eastAsia="宋体" w:cs="宋体"/>
                <w:color w:val="000000"/>
                <w:sz w:val="24"/>
              </w:rPr>
              <w:t xml:space="preserve">5.需支持通过MLPPP E1方式与传统SDH网络混合组网。</w:t>
            </w:r>
            <w:r/>
          </w:p>
        </w:tc>
      </w:tr>
      <w:tr>
        <w:trPr/>
        <w:tc>
          <w:tcPr>
            <w:tcW w:w="2660" w:type="dxa"/>
            <w:vAlign w:val="center"/>
            <w:textDirection w:val="lrTb"/>
            <w:noWrap w:val="false"/>
          </w:tcPr>
          <w:p>
            <w:pPr>
              <w:pStyle w:val="746"/>
              <w:jc w:val="center"/>
              <w:rPr>
                <w:rFonts w:hint="eastAsia" w:ascii="宋体" w:hAnsi="宋体" w:eastAsia="宋体" w:cs="宋体"/>
                <w:color w:val="000000"/>
                <w:sz w:val="24"/>
              </w:rPr>
            </w:pPr>
            <w:r>
              <w:rPr>
                <w:rFonts w:hint="eastAsia" w:ascii="宋体" w:hAnsi="宋体" w:eastAsia="宋体" w:cs="宋体"/>
                <w:color w:val="000000"/>
                <w:sz w:val="24"/>
              </w:rPr>
              <w:t xml:space="preserve">可用率要求</w:t>
            </w:r>
            <w:r/>
          </w:p>
        </w:tc>
        <w:tc>
          <w:tcPr>
            <w:tcW w:w="6468" w:type="dxa"/>
            <w:vAlign w:val="top"/>
            <w:textDirection w:val="lrTb"/>
            <w:noWrap w:val="false"/>
          </w:tcPr>
          <w:p>
            <w:pPr>
              <w:pStyle w:val="746"/>
              <w:rPr>
                <w:rFonts w:hint="eastAsia" w:ascii="宋体" w:hAnsi="宋体" w:eastAsia="宋体" w:cs="宋体"/>
                <w:color w:val="000000"/>
                <w:sz w:val="24"/>
              </w:rPr>
            </w:pPr>
            <w:r>
              <w:rPr>
                <w:rFonts w:hint="eastAsia" w:ascii="宋体" w:hAnsi="宋体" w:eastAsia="宋体" w:cs="宋体"/>
                <w:color w:val="000000"/>
                <w:sz w:val="24"/>
              </w:rPr>
              <w:t xml:space="preserve">★电路通路全年可用率平均达到99.9％。</w:t>
            </w:r>
            <w:r/>
          </w:p>
        </w:tc>
      </w:tr>
      <w:tr>
        <w:trPr/>
        <w:tc>
          <w:tcPr>
            <w:tcW w:w="2660" w:type="dxa"/>
            <w:vAlign w:val="center"/>
            <w:textDirection w:val="lrTb"/>
            <w:noWrap w:val="false"/>
          </w:tcPr>
          <w:p>
            <w:pPr>
              <w:pStyle w:val="746"/>
              <w:jc w:val="center"/>
              <w:rPr>
                <w:rFonts w:hint="eastAsia" w:ascii="宋体" w:hAnsi="宋体" w:eastAsia="宋体" w:cs="宋体"/>
                <w:color w:val="000000"/>
                <w:sz w:val="24"/>
              </w:rPr>
            </w:pPr>
            <w:r>
              <w:rPr>
                <w:rFonts w:hint="eastAsia" w:ascii="宋体" w:hAnsi="宋体" w:eastAsia="宋体" w:cs="宋体"/>
                <w:color w:val="000000"/>
                <w:sz w:val="24"/>
              </w:rPr>
              <w:t xml:space="preserve">资源覆盖要求</w:t>
            </w:r>
            <w:r/>
          </w:p>
        </w:tc>
        <w:tc>
          <w:tcPr>
            <w:tcW w:w="6468" w:type="dxa"/>
            <w:vAlign w:val="top"/>
            <w:textDirection w:val="lrTb"/>
            <w:noWrap w:val="false"/>
          </w:tcPr>
          <w:p>
            <w:pPr>
              <w:pStyle w:val="746"/>
              <w:rPr>
                <w:rFonts w:hint="eastAsia" w:ascii="宋体" w:hAnsi="宋体" w:eastAsia="宋体" w:cs="宋体"/>
                <w:color w:val="000000"/>
                <w:sz w:val="24"/>
              </w:rPr>
            </w:pPr>
            <w:r>
              <w:rPr>
                <w:rFonts w:hint="eastAsia" w:ascii="宋体" w:hAnsi="宋体" w:eastAsia="宋体" w:cs="宋体"/>
                <w:color w:val="000000"/>
                <w:sz w:val="24"/>
              </w:rPr>
              <w:t xml:space="preserve">★要求供应商光缆资源预覆盖率不低于70%。</w:t>
            </w:r>
            <w:r/>
          </w:p>
        </w:tc>
      </w:tr>
    </w:tbl>
    <w:p>
      <w:pPr>
        <w:pStyle w:val="747"/>
        <w:ind w:left="0" w:right="-25"/>
        <w:rPr>
          <w:rFonts w:hint="eastAsia" w:ascii="宋体" w:hAnsi="宋体" w:eastAsia="宋体" w:cs="宋体"/>
          <w:color w:val="000000"/>
          <w:sz w:val="24"/>
        </w:rPr>
      </w:pPr>
      <w:r>
        <w:rPr>
          <w:rFonts w:hint="eastAsia" w:ascii="宋体" w:hAnsi="宋体" w:eastAsia="宋体" w:cs="宋体"/>
          <w:color w:val="000000"/>
          <w:sz w:val="24"/>
        </w:rPr>
      </w:r>
      <w:r/>
    </w:p>
    <w:p>
      <w:pPr>
        <w:pStyle w:val="747"/>
        <w:ind w:left="0" w:right="-25"/>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rPr>
        <w:t xml:space="preserve">服务期限：1年，具体时间以合同规</w:t>
      </w:r>
      <w:r>
        <w:rPr>
          <w:rFonts w:hint="eastAsia" w:ascii="宋体" w:hAnsi="宋体" w:eastAsia="宋体" w:cs="宋体"/>
          <w:b/>
          <w:color w:val="000000"/>
          <w:sz w:val="24"/>
          <w:highlight w:val="none"/>
        </w:rPr>
        <w:t xml:space="preserve">定时间为准。</w:t>
      </w:r>
      <w:r/>
    </w:p>
    <w:p>
      <w:pPr>
        <w:pStyle w:val="746"/>
        <w:ind w:firstLine="482"/>
        <w:spacing w:before="156"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★所使用的专线需与徐州市公安局视频监控专网无缝对接；（提供承诺函</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格式自拟</w:t>
      </w:r>
      <w:r>
        <w:rPr>
          <w:rFonts w:hint="eastAsia" w:ascii="宋体" w:hAnsi="宋体" w:eastAsia="宋体" w:cs="宋体"/>
          <w:b/>
          <w:color w:val="000000"/>
          <w:sz w:val="24"/>
          <w:highlight w:val="none"/>
        </w:rPr>
        <w:t xml:space="preserve">）</w:t>
      </w:r>
      <w:r/>
    </w:p>
    <w:p>
      <w:pPr>
        <w:pStyle w:val="746"/>
        <w:ind w:firstLine="482"/>
        <w:spacing w:before="156"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★组网架构及前后端设备的IP地址应保持原状态不变，线路不得中断（提供承诺函</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格式自拟</w:t>
      </w:r>
      <w:r>
        <w:rPr>
          <w:rFonts w:hint="eastAsia" w:ascii="宋体" w:hAnsi="宋体" w:eastAsia="宋体" w:cs="宋体"/>
          <w:b/>
          <w:color w:val="000000"/>
          <w:sz w:val="24"/>
          <w:highlight w:val="none"/>
        </w:rPr>
        <w:t xml:space="preserve">）如因线路中断造成点位离线，招标人有权追究中标人责任；</w:t>
      </w:r>
      <w:r/>
    </w:p>
    <w:p>
      <w:pPr>
        <w:pStyle w:val="746"/>
        <w:ind w:firstLine="482"/>
        <w:spacing w:before="156"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★投标人必须保证接到《中标通知书》后24小时内立即派遣专业人员进驻现场交接工作，保障现有系统正常运转，因延误造成的损失由中标人承担。（提供承诺函</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格式自拟</w:t>
      </w:r>
      <w:r>
        <w:rPr>
          <w:rFonts w:hint="eastAsia" w:ascii="宋体" w:hAnsi="宋体" w:eastAsia="宋体" w:cs="宋体"/>
          <w:b/>
          <w:color w:val="000000"/>
          <w:sz w:val="24"/>
          <w:highlight w:val="none"/>
        </w:rPr>
        <w:t xml:space="preserve">）</w:t>
      </w:r>
      <w:r/>
    </w:p>
    <w:p>
      <w:pPr>
        <w:pStyle w:val="746"/>
        <w:ind w:firstLine="480"/>
        <w:spacing w:before="15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7"/>
        <w:rPr>
          <w:rFonts w:hint="eastAsia" w:ascii="宋体" w:hAnsi="宋体" w:eastAsia="宋体" w:cs="宋体"/>
          <w:color w:val="000000"/>
          <w:sz w:val="24"/>
        </w:rPr>
      </w:pPr>
      <w:r>
        <w:rPr>
          <w:rFonts w:hint="eastAsia" w:ascii="宋体" w:hAnsi="宋体" w:eastAsia="宋体" w:cs="宋体"/>
          <w:color w:val="000000"/>
          <w:sz w:val="24"/>
        </w:rPr>
      </w:r>
      <w:r/>
    </w:p>
    <w:p>
      <w:pPr>
        <w:pStyle w:val="746"/>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六、运行</w:t>
      </w:r>
      <w:r>
        <w:rPr>
          <w:rFonts w:hint="eastAsia" w:ascii="宋体" w:hAnsi="宋体" w:eastAsia="宋体" w:cs="宋体"/>
          <w:b/>
          <w:bCs/>
          <w:color w:val="000000"/>
          <w:sz w:val="24"/>
          <w:lang w:val="en-US" w:eastAsia="zh-CN"/>
        </w:rPr>
        <w:t xml:space="preserve">保障</w:t>
      </w:r>
      <w:r>
        <w:rPr>
          <w:rFonts w:hint="eastAsia" w:ascii="宋体" w:hAnsi="宋体" w:eastAsia="宋体" w:cs="宋体"/>
          <w:b/>
          <w:bCs/>
          <w:color w:val="000000"/>
          <w:sz w:val="24"/>
        </w:rPr>
        <w:t xml:space="preserve">要求</w:t>
      </w:r>
      <w:r/>
    </w:p>
    <w:p>
      <w:pPr>
        <w:pStyle w:val="746"/>
        <w:ind w:firstLine="47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本次招标活动的中标人应根据甲方需求完成前端点位电表的开户、接入工作，并负责后期的用电</w:t>
      </w:r>
      <w:r>
        <w:rPr>
          <w:rFonts w:hint="eastAsia" w:ascii="宋体" w:hAnsi="宋体" w:eastAsia="宋体" w:cs="宋体"/>
          <w:b/>
          <w:bCs/>
          <w:color w:val="000000"/>
          <w:sz w:val="24"/>
          <w:lang w:val="en-US" w:eastAsia="zh-CN"/>
        </w:rPr>
        <w:t xml:space="preserve">保障</w:t>
      </w:r>
      <w:r>
        <w:rPr>
          <w:rFonts w:hint="eastAsia" w:ascii="宋体" w:hAnsi="宋体" w:eastAsia="宋体" w:cs="宋体"/>
          <w:b/>
          <w:bCs/>
          <w:color w:val="000000"/>
          <w:sz w:val="24"/>
        </w:rPr>
        <w:t xml:space="preserve">。</w:t>
      </w:r>
      <w:r/>
    </w:p>
    <w:p>
      <w:pPr>
        <w:pStyle w:val="746"/>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七、售后服务及应急服务要求</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为确保本项目范围内的服务能够得到有交效保障，中标人必须在徐州市拥有售后服务机构，有能力在徐州市提供长期服务，并提供相关承诺及服务计划。本条为实质性响应条款，中标人承担由此产生的一切责任。</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维保期内，接到采购人认为与本项目实施、应用、维护、故障解决等相关的服务请求电话后，中标人应1小时内响应。否则，采购人将自行采取必要的措施，由此产生的风险和费用应由中标人承担。中标人提供7*24小时报修服务电话，保证24小时开通。</w:t>
      </w:r>
      <w:r/>
    </w:p>
    <w:p>
      <w:pPr>
        <w:pStyle w:val="746"/>
        <w:ind w:firstLine="47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项目实施以后提供2名专业技术人员1年</w:t>
      </w:r>
      <w:r>
        <w:rPr>
          <w:rFonts w:hint="eastAsia" w:ascii="宋体" w:hAnsi="宋体" w:eastAsia="宋体" w:cs="宋体"/>
          <w:b/>
          <w:bCs/>
          <w:color w:val="000000"/>
          <w:sz w:val="24"/>
          <w:lang w:val="en-US" w:eastAsia="zh-CN"/>
        </w:rPr>
        <w:t xml:space="preserve">内场运维</w:t>
      </w:r>
      <w:r>
        <w:rPr>
          <w:rFonts w:hint="eastAsia" w:ascii="宋体" w:hAnsi="宋体" w:eastAsia="宋体" w:cs="宋体"/>
          <w:b/>
          <w:bCs/>
          <w:color w:val="000000"/>
          <w:sz w:val="24"/>
        </w:rPr>
        <w:t xml:space="preserve">服务。</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在特殊应用情况下，需中标人提供产品及相关的现场技术保障，采购人提前两天通过电话或者书面通知，由中标人提供不低于连续24小时的现场技术服务。</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中标人必须保证投标所涉及的软件不涉及版权问题，否则一切后果由中标人承担。</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重要保障请求，包括重大节假日、国家军事、政治活动、雷雨天气等期间的服务保障工作。因工作特点需要，在重点通讯保障期间，根据采购人要求，投标人需指定技术支持工程师到现场实施通讯保障服务。此服务按照现场服务标准，投标人不再另行收取费用。</w:t>
      </w:r>
      <w:r/>
    </w:p>
    <w:p>
      <w:pPr>
        <w:pStyle w:val="76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投标人自行拟定《应急服务方案》。</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根据项目需求，结合行业标准及维保服务特性，制定考核标准如下：</w:t>
      </w:r>
      <w:r/>
    </w:p>
    <w:p>
      <w:pPr>
        <w:pStyle w:val="746"/>
        <w:ind w:firstLine="47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一、核心效能指标</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设备在线率‌</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考核要求：月均在线率≥95%</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考核方式：每月随机抽查监控点，统计72小时连续在线数据</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惩罚机制：每低于目标值1%，扣减</w:t>
      </w:r>
      <w:r>
        <w:rPr>
          <w:rFonts w:hint="eastAsia" w:ascii="宋体" w:hAnsi="宋体" w:eastAsia="宋体" w:cs="宋体"/>
          <w:color w:val="000000"/>
          <w:sz w:val="24"/>
          <w:lang w:val="en-US" w:eastAsia="zh-CN"/>
        </w:rPr>
        <w:t xml:space="preserve">2000元</w:t>
      </w:r>
      <w:r>
        <w:rPr>
          <w:rFonts w:hint="eastAsia" w:ascii="宋体" w:hAnsi="宋体" w:eastAsia="宋体" w:cs="宋体"/>
          <w:color w:val="000000"/>
          <w:sz w:val="24"/>
        </w:rPr>
        <w:t xml:space="preserve">；</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分级响应标准‌：</w:t>
      </w:r>
      <w:r/>
    </w:p>
    <w:p>
      <w:pPr>
        <w:pStyle w:val="746"/>
        <w:ind w:firstLine="47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普通故障（单点失效</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前端视频遮挡、模糊、位置不对、链路不通等</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小时内</w:t>
      </w:r>
      <w:r>
        <w:rPr>
          <w:rFonts w:hint="eastAsia" w:ascii="宋体" w:hAnsi="宋体" w:eastAsia="宋体" w:cs="宋体"/>
          <w:color w:val="000000"/>
          <w:sz w:val="24"/>
          <w:lang w:val="en-US" w:eastAsia="zh-CN"/>
        </w:rPr>
        <w:t xml:space="preserve">响应</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24</w:t>
      </w:r>
      <w:r>
        <w:rPr>
          <w:rFonts w:hint="eastAsia" w:ascii="宋体" w:hAnsi="宋体" w:eastAsia="宋体" w:cs="宋体"/>
          <w:color w:val="000000"/>
          <w:sz w:val="24"/>
        </w:rPr>
        <w:t xml:space="preserve">小时内修复</w:t>
      </w:r>
      <w:r/>
    </w:p>
    <w:p>
      <w:pPr>
        <w:pStyle w:val="746"/>
        <w:ind w:firstLine="47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重要故障（区域瘫痪</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平台宕机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存储故障、上级部门考核重点点位保障不力</w:t>
      </w:r>
      <w:r>
        <w:rPr>
          <w:rFonts w:hint="eastAsia" w:ascii="宋体" w:hAnsi="宋体" w:eastAsia="宋体" w:cs="宋体"/>
          <w:color w:val="000000"/>
          <w:sz w:val="24"/>
        </w:rPr>
        <w:t xml:space="preserve">）：30分钟内响应，1小时内到场处置</w:t>
      </w:r>
      <w:r/>
    </w:p>
    <w:p>
      <w:pPr>
        <w:pStyle w:val="746"/>
        <w:ind w:firstLine="47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特殊故障（电力/光缆中断）：2小时内提交书面解决方案</w:t>
      </w:r>
      <w:r/>
    </w:p>
    <w:p>
      <w:pPr>
        <w:pStyle w:val="746"/>
        <w:ind w:firstLine="470"/>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注：普通故障未及时响应每次扣减50元，重要故障未及时响应每次扣减200元。</w:t>
      </w:r>
      <w:r/>
    </w:p>
    <w:p>
      <w:pP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二、资源保障核查</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人力配置‌</w:t>
      </w:r>
      <w:r/>
    </w:p>
    <w:p>
      <w:pPr>
        <w:pStyle w:val="746"/>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每月核查维护人员出勤记录，专职人员≥10人（需提供社保缴纳证明）</w:t>
      </w:r>
      <w:r/>
    </w:p>
    <w:p>
      <w:pPr>
        <w:pStyle w:val="746"/>
        <w:ind w:firstLine="47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keepLines w:val="0"/>
        <w:keepNext w:val="0"/>
        <w:pageBreakBefore w:val="0"/>
        <w:spacing w:line="360" w:lineRule="auto"/>
        <w:shd w:val="clear" w:color="auto" w:fill="auto"/>
        <w:widowControl w:val="off"/>
        <w:rPr>
          <w:rFonts w:hint="eastAsia"/>
          <w:color w:val="000000"/>
          <w:sz w:val="24"/>
          <w:szCs w:val="24"/>
          <w:highlight w:val="none"/>
        </w:rPr>
      </w:pPr>
      <w:r>
        <w:rPr>
          <w:rFonts w:hint="eastAsia"/>
          <w:color w:val="000000"/>
          <w:sz w:val="24"/>
          <w:szCs w:val="24"/>
          <w:highlight w:val="none"/>
        </w:rPr>
        <w:t xml:space="preserve">‌</w:t>
      </w:r>
      <w:r/>
    </w:p>
    <w:p>
      <w:pPr>
        <w:keepLines w:val="0"/>
        <w:keepNext w:val="0"/>
        <w:pageBreakBefore w:val="0"/>
        <w:spacing w:line="360" w:lineRule="auto"/>
        <w:shd w:val="clear" w:color="auto" w:fill="auto"/>
        <w:widowControl w:val="off"/>
        <w:rPr>
          <w:rFonts w:hint="eastAsia"/>
          <w:color w:val="000000"/>
          <w:sz w:val="24"/>
          <w:szCs w:val="24"/>
          <w:highlight w:val="none"/>
        </w:rPr>
      </w:pPr>
      <w:r>
        <w:rPr>
          <w:rFonts w:hint="eastAsia"/>
          <w:color w:val="000000"/>
          <w:sz w:val="24"/>
          <w:szCs w:val="24"/>
          <w:highlight w:val="none"/>
        </w:rPr>
      </w:r>
      <w:r/>
    </w:p>
    <w:p>
      <w:pPr>
        <w:pStyle w:val="842"/>
        <w:shd w:val="clear" w:color="auto" w:fill="auto"/>
        <w:rPr>
          <w:color w:val="000000"/>
          <w:highlight w:val="none"/>
        </w:rPr>
      </w:pPr>
      <w:r>
        <w:rPr>
          <w:color w:val="000000"/>
          <w:highlight w:val="none"/>
        </w:rPr>
      </w:r>
      <w:r/>
    </w:p>
    <w:p>
      <w:pPr>
        <w:pStyle w:val="746"/>
        <w:shd w:val="clear" w:color="auto" w:fill="auto"/>
        <w:rPr>
          <w:rFonts w:ascii="仿宋" w:hAnsi="仿宋" w:eastAsia="仿宋"/>
          <w:color w:val="000000"/>
          <w:sz w:val="24"/>
          <w:highlight w:val="none"/>
        </w:rPr>
      </w:pPr>
      <w:r>
        <w:rPr>
          <w:rFonts w:ascii="仿宋" w:hAnsi="仿宋" w:eastAsia="仿宋"/>
          <w:color w:val="000000"/>
          <w:sz w:val="24"/>
          <w:highlight w:val="none"/>
        </w:rPr>
      </w:r>
      <w:r/>
    </w:p>
    <w:p>
      <w:pPr>
        <w:pStyle w:val="746"/>
        <w:ind w:firstLine="480"/>
        <w:spacing w:line="420" w:lineRule="exact"/>
        <w:shd w:val="clear" w:color="auto" w:fill="auto"/>
        <w:rPr>
          <w:rFonts w:ascii="仿宋" w:hAnsi="仿宋" w:eastAsia="仿宋"/>
          <w:color w:val="000000"/>
          <w:sz w:val="24"/>
          <w:highlight w:val="none"/>
          <w:lang w:val="zh-CN"/>
        </w:rPr>
      </w:pPr>
      <w:r>
        <w:rPr>
          <w:rFonts w:ascii="仿宋" w:hAnsi="仿宋" w:eastAsia="仿宋"/>
          <w:color w:val="000000"/>
          <w:sz w:val="24"/>
          <w:highlight w:val="none"/>
          <w:lang w:val="zh-CN"/>
        </w:rPr>
      </w:r>
      <w:r/>
    </w:p>
    <w:p>
      <w:pPr>
        <w:pStyle w:val="746"/>
        <w:shd w:val="clear" w:color="auto" w:fill="auto"/>
        <w:rPr>
          <w:rFonts w:ascii="仿宋" w:hAnsi="仿宋" w:eastAsia="仿宋"/>
          <w:color w:val="000000"/>
          <w:sz w:val="24"/>
          <w:highlight w:val="none"/>
        </w:rPr>
      </w:pPr>
      <w:r>
        <w:rPr>
          <w:rFonts w:ascii="仿宋" w:hAnsi="仿宋" w:eastAsia="仿宋"/>
          <w:color w:val="000000"/>
          <w:sz w:val="24"/>
          <w:highlight w:val="none"/>
        </w:rPr>
      </w:r>
      <w:r/>
    </w:p>
    <w:p>
      <w:pPr>
        <w:shd w:val="clear" w:color="auto" w:fill="auto"/>
        <w:rPr>
          <w:rStyle w:val="818"/>
          <w:rFonts w:hint="eastAsia" w:ascii="宋体" w:hAnsi="宋体" w:eastAsia="宋体" w:cs="宋体"/>
          <w:color w:val="000000"/>
          <w:sz w:val="28"/>
          <w:szCs w:val="28"/>
          <w:highlight w:val="none"/>
        </w:rPr>
      </w:pPr>
      <w:r>
        <w:rPr>
          <w:rStyle w:val="818"/>
          <w:rFonts w:hint="eastAsia" w:ascii="宋体" w:hAnsi="宋体" w:eastAsia="宋体" w:cs="宋体"/>
          <w:color w:val="000000"/>
          <w:sz w:val="28"/>
          <w:szCs w:val="28"/>
          <w:highlight w:val="none"/>
        </w:rPr>
        <w:br w:type="page" w:clear="all"/>
      </w:r>
      <w:r/>
    </w:p>
    <w:p>
      <w:pPr>
        <w:pStyle w:val="746"/>
        <w:jc w:val="center"/>
        <w:spacing w:line="240" w:lineRule="atLeast"/>
        <w:shd w:val="clear" w:color="auto" w:fill="auto"/>
        <w:rPr>
          <w:rStyle w:val="818"/>
          <w:rFonts w:hint="eastAsia" w:ascii="宋体" w:hAnsi="宋体" w:eastAsia="宋体" w:cs="宋体"/>
          <w:color w:val="000000"/>
          <w:sz w:val="28"/>
          <w:szCs w:val="28"/>
          <w:highlight w:val="none"/>
        </w:rPr>
      </w:pPr>
      <w:r>
        <w:rPr>
          <w:rStyle w:val="818"/>
          <w:rFonts w:hint="eastAsia" w:ascii="宋体" w:hAnsi="宋体" w:eastAsia="宋体" w:cs="宋体"/>
          <w:color w:val="000000"/>
          <w:sz w:val="28"/>
          <w:szCs w:val="28"/>
          <w:highlight w:val="none"/>
        </w:rPr>
        <w:t xml:space="preserve">第七章  投标文件相关格式</w:t>
      </w:r>
      <w:bookmarkEnd w:id="8"/>
      <w:r/>
      <w:bookmarkEnd w:id="9"/>
      <w:r/>
      <w:r/>
    </w:p>
    <w:p>
      <w:pPr>
        <w:pStyle w:val="746"/>
        <w:ind w:firstLine="562"/>
        <w:jc w:val="center"/>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一、投标函格式</w:t>
      </w:r>
      <w:r/>
    </w:p>
    <w:p>
      <w:pPr>
        <w:pStyle w:val="746"/>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徐州市公安局铜山分局、</w:t>
      </w:r>
      <w:r>
        <w:rPr>
          <w:rFonts w:hint="eastAsia" w:ascii="宋体" w:hAnsi="宋体" w:eastAsia="宋体" w:cs="宋体"/>
          <w:color w:val="000000"/>
          <w:sz w:val="24"/>
          <w:highlight w:val="none"/>
          <w:u w:val="single"/>
        </w:rPr>
        <w:t xml:space="preserve">江苏淮中工程管理咨询有限公司</w:t>
      </w:r>
      <w:r/>
    </w:p>
    <w:p>
      <w:pPr>
        <w:pStyle w:val="746"/>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w:t>
      </w:r>
      <w:r>
        <w:rPr>
          <w:rFonts w:hint="eastAsia" w:ascii="宋体" w:hAnsi="宋体" w:cs="宋体"/>
          <w:color w:val="000000"/>
          <w:sz w:val="24"/>
          <w:highlight w:val="none"/>
          <w:u w:val="single"/>
          <w:lang w:eastAsia="zh-CN"/>
        </w:rPr>
        <w:t xml:space="preserve">徐州市公安局铜山分局2026年视频监控维保项目</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JSZC-320312-HZGC-G2026-0005</w:t>
      </w: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u w:val="single"/>
        </w:rPr>
        <w:t xml:space="preserve">  (姓名) </w:t>
      </w:r>
      <w:r>
        <w:rPr>
          <w:rFonts w:hint="eastAsia" w:ascii="宋体" w:hAnsi="宋体" w:eastAsia="宋体" w:cs="宋体"/>
          <w:color w:val="000000"/>
          <w:sz w:val="24"/>
          <w:highlight w:val="none"/>
        </w:rPr>
        <w:t xml:space="preserve">代表我方</w:t>
      </w:r>
      <w:r>
        <w:rPr>
          <w:rFonts w:hint="eastAsia" w:ascii="宋体" w:hAnsi="宋体" w:eastAsia="宋体" w:cs="宋体"/>
          <w:color w:val="000000"/>
          <w:sz w:val="24"/>
          <w:highlight w:val="none"/>
          <w:u w:val="single"/>
        </w:rPr>
        <w:t xml:space="preserve">  （投标人的名称）        </w:t>
      </w:r>
      <w:r>
        <w:rPr>
          <w:rFonts w:hint="eastAsia" w:ascii="宋体" w:hAnsi="宋体" w:eastAsia="宋体" w:cs="宋体"/>
          <w:color w:val="000000"/>
          <w:sz w:val="24"/>
          <w:highlight w:val="none"/>
        </w:rPr>
        <w:t xml:space="preserve">全权处理本次投标的有关事宜。</w:t>
      </w:r>
      <w:r/>
    </w:p>
    <w:p>
      <w:pPr>
        <w:pStyle w:val="746"/>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据此函，投标人承诺并同意如下： </w:t>
      </w:r>
      <w:r/>
    </w:p>
    <w:p>
      <w:pPr>
        <w:pStyle w:val="746"/>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投标人唯一投标报价见《开标一览表》。</w:t>
      </w:r>
      <w:r/>
    </w:p>
    <w:p>
      <w:pPr>
        <w:pStyle w:val="746"/>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投标人将按招标文件的规定履行合同责任和义务。</w:t>
      </w:r>
      <w:r/>
    </w:p>
    <w:p>
      <w:pPr>
        <w:pStyle w:val="746"/>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投标人已详细审查全部招标文件，包括第[插入编号] [补遗书][如果有的话]。投标人完全理解并同意放弃对这方面有不明及误解的权力。</w:t>
      </w:r>
      <w:r/>
    </w:p>
    <w:p>
      <w:pPr>
        <w:pStyle w:val="746"/>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投标有效期为开标之日后</w:t>
      </w:r>
      <w:r>
        <w:rPr>
          <w:rFonts w:hint="eastAsia" w:ascii="宋体" w:hAnsi="宋体" w:eastAsia="宋体" w:cs="宋体"/>
          <w:color w:val="000000"/>
          <w:sz w:val="24"/>
          <w:highlight w:val="none"/>
          <w:u w:val="single"/>
        </w:rPr>
        <w:t xml:space="preserve">90</w:t>
      </w:r>
      <w:r>
        <w:rPr>
          <w:rFonts w:hint="eastAsia" w:ascii="宋体" w:hAnsi="宋体" w:eastAsia="宋体" w:cs="宋体"/>
          <w:color w:val="000000"/>
          <w:sz w:val="24"/>
          <w:highlight w:val="none"/>
        </w:rPr>
        <w:t xml:space="preserve">天。</w:t>
      </w:r>
      <w:r/>
    </w:p>
    <w:p>
      <w:pPr>
        <w:pStyle w:val="746"/>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投标人同意提供按照贵方可能要求的与其投标有关的一切数据或资料，完全理解贵方不一定接受最低价的投标或收到的任何投标。</w:t>
      </w:r>
      <w:r/>
    </w:p>
    <w:p>
      <w:pPr>
        <w:pStyle w:val="746"/>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投标人同意按照招标文件规定支付招标代理服务费。</w:t>
      </w:r>
      <w:r/>
    </w:p>
    <w:p>
      <w:pPr>
        <w:pStyle w:val="746"/>
        <w:ind w:right="29"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746"/>
        <w:ind w:right="29"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 采购人有权对投标人投标文件的真实性进行核实，如投标人不能在采购人规定的时间内向采购人提供有效的证明文件，将被采购人视为放弃中标资格。</w:t>
      </w:r>
      <w:r/>
    </w:p>
    <w:p>
      <w:pPr>
        <w:pStyle w:val="746"/>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 与本投标有关的一切正式往来信函请寄：</w:t>
      </w:r>
      <w:r/>
    </w:p>
    <w:p>
      <w:pPr>
        <w:pStyle w:val="746"/>
        <w:ind w:firstLine="11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p>
    <w:p>
      <w:pPr>
        <w:pStyle w:val="746"/>
        <w:ind w:firstLine="11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p>
    <w:p>
      <w:pPr>
        <w:pStyle w:val="746"/>
        <w:ind w:firstLine="11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p>
    <w:p>
      <w:pPr>
        <w:pStyle w:val="746"/>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ind w:firstLine="25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p>
    <w:p>
      <w:pPr>
        <w:pStyle w:val="746"/>
        <w:ind w:firstLine="5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（签字或电子盖章）  </w:t>
      </w:r>
      <w:r/>
    </w:p>
    <w:p>
      <w:pPr>
        <w:pStyle w:val="746"/>
        <w:ind w:firstLine="420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746"/>
        <w:spacing w:line="4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pStyle w:val="746"/>
        <w:ind w:firstLine="643"/>
        <w:jc w:val="center"/>
        <w:spacing w:line="48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二、开标一览表格式</w:t>
      </w:r>
      <w:r/>
    </w:p>
    <w:p>
      <w:pPr>
        <w:pStyle w:val="746"/>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ind w:firstLine="560"/>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eastAsia="宋体" w:cs="宋体"/>
          <w:color w:val="000000"/>
          <w:sz w:val="24"/>
          <w:highlight w:val="none"/>
        </w:rPr>
        <w:t xml:space="preserve">                 </w:t>
      </w:r>
      <w:r/>
    </w:p>
    <w:p>
      <w:pPr>
        <w:pStyle w:val="746"/>
        <w:ind w:firstLine="560"/>
        <w:spacing w:line="52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 </w:t>
      </w:r>
      <w:r>
        <w:rPr>
          <w:rFonts w:ascii="Segoe UI" w:hAnsi="Segoe UI" w:eastAsia="Segoe UI" w:cs="Segoe UI"/>
          <w:i w:val="0"/>
          <w:iCs w:val="0"/>
          <w:caps w:val="0"/>
          <w:spacing w:val="0"/>
          <w:sz w:val="21"/>
          <w:szCs w:val="21"/>
          <w:shd w:val="clear" w:color="auto" w:fill="ffffff"/>
        </w:rPr>
        <w:t xml:space="preserve">JSZC-320312-HZGC-G2026-0005</w:t>
      </w:r>
      <w:r/>
    </w:p>
    <w:p>
      <w:pPr>
        <w:pStyle w:val="746"/>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ind w:firstLine="560"/>
        <w:jc w:val="right"/>
        <w:spacing w:line="52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p>
    <w:p>
      <w:pPr>
        <w:pStyle w:val="839"/>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Style w:val="689"/>
        <w:tblW w:w="9818" w:type="dxa"/>
        <w:jc w:val="center"/>
        <w:tblLayout w:type="autofit"/>
        <w:tblCellMar>
          <w:left w:w="108" w:type="dxa"/>
          <w:top w:w="0" w:type="dxa"/>
          <w:right w:w="108" w:type="dxa"/>
          <w:bottom w:w="0" w:type="dxa"/>
        </w:tblCellMar>
        <w:tblLook w:val="04A0" w:firstRow="1" w:lastRow="0" w:firstColumn="1" w:lastColumn="0" w:noHBand="0" w:noVBand="1"/>
      </w:tblPr>
      <w:tblGrid>
        <w:gridCol w:w="2995"/>
        <w:gridCol w:w="1883"/>
        <w:gridCol w:w="1418"/>
        <w:gridCol w:w="3522"/>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758"/>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项目名称</w:t>
            </w:r>
            <w:r/>
          </w:p>
        </w:tc>
        <w:tc>
          <w:tcPr>
            <w:tcBorders>
              <w:top w:val="single" w:color="000000" w:sz="6" w:space="0"/>
              <w:left w:val="single" w:color="000000" w:sz="2" w:space="0"/>
              <w:bottom w:val="single" w:color="000000" w:sz="2" w:space="0"/>
              <w:right w:val="single" w:color="000000" w:sz="2" w:space="0"/>
            </w:tcBorders>
            <w:tcW w:w="1883" w:type="dxa"/>
            <w:vAlign w:val="center"/>
            <w:textDirection w:val="lrTb"/>
            <w:noWrap w:val="false"/>
          </w:tcPr>
          <w:p>
            <w:pPr>
              <w:pStyle w:val="758"/>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项目内容</w:t>
            </w:r>
            <w:r/>
          </w:p>
        </w:tc>
        <w:tc>
          <w:tcPr>
            <w:tcBorders>
              <w:top w:val="single" w:color="000000" w:sz="6" w:space="0"/>
              <w:left w:val="single" w:color="000000" w:sz="2" w:space="0"/>
              <w:bottom w:val="single" w:color="000000" w:sz="2" w:space="0"/>
              <w:right w:val="single" w:color="000000" w:sz="2" w:space="0"/>
            </w:tcBorders>
            <w:tcW w:w="1418" w:type="dxa"/>
            <w:vAlign w:val="center"/>
            <w:textDirection w:val="lrTb"/>
            <w:noWrap w:val="false"/>
          </w:tcPr>
          <w:p>
            <w:pPr>
              <w:pStyle w:val="758"/>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数量</w:t>
            </w:r>
            <w:r/>
          </w:p>
        </w:tc>
        <w:tc>
          <w:tcPr>
            <w:tcBorders>
              <w:top w:val="single" w:color="000000" w:sz="6" w:space="0"/>
              <w:left w:val="single" w:color="000000" w:sz="2" w:space="0"/>
              <w:bottom w:val="single" w:color="000000" w:sz="2" w:space="0"/>
              <w:right w:val="single" w:color="000000" w:sz="2" w:space="0"/>
            </w:tcBorders>
            <w:tcW w:w="3522" w:type="dxa"/>
            <w:vAlign w:val="top"/>
            <w:textDirection w:val="lrTb"/>
            <w:noWrap w:val="false"/>
          </w:tcPr>
          <w:p>
            <w:pPr>
              <w:pStyle w:val="758"/>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58"/>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55"/>
              <w:jc w:val="left"/>
              <w:spacing w:line="0" w:lineRule="atLeast"/>
              <w:shd w:val="clear" w:color="auto" w:fill="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eastAsia="宋体" w:cs="宋体"/>
                <w:color w:val="000000"/>
                <w:sz w:val="24"/>
                <w:highlight w:val="none"/>
              </w:rPr>
              <w:t xml:space="preserve"> </w:t>
            </w:r>
            <w:r/>
          </w:p>
        </w:tc>
        <w:tc>
          <w:tcPr>
            <w:tcBorders>
              <w:top w:val="single" w:color="000000" w:sz="2" w:space="0"/>
              <w:left w:val="single" w:color="000000" w:sz="2" w:space="0"/>
              <w:bottom w:val="single" w:color="000000" w:sz="2" w:space="0"/>
              <w:right w:val="single" w:color="000000" w:sz="2" w:space="0"/>
            </w:tcBorders>
            <w:tcW w:w="1883" w:type="dxa"/>
            <w:vAlign w:val="center"/>
            <w:textDirection w:val="lrTb"/>
            <w:noWrap w:val="false"/>
          </w:tcPr>
          <w:p>
            <w:pPr>
              <w:pStyle w:val="758"/>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58"/>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1项</w:t>
            </w:r>
            <w:r/>
          </w:p>
        </w:tc>
        <w:tc>
          <w:tcPr>
            <w:tcBorders>
              <w:top w:val="single" w:color="000000" w:sz="2" w:space="0"/>
              <w:left w:val="single" w:color="000000" w:sz="2" w:space="0"/>
              <w:bottom w:val="single" w:color="000000" w:sz="2" w:space="0"/>
              <w:right w:val="single" w:color="000000" w:sz="2" w:space="0"/>
            </w:tcBorders>
            <w:tcW w:w="3522" w:type="dxa"/>
            <w:vAlign w:val="top"/>
            <w:textDirection w:val="lrTb"/>
            <w:noWrap w:val="false"/>
          </w:tcPr>
          <w:p>
            <w:pPr>
              <w:pStyle w:val="758"/>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p>
            <w:pPr>
              <w:pStyle w:val="758"/>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 </w:t>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58"/>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总价（大写）：</w:t>
            </w:r>
            <w:r/>
          </w:p>
        </w:tc>
        <w:tc>
          <w:tcPr>
            <w:gridSpan w:val="3"/>
            <w:tcBorders>
              <w:top w:val="single" w:color="000000" w:sz="2" w:space="0"/>
              <w:left w:val="single" w:color="000000" w:sz="2" w:space="0"/>
              <w:bottom w:val="single" w:color="000000" w:sz="2" w:space="0"/>
              <w:right w:val="single" w:color="000000" w:sz="2" w:space="0"/>
            </w:tcBorders>
            <w:tcW w:w="6823" w:type="dxa"/>
            <w:vAlign w:val="center"/>
            <w:textDirection w:val="lrTb"/>
            <w:noWrap w:val="false"/>
          </w:tcPr>
          <w:p>
            <w:pPr>
              <w:pStyle w:val="758"/>
              <w:jc w:val="center"/>
              <w:shd w:val="clear" w:color="auto" w:fill="auto"/>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r>
            <w:r/>
          </w:p>
        </w:tc>
      </w:tr>
    </w:tbl>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报价包括产品价、税金、运费、安装调试、检验、保险、维护等全部费用。采购人不再支付报价以外的任何费用</w:t>
      </w:r>
      <w:r>
        <w:rPr>
          <w:rFonts w:hint="eastAsia" w:ascii="宋体" w:hAnsi="宋体" w:eastAsia="宋体" w:cs="宋体"/>
          <w:color w:val="000000"/>
          <w:sz w:val="24"/>
          <w:highlight w:val="none"/>
        </w:rPr>
        <w:t xml:space="preserve">。</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2、报价大小写不一致以大写为准；</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3、偏离说明：详见《偏离表》；</w:t>
      </w:r>
      <w:r/>
    </w:p>
    <w:p>
      <w:pPr>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4、报价与响应文件中《分项价格表》中的总价一致；</w:t>
      </w:r>
      <w:r/>
    </w:p>
    <w:p>
      <w:pPr>
        <w:pStyle w:val="742"/>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此表应按投标人须知的规定密封标记并密封单独提交。</w:t>
      </w:r>
      <w:r/>
    </w:p>
    <w:p>
      <w:pPr>
        <w:pStyle w:val="755"/>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投标人承诺：本项目由投标人本企业提供的服务，不转包、不分包。</w:t>
      </w:r>
      <w:r/>
    </w:p>
    <w:p>
      <w:pPr>
        <w:pStyle w:val="746"/>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ind w:firstLine="480"/>
        <w:jc w:val="center"/>
        <w:spacing w:line="360" w:lineRule="auto"/>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46"/>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（盖电子签章）</w:t>
      </w:r>
      <w:r/>
    </w:p>
    <w:p>
      <w:pPr>
        <w:pStyle w:val="746"/>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（签字或电子盖章）  </w:t>
      </w:r>
      <w:r/>
    </w:p>
    <w:p>
      <w:pPr>
        <w:pStyle w:val="746"/>
        <w:ind w:firstLine="31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746"/>
        <w:ind w:firstLine="420"/>
        <w:jc w:val="center"/>
        <w:spacing w:line="48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三、分项价格表格式</w:t>
      </w:r>
      <w:r/>
    </w:p>
    <w:p>
      <w:pPr>
        <w:pStyle w:val="746"/>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eastAsia="宋体" w:cs="宋体"/>
          <w:color w:val="000000"/>
          <w:sz w:val="24"/>
          <w:highlight w:val="none"/>
        </w:rPr>
        <w:t xml:space="preserve">  </w:t>
      </w:r>
      <w:r/>
    </w:p>
    <w:p>
      <w:pPr>
        <w:pStyle w:val="746"/>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JSZC-320312-HZGC-G2026-0005</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p>
    <w:p>
      <w:pPr>
        <w:pStyle w:val="746"/>
        <w:ind w:firstLine="560"/>
        <w:jc w:val="right"/>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p>
    <w:p>
      <w:pPr>
        <w:pStyle w:val="861"/>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746"/>
        <w:ind w:firstLine="26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ind w:firstLine="26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ind w:firstLine="560"/>
        <w:jc w:val="center"/>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（格式自拟）</w:t>
      </w:r>
      <w:r/>
    </w:p>
    <w:p>
      <w:pPr>
        <w:pStyle w:val="871"/>
        <w:ind w:left="0" w:firstLine="0"/>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871"/>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59"/>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26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6"/>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（签字或电子盖章）  </w:t>
      </w:r>
      <w:r/>
    </w:p>
    <w:p>
      <w:pPr>
        <w:pStyle w:val="746"/>
        <w:ind w:firstLine="364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6"/>
        <w:ind w:firstLine="60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本款说明：</w:t>
      </w:r>
      <w:r/>
    </w:p>
    <w:p>
      <w:pPr>
        <w:pStyle w:val="746"/>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46"/>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2.享受政府采购支持政策的残疾人福利性单位应满足的条件以《关于促进残疾人就业政府采购政策的通知》（财库〔2017〕141号）的规定为准。</w:t>
      </w:r>
      <w:r/>
    </w:p>
    <w:p>
      <w:pPr>
        <w:pStyle w:val="746"/>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注：①如果不提供详细分项报价的，将视为没有实质性响应招标文件。</w:t>
      </w:r>
      <w:r/>
    </w:p>
    <w:p>
      <w:pPr>
        <w:pStyle w:val="746"/>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②投标人对以上数据的真实性负责。</w:t>
      </w:r>
      <w:r/>
    </w:p>
    <w:p>
      <w:pPr>
        <w:pStyle w:val="746"/>
        <w:ind w:firstLine="60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招标人及江苏淮中工程管理咨询有限公司有权将以上内容进行公示。</w:t>
      </w:r>
      <w:r/>
    </w:p>
    <w:p>
      <w:pPr>
        <w:pStyle w:val="746"/>
        <w:jc w:val="center"/>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四、偏离表格式</w:t>
      </w:r>
      <w:r/>
    </w:p>
    <w:p>
      <w:pPr>
        <w:pStyle w:val="746"/>
        <w:ind w:firstLine="560"/>
        <w:spacing w:line="480" w:lineRule="exact"/>
        <w:shd w:val="clear" w:color="auto" w:fill="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徐州市公安局铜山分局2026年视频监控维保项目</w:t>
      </w:r>
      <w:r/>
    </w:p>
    <w:p>
      <w:pPr>
        <w:pStyle w:val="746"/>
        <w:ind w:firstLine="560"/>
        <w:spacing w:line="48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w:t>
      </w:r>
      <w:r>
        <w:rPr>
          <w:rFonts w:hint="eastAsia" w:ascii="宋体" w:hAnsi="宋体" w:eastAsia="宋体" w:cs="宋体"/>
          <w:color w:val="000000"/>
          <w:sz w:val="24"/>
          <w:highlight w:val="none"/>
          <w:lang w:eastAsia="zh-CN"/>
        </w:rPr>
        <w:t xml:space="preserve">号：JSZC-320312-HZGC-G2026-0005</w:t>
      </w:r>
      <w:r>
        <w:rPr>
          <w:rFonts w:hint="eastAsia" w:ascii="宋体" w:hAnsi="宋体" w:eastAsia="宋体" w:cs="宋体"/>
          <w:color w:val="000000"/>
          <w:sz w:val="24"/>
          <w:highlight w:val="none"/>
          <w:lang w:val="en-US" w:eastAsia="zh-CN"/>
        </w:rPr>
        <w:t xml:space="preserve"> </w:t>
      </w:r>
      <w:r/>
    </w:p>
    <w:p>
      <w:pPr>
        <w:pStyle w:val="746"/>
        <w:ind w:firstLine="560"/>
        <w:spacing w:line="48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46"/>
        <w:shd w:val="clear" w:color="auto" w:fill="auto"/>
        <w:rPr>
          <w:rFonts w:ascii="宋体" w:hAnsi="宋体" w:cs="宋体"/>
          <w:color w:val="000000"/>
          <w:sz w:val="24"/>
          <w:highlight w:val="none"/>
          <w:u w:val="single"/>
        </w:rPr>
      </w:pPr>
      <w:r>
        <w:rPr>
          <w:rFonts w:ascii="宋体" w:hAnsi="宋体" w:cs="宋体"/>
          <w:color w:val="000000"/>
          <w:sz w:val="24"/>
          <w:highlight w:val="none"/>
          <w:u w:val="single"/>
        </w:rPr>
      </w:r>
      <w:r/>
    </w:p>
    <w:tbl>
      <w:tblPr>
        <w:tblStyle w:val="689"/>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86"/>
        <w:gridCol w:w="1794"/>
      </w:tblGrid>
      <w:tr>
        <w:trPr>
          <w:jc w:val="center"/>
          <w:trHeight w:val="794"/>
        </w:trPr>
        <w:tc>
          <w:tcPr>
            <w:tcW w:w="720" w:type="dxa"/>
            <w:vAlign w:val="center"/>
            <w:textDirection w:val="lrTb"/>
            <w:noWrap w:val="false"/>
          </w:tcPr>
          <w:p>
            <w:pPr>
              <w:pStyle w:val="746"/>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404" w:type="dxa"/>
            <w:vAlign w:val="center"/>
            <w:textDirection w:val="lrTb"/>
            <w:noWrap w:val="false"/>
          </w:tcPr>
          <w:p>
            <w:pPr>
              <w:pStyle w:val="746"/>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1476" w:type="dxa"/>
            <w:vAlign w:val="center"/>
            <w:textDirection w:val="lrTb"/>
            <w:noWrap w:val="false"/>
          </w:tcPr>
          <w:p>
            <w:pPr>
              <w:pStyle w:val="746"/>
              <w:jc w:val="center"/>
              <w:shd w:val="clear" w:color="auto" w:fill="auto"/>
              <w:rPr>
                <w:rFonts w:ascii="宋体" w:hAnsi="宋体" w:cs="宋体"/>
                <w:caps/>
                <w:color w:val="000000"/>
                <w:sz w:val="24"/>
                <w:highlight w:val="none"/>
              </w:rPr>
            </w:pPr>
            <w:r>
              <w:rPr>
                <w:rFonts w:hint="eastAsia" w:ascii="宋体" w:hAnsi="宋体" w:cs="宋体"/>
                <w:color w:val="000000"/>
                <w:sz w:val="24"/>
                <w:highlight w:val="none"/>
              </w:rPr>
              <w:t xml:space="preserve">招标文件的要求</w:t>
            </w:r>
            <w:r/>
          </w:p>
        </w:tc>
        <w:tc>
          <w:tcPr>
            <w:tcW w:w="1620" w:type="dxa"/>
            <w:vAlign w:val="center"/>
            <w:textDirection w:val="lrTb"/>
            <w:noWrap w:val="false"/>
          </w:tcPr>
          <w:p>
            <w:pPr>
              <w:pStyle w:val="746"/>
              <w:jc w:val="center"/>
              <w:shd w:val="clear" w:color="auto" w:fill="auto"/>
              <w:rPr>
                <w:rFonts w:ascii="宋体" w:hAnsi="宋体" w:cs="宋体"/>
                <w:caps/>
                <w:color w:val="000000"/>
                <w:sz w:val="24"/>
                <w:highlight w:val="none"/>
              </w:rPr>
            </w:pPr>
            <w:r>
              <w:rPr>
                <w:rFonts w:hint="eastAsia" w:ascii="宋体" w:hAnsi="宋体" w:cs="宋体"/>
                <w:color w:val="000000"/>
                <w:sz w:val="24"/>
                <w:highlight w:val="none"/>
              </w:rPr>
              <w:t xml:space="preserve">投标文件中的内容</w:t>
            </w:r>
            <w:r/>
          </w:p>
        </w:tc>
        <w:tc>
          <w:tcPr>
            <w:tcW w:w="1986" w:type="dxa"/>
            <w:vAlign w:val="center"/>
            <w:textDirection w:val="lrTb"/>
            <w:noWrap w:val="false"/>
          </w:tcPr>
          <w:p>
            <w:pPr>
              <w:pStyle w:val="746"/>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1794" w:type="dxa"/>
            <w:vAlign w:val="center"/>
            <w:textDirection w:val="lrTb"/>
            <w:noWrap w:val="false"/>
          </w:tcPr>
          <w:p>
            <w:pPr>
              <w:pStyle w:val="746"/>
              <w:jc w:val="center"/>
              <w:shd w:val="clear" w:color="auto" w:fill="auto"/>
              <w:rPr>
                <w:rFonts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720"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720"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04"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476"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620"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6"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794" w:type="dxa"/>
            <w:vAlign w:val="top"/>
            <w:textDirection w:val="lrTb"/>
            <w:noWrap w:val="false"/>
          </w:tcPr>
          <w:p>
            <w:pPr>
              <w:pStyle w:val="746"/>
              <w:shd w:val="clear" w:color="auto" w:fill="auto"/>
              <w:rPr>
                <w:rFonts w:ascii="宋体" w:hAnsi="宋体" w:cs="宋体"/>
                <w:color w:val="000000"/>
                <w:sz w:val="24"/>
                <w:highlight w:val="none"/>
              </w:rPr>
            </w:pPr>
            <w:r>
              <w:rPr>
                <w:rFonts w:ascii="宋体" w:hAnsi="宋体" w:cs="宋体"/>
                <w:color w:val="000000"/>
                <w:sz w:val="24"/>
                <w:highlight w:val="none"/>
              </w:rPr>
            </w:r>
            <w:r/>
          </w:p>
        </w:tc>
      </w:tr>
    </w:tbl>
    <w:p>
      <w:pPr>
        <w:pStyle w:val="746"/>
        <w:shd w:val="clear" w:color="auto" w:fill="auto"/>
        <w:rPr>
          <w:rFonts w:ascii="宋体" w:hAnsi="宋体" w:cs="宋体"/>
          <w:color w:val="000000"/>
          <w:sz w:val="24"/>
          <w:highlight w:val="none"/>
          <w:u w:val="single"/>
        </w:rPr>
      </w:pPr>
      <w:r>
        <w:rPr>
          <w:rFonts w:ascii="宋体" w:hAnsi="宋体" w:cs="宋体"/>
          <w:color w:val="000000"/>
          <w:sz w:val="24"/>
          <w:highlight w:val="none"/>
          <w:u w:val="single"/>
        </w:rPr>
      </w:r>
      <w:r/>
    </w:p>
    <w:p>
      <w:pPr>
        <w:pStyle w:val="746"/>
        <w:ind w:firstLine="562"/>
        <w:spacing w:line="440" w:lineRule="exact"/>
        <w:shd w:val="clear" w:color="auto" w:fill="auto"/>
        <w:rPr>
          <w:rFonts w:ascii="宋体" w:hAnsi="宋体" w:cs="宋体"/>
          <w:color w:val="000000"/>
          <w:sz w:val="24"/>
          <w:highlight w:val="none"/>
        </w:rPr>
      </w:pPr>
      <w:r>
        <w:rPr>
          <w:rFonts w:hint="eastAsia" w:ascii="宋体" w:hAnsi="宋体" w:cs="宋体"/>
          <w:b/>
          <w:color w:val="000000"/>
          <w:sz w:val="24"/>
          <w:highlight w:val="none"/>
          <w:u w:val="single"/>
        </w:rPr>
        <w:t xml:space="preserve">注</w:t>
      </w:r>
      <w:r>
        <w:rPr>
          <w:rFonts w:hint="eastAsia" w:ascii="宋体" w:hAnsi="宋体" w:cs="宋体"/>
          <w:color w:val="000000"/>
          <w:sz w:val="24"/>
          <w:highlight w:val="none"/>
          <w:u w:val="single"/>
        </w:rPr>
        <w:t xml:space="preserve">：投标人的投标文件中的内容与招标文件（含招标文件的澄清或者修改的内容）的要求不同时，逐条列在偏离表中，否则将认为投标人接受招标文件的要求。</w:t>
      </w:r>
      <w:r/>
    </w:p>
    <w:p>
      <w:pPr>
        <w:pStyle w:val="746"/>
        <w:ind w:firstLine="2660"/>
        <w:spacing w:line="30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2660"/>
        <w:spacing w:line="30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2660"/>
        <w:spacing w:line="30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6"/>
        <w:ind w:firstLine="560"/>
        <w:spacing w:line="30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w:t>
      </w:r>
      <w:r>
        <w:rPr>
          <w:rFonts w:ascii="宋体" w:hAnsi="宋体"/>
          <w:color w:val="000000"/>
          <w:sz w:val="24"/>
          <w:highlight w:val="none"/>
        </w:rPr>
        <w:t xml:space="preserve">电子</w:t>
      </w:r>
      <w:r>
        <w:rPr>
          <w:rFonts w:hint="eastAsia" w:ascii="宋体" w:hAnsi="宋体" w:cs="宋体"/>
          <w:color w:val="000000"/>
          <w:sz w:val="24"/>
          <w:highlight w:val="none"/>
        </w:rPr>
        <w:t xml:space="preserve">盖章）  </w:t>
      </w:r>
      <w:r/>
    </w:p>
    <w:p>
      <w:pPr>
        <w:pStyle w:val="746"/>
        <w:ind w:firstLine="364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364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6"/>
        <w:jc w:val="center"/>
        <w:shd w:val="clear" w:color="auto" w:fill="auto"/>
        <w:rPr>
          <w:rFonts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五、法定代表人授权书及法定代表人身份证明书格式</w:t>
      </w:r>
      <w:r/>
    </w:p>
    <w:p>
      <w:pPr>
        <w:pStyle w:val="746"/>
        <w:jc w:val="center"/>
        <w:spacing w:line="360" w:lineRule="auto"/>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法定代表人授权书</w:t>
      </w:r>
      <w:r/>
    </w:p>
    <w:p>
      <w:pPr>
        <w:pStyle w:val="746"/>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委托人：</w:t>
      </w:r>
      <w:r/>
    </w:p>
    <w:p>
      <w:pPr>
        <w:pStyle w:val="746"/>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pStyle w:val="746"/>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法定代表人（负责人）：               职务：</w:t>
      </w:r>
      <w:r/>
    </w:p>
    <w:p>
      <w:pPr>
        <w:pStyle w:val="746"/>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法人营业执照注册号：</w:t>
      </w:r>
      <w:r/>
    </w:p>
    <w:p>
      <w:pPr>
        <w:pStyle w:val="746"/>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受托人：                   性别：男（女）  </w:t>
      </w:r>
      <w:r/>
    </w:p>
    <w:p>
      <w:pPr>
        <w:pStyle w:val="746"/>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年龄：  岁                 民族：   族</w:t>
      </w:r>
      <w:r/>
    </w:p>
    <w:p>
      <w:pPr>
        <w:pStyle w:val="746"/>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职务：</w:t>
      </w:r>
      <w:r/>
    </w:p>
    <w:p>
      <w:pPr>
        <w:pStyle w:val="746"/>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身份证号：</w:t>
      </w:r>
      <w:r/>
    </w:p>
    <w:p>
      <w:pPr>
        <w:pStyle w:val="746"/>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lang w:eastAsia="zh-CN"/>
        </w:rPr>
        <w:t xml:space="preserve">徐州市公安局铜山分局2026年视频监控维保项目</w:t>
      </w:r>
      <w:r>
        <w:rPr>
          <w:rFonts w:hint="eastAsia" w:ascii="宋体" w:hAnsi="宋体" w:cs="宋体"/>
          <w:color w:val="000000"/>
          <w:sz w:val="24"/>
          <w:highlight w:val="none"/>
        </w:rPr>
        <w:t xml:space="preserve">）项目（项目编号：</w:t>
      </w:r>
      <w:r>
        <w:rPr>
          <w:rFonts w:hint="eastAsia" w:ascii="宋体" w:hAnsi="宋体" w:eastAsia="宋体" w:cs="宋体"/>
          <w:color w:val="000000"/>
          <w:sz w:val="24"/>
          <w:highlight w:val="none"/>
          <w:lang w:eastAsia="zh-CN"/>
        </w:rPr>
        <w:t xml:space="preserve">JSZC-320312-HZGC-G2026-0005</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46"/>
        <w:ind w:firstLine="63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特此授权委托。</w:t>
      </w:r>
      <w:r/>
    </w:p>
    <w:p>
      <w:pPr>
        <w:pStyle w:val="746"/>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委托人（盖电子签章）：               受托人（签字或电子签章）：</w:t>
      </w:r>
      <w:r/>
    </w:p>
    <w:p>
      <w:pPr>
        <w:pStyle w:val="746"/>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法定代表人（签字或电子签章）： </w:t>
      </w:r>
      <w:r/>
    </w:p>
    <w:p>
      <w:pPr>
        <w:pStyle w:val="746"/>
        <w:ind w:right="600" w:firstLine="574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年   月   日 </w:t>
      </w:r>
      <w:r/>
    </w:p>
    <w:p>
      <w:pPr>
        <w:pStyle w:val="746"/>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(受托人身份证复印件附后)</w:t>
      </w:r>
      <w:r/>
    </w:p>
    <w:p>
      <w:pPr>
        <w:pStyle w:val="746"/>
        <w:ind w:firstLine="4470"/>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p>
    <w:p>
      <w:pPr>
        <w:pStyle w:val="746"/>
        <w:ind w:firstLine="4470"/>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4470"/>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shd w:val="clear" w:color="auto" w:fill="auto"/>
        <w:rPr>
          <w:rFonts w:ascii="宋体" w:hAnsi="宋体" w:cs="宋体"/>
          <w:bCs/>
          <w:color w:val="000000"/>
          <w:sz w:val="24"/>
          <w:highlight w:val="none"/>
        </w:rPr>
      </w:pPr>
      <w:r>
        <w:rPr>
          <w:rFonts w:hint="eastAsia" w:ascii="宋体" w:hAnsi="宋体" w:cs="宋体"/>
          <w:bCs/>
          <w:color w:val="000000"/>
          <w:sz w:val="24"/>
          <w:highlight w:val="none"/>
        </w:rPr>
        <w:br w:type="page" w:clear="all"/>
      </w:r>
      <w:r/>
    </w:p>
    <w:p>
      <w:pPr>
        <w:pStyle w:val="746"/>
        <w:jc w:val="center"/>
        <w:spacing w:line="360" w:lineRule="auto"/>
        <w:shd w:val="clear" w:color="auto" w:fill="auto"/>
        <w:rPr>
          <w:rFonts w:ascii="宋体" w:hAnsi="宋体" w:cs="宋体"/>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法定代表人身份证明书</w:t>
      </w:r>
      <w:r/>
    </w:p>
    <w:p>
      <w:pPr>
        <w:pStyle w:val="746"/>
        <w:jc w:val="center"/>
        <w:spacing w:line="360" w:lineRule="auto"/>
        <w:shd w:val="clear" w:color="auto" w:fill="auto"/>
        <w:rPr>
          <w:rFonts w:ascii="宋体" w:hAnsi="宋体" w:cs="宋体"/>
          <w:bCs/>
          <w:color w:val="000000"/>
          <w:sz w:val="24"/>
          <w:highlight w:val="none"/>
        </w:rPr>
      </w:pPr>
      <w:r>
        <w:rPr>
          <w:rFonts w:ascii="宋体" w:hAnsi="宋体" w:cs="宋体"/>
          <w:bCs/>
          <w:color w:val="000000"/>
          <w:sz w:val="24"/>
          <w:highlight w:val="none"/>
        </w:rPr>
      </w:r>
      <w:r/>
    </w:p>
    <w:p>
      <w:pPr>
        <w:pStyle w:val="746"/>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单位名称：</w:t>
      </w:r>
      <w:r/>
    </w:p>
    <w:p>
      <w:pPr>
        <w:pStyle w:val="746"/>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地址：</w:t>
      </w:r>
      <w:r/>
    </w:p>
    <w:p>
      <w:pPr>
        <w:pStyle w:val="746"/>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姓名：            性别：    </w:t>
      </w:r>
      <w:r/>
    </w:p>
    <w:p>
      <w:pPr>
        <w:pStyle w:val="746"/>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    身份证号：        职务：</w:t>
      </w:r>
      <w:r/>
    </w:p>
    <w:p>
      <w:pPr>
        <w:pStyle w:val="74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系我司的法定代表人。为签署（项目编号：</w:t>
      </w:r>
      <w:r>
        <w:rPr>
          <w:rFonts w:hint="eastAsia" w:ascii="宋体" w:hAnsi="宋体" w:eastAsia="宋体" w:cs="宋体"/>
          <w:color w:val="000000"/>
          <w:sz w:val="24"/>
          <w:highlight w:val="none"/>
          <w:u w:val="single"/>
          <w:lang w:eastAsia="zh-CN"/>
        </w:rPr>
        <w:t xml:space="preserve">JSZC-320312-HZGC-G2026-0005</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lang w:eastAsia="zh-CN"/>
        </w:rPr>
        <w:t xml:space="preserve">徐州市公安局铜山分局2026年视频监控维保项目</w:t>
      </w:r>
      <w:r>
        <w:rPr>
          <w:rFonts w:hint="eastAsia" w:ascii="宋体" w:hAnsi="宋体" w:cs="宋体"/>
          <w:color w:val="000000"/>
          <w:sz w:val="24"/>
          <w:highlight w:val="none"/>
        </w:rPr>
        <w:t xml:space="preserve">）项目投标文件、进行合同谈判、签署合同和处理与之有关的一切事务。</w:t>
      </w:r>
      <w:r/>
    </w:p>
    <w:p>
      <w:pPr>
        <w:pStyle w:val="746"/>
        <w:spacing w:line="360" w:lineRule="auto"/>
        <w:shd w:val="clear" w:color="auto" w:fill="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46"/>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特此证明。</w:t>
      </w:r>
      <w:r/>
    </w:p>
    <w:p>
      <w:pPr>
        <w:pStyle w:val="746"/>
        <w:ind w:firstLine="480"/>
        <w:spacing w:line="360" w:lineRule="auto"/>
        <w:shd w:val="clear" w:color="auto" w:fill="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46"/>
        <w:jc w:val="right"/>
        <w:spacing w:line="360" w:lineRule="auto"/>
        <w:shd w:val="clear" w:color="auto" w:fill="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59"/>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3240"/>
        <w:jc w:val="righ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6"/>
        <w:jc w:val="righ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w:t>
      </w:r>
      <w:r/>
    </w:p>
    <w:p>
      <w:pPr>
        <w:pStyle w:val="746"/>
        <w:ind w:firstLine="3360"/>
        <w:jc w:val="righ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6"/>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480"/>
        <w:spacing w:line="360" w:lineRule="auto"/>
        <w:shd w:val="clear" w:color="auto" w:fill="auto"/>
        <w:tabs>
          <w:tab w:val="left" w:pos="720" w:leader="none"/>
          <w:tab w:val="left" w:pos="900" w:leader="none"/>
        </w:tabs>
        <w:rPr>
          <w:rFonts w:ascii="宋体" w:hAnsi="宋体" w:cs="宋体"/>
          <w:color w:val="000000"/>
          <w:sz w:val="24"/>
          <w:highlight w:val="none"/>
        </w:rPr>
        <w:sectPr>
          <w:footerReference w:type="default" r:id="rId10"/>
          <w:footnotePr/>
          <w:endnotePr/>
          <w:type w:val="nextPage"/>
          <w:pgSz w:w="11906" w:h="16838" w:orient="portrait"/>
          <w:pgMar w:top="1440" w:right="1111" w:bottom="1440" w:left="1083" w:header="851" w:footer="992" w:gutter="0"/>
          <w:pgNumType w:start="1"/>
          <w:cols w:num="1" w:sep="0" w:space="1701" w:equalWidth="1"/>
          <w:docGrid w:linePitch="360"/>
        </w:sectPr>
      </w:pPr>
      <w:r>
        <w:rPr>
          <w:rFonts w:hint="eastAsia" w:ascii="宋体" w:hAnsi="宋体" w:cs="宋体"/>
          <w:color w:val="000000"/>
          <w:sz w:val="24"/>
          <w:highlight w:val="none"/>
        </w:rPr>
        <w:t xml:space="preserve">(法定代表人身份证</w:t>
      </w:r>
      <w:r>
        <w:rPr>
          <w:rFonts w:hint="eastAsia" w:ascii="宋体" w:hAnsi="宋体" w:cs="宋体"/>
          <w:bCs/>
          <w:color w:val="000000"/>
          <w:sz w:val="24"/>
          <w:highlight w:val="none"/>
        </w:rPr>
        <w:t xml:space="preserve">复印件</w:t>
      </w:r>
      <w:r>
        <w:rPr>
          <w:rFonts w:hint="eastAsia" w:ascii="宋体" w:hAnsi="宋体" w:cs="宋体"/>
          <w:color w:val="000000"/>
          <w:sz w:val="24"/>
          <w:highlight w:val="none"/>
        </w:rPr>
        <w:t xml:space="preserve">附后）</w:t>
      </w:r>
      <w:r/>
    </w:p>
    <w:p>
      <w:pPr>
        <w:jc w:val="center"/>
        <w:widowControl/>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六、中小企业声明函格式</w:t>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项目名称：</w:t>
      </w:r>
      <w:r/>
    </w:p>
    <w:p>
      <w:pPr>
        <w:ind w:firstLine="624"/>
        <w:spacing w:line="48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项目编号：</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采购活动，服务全部由符合政策要求的中小企业承接。相关企业的具体情况如下：</w:t>
      </w:r>
      <w:r/>
    </w:p>
    <w:p>
      <w:pPr>
        <w:ind w:firstLine="600"/>
        <w:spacing w:line="480" w:lineRule="exact"/>
        <w:rPr>
          <w:rFonts w:hint="eastAsia" w:ascii="宋体" w:hAnsi="宋体" w:eastAsia="宋体" w:cs="宋体"/>
          <w:spacing w:val="6"/>
          <w:sz w:val="24"/>
          <w:szCs w:val="24"/>
          <w:highlight w:val="none"/>
        </w:rPr>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eastAsia="zh-CN"/>
        </w:rPr>
        <w:t xml:space="preserve">徐州市公安局铜山分局2026年视频监控维保项目</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软件和信息技术服务业</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，从业人员人，营业收入为万元，资产总额为万元，属于（</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中型企业、</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小型企业、</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微型企业，请勾选！））；</w:t>
      </w:r>
      <w:r/>
    </w:p>
    <w:p>
      <w:pPr>
        <w:ind w:firstLine="600"/>
        <w:spacing w:line="480" w:lineRule="exact"/>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600"/>
        <w:spacing w:line="480" w:lineRule="exact"/>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企业名称（盖单位电子签章）：</w:t>
      </w:r>
      <w:r/>
    </w:p>
    <w:p>
      <w:pPr>
        <w:ind w:firstLine="600"/>
        <w:jc w:val="lef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注：本项目采购的服务属于</w:t>
      </w:r>
      <w:r>
        <w:rPr>
          <w:rFonts w:hint="eastAsia" w:ascii="宋体" w:hAnsi="宋体" w:eastAsia="宋体" w:cs="宋体"/>
          <w:sz w:val="24"/>
          <w:szCs w:val="24"/>
          <w:highlight w:val="none"/>
          <w:u w:val="single"/>
        </w:rPr>
        <w:t xml:space="preserve">软件和信息技术服务业</w:t>
      </w:r>
      <w:r>
        <w:rPr>
          <w:rFonts w:hint="eastAsia" w:ascii="宋体" w:hAnsi="宋体" w:eastAsia="宋体" w:cs="宋体"/>
          <w:sz w:val="24"/>
          <w:szCs w:val="24"/>
          <w:highlight w:val="none"/>
        </w:rPr>
        <w:t xml:space="preserve">。</w:t>
      </w:r>
      <w:r/>
    </w:p>
    <w:p>
      <w:pPr>
        <w:pStyle w:val="762"/>
        <w:ind w:firstLine="60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2.从业人员、营业收入、资产总额填报供应商上一年度数据，无上一年度数据的新成立企业可不填报。</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4.执行江苏省财政厅关于进一步加大政府采购支持中小企业力度的通知（苏财购〔2022〕45号）的规定。</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6.《中小企业声明函》查询渠道用微信搜索“中小企业规模类型自测小程序”。</w:t>
      </w:r>
      <w:r/>
    </w:p>
    <w:p>
      <w:pPr>
        <w:pStyle w:val="106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46"/>
        <w:jc w:val="center"/>
        <w:shd w:val="clear" w:color="auto" w:fill="auto"/>
        <w:rPr>
          <w:rFonts w:ascii="宋体" w:hAnsi="宋体" w:cs="宋体"/>
          <w:b/>
          <w:bCs/>
          <w:color w:val="000000"/>
          <w:spacing w:val="6"/>
          <w:sz w:val="24"/>
          <w:highlight w:val="none"/>
        </w:rPr>
      </w:pP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2211705</wp:posOffset>
                </wp:positionH>
                <wp:positionV relativeFrom="page">
                  <wp:posOffset>1571625</wp:posOffset>
                </wp:positionV>
                <wp:extent cx="2331085" cy="437007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74.2pt;mso-position-horizontal:absolute;mso-position-vertical-relative:page;margin-top:123.8pt;mso-position-vertical:absolute;width:183.5pt;height:344.1pt;mso-wrap-distance-left:9.0pt;mso-wrap-distance-top:0.0pt;mso-wrap-distance-right:9.0pt;mso-wrap-distance-bottom:0.0pt;" stroked="f">
                <v:path textboxrect="0,0,0,0"/>
                <w10:wrap type="square"/>
                <v:imagedata r:id="rId14" o:title=""/>
              </v:shape>
            </w:pict>
          </mc:Fallback>
        </mc:AlternateContent>
      </w:r>
      <w:r>
        <w:rPr>
          <w:rFonts w:hint="eastAsia" w:ascii="宋体" w:hAnsi="宋体" w:eastAsia="宋体" w:cs="宋体"/>
          <w:sz w:val="28"/>
          <w:szCs w:val="28"/>
          <w:highlight w:val="none"/>
        </w:rPr>
        <w:br w:type="page" w:clear="all"/>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残疾人福</w:t>
      </w:r>
      <w:r>
        <w:rPr>
          <w:rFonts w:hint="eastAsia" w:ascii="宋体" w:hAnsi="宋体" w:cs="宋体"/>
          <w:b/>
          <w:bCs/>
          <w:color w:val="000000"/>
          <w:sz w:val="24"/>
          <w:highlight w:val="none"/>
        </w:rPr>
        <w:t xml:space="preserve">利性单位声明函格式</w:t>
      </w:r>
      <w:r/>
    </w:p>
    <w:p>
      <w:pPr>
        <w:pStyle w:val="746"/>
        <w:ind w:firstLine="624"/>
        <w:spacing w:line="480" w:lineRule="exact"/>
        <w:shd w:val="clear" w:color="auto" w:fill="auto"/>
        <w:rPr>
          <w:rFonts w:ascii="宋体" w:hAnsi="宋体" w:cs="宋体"/>
          <w:color w:val="000000"/>
          <w:spacing w:val="6"/>
          <w:sz w:val="24"/>
          <w:highlight w:val="none"/>
        </w:rPr>
      </w:pPr>
      <w:r>
        <w:rPr>
          <w:rFonts w:ascii="宋体" w:hAnsi="宋体" w:cs="宋体"/>
          <w:color w:val="000000"/>
          <w:spacing w:val="6"/>
          <w:sz w:val="24"/>
          <w:highlight w:val="none"/>
        </w:rPr>
      </w:r>
      <w:r/>
    </w:p>
    <w:p>
      <w:pPr>
        <w:pStyle w:val="746"/>
        <w:ind w:firstLine="584"/>
        <w:spacing w:line="480" w:lineRule="exact"/>
        <w:shd w:val="clear" w:color="auto" w:fill="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徐州市公安局铜山分局2026年视频监控维保项目</w:t>
      </w:r>
      <w:r>
        <w:rPr>
          <w:rFonts w:hint="eastAsia" w:ascii="宋体" w:hAnsi="宋体" w:cs="宋体"/>
          <w:color w:val="000000"/>
          <w:spacing w:val="6"/>
          <w:sz w:val="24"/>
          <w:highlight w:val="none"/>
        </w:rPr>
        <w:t xml:space="preserve"> </w:t>
      </w:r>
      <w:r/>
    </w:p>
    <w:p>
      <w:pPr>
        <w:pStyle w:val="746"/>
        <w:ind w:firstLine="584"/>
        <w:spacing w:line="480" w:lineRule="exact"/>
        <w:shd w:val="clear" w:color="auto" w:fill="auto"/>
        <w:rPr>
          <w:rFonts w:hint="eastAsia" w:ascii="宋体" w:hAnsi="宋体" w:eastAsia="宋体" w:cs="宋体"/>
          <w:color w:val="000000"/>
          <w:spacing w:val="6"/>
          <w:sz w:val="24"/>
          <w:highlight w:val="none"/>
          <w:lang w:val="en-US" w:eastAsia="zh-CN"/>
        </w:rPr>
      </w:pPr>
      <w:r>
        <w:rPr>
          <w:rFonts w:hint="eastAsia" w:ascii="宋体" w:hAnsi="宋体" w:cs="宋体"/>
          <w:color w:val="000000"/>
          <w:spacing w:val="6"/>
          <w:sz w:val="24"/>
          <w:highlight w:val="none"/>
        </w:rPr>
        <w:t xml:space="preserve">项目编号：</w:t>
      </w:r>
      <w:r>
        <w:rPr>
          <w:rFonts w:hint="eastAsia" w:ascii="宋体" w:hAnsi="宋体" w:eastAsia="宋体" w:cs="宋体"/>
          <w:color w:val="000000"/>
          <w:sz w:val="24"/>
          <w:highlight w:val="none"/>
          <w:lang w:eastAsia="zh-CN"/>
        </w:rPr>
        <w:t xml:space="preserve">JSZC-320312-HZGC-G2026-0005</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p>
    <w:p>
      <w:pPr>
        <w:pStyle w:val="746"/>
        <w:ind w:firstLine="584"/>
        <w:spacing w:line="480" w:lineRule="exact"/>
        <w:shd w:val="clear" w:color="auto" w:fill="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单位的</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46"/>
        <w:ind w:firstLine="584"/>
        <w:spacing w:line="480" w:lineRule="exact"/>
        <w:shd w:val="clear" w:color="auto" w:fill="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pStyle w:val="746"/>
        <w:ind w:firstLine="584"/>
        <w:spacing w:line="480" w:lineRule="exact"/>
        <w:shd w:val="clear" w:color="auto" w:fill="auto"/>
        <w:rPr>
          <w:rFonts w:ascii="宋体" w:hAnsi="宋体" w:cs="宋体"/>
          <w:color w:val="000000"/>
          <w:spacing w:val="6"/>
          <w:sz w:val="24"/>
          <w:highlight w:val="none"/>
        </w:rPr>
      </w:pPr>
      <w:r>
        <w:rPr>
          <w:rFonts w:ascii="宋体" w:hAnsi="宋体" w:cs="宋体"/>
          <w:color w:val="000000"/>
          <w:spacing w:val="6"/>
          <w:sz w:val="24"/>
          <w:highlight w:val="none"/>
        </w:rPr>
      </w:r>
      <w:r/>
    </w:p>
    <w:p>
      <w:pPr>
        <w:pStyle w:val="746"/>
        <w:ind w:firstLine="584"/>
        <w:spacing w:line="480" w:lineRule="exact"/>
        <w:shd w:val="clear" w:color="auto" w:fill="auto"/>
        <w:rPr>
          <w:rFonts w:ascii="宋体" w:hAnsi="宋体" w:cs="宋体"/>
          <w:color w:val="000000"/>
          <w:spacing w:val="6"/>
          <w:sz w:val="24"/>
          <w:highlight w:val="none"/>
        </w:rPr>
      </w:pPr>
      <w:r>
        <w:rPr>
          <w:rFonts w:ascii="宋体" w:hAnsi="宋体" w:cs="宋体"/>
          <w:color w:val="000000"/>
          <w:spacing w:val="6"/>
          <w:sz w:val="24"/>
          <w:highlight w:val="none"/>
        </w:rPr>
      </w:r>
      <w:r/>
    </w:p>
    <w:p>
      <w:pPr>
        <w:pStyle w:val="746"/>
        <w:ind w:firstLine="238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6"/>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  </w:t>
      </w:r>
      <w:r/>
    </w:p>
    <w:p>
      <w:pPr>
        <w:pStyle w:val="746"/>
        <w:ind w:firstLine="42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420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6"/>
        <w:ind w:firstLine="45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6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600"/>
        <w:jc w:val="center"/>
        <w:spacing w:line="480" w:lineRule="exact"/>
        <w:shd w:val="clear" w:color="auto" w:fill="auto"/>
        <w:rPr>
          <w:rFonts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、投标人参加政府采购活动前3年内在经营活动中没有重大违法记录的书面声明格式</w:t>
      </w:r>
      <w:r/>
    </w:p>
    <w:p>
      <w:pPr>
        <w:pStyle w:val="746"/>
        <w:ind w:firstLine="602"/>
        <w:spacing w:line="480" w:lineRule="exact"/>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746"/>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lang w:eastAsia="zh-CN"/>
        </w:rPr>
        <w:t xml:space="preserve">徐州市公安局铜山分局2026年视频监控维保项目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w:t>
      </w:r>
      <w:r>
        <w:rPr>
          <w:rFonts w:hint="eastAsia" w:ascii="宋体" w:hAnsi="宋体" w:eastAsia="宋体" w:cs="宋体"/>
          <w:color w:val="000000"/>
          <w:sz w:val="24"/>
          <w:highlight w:val="none"/>
          <w:u w:val="single"/>
          <w:lang w:eastAsia="zh-CN"/>
        </w:rPr>
        <w:t xml:space="preserve">JSZC-320312-HZGC-G2026-0005</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66"/>
        <w:ind w:firstLine="560"/>
        <w:spacing w:before="0" w:beforeAutospacing="0" w:after="0" w:afterAutospacing="0" w:line="480" w:lineRule="exact"/>
        <w:shd w:val="clear" w:color="auto" w:fill="auto"/>
        <w:rPr>
          <w:rFonts w:cs="宋体"/>
          <w:color w:val="000000"/>
          <w:highlight w:val="none"/>
        </w:rPr>
      </w:pPr>
      <w:r>
        <w:rPr>
          <w:rFonts w:hint="eastAsia" w:cs="宋体"/>
          <w:color w:val="000000"/>
          <w:highlight w:val="none"/>
        </w:rPr>
        <w:t xml:space="preserve">我单位对上述声明的真实性负责。如有虚假，将依法承担相应责任。</w:t>
      </w:r>
      <w:r/>
    </w:p>
    <w:p>
      <w:pPr>
        <w:pStyle w:val="746"/>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26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6"/>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  </w:t>
      </w:r>
      <w:r/>
    </w:p>
    <w:p>
      <w:pPr>
        <w:pStyle w:val="746"/>
        <w:ind w:firstLine="42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462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pacing w:line="360" w:lineRule="auto"/>
        <w:shd w:val="clear" w:color="auto" w:fill="auto"/>
        <w:widowControl/>
        <w:rPr>
          <w:rFonts w:ascii="宋体" w:hAnsi="宋体" w:cs="宋体"/>
          <w:b/>
          <w:color w:val="000000"/>
          <w:sz w:val="24"/>
          <w:highlight w:val="none"/>
        </w:rPr>
      </w:pPr>
      <w:r>
        <w:rPr>
          <w:rFonts w:ascii="宋体" w:hAnsi="宋体" w:cs="宋体"/>
          <w:b/>
          <w:color w:val="000000"/>
          <w:sz w:val="24"/>
          <w:highlight w:val="none"/>
        </w:rPr>
      </w:r>
      <w:r/>
    </w:p>
    <w:p>
      <w:pPr>
        <w:pStyle w:val="746"/>
        <w:jc w:val="center"/>
        <w:shd w:val="clear" w:color="auto" w:fill="auto"/>
        <w:rPr>
          <w:rFonts w:ascii="宋体" w:hAnsi="宋体" w:cs="宋体"/>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、具备履行合同所必需的设备和专业技术能力的书面声明（附证明材料复印件）格式</w:t>
      </w:r>
      <w:r/>
    </w:p>
    <w:p>
      <w:pPr>
        <w:pStyle w:val="746"/>
        <w:ind w:firstLine="60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560"/>
        <w:spacing w:line="480" w:lineRule="exact"/>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徐州市公安局铜山分局2026年视频监控维保项目</w:t>
      </w:r>
      <w:r/>
    </w:p>
    <w:p>
      <w:pPr>
        <w:pStyle w:val="746"/>
        <w:ind w:firstLine="560"/>
        <w:spacing w:line="480" w:lineRule="exact"/>
        <w:shd w:val="clear" w:color="auto" w:fill="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val="en-US" w:eastAsia="zh-CN"/>
        </w:rPr>
        <w:t xml:space="preserve">  </w:t>
      </w:r>
      <w:r/>
    </w:p>
    <w:p>
      <w:pPr>
        <w:pStyle w:val="746"/>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投标人郑重声明：投标人具备履行合同（项目名称：</w:t>
      </w:r>
      <w:r>
        <w:rPr>
          <w:rFonts w:hint="eastAsia" w:ascii="宋体" w:hAnsi="宋体" w:cs="宋体"/>
          <w:color w:val="000000"/>
          <w:sz w:val="24"/>
          <w:highlight w:val="none"/>
          <w:u w:val="single"/>
          <w:lang w:eastAsia="zh-CN"/>
        </w:rPr>
        <w:t xml:space="preserve">徐州市公安局铜山分局2026年视频监控维保项目</w:t>
      </w:r>
      <w:r>
        <w:rPr>
          <w:rFonts w:hint="eastAsia" w:ascii="宋体" w:hAnsi="宋体" w:cs="宋体"/>
          <w:color w:val="000000"/>
          <w:sz w:val="24"/>
          <w:highlight w:val="none"/>
        </w:rPr>
        <w:t xml:space="preserve">，项目编号：</w:t>
      </w:r>
      <w:r>
        <w:rPr>
          <w:rFonts w:hint="eastAsia" w:ascii="宋体" w:hAnsi="宋体" w:eastAsia="宋体" w:cs="宋体"/>
          <w:color w:val="000000"/>
          <w:sz w:val="24"/>
          <w:highlight w:val="none"/>
          <w:u w:val="single"/>
          <w:lang w:eastAsia="zh-CN"/>
        </w:rPr>
        <w:t xml:space="preserve">JSZC-320312-HZGC-G2026-0005</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rPr>
        <w:t xml:space="preserve">所必需的设备和专业技术能力，</w:t>
      </w:r>
      <w:r>
        <w:rPr>
          <w:rFonts w:hint="eastAsia" w:ascii="宋体" w:hAnsi="宋体" w:eastAsia="宋体" w:cs="宋体"/>
          <w:color w:val="000000"/>
          <w:sz w:val="24"/>
          <w:highlight w:val="none"/>
        </w:rPr>
        <w:t xml:space="preserve">具体为：</w:t>
      </w:r>
      <w:r/>
    </w:p>
    <w:p>
      <w:pPr>
        <w:pStyle w:val="746"/>
        <w:ind w:firstLine="56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投标人至少2名为本项目服务的技术人员劳务合同及社保部门出具的供应商为其缴纳的</w:t>
      </w:r>
      <w:r>
        <w:rPr>
          <w:rFonts w:hint="eastAsia" w:ascii="宋体" w:hAnsi="宋体" w:eastAsia="宋体" w:cs="宋体"/>
          <w:color w:val="000000"/>
          <w:sz w:val="24"/>
          <w:highlight w:val="none"/>
          <w:lang w:val="en-US" w:eastAsia="zh-CN"/>
        </w:rPr>
        <w:t xml:space="preserve">开标前三个月</w:t>
      </w:r>
      <w:r>
        <w:rPr>
          <w:rFonts w:hint="eastAsia" w:ascii="宋体" w:hAnsi="宋体" w:eastAsia="宋体" w:cs="宋体"/>
          <w:color w:val="000000"/>
          <w:sz w:val="24"/>
          <w:highlight w:val="none"/>
        </w:rPr>
        <w:t xml:space="preserve">社会保险证明扫描件（不含开标当月）</w:t>
      </w:r>
      <w:r/>
    </w:p>
    <w:p>
      <w:pPr>
        <w:pStyle w:val="746"/>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ind w:firstLine="562"/>
        <w:spacing w:line="360" w:lineRule="auto"/>
        <w:shd w:val="clear" w:color="auto" w:fill="auto"/>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格式自拟</w:t>
      </w:r>
      <w:r/>
    </w:p>
    <w:p>
      <w:pPr>
        <w:pStyle w:val="746"/>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560"/>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firstLine="168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特此声明。</w:t>
      </w:r>
      <w:r/>
    </w:p>
    <w:p>
      <w:pPr>
        <w:pStyle w:val="746"/>
        <w:ind w:firstLine="560"/>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投标人对上述声明的真实性负责。如有虚假，将依法承担相应责任。</w:t>
      </w:r>
      <w:r/>
    </w:p>
    <w:p>
      <w:pPr>
        <w:pStyle w:val="746"/>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46"/>
        <w:ind w:right="29" w:firstLine="2800"/>
        <w:spacing w:line="52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p>
    <w:p>
      <w:pPr>
        <w:pStyle w:val="746"/>
        <w:ind w:firstLine="400"/>
        <w:spacing w:line="480" w:lineRule="exact"/>
        <w:shd w:val="clear" w:color="auto" w:fill="auto"/>
        <w:rPr>
          <w:rFonts w:ascii="宋体" w:hAnsi="宋体" w:cs="宋体"/>
          <w:color w:val="000000"/>
          <w:sz w:val="24"/>
          <w:highlight w:val="none"/>
        </w:rPr>
      </w:pPr>
      <w:r>
        <w:rPr>
          <w:rStyle w:val="874"/>
          <w:rFonts w:hint="eastAsia" w:ascii="宋体" w:hAnsi="宋体" w:cs="宋体"/>
          <w:color w:val="000000"/>
          <w:sz w:val="24"/>
          <w:highlight w:val="none"/>
        </w:rPr>
        <w:t xml:space="preserve">                            </w:t>
      </w:r>
      <w:r>
        <w:rPr>
          <w:rFonts w:hint="eastAsia" w:ascii="宋体" w:hAnsi="宋体" w:cs="宋体"/>
          <w:color w:val="000000"/>
          <w:sz w:val="24"/>
          <w:highlight w:val="none"/>
        </w:rPr>
        <w:t xml:space="preserve">投标人授权代表：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（签字或电子签章）  </w:t>
      </w:r>
      <w:r/>
    </w:p>
    <w:p>
      <w:pPr>
        <w:pStyle w:val="746"/>
        <w:jc w:val="center"/>
        <w:spacing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746"/>
        <w:jc w:val="center"/>
        <w:spacing w:line="360" w:lineRule="auto"/>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746"/>
        <w:jc w:val="center"/>
        <w:spacing w:line="360" w:lineRule="auto"/>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746"/>
        <w:jc w:val="center"/>
        <w:spacing w:line="360" w:lineRule="auto"/>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746"/>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746"/>
        <w:ind w:left="720"/>
        <w:jc w:val="center"/>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、投标人认为需要提供的其他材料（如有）</w:t>
      </w:r>
      <w:r/>
    </w:p>
    <w:p>
      <w:pPr>
        <w:pStyle w:val="861"/>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861"/>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861"/>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861"/>
        <w:jc w:val="center"/>
        <w:shd w:val="clear" w:color="auto" w:fill="auto"/>
        <w:rPr>
          <w:rFonts w:hAnsi="宋体" w:eastAsia="宋体" w:cs="宋体"/>
          <w:b/>
          <w:bCs/>
          <w:color w:val="000000"/>
          <w:sz w:val="24"/>
          <w:szCs w:val="24"/>
          <w:highlight w:val="none"/>
        </w:rPr>
      </w:pPr>
      <w:r>
        <w:rPr>
          <w:rFonts w:hAnsi="宋体" w:eastAsia="宋体" w:cs="宋体"/>
          <w:b/>
          <w:bCs/>
          <w:color w:val="000000"/>
          <w:sz w:val="24"/>
          <w:szCs w:val="24"/>
          <w:highlight w:val="none"/>
        </w:rPr>
      </w:r>
      <w:r/>
    </w:p>
    <w:p>
      <w:pPr>
        <w:pStyle w:val="746"/>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p>
    <w:p>
      <w:pPr>
        <w:pStyle w:val="861"/>
        <w:jc w:val="center"/>
        <w:shd w:val="clear" w:color="auto" w:fill="auto"/>
        <w:rPr>
          <w:rFonts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十</w:t>
      </w:r>
      <w:r>
        <w:rPr>
          <w:rFonts w:hint="eastAsia" w:hAnsi="宋体" w:eastAsia="宋体" w:cs="宋体"/>
          <w:b/>
          <w:bCs/>
          <w:color w:val="000000"/>
          <w:sz w:val="24"/>
          <w:szCs w:val="24"/>
          <w:highlight w:val="none"/>
          <w:lang w:val="en-US" w:eastAsia="zh-CN"/>
        </w:rPr>
        <w:t xml:space="preserve">一</w:t>
      </w:r>
      <w:r>
        <w:rPr>
          <w:rFonts w:hint="eastAsia" w:hAnsi="宋体" w:eastAsia="宋体" w:cs="宋体"/>
          <w:b/>
          <w:bCs/>
          <w:color w:val="000000"/>
          <w:sz w:val="24"/>
          <w:szCs w:val="24"/>
          <w:highlight w:val="none"/>
        </w:rPr>
        <w:t xml:space="preserve">、预付款保函支付条款模板</w:t>
      </w:r>
      <w:r/>
    </w:p>
    <w:p>
      <w:pPr>
        <w:pStyle w:val="746"/>
        <w:ind w:firstLine="565"/>
        <w:spacing w:line="480" w:lineRule="exact"/>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746"/>
        <w:ind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pStyle w:val="746"/>
        <w:ind w:firstLine="562"/>
        <w:spacing w:line="480" w:lineRule="exac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746"/>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pStyle w:val="746"/>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746"/>
        <w:ind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w:t>
      </w:r>
      <w:r/>
    </w:p>
    <w:p>
      <w:pPr>
        <w:pStyle w:val="746"/>
        <w:ind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pStyle w:val="746"/>
        <w:ind w:firstLine="562"/>
        <w:spacing w:line="480" w:lineRule="exac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746"/>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pStyle w:val="746"/>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pStyle w:val="746"/>
        <w:ind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w:t>
      </w:r>
      <w:r/>
    </w:p>
    <w:p>
      <w:pPr>
        <w:pStyle w:val="746"/>
        <w:ind w:left="140" w:firstLine="565"/>
        <w:spacing w:line="48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pStyle w:val="746"/>
        <w:ind w:left="140" w:firstLine="562"/>
        <w:spacing w:line="48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pStyle w:val="746"/>
        <w:ind w:left="140" w:firstLine="562"/>
        <w:spacing w:line="48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jc w:val="center"/>
        <w:spacing w:line="360" w:lineRule="auto"/>
        <w:rPr>
          <w:rFonts w:hint="eastAsia" w:ascii="Times New Roman" w:hAnsi="Times New Roman" w:eastAsia="宋体" w:cs="Times New Roman"/>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ff"/>
          <w:sz w:val="24"/>
          <w:szCs w:val="24"/>
          <w:highlight w:val="none"/>
          <w:lang w:val="en-US" w:eastAsia="zh-CN" w:bidi="ar-SA"/>
        </w:rPr>
        <w:t xml:space="preserve">十二、关于符合本国产品标准的声明函</w:t>
      </w:r>
      <w:r>
        <w:rPr>
          <w:rFonts w:hint="eastAsia" w:ascii="Times New Roman" w:hAnsi="Times New Roman" w:eastAsia="宋体" w:cs="Times New Roman"/>
          <w:color w:val="0000ff"/>
        </w:rPr>
        <w:t xml:space="preserve"> </w:t>
      </w:r>
      <w:r/>
    </w:p>
    <w:p>
      <w:pPr>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ff"/>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ff"/>
          <w:sz w:val="24"/>
          <w:szCs w:val="24"/>
          <w:lang w:val="en-US" w:eastAsia="zh-CN" w:bidi="ar-SA"/>
        </w:rPr>
      </w:r>
      <w:r/>
    </w:p>
    <w:p>
      <w:pPr>
        <w:ind w:left="0" w:right="0" w:firstLine="480"/>
        <w:keepLines w:val="0"/>
        <w:keepNext w:val="0"/>
        <w:pageBreakBefore w:val="0"/>
        <w:spacing w:line="360" w:lineRule="auto"/>
        <w:widowControl w:val="off"/>
        <w:rPr>
          <w:rFonts w:hint="default" w:ascii="Times New Roman" w:hAnsi="Times New Roman" w:eastAsia="宋体" w:cs="Times New Roman"/>
          <w:color w:val="0000ff"/>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ff"/>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color w:val="0000ff"/>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ff"/>
          <w:sz w:val="24"/>
          <w:szCs w:val="24"/>
          <w:highlight w:val="white"/>
        </w:rPr>
        <w:t xml:space="preserve">1.</w:t>
      </w:r>
      <w:r>
        <w:rPr>
          <w:rFonts w:hint="default" w:ascii="宋体" w:hAnsi="宋体" w:eastAsia="宋体" w:cs="宋体"/>
          <w:color w:val="0000ff"/>
          <w:sz w:val="24"/>
          <w:szCs w:val="24"/>
          <w:highlight w:val="white"/>
          <w:u w:val="single"/>
        </w:rPr>
        <w:t xml:space="preserve">（产品名称1）</w:t>
      </w:r>
      <w:r>
        <w:rPr>
          <w:rFonts w:hint="default" w:ascii="宋体" w:hAnsi="宋体" w:eastAsia="宋体" w:cs="宋体"/>
          <w:color w:val="0000ff"/>
          <w:sz w:val="24"/>
          <w:szCs w:val="24"/>
          <w:highlight w:val="white"/>
          <w:vertAlign w:val="superscript"/>
        </w:rPr>
        <w:t xml:space="preserve">1</w:t>
      </w:r>
      <w:r>
        <w:rPr>
          <w:rFonts w:hint="default" w:ascii="宋体" w:hAnsi="宋体" w:eastAsia="宋体" w:cs="宋体"/>
          <w:color w:val="0000ff"/>
          <w:sz w:val="24"/>
          <w:szCs w:val="24"/>
          <w:highlight w:val="white"/>
        </w:rPr>
        <w:t xml:space="preserve">，生产厂为</w:t>
      </w:r>
      <w:r>
        <w:rPr>
          <w:rFonts w:hint="default" w:ascii="宋体" w:hAnsi="宋体" w:eastAsia="宋体" w:cs="宋体"/>
          <w:color w:val="0000ff"/>
          <w:sz w:val="24"/>
          <w:szCs w:val="24"/>
          <w:highlight w:val="white"/>
          <w:u w:val="single"/>
        </w:rPr>
        <w:t xml:space="preserve">（厂名）</w:t>
      </w:r>
      <w:r>
        <w:rPr>
          <w:rFonts w:hint="default" w:ascii="宋体" w:hAnsi="宋体" w:eastAsia="宋体" w:cs="宋体"/>
          <w:color w:val="0000ff"/>
          <w:sz w:val="24"/>
          <w:szCs w:val="24"/>
          <w:highlight w:val="white"/>
          <w:vertAlign w:val="superscript"/>
        </w:rPr>
        <w:t xml:space="preserve">2</w:t>
      </w:r>
      <w:r>
        <w:rPr>
          <w:rFonts w:hint="default" w:ascii="宋体" w:hAnsi="宋体" w:eastAsia="宋体" w:cs="宋体"/>
          <w:color w:val="0000ff"/>
          <w:sz w:val="24"/>
          <w:szCs w:val="24"/>
          <w:highlight w:val="white"/>
        </w:rPr>
        <w:t xml:space="preserve">，厂址为</w:t>
      </w:r>
      <w:r>
        <w:rPr>
          <w:rFonts w:hint="default" w:ascii="宋体" w:hAnsi="宋体" w:eastAsia="宋体" w:cs="宋体"/>
          <w:color w:val="0000ff"/>
          <w:sz w:val="24"/>
          <w:szCs w:val="24"/>
          <w:highlight w:val="white"/>
          <w:u w:val="single"/>
        </w:rPr>
        <w:t xml:space="preserve">（生产厂址）</w:t>
      </w:r>
      <w:r>
        <w:rPr>
          <w:rFonts w:hint="default" w:ascii="宋体" w:hAnsi="宋体" w:eastAsia="宋体" w:cs="宋体"/>
          <w:color w:val="0000ff"/>
          <w:sz w:val="24"/>
          <w:szCs w:val="24"/>
          <w:highlight w:val="white"/>
        </w:rPr>
        <w:t xml:space="preserve">。</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rPr>
        <w:t xml:space="preserve">的中国境内生产的组件成本占比≥</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vertAlign w:val="superscript"/>
        </w:rPr>
        <w:t xml:space="preserve">3</w:t>
      </w:r>
      <w:r>
        <w:rPr>
          <w:rFonts w:hint="default" w:ascii="宋体" w:hAnsi="宋体" w:eastAsia="宋体" w:cs="宋体"/>
          <w:color w:val="0000ff"/>
          <w:sz w:val="24"/>
          <w:szCs w:val="24"/>
          <w:highlight w:val="white"/>
        </w:rPr>
        <w:t xml:space="preserve">。</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rPr>
        <w:t xml:space="preserve">的</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vertAlign w:val="superscript"/>
        </w:rPr>
        <w:t xml:space="preserve">4</w:t>
      </w:r>
      <w:r>
        <w:rPr>
          <w:rFonts w:hint="default" w:ascii="宋体" w:hAnsi="宋体" w:eastAsia="宋体" w:cs="宋体"/>
          <w:color w:val="0000ff"/>
          <w:sz w:val="24"/>
          <w:szCs w:val="24"/>
          <w:highlight w:val="white"/>
        </w:rPr>
        <w:t xml:space="preserve">在中国境内生产。</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rPr>
        <w:t xml:space="preserve">的</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vertAlign w:val="superscript"/>
        </w:rPr>
        <w:t xml:space="preserve">5</w:t>
      </w:r>
      <w:r>
        <w:rPr>
          <w:rFonts w:hint="default" w:ascii="宋体" w:hAnsi="宋体" w:eastAsia="宋体" w:cs="宋体"/>
          <w:color w:val="0000ff"/>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color w:val="0000ff"/>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ff"/>
          <w:sz w:val="24"/>
          <w:szCs w:val="24"/>
          <w:highlight w:val="white"/>
        </w:rPr>
        <w:t xml:space="preserve">2.</w:t>
      </w:r>
      <w:r>
        <w:rPr>
          <w:rFonts w:hint="default" w:ascii="宋体" w:hAnsi="宋体" w:eastAsia="宋体" w:cs="宋体"/>
          <w:color w:val="0000ff"/>
          <w:sz w:val="24"/>
          <w:szCs w:val="24"/>
          <w:highlight w:val="white"/>
          <w:u w:val="single"/>
        </w:rPr>
        <w:t xml:space="preserve">（产品名称2）</w:t>
      </w:r>
      <w:r>
        <w:rPr>
          <w:rFonts w:hint="default" w:ascii="宋体" w:hAnsi="宋体" w:eastAsia="宋体" w:cs="宋体"/>
          <w:color w:val="0000ff"/>
          <w:sz w:val="24"/>
          <w:szCs w:val="24"/>
          <w:highlight w:val="white"/>
        </w:rPr>
        <w:t xml:space="preserve">，生产厂为</w:t>
      </w:r>
      <w:r>
        <w:rPr>
          <w:rFonts w:hint="default" w:ascii="宋体" w:hAnsi="宋体" w:eastAsia="宋体" w:cs="宋体"/>
          <w:color w:val="0000ff"/>
          <w:sz w:val="24"/>
          <w:szCs w:val="24"/>
          <w:highlight w:val="white"/>
          <w:u w:val="single"/>
        </w:rPr>
        <w:t xml:space="preserve">（厂名）</w:t>
      </w:r>
      <w:r>
        <w:rPr>
          <w:rFonts w:hint="default" w:ascii="宋体" w:hAnsi="宋体" w:eastAsia="宋体" w:cs="宋体"/>
          <w:color w:val="0000ff"/>
          <w:sz w:val="24"/>
          <w:szCs w:val="24"/>
          <w:highlight w:val="white"/>
        </w:rPr>
        <w:t xml:space="preserve">，厂址为</w:t>
      </w:r>
      <w:r>
        <w:rPr>
          <w:rFonts w:hint="default" w:ascii="宋体" w:hAnsi="宋体" w:eastAsia="宋体" w:cs="宋体"/>
          <w:color w:val="0000ff"/>
          <w:sz w:val="24"/>
          <w:szCs w:val="24"/>
          <w:highlight w:val="white"/>
          <w:u w:val="single"/>
        </w:rPr>
        <w:t xml:space="preserve">（生产厂址）</w:t>
      </w:r>
      <w:r>
        <w:rPr>
          <w:rFonts w:hint="default" w:ascii="宋体" w:hAnsi="宋体" w:eastAsia="宋体" w:cs="宋体"/>
          <w:color w:val="0000ff"/>
          <w:sz w:val="24"/>
          <w:szCs w:val="24"/>
          <w:highlight w:val="white"/>
        </w:rPr>
        <w:t xml:space="preserve">。</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rPr>
        <w:t xml:space="preserve">的中国境内生产的组件成本占比≥</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rPr>
        <w:t xml:space="preserve">。</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rPr>
        <w:t xml:space="preserve">的</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rPr>
        <w:t xml:space="preserve">在中国境内生产。</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rPr>
        <w:t xml:space="preserve">的</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color w:val="0000ff"/>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ff"/>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color w:val="0000ff"/>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ff"/>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color w:val="0000ff"/>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ff"/>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ff"/>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ff"/>
          <w:sz w:val="24"/>
          <w:szCs w:val="24"/>
          <w:highlight w:val="white"/>
        </w:rPr>
        <w:t xml:space="preserve"> </w:t>
      </w:r>
      <w:r>
        <w:rPr>
          <w:rFonts w:hint="eastAsia" w:ascii="宋体" w:hAnsi="宋体" w:eastAsia="宋体" w:cs="宋体"/>
          <w:color w:val="0000ff"/>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ff"/>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white"/>
          <w:lang w:val="en-US" w:eastAsia="zh-CN"/>
        </w:rPr>
        <w:t xml:space="preserve">                                </w:t>
      </w:r>
      <w:r>
        <w:rPr>
          <w:rFonts w:hint="eastAsia" w:ascii="宋体" w:hAnsi="宋体" w:eastAsia="宋体" w:cs="宋体"/>
          <w:color w:val="0000ff"/>
          <w:sz w:val="24"/>
          <w:szCs w:val="24"/>
          <w:highlight w:val="white"/>
        </w:rPr>
        <w:t xml:space="preserve">公司（单位）名称（</w:t>
      </w:r>
      <w:r>
        <w:rPr>
          <w:rFonts w:hint="eastAsia" w:ascii="宋体" w:hAnsi="宋体" w:cs="宋体"/>
          <w:color w:val="0000ff"/>
          <w:sz w:val="24"/>
          <w:szCs w:val="24"/>
          <w:highlight w:val="white"/>
          <w:lang w:val="en-US" w:eastAsia="zh-CN"/>
        </w:rPr>
        <w:t xml:space="preserve">电子签章</w:t>
      </w:r>
      <w:r>
        <w:rPr>
          <w:rFonts w:hint="eastAsia" w:ascii="宋体" w:hAnsi="宋体" w:eastAsia="宋体" w:cs="宋体"/>
          <w:color w:val="0000ff"/>
          <w:sz w:val="24"/>
          <w:szCs w:val="24"/>
          <w:highlight w:val="white"/>
        </w:rPr>
        <w:t xml:space="preserve">）：</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ff"/>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highlight w:val="white"/>
          <w:lang w:val="en-US" w:eastAsia="zh-CN"/>
        </w:rPr>
        <w:t xml:space="preserve">                               </w:t>
      </w:r>
      <w:r>
        <w:rPr>
          <w:rFonts w:hint="eastAsia" w:ascii="宋体" w:hAnsi="宋体" w:eastAsia="宋体" w:cs="宋体"/>
          <w:color w:val="0000ff"/>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default" w:ascii="Times New Roman" w:hAnsi="Times New Roman" w:eastAsia="宋体" w:cs="Times New Roman"/>
          <w:color w:val="0000ff"/>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ff"/>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color w:val="0000ff"/>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ff"/>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color w:val="0000ff"/>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ff"/>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color w:val="0000ff"/>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ff"/>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color w:val="0000ff"/>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ff"/>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color w:val="0000ff"/>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ff"/>
          <w:sz w:val="24"/>
          <w:szCs w:val="24"/>
          <w:highlight w:val="white"/>
        </w:rPr>
        <w:t xml:space="preserve">5.该产品的关键工序要求实施前，“关键工序”栏可不填，下同。</w:t>
      </w:r>
      <w:r/>
    </w:p>
    <w:p>
      <w:pPr>
        <w:pStyle w:val="747"/>
        <w:ind w:left="0" w:firstLine="0"/>
        <w:rPr>
          <w:color w:val="0000ff"/>
        </w:rPr>
      </w:pPr>
      <w:r>
        <w:rPr>
          <w:rFonts w:hint="default" w:ascii="宋体" w:hAnsi="宋体" w:eastAsia="宋体" w:cs="宋体"/>
          <w:color w:val="0000ff"/>
          <w:sz w:val="24"/>
          <w:szCs w:val="24"/>
          <w:highlight w:val="white"/>
        </w:rPr>
        <w:t xml:space="preserve">6.《声明函》中标注“</w:t>
      </w:r>
      <w:r>
        <w:rPr>
          <w:rFonts w:hint="default" w:ascii="宋体" w:hAnsi="宋体" w:eastAsia="宋体" w:cs="宋体"/>
          <w:color w:val="0000ff"/>
          <w:sz w:val="24"/>
          <w:szCs w:val="24"/>
          <w:highlight w:val="white"/>
          <w:u w:val="single"/>
        </w:rPr>
        <w:t xml:space="preserve">  /  </w:t>
      </w:r>
      <w:r>
        <w:rPr>
          <w:rFonts w:hint="default" w:ascii="宋体" w:hAnsi="宋体" w:eastAsia="宋体" w:cs="宋体"/>
          <w:color w:val="0000ff"/>
          <w:sz w:val="24"/>
          <w:szCs w:val="24"/>
          <w:highlight w:val="white"/>
        </w:rPr>
        <w:t xml:space="preserve">”的地方无需填写。</w:t>
      </w:r>
      <w:r/>
    </w:p>
    <w:p>
      <w:pPr>
        <w:pStyle w:val="746"/>
        <w:spacing w:line="480" w:lineRule="exact"/>
        <w:shd w:val="clear" w:color="auto" w:fill="auto"/>
        <w:rPr>
          <w:rFonts w:ascii="宋体" w:hAnsi="宋体" w:cs="宋体"/>
          <w:color w:val="000000"/>
          <w:sz w:val="24"/>
          <w:highlight w:val="none"/>
        </w:rPr>
      </w:pPr>
      <w:r>
        <w:rPr>
          <w:rFonts w:ascii="宋体" w:hAnsi="宋体" w:cs="宋体"/>
          <w:color w:val="000000"/>
          <w:sz w:val="24"/>
          <w:highlight w:val="none"/>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Tahoma">
    <w:panose1 w:val="020B0604030504040204"/>
  </w:font>
  <w:font w:name="Calibri Light">
    <w:panose1 w:val="020F0302020204030204"/>
  </w:font>
  <w:font w:name="宋体;SimSun">
    <w:panose1 w:val="02010600030101010101"/>
  </w:font>
  <w:font w:name="新宋体">
    <w:panose1 w:val="02010609030101010101"/>
  </w:font>
  <w:font w:name="Symbol">
    <w:panose1 w:val="05050102010706020507"/>
  </w:font>
  <w:font w:name="仿宋">
    <w:panose1 w:val="02010609060101010101"/>
  </w:font>
  <w:font w:name="等线">
    <w:panose1 w:val="02010600030101010101"/>
  </w:font>
  <w:font w:name="Courier New">
    <w:panose1 w:val="02070309020205020404"/>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fldChar w:fldCharType="begin"/>
    </w:r>
    <w:r>
      <w:instrText xml:space="preserve">PAGE \* MERGEFORMAT</w:instrText>
    </w:r>
    <w:r>
      <w:fldChar w:fldCharType="separate"/>
    </w:r>
    <w:r>
      <w:t xml:space="preserve">1</w:t>
    </w:r>
    <w:r>
      <w:fldChar w:fldCharType="end"/>
    </w:r>
    <w:r/>
  </w:p>
  <w:p>
    <w:pPr>
      <w:pStyle w:val="8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fldChar w:fldCharType="begin"/>
    </w:r>
    <w:r>
      <w:instrText xml:space="preserve">PAGE \* MERGEFORMAT</w:instrText>
    </w:r>
    <w:r>
      <w:fldChar w:fldCharType="separate"/>
    </w:r>
    <w:r>
      <w:t xml:space="preserve">1</w:t>
    </w:r>
    <w:r>
      <w:fldChar w:fldCharType="end"/>
    </w:r>
    <w:r/>
  </w:p>
  <w:p>
    <w:pPr>
      <w:pStyle w:val="7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rPr>
        <w:rStyle w:val="874"/>
      </w:rPr>
      <w:framePr w:wrap="around" w:vAnchor="text" w:hAnchor="margin" w:xAlign="center" w:y="1"/>
    </w:pPr>
    <w:r>
      <w:fldChar w:fldCharType="begin"/>
    </w:r>
    <w:r>
      <w:rPr>
        <w:rStyle w:val="874"/>
      </w:rPr>
      <w:instrText xml:space="preserve">PAGE  </w:instrText>
    </w:r>
    <w:r>
      <w:fldChar w:fldCharType="end"/>
    </w:r>
    <w:r/>
  </w:p>
  <w:p>
    <w:pPr>
      <w:pStyle w:val="8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条"/>
      <w:lvlJc w:val="left"/>
      <w:pPr>
        <w:ind w:left="1200" w:hanging="7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link w:val="1015"/>
    <w:uiPriority w:val="0"/>
    <w:qFormat/>
    <w:rPr>
      <w:rFonts w:hint="default" w:ascii="Times New Roman" w:hAnsi="Times New Roman" w:eastAsia="宋体" w:cs="Times New Roman"/>
      <w:lang w:val="en-US" w:eastAsia="zh-CN" w:bidi="ar-SA"/>
    </w:rPr>
  </w:style>
  <w:style w:type="paragraph" w:styleId="679">
    <w:name w:val="Heading 1"/>
    <w:basedOn w:val="678"/>
    <w:next w:val="678"/>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39"/>
    <w:unhideWhenUsed/>
    <w:qFormat/>
    <w:pPr>
      <w:ind w:left="1701" w:right="0" w:firstLine="0"/>
      <w:spacing w:after="57"/>
    </w:pPr>
  </w:style>
  <w:style w:type="paragraph" w:styleId="691">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toc 5"/>
    <w:basedOn w:val="678"/>
    <w:next w:val="678"/>
    <w:uiPriority w:val="39"/>
    <w:unhideWhenUsed/>
    <w:qFormat/>
    <w:pPr>
      <w:ind w:left="1134" w:right="0" w:firstLine="0"/>
      <w:spacing w:after="57"/>
    </w:pPr>
  </w:style>
  <w:style w:type="paragraph" w:styleId="693">
    <w:name w:val="toc 3"/>
    <w:basedOn w:val="678"/>
    <w:next w:val="678"/>
    <w:uiPriority w:val="39"/>
    <w:unhideWhenUsed/>
    <w:qFormat/>
    <w:pPr>
      <w:ind w:left="567" w:right="0" w:firstLine="0"/>
      <w:spacing w:after="57"/>
    </w:pPr>
  </w:style>
  <w:style w:type="paragraph" w:styleId="694">
    <w:name w:val="toc 8"/>
    <w:basedOn w:val="678"/>
    <w:next w:val="678"/>
    <w:uiPriority w:val="39"/>
    <w:unhideWhenUsed/>
    <w:qFormat/>
    <w:pPr>
      <w:ind w:left="1984" w:right="0" w:firstLine="0"/>
      <w:spacing w:after="57"/>
    </w:pPr>
  </w:style>
  <w:style w:type="paragraph" w:styleId="695">
    <w:name w:val="endnote text"/>
    <w:basedOn w:val="678"/>
    <w:uiPriority w:val="99"/>
    <w:semiHidden/>
    <w:unhideWhenUsed/>
    <w:pPr>
      <w:spacing w:after="0" w:line="240" w:lineRule="auto"/>
    </w:pPr>
    <w:rPr>
      <w:sz w:val="20"/>
    </w:rPr>
  </w:style>
  <w:style w:type="paragraph" w:styleId="696">
    <w:name w:val="Footer"/>
    <w:basedOn w:val="678"/>
    <w:uiPriority w:val="99"/>
    <w:unhideWhenUsed/>
    <w:qFormat/>
    <w:pPr>
      <w:spacing w:after="0" w:line="240" w:lineRule="auto"/>
      <w:tabs>
        <w:tab w:val="center" w:pos="7143" w:leader="none"/>
        <w:tab w:val="right" w:pos="14287" w:leader="none"/>
      </w:tabs>
    </w:pPr>
  </w:style>
  <w:style w:type="paragraph" w:styleId="697">
    <w:name w:val="Header"/>
    <w:basedOn w:val="678"/>
    <w:uiPriority w:val="99"/>
    <w:unhideWhenUsed/>
    <w:qFormat/>
    <w:pPr>
      <w:spacing w:after="0" w:line="240" w:lineRule="auto"/>
      <w:tabs>
        <w:tab w:val="center" w:pos="7143" w:leader="none"/>
        <w:tab w:val="right" w:pos="14287" w:leader="none"/>
      </w:tabs>
    </w:pPr>
  </w:style>
  <w:style w:type="paragraph" w:styleId="698">
    <w:name w:val="toc 1"/>
    <w:basedOn w:val="678"/>
    <w:next w:val="678"/>
    <w:uiPriority w:val="39"/>
    <w:unhideWhenUsed/>
    <w:qFormat/>
    <w:pPr>
      <w:ind w:left="0" w:right="0" w:firstLine="0"/>
      <w:spacing w:after="57"/>
    </w:pPr>
  </w:style>
  <w:style w:type="paragraph" w:styleId="699">
    <w:name w:val="toc 4"/>
    <w:basedOn w:val="678"/>
    <w:next w:val="678"/>
    <w:uiPriority w:val="39"/>
    <w:unhideWhenUsed/>
    <w:qFormat/>
    <w:pPr>
      <w:ind w:left="850" w:right="0" w:firstLine="0"/>
      <w:spacing w:after="57"/>
    </w:pPr>
  </w:style>
  <w:style w:type="paragraph" w:styleId="700">
    <w:name w:val="Subtitle"/>
    <w:basedOn w:val="678"/>
    <w:next w:val="678"/>
    <w:uiPriority w:val="11"/>
    <w:qFormat/>
    <w:pPr>
      <w:spacing w:before="200" w:after="200"/>
    </w:pPr>
    <w:rPr>
      <w:sz w:val="24"/>
      <w:szCs w:val="24"/>
    </w:rPr>
  </w:style>
  <w:style w:type="paragraph" w:styleId="701">
    <w:name w:val="footnote text"/>
    <w:basedOn w:val="678"/>
    <w:uiPriority w:val="99"/>
    <w:semiHidden/>
    <w:unhideWhenUsed/>
    <w:qFormat/>
    <w:pPr>
      <w:spacing w:after="40" w:line="240" w:lineRule="auto"/>
    </w:pPr>
    <w:rPr>
      <w:sz w:val="18"/>
    </w:rPr>
  </w:style>
  <w:style w:type="paragraph" w:styleId="702">
    <w:name w:val="toc 6"/>
    <w:basedOn w:val="678"/>
    <w:next w:val="678"/>
    <w:uiPriority w:val="39"/>
    <w:unhideWhenUsed/>
    <w:qFormat/>
    <w:pPr>
      <w:ind w:left="1417" w:right="0" w:firstLine="0"/>
      <w:spacing w:after="57"/>
    </w:pPr>
  </w:style>
  <w:style w:type="paragraph" w:styleId="703">
    <w:name w:val="table of figures"/>
    <w:basedOn w:val="678"/>
    <w:next w:val="678"/>
    <w:uiPriority w:val="99"/>
    <w:unhideWhenUsed/>
    <w:qFormat/>
    <w:pPr>
      <w:spacing w:after="0" w:afterAutospacing="0"/>
    </w:pPr>
  </w:style>
  <w:style w:type="paragraph" w:styleId="704">
    <w:name w:val="toc 2"/>
    <w:basedOn w:val="678"/>
    <w:next w:val="678"/>
    <w:uiPriority w:val="39"/>
    <w:unhideWhenUsed/>
    <w:qFormat/>
    <w:pPr>
      <w:ind w:left="283" w:right="0" w:firstLine="0"/>
      <w:spacing w:after="57"/>
    </w:pPr>
  </w:style>
  <w:style w:type="paragraph" w:styleId="705">
    <w:name w:val="toc 9"/>
    <w:basedOn w:val="678"/>
    <w:next w:val="678"/>
    <w:uiPriority w:val="39"/>
    <w:unhideWhenUsed/>
    <w:qFormat/>
    <w:pPr>
      <w:ind w:left="2268" w:right="0" w:firstLine="0"/>
      <w:spacing w:after="57"/>
    </w:pPr>
  </w:style>
  <w:style w:type="paragraph" w:styleId="706">
    <w:name w:val="Title"/>
    <w:basedOn w:val="678"/>
    <w:next w:val="678"/>
    <w:uiPriority w:val="10"/>
    <w:qFormat/>
    <w:pPr>
      <w:contextualSpacing/>
      <w:spacing w:before="300" w:after="200"/>
    </w:pPr>
    <w:rPr>
      <w:sz w:val="48"/>
      <w:szCs w:val="48"/>
    </w:rPr>
  </w:style>
  <w:style w:type="table" w:styleId="7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endnote reference"/>
    <w:uiPriority w:val="99"/>
    <w:semiHidden/>
    <w:unhideWhenUsed/>
    <w:qFormat/>
    <w:rPr>
      <w:vertAlign w:val="superscript"/>
    </w:rPr>
  </w:style>
  <w:style w:type="character" w:styleId="709">
    <w:name w:val="Hyperlink"/>
    <w:uiPriority w:val="99"/>
    <w:unhideWhenUsed/>
    <w:qFormat/>
    <w:rPr>
      <w:color w:val="0000ff" w:themeColor="hyperlink"/>
      <w:u w:val="single"/>
      <w14:textFill>
        <w14:solidFill>
          <w14:schemeClr w14:val="hlink"/>
        </w14:solidFill>
      </w14:textFill>
    </w:rPr>
  </w:style>
  <w:style w:type="character" w:styleId="710">
    <w:name w:val="footnote reference"/>
    <w:uiPriority w:val="99"/>
    <w:unhideWhenUsed/>
    <w:qFormat/>
    <w:rPr>
      <w:vertAlign w:val="superscript"/>
    </w:rPr>
  </w:style>
  <w:style w:type="paragraph" w:styleId="711" w:customStyle="1">
    <w:name w:val="标题 111"/>
    <w:next w:val="678"/>
    <w:link w:val="722"/>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12" w:customStyle="1">
    <w:name w:val="标题 211"/>
    <w:next w:val="678"/>
    <w:link w:val="723"/>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713" w:customStyle="1">
    <w:name w:val="标题 311"/>
    <w:next w:val="678"/>
    <w:link w:val="724"/>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14" w:customStyle="1">
    <w:name w:val="标题 411"/>
    <w:next w:val="678"/>
    <w:link w:val="725"/>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15" w:customStyle="1">
    <w:name w:val="标题 511"/>
    <w:next w:val="678"/>
    <w:link w:val="726"/>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16" w:customStyle="1">
    <w:name w:val="标题 611"/>
    <w:next w:val="678"/>
    <w:link w:val="727"/>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17" w:customStyle="1">
    <w:name w:val="标题 711"/>
    <w:next w:val="678"/>
    <w:link w:val="728"/>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18" w:customStyle="1">
    <w:name w:val="标题 811"/>
    <w:next w:val="678"/>
    <w:link w:val="729"/>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19" w:customStyle="1">
    <w:name w:val="标题 911"/>
    <w:next w:val="678"/>
    <w:link w:val="730"/>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20" w:customStyle="1">
    <w:name w:val="默认段落字体11"/>
    <w:link w:val="678"/>
    <w:uiPriority w:val="1"/>
    <w:unhideWhenUsed/>
    <w:qFormat/>
  </w:style>
  <w:style w:type="table" w:styleId="721" w:customStyle="1">
    <w:name w:val="普通表格11"/>
    <w:uiPriority w:val="99"/>
    <w:unhideWhenUsed/>
    <w:qFormat/>
    <w:tblPr/>
  </w:style>
  <w:style w:type="character" w:styleId="722" w:customStyle="1">
    <w:name w:val="标题 1 字符"/>
    <w:basedOn w:val="720"/>
    <w:link w:val="711"/>
    <w:uiPriority w:val="9"/>
    <w:qFormat/>
    <w:rPr>
      <w:rFonts w:ascii="Arial" w:hAnsi="Arial" w:eastAsia="Arial" w:cs="Arial"/>
      <w:sz w:val="40"/>
      <w:szCs w:val="40"/>
    </w:rPr>
  </w:style>
  <w:style w:type="character" w:styleId="723" w:customStyle="1">
    <w:name w:val="标题 2 字符"/>
    <w:basedOn w:val="720"/>
    <w:link w:val="712"/>
    <w:uiPriority w:val="9"/>
    <w:qFormat/>
    <w:rPr>
      <w:rFonts w:ascii="Arial" w:hAnsi="Arial" w:eastAsia="Arial" w:cs="Arial"/>
      <w:sz w:val="34"/>
    </w:rPr>
  </w:style>
  <w:style w:type="character" w:styleId="724" w:customStyle="1">
    <w:name w:val="标题 3 字符"/>
    <w:basedOn w:val="720"/>
    <w:link w:val="713"/>
    <w:uiPriority w:val="9"/>
    <w:qFormat/>
    <w:rPr>
      <w:rFonts w:ascii="Arial" w:hAnsi="Arial" w:eastAsia="Arial" w:cs="Arial"/>
      <w:sz w:val="30"/>
      <w:szCs w:val="30"/>
    </w:rPr>
  </w:style>
  <w:style w:type="character" w:styleId="725" w:customStyle="1">
    <w:name w:val="标题 4 字符"/>
    <w:basedOn w:val="720"/>
    <w:link w:val="714"/>
    <w:uiPriority w:val="9"/>
    <w:qFormat/>
    <w:rPr>
      <w:rFonts w:ascii="Arial" w:hAnsi="Arial" w:eastAsia="Arial" w:cs="Arial"/>
      <w:b/>
      <w:bCs/>
      <w:sz w:val="26"/>
      <w:szCs w:val="26"/>
    </w:rPr>
  </w:style>
  <w:style w:type="character" w:styleId="726" w:customStyle="1">
    <w:name w:val="标题 5 字符"/>
    <w:basedOn w:val="720"/>
    <w:link w:val="715"/>
    <w:uiPriority w:val="9"/>
    <w:qFormat/>
    <w:rPr>
      <w:rFonts w:ascii="Arial" w:hAnsi="Arial" w:eastAsia="Arial" w:cs="Arial"/>
      <w:b/>
      <w:bCs/>
      <w:sz w:val="24"/>
      <w:szCs w:val="24"/>
    </w:rPr>
  </w:style>
  <w:style w:type="character" w:styleId="727" w:customStyle="1">
    <w:name w:val="标题 6 字符"/>
    <w:basedOn w:val="720"/>
    <w:link w:val="716"/>
    <w:uiPriority w:val="9"/>
    <w:qFormat/>
    <w:rPr>
      <w:rFonts w:ascii="Arial" w:hAnsi="Arial" w:eastAsia="Arial" w:cs="Arial"/>
      <w:b/>
      <w:bCs/>
      <w:sz w:val="22"/>
      <w:szCs w:val="22"/>
    </w:rPr>
  </w:style>
  <w:style w:type="character" w:styleId="728" w:customStyle="1">
    <w:name w:val="标题 7 字符"/>
    <w:basedOn w:val="720"/>
    <w:link w:val="717"/>
    <w:uiPriority w:val="9"/>
    <w:qFormat/>
    <w:rPr>
      <w:rFonts w:ascii="Arial" w:hAnsi="Arial" w:eastAsia="Arial" w:cs="Arial"/>
      <w:b/>
      <w:bCs/>
      <w:i/>
      <w:iCs/>
      <w:sz w:val="22"/>
      <w:szCs w:val="22"/>
    </w:rPr>
  </w:style>
  <w:style w:type="character" w:styleId="729" w:customStyle="1">
    <w:name w:val="标题 8 字符"/>
    <w:basedOn w:val="720"/>
    <w:link w:val="718"/>
    <w:uiPriority w:val="9"/>
    <w:qFormat/>
    <w:rPr>
      <w:rFonts w:ascii="Arial" w:hAnsi="Arial" w:eastAsia="Arial" w:cs="Arial"/>
      <w:i/>
      <w:iCs/>
      <w:sz w:val="22"/>
      <w:szCs w:val="22"/>
    </w:rPr>
  </w:style>
  <w:style w:type="character" w:styleId="730" w:customStyle="1">
    <w:name w:val="标题 9 字符"/>
    <w:basedOn w:val="720"/>
    <w:link w:val="719"/>
    <w:uiPriority w:val="9"/>
    <w:qFormat/>
    <w:rPr>
      <w:rFonts w:ascii="Arial" w:hAnsi="Arial" w:eastAsia="Arial" w:cs="Arial"/>
      <w:i/>
      <w:iCs/>
      <w:sz w:val="21"/>
      <w:szCs w:val="21"/>
    </w:rPr>
  </w:style>
  <w:style w:type="paragraph" w:styleId="731" w:customStyle="1">
    <w:name w:val="目录 711"/>
    <w:next w:val="678"/>
    <w:uiPriority w:val="39"/>
    <w:unhideWhenUsed/>
    <w:qFormat/>
    <w:pPr>
      <w:ind w:left="1701"/>
      <w:spacing w:after="57"/>
    </w:pPr>
    <w:rPr>
      <w:rFonts w:hint="default" w:ascii="Times New Roman" w:hAnsi="Times New Roman" w:eastAsia="宋体" w:cs="Times New Roman"/>
      <w:lang w:val="en-US" w:eastAsia="zh-CN" w:bidi="ar-SA"/>
    </w:rPr>
  </w:style>
  <w:style w:type="paragraph" w:styleId="732" w:customStyle="1">
    <w:name w:val="正文缩进11"/>
    <w:basedOn w:val="678"/>
    <w:uiPriority w:val="0"/>
    <w:qFormat/>
    <w:pPr>
      <w:ind w:firstLine="420"/>
    </w:pPr>
  </w:style>
  <w:style w:type="paragraph" w:styleId="733" w:customStyle="1">
    <w:name w:val="题注11"/>
    <w:next w:val="678"/>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34" w:customStyle="1">
    <w:name w:val="文档结构图1"/>
    <w:basedOn w:val="678"/>
    <w:uiPriority w:val="0"/>
    <w:qFormat/>
    <w:rPr>
      <w:rFonts w:ascii="宋体" w:hAnsi="Calibri"/>
      <w:sz w:val="18"/>
      <w:szCs w:val="18"/>
    </w:rPr>
  </w:style>
  <w:style w:type="paragraph" w:styleId="735" w:customStyle="1">
    <w:name w:val="批注文字11"/>
    <w:basedOn w:val="678"/>
    <w:link w:val="736"/>
    <w:uiPriority w:val="99"/>
    <w:unhideWhenUsed/>
    <w:qFormat/>
  </w:style>
  <w:style w:type="character" w:styleId="736" w:customStyle="1">
    <w:name w:val="批注文字 字符"/>
    <w:basedOn w:val="720"/>
    <w:link w:val="735"/>
    <w:uiPriority w:val="99"/>
    <w:semiHidden/>
    <w:qFormat/>
  </w:style>
  <w:style w:type="paragraph" w:styleId="737" w:customStyle="1">
    <w:name w:val="正文文本112"/>
    <w:basedOn w:val="678"/>
    <w:next w:val="738"/>
    <w:uiPriority w:val="99"/>
    <w:qFormat/>
    <w:pPr>
      <w:spacing w:after="120"/>
    </w:pPr>
    <w:rPr>
      <w:rFonts w:ascii="Calibri" w:hAnsi="Calibri"/>
    </w:rPr>
  </w:style>
  <w:style w:type="paragraph" w:styleId="738" w:customStyle="1">
    <w:name w:val="正文首行缩进111"/>
    <w:basedOn w:val="737"/>
    <w:uiPriority w:val="0"/>
    <w:qFormat/>
    <w:pPr>
      <w:ind w:firstLine="420"/>
    </w:pPr>
    <w:rPr>
      <w:rFonts w:ascii="Times New Roman"/>
    </w:rPr>
  </w:style>
  <w:style w:type="paragraph" w:styleId="739" w:customStyle="1">
    <w:name w:val="正文文本缩进12"/>
    <w:basedOn w:val="678"/>
    <w:next w:val="740"/>
    <w:link w:val="741"/>
    <w:uiPriority w:val="99"/>
    <w:qFormat/>
    <w:pPr>
      <w:ind w:left="420"/>
      <w:spacing w:after="120"/>
    </w:pPr>
    <w:rPr>
      <w:rFonts w:ascii="Calibri" w:hAnsi="Calibri"/>
    </w:rPr>
  </w:style>
  <w:style w:type="paragraph" w:styleId="740" w:customStyle="1">
    <w:name w:val="寄信人地址12"/>
    <w:basedOn w:val="678"/>
    <w:uiPriority w:val="0"/>
    <w:qFormat/>
    <w:rPr>
      <w:rFonts w:ascii="Arial" w:hAnsi="Arial"/>
    </w:rPr>
  </w:style>
  <w:style w:type="character" w:styleId="741" w:customStyle="1">
    <w:name w:val="正文文本缩进 字符"/>
    <w:basedOn w:val="720"/>
    <w:link w:val="739"/>
    <w:uiPriority w:val="99"/>
    <w:qFormat/>
    <w:rPr>
      <w:rFonts w:ascii="Calibri" w:hAnsi="Calibri"/>
    </w:rPr>
  </w:style>
  <w:style w:type="paragraph" w:styleId="742" w:customStyle="1">
    <w:name w:val="文本块111"/>
    <w:basedOn w:val="678"/>
    <w:next w:val="678"/>
    <w:uiPriority w:val="99"/>
    <w:qFormat/>
    <w:pPr>
      <w:ind w:left="256" w:right="6" w:firstLine="624"/>
    </w:pPr>
    <w:rPr>
      <w:rFonts w:eastAsia="仿宋_GB2312"/>
      <w:sz w:val="28"/>
    </w:rPr>
  </w:style>
  <w:style w:type="paragraph" w:styleId="743" w:customStyle="1">
    <w:name w:val="目录 511"/>
    <w:next w:val="678"/>
    <w:uiPriority w:val="39"/>
    <w:unhideWhenUsed/>
    <w:qFormat/>
    <w:pPr>
      <w:ind w:left="1134"/>
      <w:spacing w:after="57"/>
    </w:pPr>
    <w:rPr>
      <w:rFonts w:hint="default" w:ascii="Times New Roman" w:hAnsi="Times New Roman" w:eastAsia="宋体" w:cs="Times New Roman"/>
      <w:lang w:val="en-US" w:eastAsia="zh-CN" w:bidi="ar-SA"/>
    </w:rPr>
  </w:style>
  <w:style w:type="paragraph" w:styleId="744" w:customStyle="1">
    <w:name w:val="目录 311"/>
    <w:next w:val="678"/>
    <w:uiPriority w:val="39"/>
    <w:unhideWhenUsed/>
    <w:qFormat/>
    <w:pPr>
      <w:ind w:left="567"/>
      <w:spacing w:after="57"/>
    </w:pPr>
    <w:rPr>
      <w:rFonts w:hint="default" w:ascii="Times New Roman" w:hAnsi="Times New Roman" w:eastAsia="宋体" w:cs="Times New Roman"/>
      <w:lang w:val="en-US" w:eastAsia="zh-CN" w:bidi="ar-SA"/>
    </w:rPr>
  </w:style>
  <w:style w:type="paragraph" w:styleId="745" w:customStyle="1">
    <w:name w:val="纯文本11"/>
    <w:basedOn w:val="746"/>
    <w:link w:val="765"/>
    <w:uiPriority w:val="0"/>
    <w:qFormat/>
    <w:rPr>
      <w:rFonts w:ascii="宋体" w:hAnsi="Courier New"/>
    </w:rPr>
  </w:style>
  <w:style w:type="paragraph" w:styleId="746" w:customStyle="1">
    <w:name w:val="正文1111"/>
    <w:next w:val="747"/>
    <w:link w:val="7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文本块11"/>
    <w:basedOn w:val="748"/>
    <w:uiPriority w:val="0"/>
    <w:qFormat/>
    <w:pPr>
      <w:ind w:left="1440" w:right="1440"/>
      <w:spacing w:after="120"/>
    </w:pPr>
  </w:style>
  <w:style w:type="paragraph" w:styleId="748" w:customStyle="1">
    <w:name w:val="正文12"/>
    <w:next w:val="749"/>
    <w:uiPriority w:val="0"/>
    <w:qFormat/>
    <w:rPr>
      <w:rFonts w:hint="default" w:ascii="Times New Roman" w:hAnsi="Times New Roman" w:eastAsia="Arial" w:cs="Times New Roman"/>
      <w:sz w:val="22"/>
      <w:szCs w:val="22"/>
      <w:lang w:val="en-US" w:eastAsia="zh-CN" w:bidi="ar-SA"/>
    </w:rPr>
  </w:style>
  <w:style w:type="paragraph" w:styleId="749" w:customStyle="1">
    <w:name w:val="无间隔1"/>
    <w:uiPriority w:val="0"/>
    <w:qFormat/>
    <w:rPr>
      <w:rFonts w:hint="default" w:ascii="Calibri" w:hAnsi="Calibri" w:eastAsia="宋体" w:cs="Times New Roman"/>
      <w:lang w:val="en-US" w:eastAsia="zh-CN" w:bidi="ar-SA"/>
    </w:rPr>
  </w:style>
  <w:style w:type="character" w:styleId="750" w:customStyle="1">
    <w:name w:val="font21"/>
    <w:basedOn w:val="751"/>
    <w:link w:val="746"/>
    <w:uiPriority w:val="0"/>
    <w:qFormat/>
    <w:rPr>
      <w:rFonts w:ascii="宋体" w:hAnsi="宋体" w:eastAsia="宋体"/>
      <w:b/>
      <w:bCs/>
      <w:color w:val="000000"/>
      <w:sz w:val="28"/>
      <w:szCs w:val="28"/>
      <w:u w:val="none"/>
    </w:rPr>
  </w:style>
  <w:style w:type="character" w:styleId="751" w:customStyle="1">
    <w:name w:val="默认段落字体1"/>
    <w:link w:val="678"/>
    <w:uiPriority w:val="0"/>
    <w:qFormat/>
  </w:style>
  <w:style w:type="paragraph" w:styleId="752" w:customStyle="1">
    <w:name w:val="正文1"/>
    <w:basedOn w:val="753"/>
    <w:next w:val="746"/>
    <w:link w:val="764"/>
    <w:uiPriority w:val="0"/>
    <w:qFormat/>
    <w:pPr>
      <w:jc w:val="left"/>
      <w:spacing w:line="360" w:lineRule="atLeast"/>
    </w:pPr>
    <w:rPr>
      <w:rFonts w:ascii="宋体" w:hAnsi="Calibri" w:eastAsia="Arial"/>
      <w:sz w:val="24"/>
      <w:szCs w:val="20"/>
    </w:rPr>
  </w:style>
  <w:style w:type="paragraph" w:styleId="753" w:customStyle="1">
    <w:name w:val="正文11"/>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文本块1"/>
    <w:basedOn w:val="755"/>
    <w:next w:val="756"/>
    <w:uiPriority w:val="0"/>
    <w:qFormat/>
    <w:pPr>
      <w:ind w:left="256" w:right="6" w:firstLine="624"/>
    </w:pPr>
    <w:rPr>
      <w:rFonts w:eastAsia="仿宋"/>
      <w:sz w:val="28"/>
      <w:szCs w:val="20"/>
    </w:rPr>
  </w:style>
  <w:style w:type="paragraph" w:styleId="755" w:customStyle="1">
    <w:name w:val="正文111"/>
    <w:next w:val="678"/>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paragraph" w:styleId="756" w:customStyle="1">
    <w:name w:val="标题 41"/>
    <w:basedOn w:val="757"/>
    <w:next w:val="753"/>
    <w:link w:val="763"/>
    <w:uiPriority w:val="0"/>
    <w:qFormat/>
    <w:pPr>
      <w:keepLines/>
      <w:keepNext/>
      <w:spacing w:before="320" w:after="200"/>
      <w:outlineLvl w:val="3"/>
    </w:pPr>
    <w:rPr>
      <w:rFonts w:ascii="Arial" w:hAnsi="Arial" w:eastAsia="Arial"/>
      <w:b/>
      <w:bCs/>
      <w:sz w:val="26"/>
      <w:szCs w:val="26"/>
    </w:rPr>
  </w:style>
  <w:style w:type="paragraph" w:styleId="757" w:customStyle="1">
    <w:name w:val="标题1"/>
    <w:basedOn w:val="748"/>
    <w:next w:val="758"/>
    <w:uiPriority w:val="0"/>
    <w:qFormat/>
    <w:pPr>
      <w:contextualSpacing/>
      <w:spacing w:before="300" w:after="200"/>
    </w:pPr>
    <w:rPr>
      <w:sz w:val="48"/>
      <w:szCs w:val="48"/>
    </w:rPr>
  </w:style>
  <w:style w:type="paragraph" w:styleId="758" w:customStyle="1">
    <w:name w:val="正文112"/>
    <w:next w:val="759"/>
    <w:uiPriority w:val="0"/>
    <w:qFormat/>
    <w:pPr>
      <w:jc w:val="both"/>
      <w:widowControl w:val="off"/>
    </w:pPr>
    <w:rPr>
      <w:rFonts w:hint="default" w:ascii="Calibri" w:hAnsi="Calibri" w:eastAsia="等线" w:cs="Times New Roman"/>
      <w:color w:val="000000"/>
      <w:sz w:val="21"/>
      <w:szCs w:val="24"/>
      <w:lang w:val="en-US" w:eastAsia="zh-CN" w:bidi="hi-IN"/>
    </w:rPr>
  </w:style>
  <w:style w:type="paragraph" w:styleId="759" w:customStyle="1">
    <w:name w:val="正文首行缩进1"/>
    <w:basedOn w:val="760"/>
    <w:next w:val="761"/>
    <w:uiPriority w:val="0"/>
    <w:qFormat/>
    <w:pPr>
      <w:ind w:firstLine="420"/>
    </w:pPr>
  </w:style>
  <w:style w:type="paragraph" w:styleId="760" w:customStyle="1">
    <w:name w:val="正文文本2"/>
    <w:basedOn w:val="678"/>
    <w:next w:val="678"/>
    <w:uiPriority w:val="0"/>
    <w:qFormat/>
    <w:pPr>
      <w:spacing w:after="120"/>
    </w:pPr>
    <w:rPr>
      <w:rFonts w:ascii="Calibri" w:hAnsi="Calibri"/>
    </w:rPr>
  </w:style>
  <w:style w:type="paragraph" w:styleId="761" w:customStyle="1">
    <w:name w:val="正文首行缩进 211"/>
    <w:basedOn w:val="762"/>
    <w:next w:val="758"/>
    <w:uiPriority w:val="0"/>
    <w:qFormat/>
    <w:pPr>
      <w:ind w:firstLine="420"/>
    </w:pPr>
  </w:style>
  <w:style w:type="paragraph" w:styleId="762" w:customStyle="1">
    <w:name w:val="正文文本缩进11"/>
    <w:basedOn w:val="758"/>
    <w:next w:val="758"/>
    <w:uiPriority w:val="0"/>
    <w:qFormat/>
    <w:pPr>
      <w:ind w:left="420"/>
      <w:spacing w:after="120"/>
    </w:pPr>
    <w:rPr>
      <w:rFonts w:ascii="Calibri" w:hAnsi="Calibri"/>
    </w:rPr>
  </w:style>
  <w:style w:type="character" w:styleId="763" w:customStyle="1">
    <w:name w:val="Heading 4 Char"/>
    <w:basedOn w:val="751"/>
    <w:link w:val="756"/>
    <w:uiPriority w:val="0"/>
    <w:qFormat/>
    <w:rPr>
      <w:rFonts w:ascii="Arial" w:hAnsi="Arial" w:eastAsia="Arial"/>
      <w:b/>
      <w:bCs/>
      <w:sz w:val="26"/>
      <w:szCs w:val="26"/>
    </w:rPr>
  </w:style>
  <w:style w:type="character" w:styleId="764" w:customStyle="1">
    <w:name w:val="NormalCharacter1"/>
    <w:link w:val="752"/>
    <w:uiPriority w:val="0"/>
    <w:qFormat/>
    <w:rPr>
      <w:rFonts w:ascii="宋体" w:hAnsi="Calibri" w:eastAsia="Arial"/>
      <w:sz w:val="24"/>
      <w:szCs w:val="20"/>
    </w:rPr>
  </w:style>
  <w:style w:type="character" w:styleId="765" w:customStyle="1">
    <w:name w:val="纯文本 字符"/>
    <w:basedOn w:val="720"/>
    <w:link w:val="745"/>
    <w:uiPriority w:val="0"/>
    <w:qFormat/>
    <w:rPr>
      <w:rFonts w:ascii="宋体" w:hAnsi="Courier New"/>
      <w:sz w:val="21"/>
      <w:szCs w:val="24"/>
    </w:rPr>
  </w:style>
  <w:style w:type="paragraph" w:styleId="766" w:customStyle="1">
    <w:name w:val="目录 811"/>
    <w:next w:val="678"/>
    <w:uiPriority w:val="39"/>
    <w:unhideWhenUsed/>
    <w:qFormat/>
    <w:pPr>
      <w:ind w:left="1984"/>
      <w:spacing w:after="57"/>
    </w:pPr>
    <w:rPr>
      <w:rFonts w:hint="default" w:ascii="Times New Roman" w:hAnsi="Times New Roman" w:eastAsia="宋体" w:cs="Times New Roman"/>
      <w:lang w:val="en-US" w:eastAsia="zh-CN" w:bidi="ar-SA"/>
    </w:rPr>
  </w:style>
  <w:style w:type="paragraph" w:styleId="767" w:customStyle="1">
    <w:name w:val="尾注文本11"/>
    <w:link w:val="768"/>
    <w:uiPriority w:val="99"/>
    <w:unhideWhenUsed/>
    <w:qFormat/>
    <w:rPr>
      <w:rFonts w:hint="default" w:ascii="Times New Roman" w:hAnsi="Times New Roman" w:eastAsia="宋体" w:cs="Times New Roman"/>
      <w:lang w:val="en-US" w:eastAsia="zh-CN" w:bidi="ar-SA"/>
    </w:rPr>
  </w:style>
  <w:style w:type="character" w:styleId="768" w:customStyle="1">
    <w:name w:val="尾注文本 字符"/>
    <w:basedOn w:val="720"/>
    <w:link w:val="767"/>
    <w:uiPriority w:val="99"/>
    <w:semiHidden/>
    <w:qFormat/>
  </w:style>
  <w:style w:type="paragraph" w:styleId="769" w:customStyle="1">
    <w:name w:val="页脚11"/>
    <w:link w:val="770"/>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70" w:customStyle="1">
    <w:name w:val="页脚 字符"/>
    <w:basedOn w:val="720"/>
    <w:link w:val="769"/>
    <w:uiPriority w:val="99"/>
    <w:qFormat/>
  </w:style>
  <w:style w:type="paragraph" w:styleId="771" w:customStyle="1">
    <w:name w:val="页眉11"/>
    <w:link w:val="772"/>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72" w:customStyle="1">
    <w:name w:val="页眉 字符"/>
    <w:basedOn w:val="720"/>
    <w:link w:val="771"/>
    <w:uiPriority w:val="99"/>
    <w:qFormat/>
  </w:style>
  <w:style w:type="paragraph" w:styleId="773" w:customStyle="1">
    <w:name w:val="目录 112"/>
    <w:basedOn w:val="678"/>
    <w:next w:val="678"/>
    <w:uiPriority w:val="0"/>
    <w:qFormat/>
    <w:pPr>
      <w:spacing w:before="120" w:after="120"/>
    </w:pPr>
    <w:rPr>
      <w:rFonts w:ascii="Calibri" w:hAnsi="Calibri"/>
      <w:b/>
      <w:bCs/>
      <w:caps/>
    </w:rPr>
  </w:style>
  <w:style w:type="paragraph" w:styleId="774" w:customStyle="1">
    <w:name w:val="目录 411"/>
    <w:next w:val="678"/>
    <w:uiPriority w:val="39"/>
    <w:unhideWhenUsed/>
    <w:qFormat/>
    <w:pPr>
      <w:ind w:left="850"/>
      <w:spacing w:after="57"/>
    </w:pPr>
    <w:rPr>
      <w:rFonts w:hint="default" w:ascii="Times New Roman" w:hAnsi="Times New Roman" w:eastAsia="宋体" w:cs="Times New Roman"/>
      <w:lang w:val="en-US" w:eastAsia="zh-CN" w:bidi="ar-SA"/>
    </w:rPr>
  </w:style>
  <w:style w:type="paragraph" w:styleId="775" w:customStyle="1">
    <w:name w:val="索引标题1"/>
    <w:basedOn w:val="678"/>
    <w:next w:val="776"/>
    <w:uiPriority w:val="99"/>
    <w:unhideWhenUsed/>
    <w:qFormat/>
    <w:pPr>
      <w:spacing w:line="500" w:lineRule="exact"/>
    </w:pPr>
    <w:rPr>
      <w:rFonts w:ascii="仿宋_GB2312" w:eastAsia="仿宋_GB2312"/>
      <w:sz w:val="28"/>
    </w:rPr>
  </w:style>
  <w:style w:type="paragraph" w:styleId="776" w:customStyle="1">
    <w:name w:val="索引 11"/>
    <w:basedOn w:val="678"/>
    <w:next w:val="678"/>
    <w:uiPriority w:val="99"/>
    <w:unhideWhenUsed/>
    <w:qFormat/>
    <w:pPr>
      <w:spacing w:line="288" w:lineRule="auto"/>
      <w:suppressLineNumbers/>
    </w:pPr>
    <w:rPr>
      <w:sz w:val="24"/>
    </w:rPr>
  </w:style>
  <w:style w:type="paragraph" w:styleId="777" w:customStyle="1">
    <w:name w:val="副标题11"/>
    <w:link w:val="778"/>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78" w:customStyle="1">
    <w:name w:val="副标题 字符"/>
    <w:basedOn w:val="720"/>
    <w:link w:val="777"/>
    <w:uiPriority w:val="11"/>
    <w:qFormat/>
    <w:rPr>
      <w:sz w:val="24"/>
      <w:szCs w:val="24"/>
    </w:rPr>
  </w:style>
  <w:style w:type="paragraph" w:styleId="779" w:customStyle="1">
    <w:name w:val="脚注文本12"/>
    <w:link w:val="780"/>
    <w:uiPriority w:val="99"/>
    <w:unhideWhenUsed/>
    <w:qFormat/>
    <w:pPr>
      <w:spacing w:after="40"/>
    </w:pPr>
    <w:rPr>
      <w:rFonts w:hint="default" w:ascii="Times New Roman" w:hAnsi="Times New Roman" w:eastAsia="宋体" w:cs="Times New Roman"/>
      <w:sz w:val="18"/>
      <w:lang w:val="en-US" w:eastAsia="zh-CN" w:bidi="ar-SA"/>
    </w:rPr>
  </w:style>
  <w:style w:type="character" w:styleId="780" w:customStyle="1">
    <w:name w:val="脚注文本 字符"/>
    <w:basedOn w:val="720"/>
    <w:link w:val="779"/>
    <w:uiPriority w:val="99"/>
    <w:semiHidden/>
    <w:qFormat/>
    <w:rPr>
      <w:sz w:val="18"/>
    </w:rPr>
  </w:style>
  <w:style w:type="paragraph" w:styleId="781" w:customStyle="1">
    <w:name w:val="目录 611"/>
    <w:next w:val="678"/>
    <w:uiPriority w:val="39"/>
    <w:unhideWhenUsed/>
    <w:qFormat/>
    <w:pPr>
      <w:ind w:left="1417"/>
      <w:spacing w:after="57"/>
    </w:pPr>
    <w:rPr>
      <w:rFonts w:hint="default" w:ascii="Times New Roman" w:hAnsi="Times New Roman" w:eastAsia="宋体" w:cs="Times New Roman"/>
      <w:lang w:val="en-US" w:eastAsia="zh-CN" w:bidi="ar-SA"/>
    </w:rPr>
  </w:style>
  <w:style w:type="paragraph" w:styleId="782" w:customStyle="1">
    <w:name w:val="图表目录11"/>
    <w:next w:val="678"/>
    <w:uiPriority w:val="99"/>
    <w:unhideWhenUsed/>
    <w:qFormat/>
    <w:rPr>
      <w:rFonts w:hint="default" w:ascii="Times New Roman" w:hAnsi="Times New Roman" w:eastAsia="宋体" w:cs="Times New Roman"/>
      <w:lang w:val="en-US" w:eastAsia="zh-CN" w:bidi="ar-SA"/>
    </w:rPr>
  </w:style>
  <w:style w:type="paragraph" w:styleId="783" w:customStyle="1">
    <w:name w:val="目录 211"/>
    <w:next w:val="678"/>
    <w:uiPriority w:val="39"/>
    <w:unhideWhenUsed/>
    <w:qFormat/>
    <w:pPr>
      <w:ind w:left="283"/>
      <w:spacing w:after="57"/>
    </w:pPr>
    <w:rPr>
      <w:rFonts w:hint="default" w:ascii="Times New Roman" w:hAnsi="Times New Roman" w:eastAsia="宋体" w:cs="Times New Roman"/>
      <w:lang w:val="en-US" w:eastAsia="zh-CN" w:bidi="ar-SA"/>
    </w:rPr>
  </w:style>
  <w:style w:type="paragraph" w:styleId="784" w:customStyle="1">
    <w:name w:val="目录 911"/>
    <w:next w:val="678"/>
    <w:uiPriority w:val="39"/>
    <w:unhideWhenUsed/>
    <w:qFormat/>
    <w:pPr>
      <w:ind w:left="2268"/>
      <w:spacing w:after="57"/>
    </w:pPr>
    <w:rPr>
      <w:rFonts w:hint="default" w:ascii="Times New Roman" w:hAnsi="Times New Roman" w:eastAsia="宋体" w:cs="Times New Roman"/>
      <w:lang w:val="en-US" w:eastAsia="zh-CN" w:bidi="ar-SA"/>
    </w:rPr>
  </w:style>
  <w:style w:type="paragraph" w:styleId="785" w:customStyle="1">
    <w:name w:val="普通(网站)11"/>
    <w:basedOn w:val="678"/>
    <w:uiPriority w:val="99"/>
    <w:unhideWhenUsed/>
    <w:qFormat/>
    <w:pPr>
      <w:ind w:left="0" w:right="0"/>
      <w:jc w:val="left"/>
      <w:spacing w:before="100" w:beforeAutospacing="1" w:after="100" w:afterAutospacing="1"/>
    </w:pPr>
    <w:rPr>
      <w:sz w:val="24"/>
      <w:lang w:val="en-US" w:eastAsia="zh-CN" w:bidi="ar"/>
    </w:rPr>
  </w:style>
  <w:style w:type="paragraph" w:styleId="786" w:customStyle="1">
    <w:name w:val="标题2"/>
    <w:link w:val="787"/>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87" w:customStyle="1">
    <w:name w:val="标题 字符"/>
    <w:basedOn w:val="720"/>
    <w:link w:val="786"/>
    <w:uiPriority w:val="10"/>
    <w:qFormat/>
    <w:rPr>
      <w:sz w:val="48"/>
      <w:szCs w:val="48"/>
    </w:rPr>
  </w:style>
  <w:style w:type="paragraph" w:styleId="788" w:customStyle="1">
    <w:name w:val="正文首行缩进 212"/>
    <w:basedOn w:val="739"/>
    <w:next w:val="737"/>
    <w:uiPriority w:val="0"/>
    <w:qFormat/>
    <w:pPr>
      <w:ind w:firstLine="420"/>
      <w:spacing w:line="360" w:lineRule="auto"/>
    </w:pPr>
    <w:rPr>
      <w:color w:val="000000"/>
    </w:rPr>
  </w:style>
  <w:style w:type="table" w:styleId="789" w:customStyle="1">
    <w:name w:val="网格型11"/>
    <w:uiPriority w:val="59"/>
    <w:qFormat/>
    <w:tblPr/>
  </w:style>
  <w:style w:type="character" w:styleId="790" w:customStyle="1">
    <w:name w:val="尾注引用11"/>
    <w:link w:val="678"/>
    <w:uiPriority w:val="99"/>
    <w:unhideWhenUsed/>
    <w:qFormat/>
    <w:rPr>
      <w:vertAlign w:val="superscript"/>
    </w:rPr>
  </w:style>
  <w:style w:type="character" w:styleId="791" w:customStyle="1">
    <w:name w:val="已访问的超链接11"/>
    <w:basedOn w:val="720"/>
    <w:link w:val="678"/>
    <w:uiPriority w:val="99"/>
    <w:unhideWhenUsed/>
    <w:qFormat/>
    <w:rPr>
      <w:color w:val="800080"/>
      <w:u w:val="single"/>
    </w:rPr>
  </w:style>
  <w:style w:type="character" w:styleId="792" w:customStyle="1">
    <w:name w:val="超链接11"/>
    <w:link w:val="678"/>
    <w:uiPriority w:val="99"/>
    <w:unhideWhenUsed/>
    <w:qFormat/>
    <w:rPr>
      <w:color w:val="0000ff"/>
      <w:u w:val="single"/>
    </w:rPr>
  </w:style>
  <w:style w:type="character" w:styleId="793" w:customStyle="1">
    <w:name w:val="脚注引用11"/>
    <w:link w:val="678"/>
    <w:uiPriority w:val="99"/>
    <w:unhideWhenUsed/>
    <w:qFormat/>
    <w:rPr>
      <w:vertAlign w:val="superscript"/>
    </w:rPr>
  </w:style>
  <w:style w:type="paragraph" w:styleId="794" w:customStyle="1">
    <w:name w:val="正文缩进1"/>
    <w:basedOn w:val="746"/>
    <w:uiPriority w:val="0"/>
    <w:qFormat/>
    <w:pPr>
      <w:ind w:firstLine="420"/>
    </w:pPr>
  </w:style>
  <w:style w:type="character" w:styleId="795" w:customStyle="1">
    <w:name w:val="Quote Char"/>
    <w:link w:val="678"/>
    <w:uiPriority w:val="29"/>
    <w:qFormat/>
    <w:rPr>
      <w:i/>
    </w:rPr>
  </w:style>
  <w:style w:type="character" w:styleId="796" w:customStyle="1">
    <w:name w:val="Intense Quote Char"/>
    <w:link w:val="678"/>
    <w:uiPriority w:val="30"/>
    <w:qFormat/>
    <w:rPr>
      <w:i/>
    </w:rPr>
  </w:style>
  <w:style w:type="table" w:styleId="797" w:customStyle="1">
    <w:name w:val="Plain Table 1"/>
    <w:basedOn w:val="721"/>
    <w:uiPriority w:val="59"/>
    <w:qFormat/>
    <w:pPr>
      <w:spacing w:after="0" w:line="240" w:lineRule="auto"/>
    </w:pPr>
    <w:tblPr/>
  </w:style>
  <w:style w:type="table" w:styleId="798" w:customStyle="1">
    <w:name w:val="Plain Table 2"/>
    <w:basedOn w:val="721"/>
    <w:uiPriority w:val="59"/>
    <w:qFormat/>
    <w:pPr>
      <w:spacing w:after="0" w:line="240" w:lineRule="auto"/>
    </w:pPr>
    <w:tblPr/>
  </w:style>
  <w:style w:type="table" w:styleId="799" w:customStyle="1">
    <w:name w:val="Plain Table 3"/>
    <w:basedOn w:val="721"/>
    <w:uiPriority w:val="99"/>
    <w:qFormat/>
    <w:pPr>
      <w:spacing w:after="0" w:line="240" w:lineRule="auto"/>
    </w:pPr>
    <w:tblPr/>
  </w:style>
  <w:style w:type="table" w:styleId="800" w:customStyle="1">
    <w:name w:val="Plain Table 4"/>
    <w:basedOn w:val="721"/>
    <w:uiPriority w:val="99"/>
    <w:qFormat/>
    <w:pPr>
      <w:spacing w:after="0" w:line="240" w:lineRule="auto"/>
    </w:pPr>
    <w:tblPr/>
  </w:style>
  <w:style w:type="table" w:styleId="801" w:customStyle="1">
    <w:name w:val="Plain Table 5"/>
    <w:basedOn w:val="721"/>
    <w:uiPriority w:val="99"/>
    <w:qFormat/>
    <w:pPr>
      <w:spacing w:after="0" w:line="240" w:lineRule="auto"/>
    </w:pPr>
    <w:tblPr/>
  </w:style>
  <w:style w:type="table" w:styleId="802" w:customStyle="1">
    <w:name w:val="Grid Table 1 Light"/>
    <w:basedOn w:val="721"/>
    <w:uiPriority w:val="99"/>
    <w:qFormat/>
    <w:pPr>
      <w:spacing w:after="0" w:line="240" w:lineRule="auto"/>
    </w:pPr>
    <w:tblPr/>
  </w:style>
  <w:style w:type="table" w:styleId="803" w:customStyle="1">
    <w:name w:val="Grid Table 2"/>
    <w:basedOn w:val="721"/>
    <w:uiPriority w:val="99"/>
    <w:qFormat/>
    <w:pPr>
      <w:spacing w:after="0" w:line="240" w:lineRule="auto"/>
    </w:pPr>
    <w:tblPr/>
  </w:style>
  <w:style w:type="table" w:styleId="804" w:customStyle="1">
    <w:name w:val="Grid Table 3"/>
    <w:basedOn w:val="721"/>
    <w:uiPriority w:val="99"/>
    <w:qFormat/>
    <w:pPr>
      <w:spacing w:after="0" w:line="240" w:lineRule="auto"/>
    </w:pPr>
    <w:tblPr/>
  </w:style>
  <w:style w:type="table" w:styleId="805" w:customStyle="1">
    <w:name w:val="Grid Table 4"/>
    <w:basedOn w:val="721"/>
    <w:uiPriority w:val="59"/>
    <w:qFormat/>
    <w:pPr>
      <w:spacing w:after="0" w:line="240" w:lineRule="auto"/>
    </w:pPr>
    <w:tblPr/>
  </w:style>
  <w:style w:type="table" w:styleId="806" w:customStyle="1">
    <w:name w:val="Grid Table 5 Dark"/>
    <w:basedOn w:val="721"/>
    <w:uiPriority w:val="99"/>
    <w:qFormat/>
    <w:pPr>
      <w:spacing w:after="0" w:line="240" w:lineRule="auto"/>
    </w:pPr>
    <w:tblPr/>
  </w:style>
  <w:style w:type="table" w:styleId="807" w:customStyle="1">
    <w:name w:val="Grid Table 6 Colorful"/>
    <w:basedOn w:val="721"/>
    <w:uiPriority w:val="99"/>
    <w:qFormat/>
    <w:pPr>
      <w:spacing w:after="0" w:line="240" w:lineRule="auto"/>
    </w:pPr>
    <w:tblPr/>
  </w:style>
  <w:style w:type="table" w:styleId="808" w:customStyle="1">
    <w:name w:val="Grid Table 7 Colorful"/>
    <w:basedOn w:val="721"/>
    <w:uiPriority w:val="99"/>
    <w:qFormat/>
    <w:pPr>
      <w:spacing w:after="0" w:line="240" w:lineRule="auto"/>
    </w:pPr>
    <w:tblPr/>
  </w:style>
  <w:style w:type="table" w:styleId="809" w:customStyle="1">
    <w:name w:val="List Table 1 Light"/>
    <w:basedOn w:val="721"/>
    <w:uiPriority w:val="99"/>
    <w:qFormat/>
    <w:pPr>
      <w:spacing w:after="0" w:line="240" w:lineRule="auto"/>
    </w:pPr>
    <w:tblPr/>
  </w:style>
  <w:style w:type="table" w:styleId="810" w:customStyle="1">
    <w:name w:val="List Table 2"/>
    <w:basedOn w:val="721"/>
    <w:uiPriority w:val="99"/>
    <w:qFormat/>
    <w:pPr>
      <w:spacing w:after="0" w:line="240" w:lineRule="auto"/>
    </w:pPr>
    <w:tblPr/>
  </w:style>
  <w:style w:type="table" w:styleId="811" w:customStyle="1">
    <w:name w:val="List Table 3"/>
    <w:basedOn w:val="721"/>
    <w:uiPriority w:val="99"/>
    <w:qFormat/>
    <w:pPr>
      <w:spacing w:after="0" w:line="240" w:lineRule="auto"/>
    </w:pPr>
    <w:tblPr/>
  </w:style>
  <w:style w:type="table" w:styleId="812" w:customStyle="1">
    <w:name w:val="List Table 4"/>
    <w:basedOn w:val="721"/>
    <w:uiPriority w:val="99"/>
    <w:qFormat/>
    <w:pPr>
      <w:spacing w:after="0" w:line="240" w:lineRule="auto"/>
    </w:pPr>
    <w:tblPr/>
  </w:style>
  <w:style w:type="table" w:styleId="813" w:customStyle="1">
    <w:name w:val="List Table 5 Dark"/>
    <w:basedOn w:val="721"/>
    <w:uiPriority w:val="99"/>
    <w:qFormat/>
    <w:pPr>
      <w:spacing w:after="0" w:line="240" w:lineRule="auto"/>
    </w:pPr>
    <w:tblPr/>
  </w:style>
  <w:style w:type="table" w:styleId="814" w:customStyle="1">
    <w:name w:val="List Table 6 Colorful"/>
    <w:basedOn w:val="721"/>
    <w:uiPriority w:val="99"/>
    <w:qFormat/>
    <w:pPr>
      <w:spacing w:after="0" w:line="240" w:lineRule="auto"/>
    </w:pPr>
    <w:tblPr/>
  </w:style>
  <w:style w:type="table" w:styleId="815" w:customStyle="1">
    <w:name w:val="List Table 7 Colorful"/>
    <w:basedOn w:val="721"/>
    <w:uiPriority w:val="99"/>
    <w:qFormat/>
    <w:pPr>
      <w:spacing w:after="0" w:line="240" w:lineRule="auto"/>
    </w:pPr>
    <w:tblPr/>
  </w:style>
  <w:style w:type="paragraph" w:styleId="816" w:customStyle="1">
    <w:name w:val="TOC Heading"/>
    <w:uiPriority w:val="39"/>
    <w:unhideWhenUsed/>
    <w:qFormat/>
    <w:rPr>
      <w:rFonts w:hint="default" w:ascii="Times New Roman" w:hAnsi="Times New Roman" w:eastAsia="宋体" w:cs="Times New Roman"/>
    </w:rPr>
  </w:style>
  <w:style w:type="paragraph" w:styleId="817" w:customStyle="1">
    <w:name w:val="标题 11"/>
    <w:basedOn w:val="746"/>
    <w:next w:val="746"/>
    <w:link w:val="818"/>
    <w:uiPriority w:val="0"/>
    <w:qFormat/>
    <w:pPr>
      <w:jc w:val="center"/>
      <w:keepLines/>
      <w:keepNext/>
      <w:spacing w:line="578" w:lineRule="auto"/>
      <w:outlineLvl w:val="0"/>
    </w:pPr>
    <w:rPr>
      <w:rFonts w:eastAsia="新宋体"/>
      <w:b/>
      <w:bCs/>
      <w:sz w:val="30"/>
      <w:szCs w:val="44"/>
    </w:rPr>
  </w:style>
  <w:style w:type="character" w:styleId="818" w:customStyle="1">
    <w:name w:val="标题 1 Char"/>
    <w:basedOn w:val="751"/>
    <w:link w:val="817"/>
    <w:uiPriority w:val="0"/>
    <w:qFormat/>
    <w:rPr>
      <w:rFonts w:ascii="Times New Roman" w:hAnsi="Times New Roman" w:eastAsia="新宋体"/>
      <w:b/>
      <w:bCs/>
      <w:sz w:val="30"/>
      <w:szCs w:val="44"/>
    </w:rPr>
  </w:style>
  <w:style w:type="paragraph" w:styleId="819" w:customStyle="1">
    <w:name w:val="标题 21"/>
    <w:basedOn w:val="746"/>
    <w:next w:val="753"/>
    <w:link w:val="820"/>
    <w:uiPriority w:val="0"/>
    <w:qFormat/>
    <w:pPr>
      <w:keepLines/>
      <w:keepNext/>
      <w:spacing w:before="260" w:after="260" w:line="416" w:lineRule="auto"/>
      <w:outlineLvl w:val="1"/>
    </w:pPr>
    <w:rPr>
      <w:rFonts w:ascii="Calibri Light" w:hAnsi="Calibri Light" w:eastAsia="Arial"/>
      <w:b/>
      <w:bCs/>
      <w:sz w:val="32"/>
      <w:szCs w:val="32"/>
    </w:rPr>
  </w:style>
  <w:style w:type="character" w:styleId="820" w:customStyle="1">
    <w:name w:val="标题 2 Char"/>
    <w:basedOn w:val="751"/>
    <w:link w:val="819"/>
    <w:uiPriority w:val="0"/>
    <w:qFormat/>
    <w:rPr>
      <w:rFonts w:ascii="Calibri Light" w:hAnsi="Calibri Light" w:eastAsia="Arial"/>
      <w:b/>
      <w:bCs/>
      <w:sz w:val="32"/>
      <w:szCs w:val="32"/>
    </w:rPr>
  </w:style>
  <w:style w:type="paragraph" w:styleId="821" w:customStyle="1">
    <w:name w:val="标题 31"/>
    <w:basedOn w:val="746"/>
    <w:next w:val="746"/>
    <w:link w:val="822"/>
    <w:uiPriority w:val="0"/>
    <w:qFormat/>
    <w:pPr>
      <w:keepLines/>
      <w:keepNext/>
      <w:spacing w:before="260" w:after="260" w:line="416" w:lineRule="auto"/>
      <w:outlineLvl w:val="2"/>
    </w:pPr>
    <w:rPr>
      <w:b/>
      <w:bCs/>
      <w:sz w:val="32"/>
      <w:szCs w:val="32"/>
    </w:rPr>
  </w:style>
  <w:style w:type="character" w:styleId="822" w:customStyle="1">
    <w:name w:val="标题 3 Char"/>
    <w:basedOn w:val="751"/>
    <w:link w:val="821"/>
    <w:uiPriority w:val="0"/>
    <w:qFormat/>
    <w:rPr>
      <w:rFonts w:ascii="Times New Roman" w:hAnsi="Times New Roman" w:eastAsia="宋体"/>
      <w:b/>
      <w:bCs/>
      <w:sz w:val="32"/>
      <w:szCs w:val="32"/>
    </w:rPr>
  </w:style>
  <w:style w:type="paragraph" w:styleId="823" w:customStyle="1">
    <w:name w:val="标题 51"/>
    <w:basedOn w:val="746"/>
    <w:next w:val="746"/>
    <w:link w:val="824"/>
    <w:uiPriority w:val="0"/>
    <w:qFormat/>
    <w:pPr>
      <w:keepLines/>
      <w:keepNext/>
      <w:spacing w:before="320" w:after="200"/>
      <w:outlineLvl w:val="4"/>
    </w:pPr>
    <w:rPr>
      <w:rFonts w:ascii="Arial" w:hAnsi="Arial" w:eastAsia="Arial"/>
      <w:b/>
      <w:bCs/>
      <w:sz w:val="24"/>
    </w:rPr>
  </w:style>
  <w:style w:type="character" w:styleId="824" w:customStyle="1">
    <w:name w:val="Heading 5 Char"/>
    <w:basedOn w:val="751"/>
    <w:link w:val="823"/>
    <w:uiPriority w:val="0"/>
    <w:qFormat/>
    <w:rPr>
      <w:rFonts w:ascii="Arial" w:hAnsi="Arial" w:eastAsia="Arial"/>
      <w:b/>
      <w:bCs/>
      <w:sz w:val="24"/>
      <w:szCs w:val="24"/>
    </w:rPr>
  </w:style>
  <w:style w:type="paragraph" w:styleId="825" w:customStyle="1">
    <w:name w:val="标题 61"/>
    <w:basedOn w:val="746"/>
    <w:next w:val="746"/>
    <w:link w:val="826"/>
    <w:uiPriority w:val="0"/>
    <w:qFormat/>
    <w:pPr>
      <w:keepLines/>
      <w:keepNext/>
      <w:spacing w:before="320" w:after="200"/>
      <w:outlineLvl w:val="5"/>
    </w:pPr>
    <w:rPr>
      <w:rFonts w:ascii="Arial" w:hAnsi="Arial" w:eastAsia="Arial"/>
      <w:b/>
      <w:bCs/>
      <w:sz w:val="22"/>
      <w:szCs w:val="22"/>
    </w:rPr>
  </w:style>
  <w:style w:type="character" w:styleId="826" w:customStyle="1">
    <w:name w:val="Heading 6 Char"/>
    <w:basedOn w:val="751"/>
    <w:link w:val="825"/>
    <w:uiPriority w:val="0"/>
    <w:qFormat/>
    <w:rPr>
      <w:rFonts w:ascii="Arial" w:hAnsi="Arial" w:eastAsia="Arial"/>
      <w:b/>
      <w:bCs/>
      <w:sz w:val="22"/>
      <w:szCs w:val="22"/>
    </w:rPr>
  </w:style>
  <w:style w:type="paragraph" w:styleId="827" w:customStyle="1">
    <w:name w:val="标题 71"/>
    <w:basedOn w:val="746"/>
    <w:next w:val="746"/>
    <w:link w:val="828"/>
    <w:uiPriority w:val="0"/>
    <w:qFormat/>
    <w:pPr>
      <w:keepLines/>
      <w:keepNext/>
      <w:spacing w:before="320" w:after="200"/>
      <w:outlineLvl w:val="6"/>
    </w:pPr>
    <w:rPr>
      <w:rFonts w:ascii="Arial" w:hAnsi="Arial" w:eastAsia="Arial"/>
      <w:b/>
      <w:bCs/>
      <w:i/>
      <w:iCs/>
      <w:sz w:val="22"/>
      <w:szCs w:val="22"/>
    </w:rPr>
  </w:style>
  <w:style w:type="character" w:styleId="828" w:customStyle="1">
    <w:name w:val="Heading 7 Char"/>
    <w:basedOn w:val="751"/>
    <w:link w:val="827"/>
    <w:uiPriority w:val="0"/>
    <w:qFormat/>
    <w:rPr>
      <w:rFonts w:ascii="Arial" w:hAnsi="Arial" w:eastAsia="Arial"/>
      <w:b/>
      <w:bCs/>
      <w:i/>
      <w:iCs/>
      <w:sz w:val="22"/>
      <w:szCs w:val="22"/>
    </w:rPr>
  </w:style>
  <w:style w:type="paragraph" w:styleId="829" w:customStyle="1">
    <w:name w:val="标题 81"/>
    <w:basedOn w:val="746"/>
    <w:next w:val="746"/>
    <w:link w:val="830"/>
    <w:uiPriority w:val="0"/>
    <w:qFormat/>
    <w:pPr>
      <w:keepLines/>
      <w:keepNext/>
      <w:spacing w:before="320" w:after="200"/>
      <w:outlineLvl w:val="7"/>
    </w:pPr>
    <w:rPr>
      <w:rFonts w:ascii="Arial" w:hAnsi="Arial" w:eastAsia="Arial"/>
      <w:i/>
      <w:iCs/>
      <w:sz w:val="22"/>
      <w:szCs w:val="22"/>
    </w:rPr>
  </w:style>
  <w:style w:type="character" w:styleId="830" w:customStyle="1">
    <w:name w:val="Heading 8 Char"/>
    <w:basedOn w:val="751"/>
    <w:link w:val="829"/>
    <w:uiPriority w:val="0"/>
    <w:qFormat/>
    <w:rPr>
      <w:rFonts w:ascii="Arial" w:hAnsi="Arial" w:eastAsia="Arial"/>
      <w:i/>
      <w:iCs/>
      <w:sz w:val="22"/>
      <w:szCs w:val="22"/>
    </w:rPr>
  </w:style>
  <w:style w:type="paragraph" w:styleId="831" w:customStyle="1">
    <w:name w:val="标题 91"/>
    <w:basedOn w:val="746"/>
    <w:next w:val="746"/>
    <w:link w:val="832"/>
    <w:uiPriority w:val="0"/>
    <w:qFormat/>
    <w:pPr>
      <w:keepLines/>
      <w:keepNext/>
      <w:spacing w:before="320" w:after="200"/>
      <w:outlineLvl w:val="8"/>
    </w:pPr>
    <w:rPr>
      <w:rFonts w:ascii="Arial" w:hAnsi="Arial" w:eastAsia="Arial"/>
      <w:i/>
      <w:iCs/>
      <w:szCs w:val="21"/>
    </w:rPr>
  </w:style>
  <w:style w:type="character" w:styleId="832" w:customStyle="1">
    <w:name w:val="Heading 9 Char"/>
    <w:basedOn w:val="751"/>
    <w:link w:val="831"/>
    <w:uiPriority w:val="0"/>
    <w:qFormat/>
    <w:rPr>
      <w:rFonts w:ascii="Arial" w:hAnsi="Arial" w:eastAsia="Arial"/>
      <w:i/>
      <w:iCs/>
      <w:sz w:val="21"/>
      <w:szCs w:val="21"/>
    </w:rPr>
  </w:style>
  <w:style w:type="table" w:styleId="833" w:customStyle="1">
    <w:name w:val="普通表格1"/>
    <w:uiPriority w:val="0"/>
    <w:qFormat/>
    <w:tblPr/>
  </w:style>
  <w:style w:type="paragraph" w:styleId="834" w:customStyle="1">
    <w:name w:val="目录 71"/>
    <w:basedOn w:val="746"/>
    <w:next w:val="746"/>
    <w:uiPriority w:val="0"/>
    <w:qFormat/>
    <w:pPr>
      <w:ind w:left="1701"/>
      <w:spacing w:after="57"/>
    </w:pPr>
  </w:style>
  <w:style w:type="paragraph" w:styleId="835" w:customStyle="1">
    <w:name w:val="题注1"/>
    <w:basedOn w:val="746"/>
    <w:next w:val="746"/>
    <w:uiPriority w:val="0"/>
    <w:qFormat/>
    <w:pPr>
      <w:spacing w:line="276" w:lineRule="auto"/>
    </w:pPr>
    <w:rPr>
      <w:b/>
      <w:bCs/>
      <w:color w:val="5b9bd5"/>
      <w:sz w:val="18"/>
      <w:szCs w:val="18"/>
    </w:rPr>
  </w:style>
  <w:style w:type="paragraph" w:styleId="836" w:customStyle="1">
    <w:name w:val="索引 511"/>
    <w:basedOn w:val="746"/>
    <w:next w:val="746"/>
    <w:uiPriority w:val="0"/>
    <w:qFormat/>
    <w:pPr>
      <w:ind w:left="798"/>
      <w:jc w:val="left"/>
    </w:pPr>
    <w:rPr>
      <w:rFonts w:ascii="Calibri" w:hAnsi="Calibri"/>
    </w:rPr>
  </w:style>
  <w:style w:type="paragraph" w:styleId="837" w:customStyle="1">
    <w:name w:val="批注文字1"/>
    <w:basedOn w:val="746"/>
    <w:link w:val="838"/>
    <w:uiPriority w:val="0"/>
    <w:qFormat/>
    <w:pPr>
      <w:jc w:val="left"/>
    </w:pPr>
  </w:style>
  <w:style w:type="character" w:styleId="838" w:customStyle="1">
    <w:name w:val="批注文字 Char"/>
    <w:basedOn w:val="751"/>
    <w:link w:val="837"/>
    <w:uiPriority w:val="0"/>
    <w:qFormat/>
    <w:rPr>
      <w:rFonts w:ascii="Times New Roman" w:hAnsi="Times New Roman" w:eastAsia="宋体"/>
      <w:sz w:val="21"/>
      <w:szCs w:val="24"/>
    </w:rPr>
  </w:style>
  <w:style w:type="paragraph" w:styleId="839" w:customStyle="1">
    <w:name w:val="正文文本111"/>
    <w:basedOn w:val="746"/>
    <w:next w:val="840"/>
    <w:link w:val="841"/>
    <w:uiPriority w:val="0"/>
    <w:qFormat/>
    <w:pPr>
      <w:spacing w:after="120"/>
    </w:pPr>
    <w:rPr>
      <w:rFonts w:ascii="Calibri" w:hAnsi="Calibri"/>
    </w:rPr>
  </w:style>
  <w:style w:type="paragraph" w:styleId="84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41" w:customStyle="1">
    <w:name w:val="正文文本 Char"/>
    <w:basedOn w:val="751"/>
    <w:link w:val="839"/>
    <w:uiPriority w:val="0"/>
    <w:qFormat/>
    <w:rPr>
      <w:rFonts w:ascii="Calibri" w:hAnsi="Calibri" w:eastAsia="宋体"/>
      <w:sz w:val="21"/>
      <w:szCs w:val="24"/>
    </w:rPr>
  </w:style>
  <w:style w:type="paragraph" w:styleId="842" w:customStyle="1">
    <w:name w:val="寄信人地址11"/>
    <w:basedOn w:val="746"/>
    <w:uiPriority w:val="0"/>
    <w:qFormat/>
    <w:rPr>
      <w:rFonts w:ascii="Arial" w:hAnsi="Arial"/>
    </w:rPr>
  </w:style>
  <w:style w:type="paragraph" w:styleId="843" w:customStyle="1">
    <w:name w:val="索引 411"/>
    <w:basedOn w:val="746"/>
    <w:next w:val="746"/>
    <w:uiPriority w:val="0"/>
    <w:qFormat/>
    <w:pPr>
      <w:ind w:left="600"/>
    </w:pPr>
    <w:rPr>
      <w:rFonts w:ascii="Calibri" w:hAnsi="Calibri"/>
    </w:rPr>
  </w:style>
  <w:style w:type="paragraph" w:styleId="844" w:customStyle="1">
    <w:name w:val="目录 51"/>
    <w:basedOn w:val="746"/>
    <w:next w:val="746"/>
    <w:uiPriority w:val="0"/>
    <w:qFormat/>
    <w:pPr>
      <w:ind w:left="1134"/>
      <w:spacing w:after="57"/>
    </w:pPr>
  </w:style>
  <w:style w:type="paragraph" w:styleId="845" w:customStyle="1">
    <w:name w:val="目录 31"/>
    <w:basedOn w:val="746"/>
    <w:next w:val="746"/>
    <w:uiPriority w:val="0"/>
    <w:qFormat/>
    <w:pPr>
      <w:ind w:left="567"/>
      <w:spacing w:after="57"/>
    </w:pPr>
  </w:style>
  <w:style w:type="paragraph" w:styleId="846" w:customStyle="1">
    <w:name w:val="纯文本1"/>
    <w:basedOn w:val="746"/>
    <w:uiPriority w:val="0"/>
    <w:qFormat/>
    <w:rPr>
      <w:rFonts w:ascii="宋体" w:hAnsi="Courier New"/>
      <w:sz w:val="20"/>
      <w:szCs w:val="20"/>
    </w:rPr>
  </w:style>
  <w:style w:type="paragraph" w:styleId="847" w:customStyle="1">
    <w:name w:val="目录 81"/>
    <w:basedOn w:val="746"/>
    <w:next w:val="746"/>
    <w:uiPriority w:val="0"/>
    <w:qFormat/>
    <w:pPr>
      <w:ind w:left="1984"/>
      <w:spacing w:after="57"/>
    </w:pPr>
  </w:style>
  <w:style w:type="paragraph" w:styleId="848" w:customStyle="1">
    <w:name w:val="日期1"/>
    <w:basedOn w:val="746"/>
    <w:next w:val="746"/>
    <w:uiPriority w:val="0"/>
    <w:qFormat/>
    <w:rPr>
      <w:rFonts w:eastAsia="仿宋_GB2312"/>
      <w:sz w:val="28"/>
      <w:szCs w:val="20"/>
    </w:rPr>
  </w:style>
  <w:style w:type="paragraph" w:styleId="849" w:customStyle="1">
    <w:name w:val="尾注文本1"/>
    <w:basedOn w:val="746"/>
    <w:link w:val="850"/>
    <w:uiPriority w:val="0"/>
    <w:qFormat/>
    <w:rPr>
      <w:sz w:val="20"/>
    </w:rPr>
  </w:style>
  <w:style w:type="character" w:styleId="850" w:customStyle="1">
    <w:name w:val="Endnote Text Char"/>
    <w:link w:val="849"/>
    <w:uiPriority w:val="0"/>
    <w:qFormat/>
    <w:rPr>
      <w:sz w:val="20"/>
    </w:rPr>
  </w:style>
  <w:style w:type="paragraph" w:styleId="851" w:customStyle="1">
    <w:name w:val="批注框文本1"/>
    <w:basedOn w:val="746"/>
    <w:link w:val="852"/>
    <w:uiPriority w:val="0"/>
    <w:qFormat/>
    <w:rPr>
      <w:sz w:val="18"/>
      <w:szCs w:val="18"/>
    </w:rPr>
  </w:style>
  <w:style w:type="character" w:styleId="852" w:customStyle="1">
    <w:name w:val="批注框文本 Char"/>
    <w:basedOn w:val="751"/>
    <w:link w:val="851"/>
    <w:uiPriority w:val="0"/>
    <w:qFormat/>
    <w:rPr>
      <w:rFonts w:ascii="Times New Roman" w:hAnsi="Times New Roman" w:eastAsia="宋体"/>
      <w:sz w:val="18"/>
      <w:szCs w:val="18"/>
    </w:rPr>
  </w:style>
  <w:style w:type="paragraph" w:styleId="853" w:customStyle="1">
    <w:name w:val="页脚1"/>
    <w:basedOn w:val="746"/>
    <w:link w:val="854"/>
    <w:uiPriority w:val="0"/>
    <w:qFormat/>
    <w:pPr>
      <w:jc w:val="left"/>
      <w:tabs>
        <w:tab w:val="center" w:pos="4153" w:leader="none"/>
        <w:tab w:val="right" w:pos="8306" w:leader="none"/>
      </w:tabs>
    </w:pPr>
    <w:rPr>
      <w:sz w:val="18"/>
      <w:szCs w:val="18"/>
    </w:rPr>
  </w:style>
  <w:style w:type="character" w:styleId="854" w:customStyle="1">
    <w:name w:val="页脚 Char"/>
    <w:basedOn w:val="751"/>
    <w:link w:val="853"/>
    <w:uiPriority w:val="0"/>
    <w:qFormat/>
    <w:rPr>
      <w:rFonts w:ascii="Times New Roman" w:hAnsi="Times New Roman" w:eastAsia="宋体"/>
      <w:sz w:val="18"/>
      <w:szCs w:val="18"/>
    </w:rPr>
  </w:style>
  <w:style w:type="paragraph" w:styleId="855" w:customStyle="1">
    <w:name w:val="页眉1"/>
    <w:basedOn w:val="746"/>
    <w:link w:val="856"/>
    <w:uiPriority w:val="0"/>
    <w:qFormat/>
    <w:pPr>
      <w:jc w:val="center"/>
      <w:tabs>
        <w:tab w:val="center" w:pos="4153" w:leader="none"/>
        <w:tab w:val="right" w:pos="8306" w:leader="none"/>
      </w:tabs>
      <w:pBdr>
        <w:bottom w:val="single" w:color="000000" w:sz="6" w:space="1"/>
      </w:pBdr>
    </w:pPr>
    <w:rPr>
      <w:sz w:val="18"/>
      <w:szCs w:val="18"/>
    </w:rPr>
  </w:style>
  <w:style w:type="character" w:styleId="856" w:customStyle="1">
    <w:name w:val="页眉 Char"/>
    <w:basedOn w:val="751"/>
    <w:link w:val="855"/>
    <w:uiPriority w:val="0"/>
    <w:qFormat/>
    <w:rPr>
      <w:rFonts w:ascii="Times New Roman" w:hAnsi="Times New Roman" w:eastAsia="宋体"/>
      <w:sz w:val="18"/>
      <w:szCs w:val="18"/>
    </w:rPr>
  </w:style>
  <w:style w:type="paragraph" w:styleId="857" w:customStyle="1">
    <w:name w:val="目录 111"/>
    <w:basedOn w:val="746"/>
    <w:next w:val="746"/>
    <w:uiPriority w:val="0"/>
    <w:qFormat/>
  </w:style>
  <w:style w:type="paragraph" w:styleId="858" w:customStyle="1">
    <w:name w:val="目录 41"/>
    <w:basedOn w:val="746"/>
    <w:next w:val="746"/>
    <w:uiPriority w:val="0"/>
    <w:qFormat/>
    <w:pPr>
      <w:ind w:left="850"/>
      <w:spacing w:after="57"/>
    </w:pPr>
  </w:style>
  <w:style w:type="paragraph" w:styleId="859" w:customStyle="1">
    <w:name w:val="副标题1"/>
    <w:basedOn w:val="746"/>
    <w:next w:val="746"/>
    <w:link w:val="860"/>
    <w:uiPriority w:val="0"/>
    <w:qFormat/>
    <w:pPr>
      <w:spacing w:before="200" w:after="200"/>
    </w:pPr>
    <w:rPr>
      <w:sz w:val="24"/>
    </w:rPr>
  </w:style>
  <w:style w:type="character" w:styleId="860" w:customStyle="1">
    <w:name w:val="Subtitle Char"/>
    <w:basedOn w:val="751"/>
    <w:link w:val="859"/>
    <w:uiPriority w:val="0"/>
    <w:qFormat/>
    <w:rPr>
      <w:sz w:val="24"/>
      <w:szCs w:val="24"/>
    </w:rPr>
  </w:style>
  <w:style w:type="paragraph" w:styleId="861" w:customStyle="1">
    <w:name w:val="脚注文本11"/>
    <w:basedOn w:val="746"/>
    <w:next w:val="836"/>
    <w:uiPriority w:val="0"/>
    <w:qFormat/>
    <w:pPr>
      <w:jc w:val="left"/>
    </w:pPr>
    <w:rPr>
      <w:rFonts w:ascii="宋体" w:eastAsia="Times New Roman"/>
      <w:sz w:val="18"/>
      <w:szCs w:val="18"/>
    </w:rPr>
  </w:style>
  <w:style w:type="paragraph" w:styleId="862" w:customStyle="1">
    <w:name w:val="目录 61"/>
    <w:basedOn w:val="746"/>
    <w:next w:val="746"/>
    <w:uiPriority w:val="0"/>
    <w:qFormat/>
    <w:pPr>
      <w:ind w:left="1417"/>
      <w:spacing w:after="57"/>
    </w:pPr>
  </w:style>
  <w:style w:type="paragraph" w:styleId="863" w:customStyle="1">
    <w:name w:val="图表目录1"/>
    <w:basedOn w:val="746"/>
    <w:next w:val="746"/>
    <w:uiPriority w:val="0"/>
    <w:qFormat/>
  </w:style>
  <w:style w:type="paragraph" w:styleId="864" w:customStyle="1">
    <w:name w:val="目录 21"/>
    <w:basedOn w:val="746"/>
    <w:next w:val="746"/>
    <w:uiPriority w:val="0"/>
    <w:qFormat/>
    <w:pPr>
      <w:ind w:left="283"/>
      <w:spacing w:after="57"/>
    </w:pPr>
  </w:style>
  <w:style w:type="paragraph" w:styleId="865" w:customStyle="1">
    <w:name w:val="目录 91"/>
    <w:basedOn w:val="746"/>
    <w:next w:val="746"/>
    <w:uiPriority w:val="0"/>
    <w:qFormat/>
    <w:pPr>
      <w:ind w:left="2268"/>
      <w:spacing w:after="57"/>
    </w:pPr>
  </w:style>
  <w:style w:type="paragraph" w:styleId="866" w:customStyle="1">
    <w:name w:val="普通(网站)1"/>
    <w:basedOn w:val="746"/>
    <w:uiPriority w:val="0"/>
    <w:qFormat/>
    <w:pPr>
      <w:jc w:val="left"/>
      <w:spacing w:before="100" w:beforeAutospacing="1" w:after="100" w:afterAutospacing="1"/>
      <w:widowControl/>
    </w:pPr>
    <w:rPr>
      <w:rFonts w:ascii="宋体" w:hAnsi="宋体"/>
      <w:sz w:val="24"/>
    </w:rPr>
  </w:style>
  <w:style w:type="paragraph" w:styleId="867" w:customStyle="1">
    <w:name w:val="标题11"/>
    <w:basedOn w:val="746"/>
    <w:next w:val="746"/>
    <w:link w:val="868"/>
    <w:uiPriority w:val="0"/>
    <w:qFormat/>
    <w:pPr>
      <w:contextualSpacing/>
      <w:spacing w:before="300" w:after="200"/>
    </w:pPr>
    <w:rPr>
      <w:sz w:val="48"/>
      <w:szCs w:val="48"/>
    </w:rPr>
  </w:style>
  <w:style w:type="character" w:styleId="868" w:customStyle="1">
    <w:name w:val="Title Char"/>
    <w:basedOn w:val="751"/>
    <w:link w:val="867"/>
    <w:uiPriority w:val="0"/>
    <w:qFormat/>
    <w:rPr>
      <w:sz w:val="48"/>
      <w:szCs w:val="48"/>
    </w:rPr>
  </w:style>
  <w:style w:type="paragraph" w:styleId="869" w:customStyle="1">
    <w:name w:val="批注主题1"/>
    <w:basedOn w:val="837"/>
    <w:next w:val="837"/>
    <w:link w:val="870"/>
    <w:uiPriority w:val="0"/>
    <w:qFormat/>
    <w:rPr>
      <w:b/>
      <w:bCs/>
    </w:rPr>
  </w:style>
  <w:style w:type="character" w:styleId="870" w:customStyle="1">
    <w:name w:val="批注主题 Char"/>
    <w:basedOn w:val="838"/>
    <w:link w:val="869"/>
    <w:uiPriority w:val="0"/>
    <w:qFormat/>
    <w:rPr>
      <w:rFonts w:ascii="Times New Roman" w:hAnsi="Times New Roman" w:eastAsia="宋体"/>
      <w:b/>
      <w:bCs/>
      <w:sz w:val="21"/>
      <w:szCs w:val="24"/>
    </w:rPr>
  </w:style>
  <w:style w:type="paragraph" w:styleId="871" w:customStyle="1">
    <w:name w:val="正文首行缩进 21"/>
    <w:basedOn w:val="762"/>
    <w:next w:val="746"/>
    <w:uiPriority w:val="0"/>
    <w:qFormat/>
    <w:pPr>
      <w:ind w:firstLine="420"/>
      <w:spacing w:line="360" w:lineRule="auto"/>
    </w:pPr>
    <w:rPr>
      <w:color w:val="000000"/>
      <w:sz w:val="20"/>
    </w:rPr>
  </w:style>
  <w:style w:type="table" w:styleId="872" w:customStyle="1">
    <w:name w:val="网格型1"/>
    <w:basedOn w:val="833"/>
    <w:uiPriority w:val="0"/>
    <w:qFormat/>
    <w:tblPr/>
  </w:style>
  <w:style w:type="character" w:styleId="873" w:customStyle="1">
    <w:name w:val="尾注引用1"/>
    <w:basedOn w:val="751"/>
    <w:link w:val="678"/>
    <w:uiPriority w:val="0"/>
    <w:qFormat/>
    <w:rPr>
      <w:vertAlign w:val="superscript"/>
    </w:rPr>
  </w:style>
  <w:style w:type="character" w:styleId="874" w:customStyle="1">
    <w:name w:val="页码1"/>
    <w:basedOn w:val="751"/>
    <w:link w:val="678"/>
    <w:uiPriority w:val="0"/>
    <w:qFormat/>
  </w:style>
  <w:style w:type="character" w:styleId="875" w:customStyle="1">
    <w:name w:val="已访问的超链接1"/>
    <w:basedOn w:val="751"/>
    <w:link w:val="678"/>
    <w:uiPriority w:val="0"/>
    <w:qFormat/>
    <w:rPr>
      <w:color w:val="333333"/>
      <w:u w:val="none"/>
    </w:rPr>
  </w:style>
  <w:style w:type="character" w:styleId="876" w:customStyle="1">
    <w:name w:val="超链接1"/>
    <w:basedOn w:val="751"/>
    <w:link w:val="678"/>
    <w:uiPriority w:val="0"/>
    <w:qFormat/>
    <w:rPr>
      <w:color w:val="333333"/>
      <w:u w:val="none"/>
    </w:rPr>
  </w:style>
  <w:style w:type="character" w:styleId="877" w:customStyle="1">
    <w:name w:val="批注引用1"/>
    <w:basedOn w:val="751"/>
    <w:link w:val="678"/>
    <w:uiPriority w:val="0"/>
    <w:qFormat/>
    <w:rPr>
      <w:sz w:val="21"/>
      <w:szCs w:val="21"/>
    </w:rPr>
  </w:style>
  <w:style w:type="character" w:styleId="878" w:customStyle="1">
    <w:name w:val="脚注引用1"/>
    <w:basedOn w:val="751"/>
    <w:link w:val="678"/>
    <w:uiPriority w:val="0"/>
    <w:qFormat/>
    <w:rPr>
      <w:vertAlign w:val="superscript"/>
    </w:rPr>
  </w:style>
  <w:style w:type="character" w:styleId="879" w:customStyle="1">
    <w:name w:val="Heading 1 Char"/>
    <w:basedOn w:val="751"/>
    <w:link w:val="678"/>
    <w:uiPriority w:val="0"/>
    <w:qFormat/>
    <w:rPr>
      <w:rFonts w:ascii="Arial" w:hAnsi="Arial" w:eastAsia="Arial"/>
      <w:sz w:val="40"/>
      <w:szCs w:val="40"/>
    </w:rPr>
  </w:style>
  <w:style w:type="character" w:styleId="880" w:customStyle="1">
    <w:name w:val="Heading 2 Char"/>
    <w:basedOn w:val="751"/>
    <w:link w:val="678"/>
    <w:uiPriority w:val="0"/>
    <w:qFormat/>
    <w:rPr>
      <w:rFonts w:ascii="Arial" w:hAnsi="Arial" w:eastAsia="Arial"/>
      <w:sz w:val="34"/>
    </w:rPr>
  </w:style>
  <w:style w:type="character" w:styleId="881" w:customStyle="1">
    <w:name w:val="Heading 3 Char"/>
    <w:basedOn w:val="751"/>
    <w:link w:val="678"/>
    <w:uiPriority w:val="0"/>
    <w:qFormat/>
    <w:rPr>
      <w:rFonts w:ascii="Arial" w:hAnsi="Arial" w:eastAsia="Arial"/>
      <w:sz w:val="30"/>
      <w:szCs w:val="30"/>
    </w:rPr>
  </w:style>
  <w:style w:type="paragraph" w:styleId="882">
    <w:name w:val="No Spacing"/>
    <w:uiPriority w:val="0"/>
    <w:qFormat/>
    <w:rPr>
      <w:rFonts w:hint="default" w:ascii="Times New Roman" w:hAnsi="Times New Roman" w:eastAsia="宋体" w:cs="Times New Roman"/>
      <w:lang w:val="en-US" w:eastAsia="zh-CN" w:bidi="ar-SA"/>
    </w:rPr>
  </w:style>
  <w:style w:type="paragraph" w:styleId="883">
    <w:name w:val="Quote"/>
    <w:basedOn w:val="746"/>
    <w:next w:val="746"/>
    <w:link w:val="884"/>
    <w:uiPriority w:val="0"/>
    <w:qFormat/>
    <w:pPr>
      <w:ind w:left="720" w:right="720"/>
    </w:pPr>
    <w:rPr>
      <w:i/>
    </w:rPr>
  </w:style>
  <w:style w:type="character" w:styleId="884" w:customStyle="1">
    <w:name w:val="引用 字符"/>
    <w:link w:val="883"/>
    <w:uiPriority w:val="0"/>
    <w:qFormat/>
    <w:rPr>
      <w:i/>
    </w:rPr>
  </w:style>
  <w:style w:type="paragraph" w:styleId="885">
    <w:name w:val="Intense Quote"/>
    <w:basedOn w:val="746"/>
    <w:next w:val="746"/>
    <w:link w:val="88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0"/>
    <w:qFormat/>
    <w:rPr>
      <w:i/>
    </w:rPr>
  </w:style>
  <w:style w:type="character" w:styleId="887" w:customStyle="1">
    <w:name w:val="Header Char"/>
    <w:basedOn w:val="751"/>
    <w:link w:val="678"/>
    <w:uiPriority w:val="0"/>
    <w:qFormat/>
  </w:style>
  <w:style w:type="character" w:styleId="888" w:customStyle="1">
    <w:name w:val="Footer Char"/>
    <w:basedOn w:val="751"/>
    <w:link w:val="678"/>
    <w:uiPriority w:val="0"/>
    <w:qFormat/>
  </w:style>
  <w:style w:type="character" w:styleId="889" w:customStyle="1">
    <w:name w:val="Caption Char"/>
    <w:link w:val="678"/>
    <w:uiPriority w:val="0"/>
    <w:qFormat/>
  </w:style>
  <w:style w:type="table" w:styleId="890" w:customStyle="1">
    <w:name w:val="Table Grid Light"/>
    <w:basedOn w:val="833"/>
    <w:uiPriority w:val="0"/>
    <w:qFormat/>
    <w:tblPr/>
  </w:style>
  <w:style w:type="table" w:styleId="891" w:customStyle="1">
    <w:name w:val="无格式表格 11"/>
    <w:basedOn w:val="833"/>
    <w:uiPriority w:val="0"/>
    <w:qFormat/>
    <w:tblPr/>
  </w:style>
  <w:style w:type="table" w:styleId="892" w:customStyle="1">
    <w:name w:val="无格式表格 21"/>
    <w:basedOn w:val="833"/>
    <w:uiPriority w:val="0"/>
    <w:qFormat/>
    <w:tblPr/>
  </w:style>
  <w:style w:type="table" w:styleId="893" w:customStyle="1">
    <w:name w:val="无格式表格 31"/>
    <w:basedOn w:val="833"/>
    <w:uiPriority w:val="0"/>
    <w:qFormat/>
    <w:tblPr/>
  </w:style>
  <w:style w:type="table" w:styleId="894" w:customStyle="1">
    <w:name w:val="无格式表格 41"/>
    <w:basedOn w:val="833"/>
    <w:uiPriority w:val="0"/>
    <w:qFormat/>
    <w:tblPr/>
  </w:style>
  <w:style w:type="table" w:styleId="895" w:customStyle="1">
    <w:name w:val="无格式表格 51"/>
    <w:basedOn w:val="833"/>
    <w:uiPriority w:val="0"/>
    <w:qFormat/>
    <w:tblPr/>
  </w:style>
  <w:style w:type="table" w:styleId="896" w:customStyle="1">
    <w:name w:val="网格表 1 浅色1"/>
    <w:basedOn w:val="833"/>
    <w:uiPriority w:val="0"/>
    <w:qFormat/>
    <w:tblPr/>
  </w:style>
  <w:style w:type="table" w:styleId="897" w:customStyle="1">
    <w:name w:val="Grid Table 1 Light - Accent 1"/>
    <w:basedOn w:val="833"/>
    <w:uiPriority w:val="0"/>
    <w:qFormat/>
    <w:tblPr/>
  </w:style>
  <w:style w:type="table" w:styleId="898" w:customStyle="1">
    <w:name w:val="Grid Table 1 Light - Accent 2"/>
    <w:basedOn w:val="833"/>
    <w:uiPriority w:val="0"/>
    <w:qFormat/>
    <w:tblPr/>
  </w:style>
  <w:style w:type="table" w:styleId="899" w:customStyle="1">
    <w:name w:val="Grid Table 1 Light - Accent 3"/>
    <w:basedOn w:val="833"/>
    <w:uiPriority w:val="0"/>
    <w:qFormat/>
    <w:tblPr/>
  </w:style>
  <w:style w:type="table" w:styleId="900" w:customStyle="1">
    <w:name w:val="Grid Table 1 Light - Accent 4"/>
    <w:basedOn w:val="833"/>
    <w:uiPriority w:val="0"/>
    <w:qFormat/>
    <w:tblPr/>
  </w:style>
  <w:style w:type="table" w:styleId="901" w:customStyle="1">
    <w:name w:val="Grid Table 1 Light - Accent 5"/>
    <w:basedOn w:val="833"/>
    <w:uiPriority w:val="0"/>
    <w:qFormat/>
    <w:tblPr/>
  </w:style>
  <w:style w:type="table" w:styleId="902" w:customStyle="1">
    <w:name w:val="Grid Table 1 Light - Accent 6"/>
    <w:basedOn w:val="833"/>
    <w:uiPriority w:val="0"/>
    <w:qFormat/>
    <w:tblPr/>
  </w:style>
  <w:style w:type="table" w:styleId="903" w:customStyle="1">
    <w:name w:val="网格表 21"/>
    <w:basedOn w:val="833"/>
    <w:uiPriority w:val="0"/>
    <w:qFormat/>
    <w:tblPr/>
  </w:style>
  <w:style w:type="table" w:styleId="904" w:customStyle="1">
    <w:name w:val="Grid Table 2 - Accent 1"/>
    <w:basedOn w:val="833"/>
    <w:uiPriority w:val="0"/>
    <w:qFormat/>
    <w:tblPr/>
  </w:style>
  <w:style w:type="table" w:styleId="905" w:customStyle="1">
    <w:name w:val="Grid Table 2 - Accent 2"/>
    <w:basedOn w:val="833"/>
    <w:uiPriority w:val="0"/>
    <w:qFormat/>
    <w:tblPr/>
  </w:style>
  <w:style w:type="table" w:styleId="906" w:customStyle="1">
    <w:name w:val="Grid Table 2 - Accent 3"/>
    <w:basedOn w:val="833"/>
    <w:uiPriority w:val="0"/>
    <w:qFormat/>
    <w:tblPr/>
  </w:style>
  <w:style w:type="table" w:styleId="907" w:customStyle="1">
    <w:name w:val="Grid Table 2 - Accent 4"/>
    <w:basedOn w:val="833"/>
    <w:uiPriority w:val="0"/>
    <w:qFormat/>
    <w:tblPr/>
  </w:style>
  <w:style w:type="table" w:styleId="908" w:customStyle="1">
    <w:name w:val="Grid Table 2 - Accent 5"/>
    <w:basedOn w:val="833"/>
    <w:uiPriority w:val="0"/>
    <w:qFormat/>
    <w:tblPr/>
  </w:style>
  <w:style w:type="table" w:styleId="909" w:customStyle="1">
    <w:name w:val="Grid Table 2 - Accent 6"/>
    <w:basedOn w:val="833"/>
    <w:uiPriority w:val="0"/>
    <w:qFormat/>
    <w:tblPr/>
  </w:style>
  <w:style w:type="table" w:styleId="910" w:customStyle="1">
    <w:name w:val="网格表 31"/>
    <w:basedOn w:val="833"/>
    <w:uiPriority w:val="0"/>
    <w:qFormat/>
    <w:tblPr/>
  </w:style>
  <w:style w:type="table" w:styleId="911" w:customStyle="1">
    <w:name w:val="Grid Table 3 - Accent 1"/>
    <w:basedOn w:val="833"/>
    <w:uiPriority w:val="0"/>
    <w:qFormat/>
    <w:tblPr/>
  </w:style>
  <w:style w:type="table" w:styleId="912" w:customStyle="1">
    <w:name w:val="Grid Table 3 - Accent 2"/>
    <w:basedOn w:val="833"/>
    <w:uiPriority w:val="0"/>
    <w:qFormat/>
    <w:tblPr/>
  </w:style>
  <w:style w:type="table" w:styleId="913" w:customStyle="1">
    <w:name w:val="Grid Table 3 - Accent 3"/>
    <w:basedOn w:val="833"/>
    <w:uiPriority w:val="0"/>
    <w:qFormat/>
    <w:tblPr/>
  </w:style>
  <w:style w:type="table" w:styleId="914" w:customStyle="1">
    <w:name w:val="Grid Table 3 - Accent 4"/>
    <w:basedOn w:val="833"/>
    <w:uiPriority w:val="0"/>
    <w:qFormat/>
    <w:tblPr/>
  </w:style>
  <w:style w:type="table" w:styleId="915" w:customStyle="1">
    <w:name w:val="Grid Table 3 - Accent 5"/>
    <w:basedOn w:val="833"/>
    <w:uiPriority w:val="0"/>
    <w:qFormat/>
    <w:tblPr/>
  </w:style>
  <w:style w:type="table" w:styleId="916" w:customStyle="1">
    <w:name w:val="Grid Table 3 - Accent 6"/>
    <w:basedOn w:val="833"/>
    <w:uiPriority w:val="0"/>
    <w:qFormat/>
    <w:tblPr/>
  </w:style>
  <w:style w:type="table" w:styleId="917" w:customStyle="1">
    <w:name w:val="网格表 41"/>
    <w:basedOn w:val="833"/>
    <w:uiPriority w:val="0"/>
    <w:qFormat/>
    <w:tblPr/>
  </w:style>
  <w:style w:type="table" w:styleId="918" w:customStyle="1">
    <w:name w:val="Grid Table 4 - Accent 1"/>
    <w:basedOn w:val="833"/>
    <w:uiPriority w:val="0"/>
    <w:qFormat/>
    <w:tblPr/>
  </w:style>
  <w:style w:type="table" w:styleId="919" w:customStyle="1">
    <w:name w:val="Grid Table 4 - Accent 2"/>
    <w:basedOn w:val="833"/>
    <w:uiPriority w:val="0"/>
    <w:qFormat/>
    <w:tblPr/>
  </w:style>
  <w:style w:type="table" w:styleId="920" w:customStyle="1">
    <w:name w:val="Grid Table 4 - Accent 3"/>
    <w:basedOn w:val="833"/>
    <w:uiPriority w:val="0"/>
    <w:qFormat/>
    <w:tblPr/>
  </w:style>
  <w:style w:type="table" w:styleId="921" w:customStyle="1">
    <w:name w:val="Grid Table 4 - Accent 4"/>
    <w:basedOn w:val="833"/>
    <w:uiPriority w:val="0"/>
    <w:qFormat/>
    <w:tblPr/>
  </w:style>
  <w:style w:type="table" w:styleId="922" w:customStyle="1">
    <w:name w:val="Grid Table 4 - Accent 5"/>
    <w:basedOn w:val="833"/>
    <w:uiPriority w:val="0"/>
    <w:qFormat/>
    <w:tblPr/>
  </w:style>
  <w:style w:type="table" w:styleId="923" w:customStyle="1">
    <w:name w:val="Grid Table 4 - Accent 6"/>
    <w:basedOn w:val="833"/>
    <w:uiPriority w:val="0"/>
    <w:qFormat/>
    <w:tblPr/>
  </w:style>
  <w:style w:type="table" w:styleId="924" w:customStyle="1">
    <w:name w:val="网格表 5 深色1"/>
    <w:basedOn w:val="833"/>
    <w:uiPriority w:val="0"/>
    <w:qFormat/>
    <w:tblPr/>
  </w:style>
  <w:style w:type="table" w:styleId="925" w:customStyle="1">
    <w:name w:val="Grid Table 5 Dark- Accent 1"/>
    <w:basedOn w:val="833"/>
    <w:uiPriority w:val="0"/>
    <w:qFormat/>
    <w:tblPr/>
  </w:style>
  <w:style w:type="table" w:styleId="926" w:customStyle="1">
    <w:name w:val="Grid Table 5 Dark - Accent 2"/>
    <w:basedOn w:val="833"/>
    <w:uiPriority w:val="0"/>
    <w:qFormat/>
    <w:tblPr/>
  </w:style>
  <w:style w:type="table" w:styleId="927" w:customStyle="1">
    <w:name w:val="Grid Table 5 Dark - Accent 3"/>
    <w:basedOn w:val="833"/>
    <w:uiPriority w:val="0"/>
    <w:qFormat/>
    <w:tblPr/>
  </w:style>
  <w:style w:type="table" w:styleId="928" w:customStyle="1">
    <w:name w:val="Grid Table 5 Dark- Accent 4"/>
    <w:basedOn w:val="833"/>
    <w:uiPriority w:val="0"/>
    <w:qFormat/>
    <w:tblPr/>
  </w:style>
  <w:style w:type="table" w:styleId="929" w:customStyle="1">
    <w:name w:val="Grid Table 5 Dark - Accent 5"/>
    <w:basedOn w:val="833"/>
    <w:uiPriority w:val="0"/>
    <w:qFormat/>
    <w:tblPr/>
  </w:style>
  <w:style w:type="table" w:styleId="930" w:customStyle="1">
    <w:name w:val="Grid Table 5 Dark - Accent 6"/>
    <w:basedOn w:val="833"/>
    <w:uiPriority w:val="0"/>
    <w:qFormat/>
    <w:tblPr/>
  </w:style>
  <w:style w:type="table" w:styleId="931" w:customStyle="1">
    <w:name w:val="网格表 6 彩色1"/>
    <w:basedOn w:val="833"/>
    <w:uiPriority w:val="0"/>
    <w:qFormat/>
    <w:tblPr/>
  </w:style>
  <w:style w:type="table" w:styleId="932" w:customStyle="1">
    <w:name w:val="Grid Table 6 Colorful - Accent 1"/>
    <w:basedOn w:val="833"/>
    <w:uiPriority w:val="0"/>
    <w:qFormat/>
    <w:tblPr/>
  </w:style>
  <w:style w:type="table" w:styleId="933" w:customStyle="1">
    <w:name w:val="Grid Table 6 Colorful - Accent 2"/>
    <w:basedOn w:val="833"/>
    <w:uiPriority w:val="0"/>
    <w:qFormat/>
    <w:tblPr/>
  </w:style>
  <w:style w:type="table" w:styleId="934" w:customStyle="1">
    <w:name w:val="Grid Table 6 Colorful - Accent 3"/>
    <w:basedOn w:val="833"/>
    <w:uiPriority w:val="0"/>
    <w:qFormat/>
    <w:tblPr/>
  </w:style>
  <w:style w:type="table" w:styleId="935" w:customStyle="1">
    <w:name w:val="Grid Table 6 Colorful - Accent 4"/>
    <w:basedOn w:val="833"/>
    <w:uiPriority w:val="0"/>
    <w:qFormat/>
    <w:tblPr/>
  </w:style>
  <w:style w:type="table" w:styleId="936" w:customStyle="1">
    <w:name w:val="Grid Table 6 Colorful - Accent 5"/>
    <w:basedOn w:val="833"/>
    <w:uiPriority w:val="0"/>
    <w:qFormat/>
    <w:tblPr/>
  </w:style>
  <w:style w:type="table" w:styleId="937" w:customStyle="1">
    <w:name w:val="Grid Table 6 Colorful - Accent 6"/>
    <w:basedOn w:val="833"/>
    <w:uiPriority w:val="0"/>
    <w:qFormat/>
    <w:tblPr/>
  </w:style>
  <w:style w:type="table" w:styleId="938" w:customStyle="1">
    <w:name w:val="网格表 7 彩色1"/>
    <w:basedOn w:val="833"/>
    <w:uiPriority w:val="0"/>
    <w:qFormat/>
    <w:tblPr/>
  </w:style>
  <w:style w:type="table" w:styleId="939" w:customStyle="1">
    <w:name w:val="Grid Table 7 Colorful - Accent 1"/>
    <w:basedOn w:val="833"/>
    <w:uiPriority w:val="0"/>
    <w:qFormat/>
    <w:tblPr/>
  </w:style>
  <w:style w:type="table" w:styleId="940" w:customStyle="1">
    <w:name w:val="Grid Table 7 Colorful - Accent 2"/>
    <w:basedOn w:val="833"/>
    <w:uiPriority w:val="0"/>
    <w:qFormat/>
    <w:tblPr/>
  </w:style>
  <w:style w:type="table" w:styleId="941" w:customStyle="1">
    <w:name w:val="Grid Table 7 Colorful - Accent 3"/>
    <w:basedOn w:val="833"/>
    <w:uiPriority w:val="0"/>
    <w:qFormat/>
    <w:tblPr/>
  </w:style>
  <w:style w:type="table" w:styleId="942" w:customStyle="1">
    <w:name w:val="Grid Table 7 Colorful - Accent 4"/>
    <w:basedOn w:val="833"/>
    <w:uiPriority w:val="0"/>
    <w:qFormat/>
    <w:tblPr/>
  </w:style>
  <w:style w:type="table" w:styleId="943" w:customStyle="1">
    <w:name w:val="Grid Table 7 Colorful - Accent 5"/>
    <w:basedOn w:val="833"/>
    <w:uiPriority w:val="0"/>
    <w:qFormat/>
    <w:tblPr/>
  </w:style>
  <w:style w:type="table" w:styleId="944" w:customStyle="1">
    <w:name w:val="Grid Table 7 Colorful - Accent 6"/>
    <w:basedOn w:val="833"/>
    <w:uiPriority w:val="0"/>
    <w:qFormat/>
    <w:tblPr/>
  </w:style>
  <w:style w:type="table" w:styleId="945" w:customStyle="1">
    <w:name w:val="清单表 1 浅色1"/>
    <w:basedOn w:val="833"/>
    <w:uiPriority w:val="0"/>
    <w:qFormat/>
    <w:tblPr/>
  </w:style>
  <w:style w:type="table" w:styleId="946" w:customStyle="1">
    <w:name w:val="List Table 1 Light - Accent 1"/>
    <w:basedOn w:val="833"/>
    <w:uiPriority w:val="0"/>
    <w:qFormat/>
    <w:tblPr/>
  </w:style>
  <w:style w:type="table" w:styleId="947" w:customStyle="1">
    <w:name w:val="List Table 1 Light - Accent 2"/>
    <w:basedOn w:val="833"/>
    <w:uiPriority w:val="0"/>
    <w:qFormat/>
    <w:tblPr/>
  </w:style>
  <w:style w:type="table" w:styleId="948" w:customStyle="1">
    <w:name w:val="List Table 1 Light - Accent 3"/>
    <w:basedOn w:val="833"/>
    <w:uiPriority w:val="0"/>
    <w:qFormat/>
    <w:tblPr/>
  </w:style>
  <w:style w:type="table" w:styleId="949" w:customStyle="1">
    <w:name w:val="List Table 1 Light - Accent 4"/>
    <w:basedOn w:val="833"/>
    <w:uiPriority w:val="0"/>
    <w:qFormat/>
    <w:tblPr/>
  </w:style>
  <w:style w:type="table" w:styleId="950" w:customStyle="1">
    <w:name w:val="List Table 1 Light - Accent 5"/>
    <w:basedOn w:val="833"/>
    <w:uiPriority w:val="0"/>
    <w:qFormat/>
    <w:tblPr/>
  </w:style>
  <w:style w:type="table" w:styleId="951" w:customStyle="1">
    <w:name w:val="List Table 1 Light - Accent 6"/>
    <w:basedOn w:val="833"/>
    <w:uiPriority w:val="0"/>
    <w:qFormat/>
    <w:tblPr/>
  </w:style>
  <w:style w:type="table" w:styleId="952" w:customStyle="1">
    <w:name w:val="清单表 21"/>
    <w:basedOn w:val="833"/>
    <w:uiPriority w:val="0"/>
    <w:qFormat/>
    <w:tblPr/>
  </w:style>
  <w:style w:type="table" w:styleId="953" w:customStyle="1">
    <w:name w:val="List Table 2 - Accent 1"/>
    <w:basedOn w:val="833"/>
    <w:uiPriority w:val="0"/>
    <w:qFormat/>
    <w:tblPr/>
  </w:style>
  <w:style w:type="table" w:styleId="954" w:customStyle="1">
    <w:name w:val="List Table 2 - Accent 2"/>
    <w:basedOn w:val="833"/>
    <w:uiPriority w:val="0"/>
    <w:qFormat/>
    <w:tblPr/>
  </w:style>
  <w:style w:type="table" w:styleId="955" w:customStyle="1">
    <w:name w:val="List Table 2 - Accent 3"/>
    <w:basedOn w:val="833"/>
    <w:uiPriority w:val="0"/>
    <w:qFormat/>
    <w:tblPr/>
  </w:style>
  <w:style w:type="table" w:styleId="956" w:customStyle="1">
    <w:name w:val="List Table 2 - Accent 4"/>
    <w:basedOn w:val="833"/>
    <w:uiPriority w:val="0"/>
    <w:qFormat/>
    <w:tblPr/>
  </w:style>
  <w:style w:type="table" w:styleId="957" w:customStyle="1">
    <w:name w:val="List Table 2 - Accent 5"/>
    <w:basedOn w:val="833"/>
    <w:uiPriority w:val="0"/>
    <w:qFormat/>
    <w:tblPr/>
  </w:style>
  <w:style w:type="table" w:styleId="958" w:customStyle="1">
    <w:name w:val="List Table 2 - Accent 6"/>
    <w:basedOn w:val="833"/>
    <w:uiPriority w:val="0"/>
    <w:qFormat/>
    <w:tblPr/>
  </w:style>
  <w:style w:type="table" w:styleId="959" w:customStyle="1">
    <w:name w:val="清单表 31"/>
    <w:basedOn w:val="833"/>
    <w:uiPriority w:val="0"/>
    <w:qFormat/>
    <w:tblPr/>
  </w:style>
  <w:style w:type="table" w:styleId="960" w:customStyle="1">
    <w:name w:val="List Table 3 - Accent 1"/>
    <w:basedOn w:val="833"/>
    <w:uiPriority w:val="0"/>
    <w:qFormat/>
    <w:tblPr/>
  </w:style>
  <w:style w:type="table" w:styleId="961" w:customStyle="1">
    <w:name w:val="List Table 3 - Accent 2"/>
    <w:basedOn w:val="833"/>
    <w:uiPriority w:val="0"/>
    <w:qFormat/>
    <w:tblPr/>
  </w:style>
  <w:style w:type="table" w:styleId="962" w:customStyle="1">
    <w:name w:val="List Table 3 - Accent 3"/>
    <w:basedOn w:val="833"/>
    <w:uiPriority w:val="0"/>
    <w:qFormat/>
    <w:tblPr/>
  </w:style>
  <w:style w:type="table" w:styleId="963" w:customStyle="1">
    <w:name w:val="List Table 3 - Accent 4"/>
    <w:basedOn w:val="833"/>
    <w:uiPriority w:val="0"/>
    <w:qFormat/>
    <w:tblPr/>
  </w:style>
  <w:style w:type="table" w:styleId="964" w:customStyle="1">
    <w:name w:val="List Table 3 - Accent 5"/>
    <w:basedOn w:val="833"/>
    <w:uiPriority w:val="0"/>
    <w:qFormat/>
    <w:tblPr/>
  </w:style>
  <w:style w:type="table" w:styleId="965" w:customStyle="1">
    <w:name w:val="List Table 3 - Accent 6"/>
    <w:basedOn w:val="833"/>
    <w:uiPriority w:val="0"/>
    <w:qFormat/>
    <w:tblPr/>
  </w:style>
  <w:style w:type="table" w:styleId="966" w:customStyle="1">
    <w:name w:val="清单表 41"/>
    <w:basedOn w:val="833"/>
    <w:uiPriority w:val="0"/>
    <w:qFormat/>
    <w:tblPr/>
  </w:style>
  <w:style w:type="table" w:styleId="967" w:customStyle="1">
    <w:name w:val="List Table 4 - Accent 1"/>
    <w:basedOn w:val="833"/>
    <w:uiPriority w:val="0"/>
    <w:qFormat/>
    <w:tblPr/>
  </w:style>
  <w:style w:type="table" w:styleId="968" w:customStyle="1">
    <w:name w:val="List Table 4 - Accent 2"/>
    <w:basedOn w:val="833"/>
    <w:uiPriority w:val="0"/>
    <w:qFormat/>
    <w:tblPr/>
  </w:style>
  <w:style w:type="table" w:styleId="969" w:customStyle="1">
    <w:name w:val="List Table 4 - Accent 3"/>
    <w:basedOn w:val="833"/>
    <w:uiPriority w:val="0"/>
    <w:qFormat/>
    <w:tblPr/>
  </w:style>
  <w:style w:type="table" w:styleId="970" w:customStyle="1">
    <w:name w:val="List Table 4 - Accent 4"/>
    <w:basedOn w:val="833"/>
    <w:uiPriority w:val="0"/>
    <w:qFormat/>
    <w:tblPr/>
  </w:style>
  <w:style w:type="table" w:styleId="971" w:customStyle="1">
    <w:name w:val="List Table 4 - Accent 5"/>
    <w:basedOn w:val="833"/>
    <w:uiPriority w:val="0"/>
    <w:qFormat/>
    <w:tblPr/>
  </w:style>
  <w:style w:type="table" w:styleId="972" w:customStyle="1">
    <w:name w:val="List Table 4 - Accent 6"/>
    <w:basedOn w:val="833"/>
    <w:uiPriority w:val="0"/>
    <w:qFormat/>
    <w:tblPr/>
  </w:style>
  <w:style w:type="table" w:styleId="973" w:customStyle="1">
    <w:name w:val="清单表 5 深色1"/>
    <w:basedOn w:val="833"/>
    <w:uiPriority w:val="0"/>
    <w:qFormat/>
    <w:tblPr/>
  </w:style>
  <w:style w:type="table" w:styleId="974" w:customStyle="1">
    <w:name w:val="List Table 5 Dark - Accent 1"/>
    <w:basedOn w:val="833"/>
    <w:uiPriority w:val="0"/>
    <w:qFormat/>
    <w:tblPr/>
  </w:style>
  <w:style w:type="table" w:styleId="975" w:customStyle="1">
    <w:name w:val="List Table 5 Dark - Accent 2"/>
    <w:basedOn w:val="833"/>
    <w:uiPriority w:val="0"/>
    <w:qFormat/>
    <w:tblPr/>
  </w:style>
  <w:style w:type="table" w:styleId="976" w:customStyle="1">
    <w:name w:val="List Table 5 Dark - Accent 3"/>
    <w:basedOn w:val="833"/>
    <w:uiPriority w:val="0"/>
    <w:qFormat/>
    <w:tblPr/>
  </w:style>
  <w:style w:type="table" w:styleId="977" w:customStyle="1">
    <w:name w:val="List Table 5 Dark - Accent 4"/>
    <w:basedOn w:val="833"/>
    <w:uiPriority w:val="0"/>
    <w:qFormat/>
    <w:tblPr/>
  </w:style>
  <w:style w:type="table" w:styleId="978" w:customStyle="1">
    <w:name w:val="List Table 5 Dark - Accent 5"/>
    <w:basedOn w:val="833"/>
    <w:uiPriority w:val="0"/>
    <w:qFormat/>
    <w:tblPr/>
  </w:style>
  <w:style w:type="table" w:styleId="979" w:customStyle="1">
    <w:name w:val="List Table 5 Dark - Accent 6"/>
    <w:basedOn w:val="833"/>
    <w:uiPriority w:val="0"/>
    <w:qFormat/>
    <w:tblPr/>
  </w:style>
  <w:style w:type="table" w:styleId="980" w:customStyle="1">
    <w:name w:val="清单表 6 彩色1"/>
    <w:basedOn w:val="833"/>
    <w:uiPriority w:val="0"/>
    <w:qFormat/>
    <w:tblPr/>
  </w:style>
  <w:style w:type="table" w:styleId="981" w:customStyle="1">
    <w:name w:val="List Table 6 Colorful - Accent 1"/>
    <w:basedOn w:val="833"/>
    <w:uiPriority w:val="0"/>
    <w:qFormat/>
    <w:tblPr/>
  </w:style>
  <w:style w:type="table" w:styleId="982" w:customStyle="1">
    <w:name w:val="List Table 6 Colorful - Accent 2"/>
    <w:basedOn w:val="833"/>
    <w:uiPriority w:val="0"/>
    <w:qFormat/>
    <w:tblPr/>
  </w:style>
  <w:style w:type="table" w:styleId="983" w:customStyle="1">
    <w:name w:val="List Table 6 Colorful - Accent 3"/>
    <w:basedOn w:val="833"/>
    <w:uiPriority w:val="0"/>
    <w:qFormat/>
    <w:tblPr/>
  </w:style>
  <w:style w:type="table" w:styleId="984" w:customStyle="1">
    <w:name w:val="List Table 6 Colorful - Accent 4"/>
    <w:basedOn w:val="833"/>
    <w:uiPriority w:val="0"/>
    <w:qFormat/>
    <w:tblPr/>
  </w:style>
  <w:style w:type="table" w:styleId="985" w:customStyle="1">
    <w:name w:val="List Table 6 Colorful - Accent 5"/>
    <w:basedOn w:val="833"/>
    <w:uiPriority w:val="0"/>
    <w:qFormat/>
    <w:tblPr/>
  </w:style>
  <w:style w:type="table" w:styleId="986" w:customStyle="1">
    <w:name w:val="List Table 6 Colorful - Accent 6"/>
    <w:basedOn w:val="833"/>
    <w:uiPriority w:val="0"/>
    <w:qFormat/>
    <w:tblPr/>
  </w:style>
  <w:style w:type="table" w:styleId="987" w:customStyle="1">
    <w:name w:val="清单表 7 彩色1"/>
    <w:basedOn w:val="833"/>
    <w:uiPriority w:val="0"/>
    <w:qFormat/>
    <w:tblPr/>
  </w:style>
  <w:style w:type="table" w:styleId="988" w:customStyle="1">
    <w:name w:val="List Table 7 Colorful - Accent 1"/>
    <w:basedOn w:val="833"/>
    <w:uiPriority w:val="0"/>
    <w:qFormat/>
    <w:tblPr/>
  </w:style>
  <w:style w:type="table" w:styleId="989" w:customStyle="1">
    <w:name w:val="List Table 7 Colorful - Accent 2"/>
    <w:basedOn w:val="833"/>
    <w:uiPriority w:val="0"/>
    <w:qFormat/>
    <w:tblPr/>
  </w:style>
  <w:style w:type="table" w:styleId="990" w:customStyle="1">
    <w:name w:val="List Table 7 Colorful - Accent 3"/>
    <w:basedOn w:val="833"/>
    <w:uiPriority w:val="0"/>
    <w:qFormat/>
    <w:tblPr/>
  </w:style>
  <w:style w:type="table" w:styleId="991" w:customStyle="1">
    <w:name w:val="List Table 7 Colorful - Accent 4"/>
    <w:basedOn w:val="833"/>
    <w:uiPriority w:val="0"/>
    <w:qFormat/>
    <w:tblPr/>
  </w:style>
  <w:style w:type="table" w:styleId="992" w:customStyle="1">
    <w:name w:val="List Table 7 Colorful - Accent 5"/>
    <w:basedOn w:val="833"/>
    <w:uiPriority w:val="0"/>
    <w:qFormat/>
    <w:tblPr/>
  </w:style>
  <w:style w:type="table" w:styleId="993" w:customStyle="1">
    <w:name w:val="List Table 7 Colorful - Accent 6"/>
    <w:basedOn w:val="833"/>
    <w:uiPriority w:val="0"/>
    <w:qFormat/>
    <w:tblPr/>
  </w:style>
  <w:style w:type="table" w:styleId="994" w:customStyle="1">
    <w:name w:val="Lined - Accent"/>
    <w:basedOn w:val="833"/>
    <w:uiPriority w:val="0"/>
    <w:qFormat/>
    <w:rPr>
      <w:color w:val="404040"/>
    </w:rPr>
    <w:tblPr/>
  </w:style>
  <w:style w:type="table" w:styleId="995" w:customStyle="1">
    <w:name w:val="Lined - Accent 1"/>
    <w:basedOn w:val="833"/>
    <w:uiPriority w:val="0"/>
    <w:qFormat/>
    <w:rPr>
      <w:color w:val="404040"/>
    </w:rPr>
    <w:tblPr/>
  </w:style>
  <w:style w:type="table" w:styleId="996" w:customStyle="1">
    <w:name w:val="Lined - Accent 2"/>
    <w:basedOn w:val="833"/>
    <w:uiPriority w:val="0"/>
    <w:qFormat/>
    <w:rPr>
      <w:color w:val="404040"/>
    </w:rPr>
    <w:tblPr/>
  </w:style>
  <w:style w:type="table" w:styleId="997" w:customStyle="1">
    <w:name w:val="Lined - Accent 3"/>
    <w:basedOn w:val="833"/>
    <w:uiPriority w:val="0"/>
    <w:qFormat/>
    <w:rPr>
      <w:color w:val="404040"/>
    </w:rPr>
    <w:tblPr/>
  </w:style>
  <w:style w:type="table" w:styleId="998" w:customStyle="1">
    <w:name w:val="Lined - Accent 4"/>
    <w:basedOn w:val="833"/>
    <w:uiPriority w:val="0"/>
    <w:qFormat/>
    <w:rPr>
      <w:color w:val="404040"/>
    </w:rPr>
    <w:tblPr/>
  </w:style>
  <w:style w:type="table" w:styleId="999" w:customStyle="1">
    <w:name w:val="Lined - Accent 5"/>
    <w:basedOn w:val="833"/>
    <w:uiPriority w:val="0"/>
    <w:qFormat/>
    <w:rPr>
      <w:color w:val="404040"/>
    </w:rPr>
    <w:tblPr/>
  </w:style>
  <w:style w:type="table" w:styleId="1000" w:customStyle="1">
    <w:name w:val="Lined - Accent 6"/>
    <w:basedOn w:val="833"/>
    <w:uiPriority w:val="0"/>
    <w:qFormat/>
    <w:rPr>
      <w:color w:val="404040"/>
    </w:rPr>
    <w:tblPr/>
  </w:style>
  <w:style w:type="table" w:styleId="1001" w:customStyle="1">
    <w:name w:val="Bordered &amp; Lined - Accent"/>
    <w:basedOn w:val="833"/>
    <w:uiPriority w:val="0"/>
    <w:qFormat/>
    <w:rPr>
      <w:color w:val="404040"/>
    </w:rPr>
    <w:tblPr/>
  </w:style>
  <w:style w:type="table" w:styleId="1002" w:customStyle="1">
    <w:name w:val="Bordered &amp; Lined - Accent 1"/>
    <w:basedOn w:val="833"/>
    <w:uiPriority w:val="0"/>
    <w:qFormat/>
    <w:rPr>
      <w:color w:val="404040"/>
    </w:rPr>
    <w:tblPr/>
  </w:style>
  <w:style w:type="table" w:styleId="1003" w:customStyle="1">
    <w:name w:val="Bordered &amp; Lined - Accent 2"/>
    <w:basedOn w:val="833"/>
    <w:uiPriority w:val="0"/>
    <w:qFormat/>
    <w:rPr>
      <w:color w:val="404040"/>
    </w:rPr>
    <w:tblPr/>
  </w:style>
  <w:style w:type="table" w:styleId="1004" w:customStyle="1">
    <w:name w:val="Bordered &amp; Lined - Accent 3"/>
    <w:basedOn w:val="833"/>
    <w:uiPriority w:val="0"/>
    <w:qFormat/>
    <w:rPr>
      <w:color w:val="404040"/>
    </w:rPr>
    <w:tblPr/>
  </w:style>
  <w:style w:type="table" w:styleId="1005" w:customStyle="1">
    <w:name w:val="Bordered &amp; Lined - Accent 4"/>
    <w:basedOn w:val="833"/>
    <w:uiPriority w:val="0"/>
    <w:qFormat/>
    <w:rPr>
      <w:color w:val="404040"/>
    </w:rPr>
    <w:tblPr/>
  </w:style>
  <w:style w:type="table" w:styleId="1006" w:customStyle="1">
    <w:name w:val="Bordered &amp; Lined - Accent 5"/>
    <w:basedOn w:val="833"/>
    <w:uiPriority w:val="0"/>
    <w:qFormat/>
    <w:rPr>
      <w:color w:val="404040"/>
    </w:rPr>
    <w:tblPr/>
  </w:style>
  <w:style w:type="table" w:styleId="1007" w:customStyle="1">
    <w:name w:val="Bordered &amp; Lined - Accent 6"/>
    <w:basedOn w:val="833"/>
    <w:uiPriority w:val="0"/>
    <w:qFormat/>
    <w:rPr>
      <w:color w:val="404040"/>
    </w:rPr>
    <w:tblPr/>
  </w:style>
  <w:style w:type="table" w:styleId="1008" w:customStyle="1">
    <w:name w:val="Bordered"/>
    <w:basedOn w:val="833"/>
    <w:uiPriority w:val="0"/>
    <w:qFormat/>
    <w:tblPr/>
  </w:style>
  <w:style w:type="table" w:styleId="1009" w:customStyle="1">
    <w:name w:val="Bordered - Accent 1"/>
    <w:basedOn w:val="833"/>
    <w:uiPriority w:val="0"/>
    <w:qFormat/>
    <w:tblPr/>
  </w:style>
  <w:style w:type="table" w:styleId="1010" w:customStyle="1">
    <w:name w:val="Bordered - Accent 2"/>
    <w:basedOn w:val="833"/>
    <w:uiPriority w:val="0"/>
    <w:qFormat/>
    <w:tblPr/>
  </w:style>
  <w:style w:type="table" w:styleId="1011" w:customStyle="1">
    <w:name w:val="Bordered - Accent 3"/>
    <w:basedOn w:val="833"/>
    <w:uiPriority w:val="0"/>
    <w:qFormat/>
    <w:tblPr/>
  </w:style>
  <w:style w:type="table" w:styleId="1012" w:customStyle="1">
    <w:name w:val="Bordered - Accent 4"/>
    <w:basedOn w:val="833"/>
    <w:uiPriority w:val="0"/>
    <w:qFormat/>
    <w:tblPr/>
  </w:style>
  <w:style w:type="table" w:styleId="1013" w:customStyle="1">
    <w:name w:val="Bordered - Accent 5"/>
    <w:basedOn w:val="833"/>
    <w:uiPriority w:val="0"/>
    <w:qFormat/>
    <w:tblPr/>
  </w:style>
  <w:style w:type="table" w:styleId="1014" w:customStyle="1">
    <w:name w:val="Bordered - Accent 6"/>
    <w:basedOn w:val="833"/>
    <w:uiPriority w:val="0"/>
    <w:qFormat/>
    <w:tblPr/>
  </w:style>
  <w:style w:type="character" w:styleId="1015" w:customStyle="1">
    <w:name w:val="Footnote Text Char"/>
    <w:link w:val="678"/>
    <w:uiPriority w:val="0"/>
    <w:qFormat/>
    <w:rPr>
      <w:sz w:val="18"/>
    </w:rPr>
  </w:style>
  <w:style w:type="paragraph" w:styleId="1016" w:customStyle="1">
    <w:name w:val="TOC 标题1"/>
    <w:uiPriority w:val="0"/>
    <w:qFormat/>
    <w:rPr>
      <w:rFonts w:hint="default" w:ascii="Times New Roman" w:hAnsi="Times New Roman" w:eastAsia="宋体" w:cs="Times New Roman"/>
      <w:lang w:val="en-US" w:eastAsia="zh-CN" w:bidi="ar-SA"/>
    </w:rPr>
  </w:style>
  <w:style w:type="paragraph" w:styleId="1017" w:customStyle="1">
    <w:name w:val="一级条标题"/>
    <w:basedOn w:val="1018"/>
    <w:next w:val="10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8" w:customStyle="1">
    <w:name w:val="章标题"/>
    <w:next w:val="7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9" w:customStyle="1">
    <w:name w:val="段"/>
    <w:basedOn w:val="752"/>
    <w:next w:val="748"/>
    <w:uiPriority w:val="0"/>
    <w:qFormat/>
    <w:pPr>
      <w:ind w:firstLine="200"/>
      <w:widowControl/>
    </w:pPr>
    <w:rPr>
      <w:sz w:val="20"/>
    </w:rPr>
  </w:style>
  <w:style w:type="paragraph" w:styleId="1020" w:customStyle="1">
    <w:name w:val="索引 41"/>
    <w:basedOn w:val="752"/>
    <w:next w:val="752"/>
    <w:uiPriority w:val="0"/>
    <w:qFormat/>
    <w:pPr>
      <w:ind w:left="600"/>
    </w:pPr>
    <w:rPr>
      <w:rFonts w:ascii="Calibri"/>
      <w:sz w:val="22"/>
      <w:szCs w:val="22"/>
    </w:rPr>
  </w:style>
  <w:style w:type="paragraph" w:styleId="1021" w:customStyle="1">
    <w:name w:val="正文文本1"/>
    <w:basedOn w:val="752"/>
    <w:next w:val="748"/>
    <w:uiPriority w:val="0"/>
    <w:qFormat/>
    <w:pPr>
      <w:spacing w:after="120"/>
    </w:pPr>
    <w:rPr>
      <w:lang w:eastAsia="en-US"/>
    </w:rPr>
  </w:style>
  <w:style w:type="paragraph" w:styleId="1022" w:customStyle="1">
    <w:name w:val="p0"/>
    <w:basedOn w:val="746"/>
    <w:uiPriority w:val="0"/>
    <w:qFormat/>
    <w:pPr>
      <w:widowControl/>
    </w:pPr>
    <w:rPr>
      <w:szCs w:val="21"/>
    </w:rPr>
  </w:style>
  <w:style w:type="paragraph" w:styleId="1023">
    <w:name w:val="List Paragraph"/>
    <w:basedOn w:val="746"/>
    <w:uiPriority w:val="0"/>
    <w:qFormat/>
    <w:pPr>
      <w:ind w:firstLine="420"/>
    </w:pPr>
  </w:style>
  <w:style w:type="paragraph" w:styleId="102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25" w:customStyle="1">
    <w:name w:val="179"/>
    <w:basedOn w:val="746"/>
    <w:uiPriority w:val="0"/>
    <w:qFormat/>
    <w:pPr>
      <w:ind w:firstLine="420"/>
      <w:jc w:val="left"/>
      <w:widowControl/>
    </w:pPr>
    <w:rPr>
      <w:rFonts w:ascii="宋体" w:hAnsi="宋体"/>
      <w:sz w:val="24"/>
    </w:rPr>
  </w:style>
  <w:style w:type="paragraph" w:styleId="102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7" w:customStyle="1">
    <w:name w:val="标准"/>
    <w:basedOn w:val="746"/>
    <w:uiPriority w:val="0"/>
    <w:qFormat/>
    <w:pPr>
      <w:ind w:firstLine="200"/>
      <w:spacing w:line="360" w:lineRule="auto"/>
    </w:pPr>
    <w:rPr>
      <w:sz w:val="20"/>
      <w:szCs w:val="20"/>
    </w:rPr>
  </w:style>
  <w:style w:type="paragraph" w:styleId="1028" w:customStyle="1">
    <w:name w:val="_Style 11"/>
    <w:basedOn w:val="746"/>
    <w:next w:val="1023"/>
    <w:uiPriority w:val="0"/>
    <w:qFormat/>
    <w:pPr>
      <w:ind w:firstLine="420"/>
    </w:pPr>
    <w:rPr>
      <w:color w:val="000000"/>
      <w:szCs w:val="21"/>
    </w:rPr>
  </w:style>
  <w:style w:type="paragraph" w:styleId="1029" w:customStyle="1">
    <w:name w:val="BodyText1I21"/>
    <w:basedOn w:val="746"/>
    <w:uiPriority w:val="0"/>
    <w:qFormat/>
    <w:pPr>
      <w:ind w:firstLine="420"/>
      <w:spacing w:line="360" w:lineRule="auto"/>
      <w:widowControl/>
    </w:pPr>
    <w:rPr>
      <w:rFonts w:ascii="宋体" w:hAnsi="宋体"/>
      <w:sz w:val="20"/>
      <w:szCs w:val="20"/>
    </w:rPr>
  </w:style>
  <w:style w:type="paragraph" w:styleId="1030" w:customStyle="1">
    <w:name w:val="UserStyle_133"/>
    <w:basedOn w:val="746"/>
    <w:uiPriority w:val="0"/>
    <w:qFormat/>
    <w:pPr>
      <w:widowControl/>
    </w:pPr>
    <w:rPr>
      <w:rFonts w:ascii="Tahoma" w:hAnsi="Tahoma"/>
      <w:sz w:val="24"/>
    </w:rPr>
  </w:style>
  <w:style w:type="paragraph" w:styleId="1031" w:customStyle="1">
    <w:name w:val="AnnotationText1"/>
    <w:basedOn w:val="746"/>
    <w:link w:val="1032"/>
    <w:uiPriority w:val="0"/>
    <w:qFormat/>
    <w:pPr>
      <w:jc w:val="left"/>
      <w:widowControl/>
    </w:pPr>
  </w:style>
  <w:style w:type="character" w:styleId="1032" w:customStyle="1">
    <w:name w:val="UserStyle_12"/>
    <w:link w:val="1031"/>
    <w:uiPriority w:val="0"/>
    <w:qFormat/>
    <w:rPr>
      <w:rFonts w:ascii="Times New Roman" w:hAnsi="Times New Roman" w:eastAsia="宋体"/>
      <w:sz w:val="21"/>
      <w:szCs w:val="24"/>
    </w:rPr>
  </w:style>
  <w:style w:type="paragraph" w:styleId="1033"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34" w:customStyle="1">
    <w:name w:val="*正文-表格"/>
    <w:basedOn w:val="746"/>
    <w:uiPriority w:val="0"/>
    <w:qFormat/>
    <w:rPr>
      <w:sz w:val="24"/>
      <w:szCs w:val="20"/>
    </w:rPr>
  </w:style>
  <w:style w:type="paragraph" w:styleId="1035" w:customStyle="1">
    <w:name w:val="脚注文本1"/>
    <w:basedOn w:val="752"/>
    <w:next w:val="1036"/>
    <w:uiPriority w:val="0"/>
    <w:qFormat/>
    <w:rPr>
      <w:rFonts w:eastAsia="Times New Roman"/>
      <w:sz w:val="18"/>
      <w:szCs w:val="18"/>
    </w:rPr>
  </w:style>
  <w:style w:type="paragraph" w:styleId="1036" w:customStyle="1">
    <w:name w:val="索引 51"/>
    <w:basedOn w:val="752"/>
    <w:next w:val="752"/>
    <w:uiPriority w:val="0"/>
    <w:qFormat/>
    <w:pPr>
      <w:ind w:left="798"/>
    </w:pPr>
    <w:rPr>
      <w:rFonts w:ascii="Calibri"/>
    </w:rPr>
  </w:style>
  <w:style w:type="paragraph" w:styleId="1037" w:customStyle="1">
    <w:name w:val="Table Paragraph"/>
    <w:basedOn w:val="758"/>
    <w:uiPriority w:val="0"/>
    <w:qFormat/>
    <w:rPr>
      <w:rFonts w:ascii="宋体;SimSun" w:hAnsi="宋体;SimSun"/>
      <w:lang w:val="zh-CN" w:bidi="zh-CN"/>
    </w:rPr>
  </w:style>
  <w:style w:type="paragraph" w:styleId="1038" w:customStyle="1">
    <w:name w:val="目录 11"/>
    <w:basedOn w:val="753"/>
    <w:next w:val="753"/>
    <w:uiPriority w:val="0"/>
    <w:qFormat/>
    <w:pPr>
      <w:jc w:val="left"/>
      <w:spacing w:before="120" w:after="120"/>
    </w:pPr>
    <w:rPr>
      <w:rFonts w:ascii="Calibri" w:hAnsi="Calibri"/>
      <w:b/>
      <w:bCs/>
      <w:caps/>
      <w:sz w:val="20"/>
      <w:szCs w:val="20"/>
    </w:rPr>
  </w:style>
  <w:style w:type="paragraph" w:styleId="1039" w:customStyle="1">
    <w:name w:val="正文首行缩进11"/>
    <w:basedOn w:val="1040"/>
    <w:uiPriority w:val="0"/>
    <w:qFormat/>
    <w:pPr>
      <w:ind w:firstLine="420"/>
    </w:pPr>
    <w:rPr>
      <w:sz w:val="24"/>
    </w:rPr>
  </w:style>
  <w:style w:type="paragraph" w:styleId="1040" w:customStyle="1">
    <w:name w:val="正文文本11"/>
    <w:basedOn w:val="753"/>
    <w:next w:val="755"/>
    <w:uiPriority w:val="0"/>
    <w:qFormat/>
    <w:pPr>
      <w:spacing w:after="120"/>
    </w:pPr>
  </w:style>
  <w:style w:type="paragraph" w:styleId="1041" w:customStyle="1">
    <w:name w:val="正文文本缩进1"/>
    <w:basedOn w:val="755"/>
    <w:next w:val="1042"/>
    <w:uiPriority w:val="0"/>
    <w:qFormat/>
    <w:pPr>
      <w:ind w:left="420"/>
      <w:spacing w:after="120"/>
    </w:pPr>
  </w:style>
  <w:style w:type="paragraph" w:styleId="1042" w:customStyle="1">
    <w:name w:val="寄信人地址1"/>
    <w:basedOn w:val="755"/>
    <w:uiPriority w:val="0"/>
    <w:qFormat/>
    <w:pPr>
      <w:ind w:firstLine="200"/>
    </w:pPr>
    <w:rPr>
      <w:rFonts w:ascii="Arial" w:hAnsi="Arial" w:eastAsia="仿宋_GB2312"/>
    </w:rPr>
  </w:style>
  <w:style w:type="paragraph" w:styleId="1043" w:customStyle="1">
    <w:name w:val="_HT_正文"/>
    <w:basedOn w:val="748"/>
    <w:uiPriority w:val="0"/>
    <w:qFormat/>
    <w:pPr>
      <w:ind w:firstLine="200"/>
      <w:jc w:val="both"/>
      <w:spacing w:line="360" w:lineRule="auto"/>
    </w:pPr>
    <w:rPr>
      <w:sz w:val="24"/>
    </w:rPr>
  </w:style>
  <w:style w:type="paragraph" w:styleId="1044" w:customStyle="1">
    <w:name w:val="正文 A"/>
    <w:uiPriority w:val="0"/>
    <w:qFormat/>
    <w:pPr>
      <w:jc w:val="both"/>
      <w:widowControl w:val="off"/>
    </w:pPr>
    <w:rPr>
      <w:rFonts w:hint="default" w:ascii="Times New Roman" w:hAnsi="Arial Unicode MS" w:eastAsia="Arial Unicode MS" w:cs="Times New Roman"/>
      <w:color w:val="000000"/>
      <w:sz w:val="21"/>
      <w:szCs w:val="21"/>
      <w:lang w:val="en-US" w:eastAsia="zh-CN" w:bidi="ar-SA"/>
    </w:rPr>
  </w:style>
  <w:style w:type="paragraph" w:styleId="1045" w:customStyle="1">
    <w:name w:val="Body text|1"/>
    <w:basedOn w:val="678"/>
    <w:uiPriority w:val="0"/>
    <w:qFormat/>
    <w:pPr>
      <w:ind w:firstLine="400"/>
      <w:spacing w:line="412" w:lineRule="auto"/>
    </w:pPr>
    <w:rPr>
      <w:rFonts w:ascii="宋体" w:hAnsi="宋体"/>
      <w:color w:val="000000"/>
      <w:sz w:val="30"/>
      <w:szCs w:val="30"/>
    </w:rPr>
  </w:style>
  <w:style w:type="paragraph" w:styleId="1046" w:customStyle="1">
    <w:name w:val="msonormal"/>
    <w:basedOn w:val="678"/>
    <w:uiPriority w:val="0"/>
    <w:qFormat/>
    <w:pPr>
      <w:spacing w:before="100" w:beforeAutospacing="1" w:after="100" w:afterAutospacing="1"/>
    </w:pPr>
    <w:rPr>
      <w:rFonts w:ascii="宋体" w:hAnsi="宋体" w:cs="宋体"/>
      <w:sz w:val="24"/>
      <w:szCs w:val="24"/>
    </w:rPr>
  </w:style>
  <w:style w:type="paragraph" w:styleId="1047" w:customStyle="1">
    <w:name w:val="font5"/>
    <w:basedOn w:val="678"/>
    <w:uiPriority w:val="0"/>
    <w:qFormat/>
    <w:pPr>
      <w:spacing w:before="100" w:beforeAutospacing="1" w:after="100" w:afterAutospacing="1"/>
    </w:pPr>
    <w:rPr>
      <w:rFonts w:ascii="宋体" w:hAnsi="宋体" w:cs="宋体"/>
      <w:color w:val="000000"/>
      <w:sz w:val="22"/>
      <w:szCs w:val="22"/>
    </w:rPr>
  </w:style>
  <w:style w:type="paragraph" w:styleId="1048" w:customStyle="1">
    <w:name w:val="font6"/>
    <w:basedOn w:val="678"/>
    <w:uiPriority w:val="0"/>
    <w:qFormat/>
    <w:pPr>
      <w:spacing w:before="100" w:beforeAutospacing="1" w:after="100" w:afterAutospacing="1"/>
    </w:pPr>
    <w:rPr>
      <w:rFonts w:ascii="宋体" w:hAnsi="宋体" w:cs="宋体"/>
      <w:b/>
      <w:bCs/>
      <w:color w:val="000000"/>
      <w:sz w:val="22"/>
      <w:szCs w:val="22"/>
    </w:rPr>
  </w:style>
  <w:style w:type="paragraph" w:styleId="1049" w:customStyle="1">
    <w:name w:val="xl65"/>
    <w:basedOn w:val="67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0" w:customStyle="1">
    <w:name w:val="xl66"/>
    <w:basedOn w:val="678"/>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051" w:customStyle="1">
    <w:name w:val="xl67"/>
    <w:basedOn w:val="678"/>
    <w:uiPriority w:val="0"/>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052" w:customStyle="1">
    <w:name w:val="xl68"/>
    <w:basedOn w:val="678"/>
    <w:uiPriority w:val="0"/>
    <w:qFormat/>
    <w:pPr>
      <w:jc w:val="center"/>
      <w:spacing w:before="100" w:beforeAutospacing="1" w:after="100" w:afterAutospacing="1"/>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053" w:customStyle="1">
    <w:name w:val="xl69"/>
    <w:basedOn w:val="678"/>
    <w:uiPriority w:val="0"/>
    <w:qFormat/>
    <w:pPr>
      <w:jc w:val="center"/>
      <w:spacing w:before="100" w:beforeAutospacing="1" w:after="100" w:afterAutospacing="1"/>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054" w:customStyle="1">
    <w:name w:val="xl70"/>
    <w:basedOn w:val="678"/>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055" w:customStyle="1">
    <w:name w:val="xl71"/>
    <w:basedOn w:val="67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56" w:customStyle="1">
    <w:name w:val="xl72"/>
    <w:basedOn w:val="67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7" w:customStyle="1">
    <w:name w:val="xl73"/>
    <w:basedOn w:val="678"/>
    <w:uiPriority w:val="0"/>
    <w:qFormat/>
    <w:pPr>
      <w:jc w:val="center"/>
      <w:spacing w:before="100" w:beforeAutospacing="1" w:after="100" w:afterAutospacing="1"/>
      <w:pBdr>
        <w:right w:val="single" w:color="000000" w:sz="8" w:space="0"/>
      </w:pBdr>
    </w:pPr>
    <w:rPr>
      <w:rFonts w:ascii="宋体" w:hAnsi="宋体" w:cs="宋体"/>
      <w:color w:val="000000"/>
      <w:sz w:val="24"/>
      <w:szCs w:val="24"/>
    </w:rPr>
  </w:style>
  <w:style w:type="paragraph" w:styleId="1058" w:customStyle="1">
    <w:name w:val="xl74"/>
    <w:basedOn w:val="678"/>
    <w:uiPriority w:val="0"/>
    <w:qFormat/>
    <w:pPr>
      <w:jc w:val="center"/>
      <w:spacing w:before="100" w:beforeAutospacing="1" w:after="100" w:afterAutospacing="1"/>
      <w:pBdr>
        <w:left w:val="single" w:color="000000" w:sz="8" w:space="0"/>
        <w:bottom w:val="single" w:color="000000" w:sz="8" w:space="0"/>
      </w:pBdr>
    </w:pPr>
    <w:rPr>
      <w:rFonts w:ascii="宋体" w:hAnsi="宋体" w:cs="宋体"/>
      <w:color w:val="000000"/>
      <w:sz w:val="24"/>
      <w:szCs w:val="24"/>
    </w:rPr>
  </w:style>
  <w:style w:type="paragraph" w:styleId="1059" w:customStyle="1">
    <w:name w:val="xl75"/>
    <w:basedOn w:val="678"/>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060" w:customStyle="1">
    <w:name w:val="xl76"/>
    <w:basedOn w:val="678"/>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061" w:customStyle="1">
    <w:name w:val="索引 5111"/>
    <w:basedOn w:val="678"/>
    <w:next w:val="678"/>
    <w:uiPriority w:val="0"/>
    <w:qFormat/>
    <w:pPr>
      <w:ind w:left="798"/>
      <w:jc w:val="left"/>
    </w:pPr>
    <w:rPr>
      <w:rFonts w:ascii="Calibri" w:hAnsi="Calibri"/>
    </w:rPr>
  </w:style>
  <w:style w:type="numbering" w:styleId="96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落雪</dc:creator>
  <cp:lastModifiedBy>闫星星</cp:lastModifiedBy>
  <cp:revision>10</cp:revision>
  <dcterms:created xsi:type="dcterms:W3CDTF">2024-07-06T03:15:00Z</dcterms:created>
  <dcterms:modified xsi:type="dcterms:W3CDTF">2026-08-25T10:02:14Z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E36C32AD13DD4F6DB016C06AD54A363D_13</vt:lpwstr>
  </property>
  <property fmtid="{D5CDD505-2E9C-101B-9397-08002B2CF9AE}" pid="4" name="KSOTemplateDocerSaveRecord">
    <vt:lpwstr>eyJoZGlkIjoiZTJkZjQyYjI2ZWIyYTNlY2QwZWU0NjZjNWFkZWNlZDIiLCJ1c2VySWQiOiI0MDI0OTQyNzcifQ==</vt:lpwstr>
  </property>
</Properties>
</file>