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right"/>
        <w:pageBreakBefore w:val="0"/>
        <w:spacing w:line="560" w:lineRule="exact"/>
        <w:rPr>
          <w:rFonts w:hint="eastAsia" w:ascii="仿宋" w:hAnsi="仿宋" w:eastAsia="仿宋"/>
          <w:b/>
          <w:bCs/>
          <w:color w:val="000000"/>
          <w:spacing w:val="76"/>
          <w:sz w:val="32"/>
          <w:szCs w:val="32"/>
          <w:lang w:eastAsia="zh-CN"/>
        </w:rPr>
      </w:pPr>
      <w:r>
        <w:rPr>
          <w:rFonts w:hint="eastAsia" w:ascii="仿宋" w:hAnsi="仿宋" w:eastAsia="仿宋"/>
          <w:b/>
          <w:bCs/>
          <w:color w:val="000000"/>
          <w:spacing w:val="76"/>
          <w:sz w:val="32"/>
          <w:szCs w:val="32"/>
          <w:lang w:eastAsia="zh-CN"/>
        </w:rPr>
      </w:r>
      <w:r/>
    </w:p>
    <w:p>
      <w:pPr>
        <w:pStyle w:val="928"/>
        <w:jc w:val="right"/>
        <w:pageBreakBefore w:val="0"/>
        <w:spacing w:line="560" w:lineRule="exact"/>
        <w:rPr>
          <w:rFonts w:hint="eastAsia" w:ascii="仿宋" w:hAnsi="仿宋" w:eastAsia="仿宋"/>
          <w:b/>
          <w:bCs/>
          <w:color w:val="000000"/>
          <w:spacing w:val="76"/>
          <w:sz w:val="32"/>
          <w:szCs w:val="32"/>
          <w:lang w:eastAsia="zh-CN"/>
        </w:rPr>
      </w:pPr>
      <w:r>
        <w:rPr>
          <w:rFonts w:hint="eastAsia" w:ascii="仿宋" w:hAnsi="仿宋" w:eastAsia="仿宋"/>
          <w:b/>
          <w:bCs/>
          <w:color w:val="000000"/>
          <w:spacing w:val="76"/>
          <w:sz w:val="32"/>
          <w:szCs w:val="32"/>
          <w:lang w:eastAsia="zh-CN"/>
        </w:rPr>
        <w:t xml:space="preserve">贾汪区2026-2029年政策性农业保险承保机构遴选项目</w:t>
      </w:r>
      <w:r/>
    </w:p>
    <w:p>
      <w:pPr>
        <w:pStyle w:val="928"/>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28"/>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28"/>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28"/>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28"/>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t xml:space="preserve">招标文件</w:t>
      </w:r>
      <w:r/>
    </w:p>
    <w:p>
      <w:pPr>
        <w:pStyle w:val="928"/>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28"/>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28"/>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28"/>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28"/>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734"/>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34"/>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34"/>
        <w:ind w:firstLine="1285"/>
        <w:pageBreakBefore w:val="0"/>
        <w:spacing w:line="560" w:lineRule="exact"/>
        <w:rPr>
          <w:rFonts w:hint="eastAsia" w:ascii="仿宋" w:hAnsi="仿宋" w:eastAsia="仿宋"/>
          <w:b/>
          <w:sz w:val="32"/>
          <w:szCs w:val="32"/>
          <w:lang w:val="zh-CN" w:eastAsia="zh-CN"/>
        </w:rPr>
      </w:pPr>
      <w:r>
        <w:rPr>
          <w:rFonts w:hint="eastAsia" w:ascii="仿宋" w:hAnsi="仿宋" w:eastAsia="仿宋"/>
          <w:b/>
          <w:sz w:val="32"/>
          <w:szCs w:val="32"/>
          <w:lang w:val="zh-CN" w:eastAsia="zh-CN"/>
        </w:rPr>
        <w:t xml:space="preserve">项目编号：JSZC-320305-JWZX-G2026-0005</w:t>
      </w:r>
      <w:r/>
    </w:p>
    <w:p>
      <w:pPr>
        <w:pStyle w:val="734"/>
        <w:ind w:firstLine="1285"/>
        <w:pageBreakBefore w:val="0"/>
        <w:spacing w:line="560" w:lineRule="exact"/>
        <w:rPr>
          <w:rFonts w:hint="eastAsia" w:ascii="仿宋" w:hAnsi="仿宋" w:eastAsia="仿宋"/>
          <w:b/>
          <w:sz w:val="32"/>
          <w:szCs w:val="32"/>
          <w:lang w:val="zh-CN"/>
        </w:rPr>
      </w:pPr>
      <w:r>
        <w:rPr>
          <w:rFonts w:hint="eastAsia" w:ascii="仿宋" w:hAnsi="仿宋" w:eastAsia="仿宋"/>
          <w:b/>
          <w:sz w:val="32"/>
          <w:szCs w:val="32"/>
          <w:lang w:val="zh-CN"/>
        </w:rPr>
      </w:r>
      <w:r/>
    </w:p>
    <w:p>
      <w:pPr>
        <w:pStyle w:val="734"/>
        <w:ind w:firstLine="1285"/>
        <w:pageBreakBefore w:val="0"/>
        <w:spacing w:line="560" w:lineRule="exact"/>
        <w:rPr>
          <w:rFonts w:ascii="仿宋" w:hAnsi="仿宋" w:eastAsia="仿宋"/>
          <w:b/>
          <w:color w:val="000000"/>
          <w:sz w:val="32"/>
          <w:szCs w:val="32"/>
          <w:highlight w:val="yellow"/>
        </w:rPr>
      </w:pPr>
      <w:r>
        <w:rPr>
          <w:rFonts w:hint="eastAsia" w:ascii="仿宋" w:hAnsi="仿宋" w:eastAsia="仿宋"/>
          <w:b/>
          <w:sz w:val="32"/>
          <w:szCs w:val="32"/>
          <w:lang w:val="zh-CN"/>
        </w:rPr>
        <w:t xml:space="preserve">采 购 人：</w:t>
      </w:r>
      <w:r>
        <w:rPr>
          <w:rFonts w:hint="eastAsia" w:ascii="仿宋" w:hAnsi="仿宋" w:eastAsia="仿宋"/>
          <w:b/>
          <w:sz w:val="32"/>
          <w:szCs w:val="32"/>
          <w:lang w:val="zh-CN" w:eastAsia="zh-CN"/>
        </w:rPr>
        <w:t xml:space="preserve">贾汪区</w:t>
      </w:r>
      <w:r>
        <w:rPr>
          <w:rFonts w:hint="eastAsia" w:ascii="仿宋" w:hAnsi="仿宋" w:eastAsia="仿宋"/>
          <w:b/>
          <w:sz w:val="32"/>
          <w:szCs w:val="32"/>
          <w:lang w:val="zh-CN"/>
        </w:rPr>
        <w:t xml:space="preserve">财政局</w:t>
      </w:r>
      <w:r/>
    </w:p>
    <w:p>
      <w:pPr>
        <w:pStyle w:val="734"/>
        <w:jc w:val="center"/>
        <w:pageBreakBefore w:val="0"/>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734"/>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 采购代理机构：</w:t>
      </w:r>
      <w:r>
        <w:rPr>
          <w:rFonts w:hint="eastAsia" w:ascii="仿宋" w:hAnsi="仿宋" w:eastAsia="仿宋"/>
          <w:b/>
          <w:color w:val="000000"/>
          <w:sz w:val="32"/>
          <w:szCs w:val="32"/>
          <w:lang w:eastAsia="zh-CN"/>
        </w:rPr>
        <w:t xml:space="preserve">贾汪区</w:t>
      </w:r>
      <w:r>
        <w:rPr>
          <w:rFonts w:hint="eastAsia" w:ascii="仿宋" w:hAnsi="仿宋" w:eastAsia="仿宋"/>
          <w:b/>
          <w:color w:val="000000"/>
          <w:sz w:val="32"/>
          <w:szCs w:val="32"/>
        </w:rPr>
        <w:t xml:space="preserve">公共资源交易中心</w:t>
      </w:r>
      <w:r/>
    </w:p>
    <w:p>
      <w:pPr>
        <w:pStyle w:val="928"/>
        <w:pageBreakBefore w:val="0"/>
        <w:spacing w:line="560" w:lineRule="exact"/>
        <w:rPr>
          <w:rFonts w:ascii="仿宋" w:hAnsi="仿宋" w:eastAsia="仿宋"/>
          <w:b/>
          <w:bCs/>
          <w:color w:val="000000"/>
        </w:rPr>
      </w:pPr>
      <w:r>
        <w:rPr>
          <w:rFonts w:ascii="仿宋" w:hAnsi="仿宋" w:eastAsia="仿宋"/>
          <w:b/>
          <w:bCs/>
          <w:color w:val="000000"/>
        </w:rPr>
      </w:r>
      <w:r/>
    </w:p>
    <w:p>
      <w:pPr>
        <w:pStyle w:val="848"/>
        <w:ind w:firstLine="0"/>
        <w:jc w:val="center"/>
        <w:pageBreakBefore w:val="0"/>
        <w:spacing w:line="560" w:lineRule="exact"/>
        <w:rPr>
          <w:rFonts w:ascii="仿宋" w:hAnsi="仿宋" w:eastAsia="仿宋"/>
          <w:b/>
          <w:color w:val="000000"/>
          <w:sz w:val="44"/>
        </w:rPr>
      </w:pPr>
      <w:r>
        <w:rPr>
          <w:rFonts w:hint="eastAsia" w:ascii="仿宋" w:hAnsi="仿宋" w:eastAsia="仿宋"/>
          <w:b/>
          <w:color w:val="000000"/>
          <w:sz w:val="32"/>
          <w:szCs w:val="32"/>
        </w:rPr>
        <w:t xml:space="preserve">202</w:t>
      </w:r>
      <w:r>
        <w:rPr>
          <w:rFonts w:hint="eastAsia" w:ascii="仿宋" w:hAnsi="仿宋" w:eastAsia="仿宋"/>
          <w:b/>
          <w:color w:val="000000"/>
          <w:sz w:val="32"/>
          <w:szCs w:val="32"/>
          <w:lang w:val="en-US" w:eastAsia="zh-CN"/>
        </w:rPr>
        <w:t xml:space="preserve">6</w:t>
      </w:r>
      <w:r>
        <w:rPr>
          <w:rFonts w:hint="eastAsia" w:ascii="仿宋" w:hAnsi="仿宋" w:eastAsia="仿宋"/>
          <w:b/>
          <w:color w:val="000000"/>
          <w:sz w:val="32"/>
          <w:szCs w:val="32"/>
        </w:rPr>
        <w:t xml:space="preserve">年</w:t>
      </w:r>
      <w:r>
        <w:rPr>
          <w:rFonts w:hint="eastAsia" w:ascii="仿宋" w:hAnsi="仿宋" w:eastAsia="仿宋"/>
          <w:b/>
          <w:color w:val="000000"/>
          <w:sz w:val="32"/>
          <w:szCs w:val="32"/>
          <w:lang w:val="en-US" w:eastAsia="zh-CN"/>
        </w:rPr>
        <w:t xml:space="preserve">9</w:t>
      </w:r>
      <w:r>
        <w:rPr>
          <w:rFonts w:hint="eastAsia" w:ascii="仿宋" w:hAnsi="仿宋" w:eastAsia="仿宋"/>
          <w:b/>
          <w:color w:val="000000"/>
          <w:sz w:val="32"/>
          <w:szCs w:val="32"/>
        </w:rPr>
        <w:t xml:space="preserve">月</w:t>
      </w:r>
      <w:r/>
    </w:p>
    <w:p>
      <w:pPr>
        <w:pStyle w:val="848"/>
        <w:ind w:firstLine="0"/>
        <w:jc w:val="center"/>
        <w:pageBreakBefore w:val="0"/>
        <w:spacing w:line="560" w:lineRule="exact"/>
        <w:rPr>
          <w:rFonts w:ascii="仿宋" w:hAnsi="仿宋" w:eastAsia="仿宋"/>
          <w:b/>
          <w:color w:val="000000"/>
          <w:sz w:val="44"/>
        </w:rPr>
        <w:sectPr>
          <w:headerReference w:type="default" r:id="rId9"/>
          <w:footerReference w:type="even" r:id="rId10"/>
          <w:footnotePr/>
          <w:endnotePr/>
          <w:type w:val="nextPage"/>
          <w:pgSz w:w="11906" w:h="16838" w:orient="portrait"/>
          <w:pgMar w:top="1440" w:right="1800" w:bottom="1383" w:left="1800" w:header="851" w:footer="992" w:gutter="0"/>
          <w:cols w:num="1" w:sep="0" w:space="425" w:equalWidth="1"/>
          <w:docGrid w:linePitch="360"/>
        </w:sectPr>
      </w:pPr>
      <w:r>
        <w:rPr>
          <w:rFonts w:ascii="仿宋" w:hAnsi="仿宋" w:eastAsia="仿宋"/>
          <w:b/>
          <w:color w:val="000000"/>
          <w:sz w:val="44"/>
        </w:rPr>
      </w:r>
      <w:r/>
    </w:p>
    <w:p>
      <w:pPr>
        <w:pStyle w:val="957"/>
        <w:pageBreakBefore w:val="0"/>
        <w:spacing w:line="560" w:lineRule="exact"/>
        <w:tabs>
          <w:tab w:val="right" w:pos="9978" w:leader="dot"/>
        </w:tabs>
      </w:pPr>
      <w:r/>
      <w:r/>
    </w:p>
    <w:p>
      <w:pPr>
        <w:jc w:val="both"/>
        <w:pageBreakBefore w:val="0"/>
        <w:spacing w:line="560" w:lineRule="exact"/>
        <w:rPr>
          <w:rFonts w:ascii="宋体" w:hAnsi="宋体"/>
          <w:sz w:val="21"/>
        </w:rPr>
      </w:pPr>
      <w:r>
        <w:rPr>
          <w:rFonts w:ascii="宋体" w:hAnsi="宋体"/>
          <w:sz w:val="21"/>
        </w:rPr>
      </w:r>
      <w:r/>
    </w:p>
    <w:p>
      <w:pPr>
        <w:jc w:val="center"/>
        <w:pageBreakBefore w:val="0"/>
        <w:spacing w:line="560" w:lineRule="exact"/>
        <w:rPr>
          <w:color w:val="000000"/>
          <w:sz w:val="36"/>
          <w:szCs w:val="36"/>
        </w:rPr>
      </w:pPr>
      <w:r>
        <w:rPr>
          <w:rFonts w:ascii="宋体" w:hAnsi="宋体"/>
          <w:color w:val="000000"/>
          <w:sz w:val="36"/>
          <w:szCs w:val="36"/>
        </w:rPr>
        <w:t xml:space="preserve">目录</w:t>
      </w:r>
      <w:r/>
    </w:p>
    <w:p>
      <w:pPr>
        <w:ind w:left="0" w:right="0" w:firstLine="0"/>
        <w:jc w:val="center"/>
        <w:pageBreakBefore w:val="0"/>
        <w:spacing w:before="0" w:after="0" w:line="560" w:lineRule="exact"/>
        <w:tabs>
          <w:tab w:val="left" w:pos="2392" w:leader="none"/>
          <w:tab w:val="center" w:pos="4213" w:leader="none"/>
        </w:tabs>
        <w:rPr>
          <w:rFonts w:hint="eastAsia" w:ascii="宋体" w:hAnsi="宋体" w:eastAsia="宋体" w:cstheme="minorBidi"/>
          <w:sz w:val="21"/>
          <w:szCs w:val="24"/>
          <w:lang w:val="en-US" w:eastAsia="zh-CN" w:bidi="ar-SA"/>
        </w:rPr>
      </w:pPr>
      <w:r>
        <w:rPr>
          <w:rFonts w:hint="eastAsia" w:ascii="宋体" w:hAnsi="宋体" w:eastAsia="宋体" w:cstheme="minorBidi"/>
          <w:sz w:val="21"/>
          <w:szCs w:val="24"/>
          <w:lang w:val="en-US" w:eastAsia="zh-CN" w:bidi="ar-SA"/>
        </w:rPr>
        <w:tab/>
      </w:r>
      <w:r/>
    </w:p>
    <w:p>
      <w:pPr>
        <w:pageBreakBefore w:val="0"/>
        <w:spacing w:line="560" w:lineRule="exact"/>
      </w:pPr>
      <w:r/>
      <w:r/>
    </w:p>
    <w:p>
      <w:pPr>
        <w:pStyle w:val="957"/>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"_Toc6801" </w:instrText>
      </w:r>
      <w:r>
        <w:fldChar w:fldCharType="separate"/>
      </w:r>
      <w:r>
        <w:rPr>
          <w:rFonts w:ascii="仿宋" w:hAnsi="仿宋" w:eastAsia="仿宋" w:cstheme="minorBidi"/>
          <w:sz w:val="32"/>
          <w:szCs w:val="32"/>
          <w:lang w:val="en-US" w:eastAsia="zh-CN" w:bidi="ar-SA"/>
        </w:rPr>
        <w:t xml:space="preserve">第一章  投标邀请</w:t>
      </w:r>
      <w:r>
        <w:rPr>
          <w:rFonts w:hint="eastAsia" w:ascii="Arial" w:hAnsi="Arial" w:eastAsia="仿宋" w:cs="Arial"/>
          <w:sz w:val="32"/>
          <w:szCs w:val="32"/>
          <w:lang w:val="en-US" w:eastAsia="zh-CN" w:bidi="ar-SA"/>
        </w:rPr>
        <w:tab/>
      </w:r>
      <w:r>
        <w:rPr>
          <w:rFonts w:hint="eastAsia"/>
          <w:color w:val="000000"/>
          <w:sz w:val="32"/>
          <w:szCs w:val="32"/>
        </w:rPr>
        <w:fldChar w:fldCharType="end"/>
      </w:r>
      <w:r>
        <w:rPr>
          <w:rFonts w:hint="eastAsia"/>
          <w:color w:val="000000"/>
          <w:sz w:val="32"/>
          <w:szCs w:val="32"/>
          <w:lang w:val="en-US" w:eastAsia="zh-CN"/>
        </w:rPr>
        <w:t xml:space="preserve">1</w:t>
      </w:r>
      <w:r/>
    </w:p>
    <w:p>
      <w:pPr>
        <w:pStyle w:val="957"/>
        <w:jc w:val="both"/>
        <w:keepLines w:val="0"/>
        <w:keepNext w:val="0"/>
        <w:pageBreakBefore w:val="0"/>
        <w:spacing w:line="560" w:lineRule="exact"/>
        <w:widowControl/>
        <w:tabs>
          <w:tab w:val="right" w:pos="8400" w:leader="dot"/>
          <w:tab w:val="right" w:pos="9978" w:leader="dot"/>
        </w:tabs>
        <w:rPr>
          <w:color w:val="000000"/>
          <w:sz w:val="32"/>
          <w:szCs w:val="32"/>
        </w:rPr>
      </w:pPr>
      <w:r>
        <w:fldChar w:fldCharType="begin"/>
      </w:r>
      <w:r>
        <w:instrText xml:space="preserve"> HYPERLINK \l "_Toc9065" </w:instrText>
      </w:r>
      <w:r>
        <w:fldChar w:fldCharType="separate"/>
      </w:r>
      <w:r>
        <w:rPr>
          <w:rFonts w:ascii="仿宋" w:hAnsi="仿宋" w:eastAsia="仿宋"/>
          <w:color w:val="000000"/>
          <w:sz w:val="32"/>
          <w:szCs w:val="32"/>
        </w:rPr>
        <w:t xml:space="preserve">第二章 </w:t>
      </w:r>
      <w:r>
        <w:rPr>
          <w:rFonts w:hint="eastAsia" w:ascii="仿宋" w:hAnsi="仿宋" w:eastAsia="仿宋"/>
          <w:color w:val="000000"/>
          <w:sz w:val="32"/>
          <w:szCs w:val="32"/>
        </w:rPr>
        <w:t xml:space="preserve"> </w:t>
      </w:r>
      <w:r>
        <w:rPr>
          <w:rFonts w:ascii="仿宋" w:hAnsi="仿宋" w:eastAsia="仿宋"/>
          <w:color w:val="000000"/>
          <w:sz w:val="32"/>
          <w:szCs w:val="32"/>
        </w:rPr>
        <w:t xml:space="preserve">投标人须知</w:t>
      </w:r>
      <w:r>
        <w:rPr>
          <w:color w:val="000000"/>
          <w:sz w:val="32"/>
          <w:szCs w:val="32"/>
        </w:rPr>
        <w:tab/>
      </w:r>
      <w:r>
        <w:rPr>
          <w:rFonts w:hint="eastAsia"/>
          <w:color w:val="000000"/>
          <w:sz w:val="32"/>
          <w:szCs w:val="32"/>
          <w:lang w:val="en-US" w:eastAsia="zh-CN"/>
        </w:rPr>
        <w:t xml:space="preserve">3</w:t>
      </w:r>
      <w:r>
        <w:rPr>
          <w:rFonts w:hint="eastAsia"/>
          <w:color w:val="000000"/>
          <w:sz w:val="32"/>
          <w:szCs w:val="32"/>
        </w:rPr>
        <w:fldChar w:fldCharType="end"/>
      </w:r>
      <w:r/>
    </w:p>
    <w:p>
      <w:pPr>
        <w:pStyle w:val="957"/>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eastAsia="zh-CN"/>
        </w:rPr>
      </w:pPr>
      <w:r>
        <w:fldChar w:fldCharType="begin"/>
      </w:r>
      <w:r>
        <w:instrText xml:space="preserve"> HYPERLINK \l "_Toc25733" </w:instrText>
      </w:r>
      <w:r>
        <w:fldChar w:fldCharType="separate"/>
      </w:r>
      <w:r>
        <w:rPr>
          <w:rFonts w:ascii="仿宋" w:hAnsi="仿宋" w:eastAsia="仿宋"/>
          <w:color w:val="000000"/>
          <w:sz w:val="32"/>
          <w:szCs w:val="32"/>
        </w:rPr>
        <w:t xml:space="preserve">第三章  投标资料表</w:t>
      </w:r>
      <w:r>
        <w:rPr>
          <w:color w:val="000000"/>
          <w:sz w:val="32"/>
          <w:szCs w:val="32"/>
        </w:rPr>
        <w:tab/>
      </w:r>
      <w:r>
        <w:rPr>
          <w:rFonts w:hint="eastAsia"/>
          <w:color w:val="000000"/>
          <w:sz w:val="32"/>
          <w:szCs w:val="32"/>
        </w:rPr>
        <w:t xml:space="preserve">1</w:t>
      </w:r>
      <w:r>
        <w:rPr>
          <w:rFonts w:hint="eastAsia"/>
          <w:color w:val="000000"/>
          <w:sz w:val="32"/>
          <w:szCs w:val="32"/>
        </w:rPr>
        <w:fldChar w:fldCharType="end"/>
      </w:r>
      <w:r>
        <w:rPr>
          <w:rFonts w:hint="eastAsia"/>
          <w:color w:val="000000"/>
          <w:sz w:val="32"/>
          <w:szCs w:val="32"/>
          <w:lang w:val="en-US" w:eastAsia="zh-CN"/>
        </w:rPr>
        <w:t xml:space="preserve">7</w:t>
      </w:r>
      <w:r/>
    </w:p>
    <w:p>
      <w:pPr>
        <w:pStyle w:val="957"/>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"_Toc18184" </w:instrText>
      </w:r>
      <w:r>
        <w:fldChar w:fldCharType="separate"/>
      </w:r>
      <w:r>
        <w:rPr>
          <w:rFonts w:ascii="仿宋" w:hAnsi="仿宋" w:eastAsia="仿宋"/>
          <w:color w:val="000000"/>
          <w:sz w:val="32"/>
          <w:szCs w:val="32"/>
        </w:rPr>
        <w:t xml:space="preserve">第四章  评标标准</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5</w:t>
      </w:r>
      <w:r/>
    </w:p>
    <w:p>
      <w:pPr>
        <w:pStyle w:val="957"/>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"_Toc22743" </w:instrText>
      </w:r>
      <w:r>
        <w:fldChar w:fldCharType="separate"/>
      </w:r>
      <w:r>
        <w:rPr>
          <w:rFonts w:ascii="仿宋" w:hAnsi="仿宋" w:eastAsia="仿宋"/>
          <w:color w:val="000000"/>
          <w:sz w:val="32"/>
          <w:szCs w:val="32"/>
        </w:rPr>
        <w:t xml:space="preserve">第五章  </w:t>
      </w:r>
      <w:r>
        <w:rPr>
          <w:rFonts w:hint="eastAsia" w:ascii="仿宋" w:hAnsi="仿宋" w:eastAsia="仿宋"/>
          <w:color w:val="000000"/>
          <w:sz w:val="32"/>
          <w:szCs w:val="32"/>
          <w:lang w:val="en-US" w:eastAsia="zh-CN"/>
        </w:rPr>
        <w:t xml:space="preserve">拟签订的合同文本</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7</w:t>
      </w:r>
      <w:r/>
    </w:p>
    <w:p>
      <w:pPr>
        <w:pStyle w:val="957"/>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"_Toc28374" </w:instrText>
      </w:r>
      <w:r>
        <w:fldChar w:fldCharType="separate"/>
      </w:r>
      <w:r>
        <w:rPr>
          <w:rFonts w:ascii="仿宋" w:hAnsi="仿宋" w:eastAsia="仿宋"/>
          <w:color w:val="000000"/>
          <w:sz w:val="32"/>
          <w:szCs w:val="32"/>
        </w:rPr>
        <w:t xml:space="preserve">第六章  采购需求</w:t>
      </w:r>
      <w:r>
        <w:rPr>
          <w:color w:val="000000"/>
          <w:sz w:val="32"/>
          <w:szCs w:val="32"/>
        </w:rPr>
        <w:tab/>
      </w:r>
      <w:r>
        <w:rPr>
          <w:rFonts w:hint="eastAsia"/>
          <w:color w:val="000000"/>
          <w:sz w:val="32"/>
          <w:szCs w:val="32"/>
          <w:lang w:val="en-US" w:eastAsia="zh-CN"/>
        </w:rPr>
        <w:t xml:space="preserve">3</w:t>
      </w:r>
      <w:r>
        <w:rPr>
          <w:rFonts w:hint="eastAsia"/>
          <w:color w:val="000000"/>
          <w:sz w:val="32"/>
          <w:szCs w:val="32"/>
        </w:rPr>
        <w:fldChar w:fldCharType="end"/>
      </w:r>
      <w:r>
        <w:rPr>
          <w:rFonts w:hint="eastAsia"/>
          <w:color w:val="000000"/>
          <w:sz w:val="32"/>
          <w:szCs w:val="32"/>
          <w:lang w:val="en-US" w:eastAsia="zh-CN"/>
        </w:rPr>
        <w:t xml:space="preserve">7</w:t>
      </w:r>
      <w:r/>
    </w:p>
    <w:p>
      <w:pPr>
        <w:pStyle w:val="957"/>
        <w:jc w:val="both"/>
        <w:keepLines w:val="0"/>
        <w:keepNext w:val="0"/>
        <w:pageBreakBefore w:val="0"/>
        <w:spacing w:line="560" w:lineRule="exact"/>
        <w:widowControl/>
        <w:tabs>
          <w:tab w:val="right" w:pos="8400" w:leader="dot"/>
          <w:tab w:val="right" w:pos="9978" w:leader="dot"/>
        </w:tabs>
        <w:rPr>
          <w:rFonts w:hint="eastAsia" w:eastAsia="宋体"/>
          <w:color w:val="000000"/>
          <w:lang w:val="en-US" w:eastAsia="zh-CN"/>
        </w:rPr>
      </w:pPr>
      <w:r>
        <w:fldChar w:fldCharType="begin"/>
      </w:r>
      <w:r>
        <w:instrText xml:space="preserve"> HYPERLINK \l "_Toc9289" </w:instrText>
      </w:r>
      <w:r>
        <w:fldChar w:fldCharType="separate"/>
      </w:r>
      <w:r>
        <w:rPr>
          <w:rFonts w:ascii="仿宋" w:hAnsi="仿宋" w:eastAsia="仿宋"/>
          <w:color w:val="000000"/>
          <w:sz w:val="32"/>
          <w:szCs w:val="32"/>
        </w:rPr>
        <w:t xml:space="preserve">第七章  投标文件相关格式</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rPr>
          <w:rFonts w:hint="eastAsia"/>
          <w:color w:val="000000"/>
          <w:sz w:val="32"/>
          <w:szCs w:val="32"/>
          <w:lang w:val="en-US" w:eastAsia="zh-CN"/>
        </w:rPr>
        <w:t xml:space="preserve">7</w:t>
      </w:r>
      <w:r/>
    </w:p>
    <w:p>
      <w:pPr>
        <w:pStyle w:val="734"/>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734"/>
        <w:jc w:val="center"/>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734"/>
        <w:jc w:val="both"/>
        <w:pageBreakBefore w:val="0"/>
        <w:spacing w:line="560" w:lineRule="exact"/>
        <w:rPr>
          <w:rFonts w:ascii="仿宋" w:hAnsi="仿宋" w:eastAsia="仿宋"/>
          <w:b/>
          <w:color w:val="000000"/>
          <w:sz w:val="32"/>
          <w:szCs w:val="32"/>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bookmarkStart w:id="0" w:name="_Toc2169"/>
      <w:r/>
      <w:bookmarkEnd w:id="0"/>
      <w:r/>
      <w:r/>
    </w:p>
    <w:p>
      <w:pPr>
        <w:pStyle w:val="734"/>
        <w:jc w:val="center"/>
        <w:pageBreakBefore w:val="0"/>
        <w:spacing w:line="560" w:lineRule="exact"/>
        <w:rPr>
          <w:rFonts w:hint="eastAsia" w:ascii="仿宋" w:hAnsi="仿宋" w:eastAsia="仿宋"/>
          <w:b/>
          <w:color w:val="000000"/>
          <w:sz w:val="32"/>
          <w:szCs w:val="32"/>
        </w:rPr>
      </w:pPr>
      <w:r/>
      <w:bookmarkStart w:id="1" w:name="_Toc13592"/>
      <w:r/>
      <w:bookmarkStart w:id="2" w:name="_Toc8477"/>
      <w:r>
        <w:rPr>
          <w:rFonts w:hint="eastAsia" w:ascii="仿宋" w:hAnsi="仿宋" w:eastAsia="仿宋"/>
          <w:b/>
          <w:color w:val="000000"/>
          <w:sz w:val="32"/>
          <w:szCs w:val="32"/>
          <w:lang w:eastAsia="zh-CN"/>
        </w:rPr>
        <w:t xml:space="preserve">贾汪区</w:t>
      </w:r>
      <w:r>
        <w:rPr>
          <w:rFonts w:hint="eastAsia" w:ascii="仿宋" w:hAnsi="仿宋" w:eastAsia="仿宋"/>
          <w:b/>
          <w:color w:val="000000"/>
          <w:sz w:val="32"/>
          <w:szCs w:val="32"/>
        </w:rPr>
        <w:t xml:space="preserve">2026-2029年政策性农业保险承保机构遴选项目</w:t>
      </w:r>
      <w:r/>
    </w:p>
    <w:p>
      <w:pPr>
        <w:pStyle w:val="734"/>
        <w:jc w:val="center"/>
        <w:pageBreakBefore w:val="0"/>
        <w:spacing w:line="560" w:lineRule="exact"/>
        <w:rPr>
          <w:color w:val="000000"/>
        </w:rPr>
      </w:pPr>
      <w:r>
        <w:rPr>
          <w:rFonts w:ascii="仿宋" w:hAnsi="仿宋" w:eastAsia="仿宋"/>
          <w:b/>
          <w:color w:val="000000"/>
          <w:sz w:val="32"/>
          <w:szCs w:val="32"/>
        </w:rPr>
        <w:t xml:space="preserve">招标文件</w:t>
      </w:r>
      <w:bookmarkEnd w:id="1"/>
      <w:r/>
      <w:bookmarkEnd w:id="2"/>
      <w:r/>
      <w:r/>
    </w:p>
    <w:p>
      <w:pPr>
        <w:pStyle w:val="734"/>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遵照政府采购法律法规、制度规定和采购人的采购需求、评标标准、评标办法，编制本项目招标文件。本项目招标文件共分七章：</w:t>
      </w:r>
      <w:r/>
    </w:p>
    <w:p>
      <w:pPr>
        <w:pStyle w:val="734"/>
        <w:ind w:firstLine="560"/>
        <w:pageBreakBefore w:val="0"/>
        <w:spacing w:line="560" w:lineRule="exact"/>
        <w:rPr>
          <w:rFonts w:ascii="仿宋" w:hAnsi="仿宋" w:eastAsia="仿宋"/>
          <w:color w:val="000000"/>
          <w:sz w:val="28"/>
          <w:szCs w:val="28"/>
        </w:rPr>
      </w:pPr>
      <w:r/>
      <w:bookmarkStart w:id="3" w:name="_Toc1837"/>
      <w:r/>
      <w:bookmarkStart w:id="4" w:name="_Toc30737"/>
      <w:r>
        <w:rPr>
          <w:rFonts w:ascii="仿宋" w:hAnsi="仿宋" w:eastAsia="仿宋"/>
          <w:color w:val="000000"/>
          <w:sz w:val="28"/>
          <w:szCs w:val="28"/>
        </w:rPr>
        <w:t xml:space="preserve">第一章，投标邀请; 第二章，投标人须知;第三章，投标资料表;</w:t>
      </w:r>
      <w:bookmarkEnd w:id="3"/>
      <w:r/>
      <w:bookmarkEnd w:id="4"/>
      <w:r/>
      <w:r/>
    </w:p>
    <w:p>
      <w:pPr>
        <w:pStyle w:val="734"/>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第四章，评标标准; 第五章，拟签订的合同文本; </w:t>
      </w:r>
      <w:r/>
    </w:p>
    <w:p>
      <w:pPr>
        <w:pStyle w:val="734"/>
        <w:ind w:firstLine="560"/>
        <w:pageBreakBefore w:val="0"/>
        <w:spacing w:line="560" w:lineRule="exact"/>
        <w:rPr>
          <w:rFonts w:ascii="仿宋" w:hAnsi="仿宋" w:eastAsia="仿宋"/>
          <w:color w:val="000000"/>
          <w:sz w:val="32"/>
          <w:szCs w:val="32"/>
        </w:rPr>
      </w:pPr>
      <w:r>
        <w:rPr>
          <w:rFonts w:ascii="仿宋" w:hAnsi="仿宋" w:eastAsia="仿宋"/>
          <w:color w:val="000000"/>
          <w:sz w:val="28"/>
          <w:szCs w:val="28"/>
        </w:rPr>
        <w:t xml:space="preserve">第六章，采购需求;</w:t>
      </w:r>
      <w:bookmarkStart w:id="5" w:name="_Toc1330"/>
      <w:r/>
      <w:bookmarkStart w:id="6" w:name="_Toc10122"/>
      <w:r>
        <w:rPr>
          <w:rFonts w:ascii="仿宋" w:hAnsi="仿宋" w:eastAsia="仿宋"/>
          <w:color w:val="000000"/>
          <w:sz w:val="28"/>
          <w:szCs w:val="28"/>
        </w:rPr>
        <w:t xml:space="preserve">第七章，投标文件相关格式。</w:t>
      </w:r>
      <w:bookmarkEnd w:id="5"/>
      <w:r/>
      <w:bookmarkEnd w:id="6"/>
      <w:r/>
      <w:bookmarkStart w:id="7" w:name="_Toc4770"/>
      <w:r/>
      <w:bookmarkStart w:id="8" w:name="_Toc6801"/>
      <w:r/>
      <w:r/>
    </w:p>
    <w:p>
      <w:pPr>
        <w:pStyle w:val="955"/>
        <w:pageBreakBefore w:val="0"/>
        <w:spacing w:line="560" w:lineRule="exact"/>
        <w:rPr>
          <w:rFonts w:ascii="仿宋" w:hAnsi="仿宋" w:eastAsia="仿宋"/>
          <w:color w:val="000000"/>
          <w:sz w:val="28"/>
          <w:szCs w:val="28"/>
        </w:rPr>
      </w:pPr>
      <w:r/>
      <w:bookmarkStart w:id="9" w:name="_Toc7241"/>
      <w:r/>
      <w:bookmarkStart w:id="10" w:name="_Toc31219"/>
      <w:r/>
      <w:bookmarkStart w:id="11" w:name="_Toc32354"/>
      <w:r/>
      <w:bookmarkStart w:id="12" w:name="_Toc7656"/>
      <w:r>
        <w:rPr>
          <w:rFonts w:ascii="仿宋" w:hAnsi="仿宋" w:eastAsia="仿宋"/>
          <w:color w:val="000000"/>
          <w:sz w:val="32"/>
          <w:szCs w:val="32"/>
        </w:rPr>
        <w:t xml:space="preserve">第一章  投标邀请</w:t>
      </w:r>
      <w:bookmarkEnd w:id="7"/>
      <w:r/>
      <w:bookmarkEnd w:id="8"/>
      <w:r/>
      <w:bookmarkEnd w:id="9"/>
      <w:r/>
      <w:bookmarkEnd w:id="10"/>
      <w:r/>
      <w:bookmarkEnd w:id="11"/>
      <w:r/>
      <w:bookmarkEnd w:id="12"/>
      <w:r/>
      <w:r/>
    </w:p>
    <w:p>
      <w:pPr>
        <w:pStyle w:val="734"/>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公共资源交易中心</w:t>
      </w:r>
      <w:r>
        <w:rPr>
          <w:rFonts w:ascii="仿宋" w:hAnsi="仿宋" w:eastAsia="仿宋"/>
          <w:color w:val="000000"/>
          <w:sz w:val="28"/>
          <w:szCs w:val="28"/>
        </w:rPr>
        <w:t xml:space="preserve">对</w:t>
      </w: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财政局</w:t>
      </w:r>
      <w:r>
        <w:rPr>
          <w:rFonts w:hint="eastAsia" w:ascii="仿宋" w:hAnsi="仿宋" w:eastAsia="仿宋"/>
          <w:color w:val="000000"/>
          <w:sz w:val="28"/>
          <w:szCs w:val="28"/>
        </w:rPr>
        <w:t xml:space="preserve">委托的</w:t>
      </w: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2026-2029年政策性农业保险承保机构遴选项目</w:t>
      </w:r>
      <w:r>
        <w:rPr>
          <w:rFonts w:ascii="仿宋" w:hAnsi="仿宋" w:eastAsia="仿宋"/>
          <w:color w:val="000000"/>
          <w:sz w:val="28"/>
          <w:szCs w:val="28"/>
        </w:rPr>
        <w:t xml:space="preserve">进行公开招标采购，现邀请符合相关条件的供应商投标。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一、项目名称和项目编号</w:t>
      </w:r>
      <w:r/>
    </w:p>
    <w:p>
      <w:pPr>
        <w:pStyle w:val="734"/>
        <w:ind w:firstLine="56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(一)项目名称：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w:t>
      </w:r>
      <w:r/>
    </w:p>
    <w:p>
      <w:pPr>
        <w:pStyle w:val="734"/>
        <w:ind w:left="319" w:firstLine="246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遴选项目</w:t>
      </w:r>
      <w:r/>
    </w:p>
    <w:p>
      <w:pPr>
        <w:pStyle w:val="734"/>
        <w:ind w:firstLine="600"/>
        <w:pageBreakBefore w:val="0"/>
        <w:spacing w:line="560" w:lineRule="exact"/>
        <w:rPr>
          <w:rFonts w:hint="eastAsia" w:ascii="仿宋" w:hAnsi="仿宋" w:eastAsia="仿宋"/>
          <w:b/>
          <w:bCs/>
          <w:color w:val="000000"/>
          <w:sz w:val="28"/>
          <w:szCs w:val="28"/>
          <w:lang w:eastAsia="zh-CN"/>
        </w:rPr>
      </w:pPr>
      <w:r>
        <w:rPr>
          <w:rFonts w:hint="eastAsia" w:ascii="仿宋" w:hAnsi="仿宋" w:eastAsia="仿宋"/>
          <w:b/>
          <w:bCs/>
          <w:color w:val="000000"/>
          <w:sz w:val="28"/>
          <w:szCs w:val="28"/>
        </w:rPr>
        <w:t xml:space="preserve">(二)项目编号：</w:t>
      </w:r>
      <w:r>
        <w:rPr>
          <w:rFonts w:hint="eastAsia" w:ascii="仿宋" w:hAnsi="仿宋" w:eastAsia="仿宋"/>
          <w:b/>
          <w:bCs/>
          <w:color w:val="000000"/>
          <w:sz w:val="28"/>
          <w:szCs w:val="28"/>
          <w:lang w:eastAsia="zh-CN"/>
        </w:rPr>
        <w:t xml:space="preserve">JSZC-320305-JWZX-G2026-0005</w:t>
      </w:r>
      <w:r/>
    </w:p>
    <w:p>
      <w:pPr>
        <w:pStyle w:val="734"/>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三</w:t>
      </w:r>
      <w:r>
        <w:rPr>
          <w:rFonts w:ascii="仿宋" w:hAnsi="仿宋" w:eastAsia="仿宋"/>
          <w:color w:val="000000"/>
          <w:sz w:val="28"/>
          <w:szCs w:val="28"/>
        </w:rPr>
        <w:t xml:space="preserve">)</w:t>
      </w:r>
      <w:r>
        <w:rPr>
          <w:rFonts w:hint="eastAsia" w:ascii="仿宋" w:hAnsi="仿宋" w:eastAsia="仿宋"/>
          <w:color w:val="000000"/>
          <w:sz w:val="28"/>
          <w:szCs w:val="28"/>
        </w:rPr>
        <w:t xml:space="preserve">项目预算：</w:t>
      </w:r>
      <w:r>
        <w:rPr>
          <w:rFonts w:hint="eastAsia" w:ascii="仿宋" w:hAnsi="仿宋" w:eastAsia="仿宋"/>
          <w:b/>
          <w:bCs/>
          <w:color w:val="000000"/>
          <w:sz w:val="28"/>
          <w:szCs w:val="28"/>
        </w:rPr>
        <w:t xml:space="preserve">本项目预算金额约为</w:t>
      </w:r>
      <w:r>
        <w:rPr>
          <w:rFonts w:hint="eastAsia" w:ascii="仿宋" w:hAnsi="仿宋" w:eastAsia="仿宋"/>
          <w:b/>
          <w:bCs/>
          <w:color w:val="000000"/>
          <w:sz w:val="28"/>
          <w:szCs w:val="28"/>
          <w:lang w:val="en-US" w:eastAsia="zh-CN"/>
        </w:rPr>
        <w:t xml:space="preserve">18</w:t>
      </w:r>
      <w:r>
        <w:rPr>
          <w:rFonts w:hint="eastAsia" w:ascii="仿宋" w:hAnsi="仿宋" w:eastAsia="仿宋"/>
          <w:b/>
          <w:bCs/>
          <w:color w:val="000000"/>
          <w:sz w:val="28"/>
          <w:szCs w:val="28"/>
        </w:rPr>
        <w:t xml:space="preserve">000万元</w:t>
      </w:r>
      <w:r>
        <w:rPr>
          <w:rFonts w:hint="eastAsia" w:ascii="仿宋" w:hAnsi="仿宋" w:eastAsia="仿宋"/>
          <w:b/>
          <w:bCs/>
          <w:color w:val="000000"/>
          <w:sz w:val="28"/>
          <w:szCs w:val="28"/>
          <w:lang w:eastAsia="zh-CN"/>
        </w:rPr>
        <w:t xml:space="preserve">。</w:t>
      </w:r>
      <w:r/>
    </w:p>
    <w:p>
      <w:pPr>
        <w:pStyle w:val="734"/>
        <w:ind w:firstLine="600"/>
        <w:pageBreakBefore w:val="0"/>
        <w:spacing w:line="560" w:lineRule="exact"/>
        <w:rPr>
          <w:rFonts w:hint="eastAsia" w:ascii="仿宋" w:hAnsi="仿宋" w:eastAsia="仿宋"/>
          <w:b/>
          <w:bCs/>
          <w:color w:val="000000"/>
          <w:sz w:val="28"/>
          <w:szCs w:val="28"/>
        </w:rPr>
      </w:pPr>
      <w:r>
        <w:rPr>
          <w:rFonts w:ascii="仿宋" w:hAnsi="仿宋" w:eastAsia="仿宋"/>
          <w:color w:val="000000"/>
          <w:sz w:val="28"/>
          <w:szCs w:val="28"/>
        </w:rPr>
        <w:t xml:space="preserve">二、</w:t>
      </w:r>
      <w:r>
        <w:rPr>
          <w:rFonts w:hint="eastAsia" w:ascii="仿宋" w:hAnsi="仿宋" w:eastAsia="仿宋"/>
          <w:color w:val="000000"/>
          <w:sz w:val="28"/>
          <w:szCs w:val="28"/>
        </w:rPr>
        <w:t xml:space="preserve">项目简要说明</w:t>
      </w:r>
      <w:r>
        <w:rPr>
          <w:rFonts w:hint="eastAsia" w:ascii="仿宋" w:hAnsi="仿宋" w:eastAsia="仿宋"/>
          <w:color w:val="000000"/>
          <w:sz w:val="28"/>
          <w:szCs w:val="28"/>
          <w:lang w:eastAsia="zh-CN"/>
        </w:rPr>
        <w:t xml:space="preserve">：</w:t>
      </w:r>
      <w:r>
        <w:rPr>
          <w:rFonts w:hint="eastAsia" w:ascii="仿宋" w:hAnsi="仿宋" w:eastAsia="仿宋"/>
          <w:b/>
          <w:bCs/>
          <w:color w:val="000000"/>
          <w:sz w:val="28"/>
          <w:szCs w:val="28"/>
          <w:lang w:eastAsia="zh-CN"/>
        </w:rPr>
        <w:t xml:space="preserve">根据《江苏省财政厅 江苏省农业农村厅关于做好政策性农业保险承保机构遴选工作的通知》（苏财金〔2021〕42号）、《关于进一步加强政策性农业保险承保机构遴选管理工作的通知》（苏财金〔2024〕144号）以及《关于做好徐州市政策性农业保险承保机构遴选工作的通知》（徐农保〔2021〕4号）等文件精神，依法依规开展遴选工作。</w:t>
      </w:r>
      <w:r/>
    </w:p>
    <w:p>
      <w:pPr>
        <w:pStyle w:val="734"/>
        <w:ind w:firstLine="600"/>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三、获取招标文件</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1.本项目采用网上注册登记方式。 潜在供应商访问电子招标投标交易平台的网络地址和方法：</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2.潜在供应商访问“苏采云”系统的网络地址和方法：</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“苏采云”系统的网址：http://jszfcg.jsczt.cn/；或进入徐州政府采购网（网址：http://czj.xz.gov.cn/Home/HomeIndex）--业务工作--用户登录，点击“苏采云”进入系统。</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3.“CA数字证书”的获取：</w:t>
      </w:r>
      <w:r/>
    </w:p>
    <w:p>
      <w:pPr>
        <w:pStyle w:val="734"/>
        <w:ind w:firstLine="560"/>
        <w:keepLines w:val="0"/>
        <w:keepNext w:val="0"/>
        <w:pageBreakBefore w:val="0"/>
        <w:spacing w:line="560" w:lineRule="exact"/>
        <w:widowControl w:val="off"/>
        <w:rPr>
          <w:rFonts w:ascii="仿宋" w:hAnsi="仿宋" w:eastAsia="仿宋"/>
          <w:color w:val="000000"/>
          <w:sz w:val="28"/>
          <w:szCs w:val="28"/>
        </w:rPr>
        <w:outlineLvl w:val="9"/>
      </w:pPr>
      <w:r>
        <w:rPr>
          <w:rFonts w:ascii="仿宋" w:hAnsi="仿宋" w:eastAsia="仿宋"/>
          <w:color w:val="000000"/>
          <w:sz w:val="28"/>
          <w:szCs w:val="28"/>
        </w:rPr>
        <w:t xml:space="preserve">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734"/>
        <w:numPr>
          <w:ilvl w:val="0"/>
          <w:numId w:val="0"/>
        </w:numPr>
        <w:ind w:firstLine="560"/>
        <w:keepLines w:val="0"/>
        <w:keepNext w:val="0"/>
        <w:pageBreakBefore w:val="0"/>
        <w:spacing w:line="560" w:lineRule="exact"/>
        <w:widowControl w:val="off"/>
        <w:rPr>
          <w:rFonts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招标代理机构（采购代理机构）将数据电文形式的采购文件加载至“苏采云”系统，供潜在供应商下载或者查阅。</w:t>
      </w:r>
      <w:r/>
    </w:p>
    <w:p>
      <w:pPr>
        <w:pStyle w:val="734"/>
        <w:ind w:firstLine="84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.苏采云系统使用谷歌浏览器参与不见面开标。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售价：免费</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四、投标有关信息：</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1.投标截止时间：</w:t>
      </w:r>
      <w:r>
        <w:rPr>
          <w:rFonts w:hint="eastAsia" w:ascii="仿宋" w:hAnsi="仿宋" w:eastAsia="仿宋"/>
          <w:color w:val="000000"/>
          <w:sz w:val="28"/>
          <w:szCs w:val="28"/>
          <w:highlight w:val="none"/>
          <w:lang w:eastAsia="zh-CN"/>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年</w:t>
      </w:r>
      <w:bookmarkStart w:id="55" w:name="_GoBack"/>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月</w:t>
      </w:r>
      <w:bookmarkEnd w:id="55"/>
      <w:r>
        <w:rPr>
          <w:rFonts w:hint="eastAsia" w:ascii="仿宋" w:hAnsi="仿宋" w:eastAsia="仿宋"/>
          <w:color w:val="000000"/>
          <w:sz w:val="28"/>
          <w:szCs w:val="28"/>
          <w:highlight w:val="none"/>
          <w:lang w:val="en-US" w:eastAsia="zh-CN"/>
        </w:rPr>
        <w:t xml:space="preserve">23</w:t>
      </w:r>
      <w:r>
        <w:rPr>
          <w:rFonts w:hint="eastAsia" w:ascii="仿宋" w:hAnsi="仿宋" w:eastAsia="仿宋"/>
          <w:color w:val="000000"/>
          <w:sz w:val="28"/>
          <w:szCs w:val="28"/>
          <w:highlight w:val="none"/>
          <w:lang w:eastAsia="zh-CN"/>
        </w:rPr>
        <w:t xml:space="preserve">日</w:t>
      </w:r>
      <w:r>
        <w:rPr>
          <w:rFonts w:hint="eastAsia" w:ascii="仿宋" w:hAnsi="仿宋" w:eastAsia="仿宋"/>
          <w:color w:val="000000"/>
          <w:sz w:val="28"/>
          <w:szCs w:val="28"/>
          <w:highlight w:val="none"/>
        </w:rPr>
        <w:t xml:space="preserve">北京时间</w:t>
      </w:r>
      <w:r>
        <w:rPr>
          <w:rFonts w:hint="eastAsia" w:ascii="仿宋" w:hAnsi="仿宋" w:eastAsia="仿宋"/>
          <w:color w:val="000000"/>
          <w:sz w:val="28"/>
          <w:szCs w:val="28"/>
          <w:highlight w:val="none"/>
          <w:lang w:val="en-US" w:eastAsia="zh-CN"/>
        </w:rPr>
        <w:t xml:space="preserve">10:00</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2.开标时间：</w:t>
      </w:r>
      <w:r>
        <w:rPr>
          <w:rFonts w:hint="eastAsia" w:ascii="仿宋" w:hAnsi="仿宋" w:eastAsia="仿宋"/>
          <w:color w:val="000000"/>
          <w:sz w:val="28"/>
          <w:szCs w:val="28"/>
          <w:highlight w:val="none"/>
          <w:lang w:eastAsia="zh-CN"/>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年</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月</w:t>
      </w:r>
      <w:r>
        <w:rPr>
          <w:rFonts w:hint="eastAsia" w:ascii="仿宋" w:hAnsi="仿宋" w:eastAsia="仿宋"/>
          <w:color w:val="000000"/>
          <w:sz w:val="28"/>
          <w:szCs w:val="28"/>
          <w:highlight w:val="none"/>
          <w:lang w:val="en-US" w:eastAsia="zh-CN"/>
        </w:rPr>
        <w:t xml:space="preserve">23</w:t>
      </w:r>
      <w:r>
        <w:rPr>
          <w:rFonts w:hint="eastAsia" w:ascii="仿宋" w:hAnsi="仿宋" w:eastAsia="仿宋"/>
          <w:color w:val="000000"/>
          <w:sz w:val="28"/>
          <w:szCs w:val="28"/>
          <w:highlight w:val="none"/>
          <w:lang w:eastAsia="zh-CN"/>
        </w:rPr>
        <w:t xml:space="preserve">日</w:t>
      </w:r>
      <w:r>
        <w:rPr>
          <w:rFonts w:hint="eastAsia" w:ascii="仿宋" w:hAnsi="仿宋" w:eastAsia="仿宋"/>
          <w:color w:val="000000"/>
          <w:sz w:val="28"/>
          <w:szCs w:val="28"/>
          <w:highlight w:val="none"/>
        </w:rPr>
        <w:t xml:space="preserve">北京时间</w:t>
      </w:r>
      <w:r>
        <w:rPr>
          <w:rFonts w:hint="eastAsia" w:ascii="仿宋" w:hAnsi="仿宋" w:eastAsia="仿宋"/>
          <w:color w:val="000000"/>
          <w:sz w:val="28"/>
          <w:szCs w:val="28"/>
          <w:highlight w:val="none"/>
          <w:lang w:val="en-US" w:eastAsia="zh-CN"/>
        </w:rPr>
        <w:t xml:space="preserve">10:00</w:t>
      </w:r>
      <w:r/>
    </w:p>
    <w:p>
      <w:pPr>
        <w:ind w:firstLine="560"/>
        <w:pageBreakBefore w:val="0"/>
        <w:spacing w:line="560" w:lineRule="exact"/>
      </w:pPr>
      <w:r>
        <w:rPr>
          <w:rFonts w:hint="eastAsia" w:ascii="仿宋" w:hAnsi="仿宋" w:eastAsia="仿宋"/>
          <w:color w:val="000000"/>
          <w:sz w:val="28"/>
          <w:szCs w:val="28"/>
          <w:highlight w:val="none"/>
        </w:rPr>
        <w:t xml:space="preserve">3.开标地点：</w:t>
      </w:r>
      <w:r>
        <w:rPr>
          <w:rFonts w:hint="eastAsia" w:ascii="仿宋" w:hAnsi="仿宋" w:eastAsia="仿宋"/>
          <w:color w:val="000000"/>
          <w:sz w:val="28"/>
          <w:szCs w:val="28"/>
          <w:highlight w:val="none"/>
          <w:lang w:val="en-US" w:eastAsia="zh-CN"/>
        </w:rPr>
        <w:t xml:space="preserve">“苏采云”系统“开标大厅”或进入徐州政府采购网--业务工作--用户登录，点击“苏采云”进入系统“开标大厅”。</w:t>
      </w:r>
      <w:r/>
    </w:p>
    <w:p>
      <w:pPr>
        <w:pStyle w:val="734"/>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五</w:t>
      </w:r>
      <w:r>
        <w:rPr>
          <w:rFonts w:ascii="仿宋" w:hAnsi="仿宋" w:eastAsia="仿宋"/>
          <w:color w:val="000000"/>
          <w:sz w:val="28"/>
          <w:szCs w:val="28"/>
        </w:rPr>
        <w:t xml:space="preserve">、采购人</w:t>
      </w:r>
      <w:r/>
    </w:p>
    <w:p>
      <w:pPr>
        <w:ind w:firstLine="560"/>
        <w:pageBreakBefore w:val="0"/>
        <w:spacing w:line="560" w:lineRule="exact"/>
        <w:rPr>
          <w:rFonts w:ascii="宋体" w:hAnsi="宋体"/>
          <w:color w:val="000000"/>
          <w:sz w:val="24"/>
          <w:szCs w:val="24"/>
          <w:highlight w:val="none"/>
        </w:rPr>
      </w:pPr>
      <w:r>
        <w:rPr>
          <w:rFonts w:ascii="仿宋" w:hAnsi="仿宋" w:eastAsia="仿宋"/>
          <w:color w:val="000000"/>
          <w:sz w:val="28"/>
          <w:szCs w:val="28"/>
          <w:highlight w:val="none"/>
        </w:rPr>
        <w:t xml:space="preserve">（一）名称：</w:t>
      </w:r>
      <w:r>
        <w:rPr>
          <w:rFonts w:hint="eastAsia" w:ascii="仿宋" w:hAnsi="仿宋" w:eastAsia="仿宋"/>
          <w:color w:val="000000"/>
          <w:sz w:val="28"/>
          <w:szCs w:val="28"/>
          <w:highlight w:val="none"/>
          <w:lang w:eastAsia="zh-CN"/>
        </w:rPr>
        <w:t xml:space="preserve">贾汪区</w:t>
      </w:r>
      <w:r>
        <w:rPr>
          <w:rFonts w:hint="eastAsia" w:ascii="仿宋" w:hAnsi="仿宋" w:eastAsia="仿宋"/>
          <w:color w:val="000000"/>
          <w:sz w:val="28"/>
          <w:szCs w:val="28"/>
          <w:highlight w:val="none"/>
        </w:rPr>
        <w:t xml:space="preserve">财政局 </w:t>
      </w:r>
      <w:r/>
    </w:p>
    <w:p>
      <w:pPr>
        <w:pStyle w:val="734"/>
        <w:ind w:firstLine="600"/>
        <w:pageBreakBefore w:val="0"/>
        <w:spacing w:line="560" w:lineRule="exact"/>
        <w:rPr>
          <w:rFonts w:hint="eastAsia" w:ascii="仿宋" w:hAnsi="仿宋" w:eastAsia="仿宋" w:cstheme="minorBidi"/>
          <w:color w:val="000000"/>
          <w:sz w:val="28"/>
          <w:szCs w:val="28"/>
          <w:highlight w:val="none"/>
          <w:lang w:val="en-US" w:eastAsia="zh-CN" w:bidi="ar-SA"/>
        </w:rPr>
      </w:pPr>
      <w:r>
        <w:rPr>
          <w:rFonts w:ascii="仿宋" w:hAnsi="仿宋" w:eastAsia="仿宋"/>
          <w:color w:val="000000"/>
          <w:sz w:val="28"/>
          <w:szCs w:val="28"/>
          <w:highlight w:val="none"/>
        </w:rPr>
        <w:t xml:space="preserve">（二）</w:t>
      </w:r>
      <w:r>
        <w:rPr>
          <w:rFonts w:hint="eastAsia" w:ascii="仿宋" w:hAnsi="仿宋" w:eastAsia="仿宋" w:cstheme="minorBidi"/>
          <w:color w:val="000000"/>
          <w:sz w:val="28"/>
          <w:szCs w:val="28"/>
          <w:highlight w:val="none"/>
          <w:lang w:val="en-US" w:eastAsia="zh-CN" w:bidi="ar-SA"/>
        </w:rPr>
        <w:t xml:space="preserve">地址：江苏省徐州市贾汪区新城区府佐路C楼</w:t>
      </w:r>
      <w:r/>
    </w:p>
    <w:p>
      <w:pPr>
        <w:pStyle w:val="734"/>
        <w:ind w:firstLine="600"/>
        <w:pageBreakBefore w:val="0"/>
        <w:spacing w:line="560" w:lineRule="exact"/>
        <w:rPr>
          <w:rFonts w:hint="eastAsia" w:ascii="仿宋" w:hAnsi="仿宋" w:eastAsia="仿宋" w:cstheme="minorBidi"/>
          <w:color w:val="000000"/>
          <w:sz w:val="28"/>
          <w:szCs w:val="28"/>
          <w:highlight w:val="none"/>
          <w:lang w:val="en-US" w:eastAsia="zh-CN" w:bidi="ar-SA"/>
        </w:rPr>
      </w:pPr>
      <w:r>
        <w:rPr>
          <w:rFonts w:hint="eastAsia" w:ascii="仿宋" w:hAnsi="仿宋" w:eastAsia="仿宋" w:cstheme="minorBidi"/>
          <w:color w:val="000000"/>
          <w:sz w:val="28"/>
          <w:szCs w:val="28"/>
          <w:highlight w:val="none"/>
          <w:lang w:val="en-US" w:eastAsia="zh-CN" w:bidi="ar-SA"/>
        </w:rPr>
        <w:t xml:space="preserve">（三）采购项目联系人：权成</w:t>
      </w:r>
      <w:r/>
    </w:p>
    <w:p>
      <w:pPr>
        <w:pStyle w:val="734"/>
        <w:ind w:firstLine="600"/>
        <w:pageBreakBefore w:val="0"/>
        <w:spacing w:line="560" w:lineRule="exact"/>
        <w:rPr>
          <w:rFonts w:hint="default" w:ascii="仿宋" w:hAnsi="仿宋" w:eastAsia="仿宋" w:cstheme="minorBidi"/>
          <w:color w:val="000000"/>
          <w:sz w:val="28"/>
          <w:szCs w:val="28"/>
          <w:highlight w:val="none"/>
          <w:lang w:val="en-US" w:eastAsia="zh-CN" w:bidi="ar-SA"/>
        </w:rPr>
      </w:pPr>
      <w:r>
        <w:rPr>
          <w:rFonts w:hint="eastAsia" w:ascii="仿宋" w:hAnsi="仿宋" w:eastAsia="仿宋" w:cstheme="minorBidi"/>
          <w:color w:val="000000"/>
          <w:sz w:val="28"/>
          <w:szCs w:val="28"/>
          <w:highlight w:val="none"/>
          <w:lang w:val="en-US" w:eastAsia="zh-CN" w:bidi="ar-SA"/>
        </w:rPr>
        <w:t xml:space="preserve">      联系电话：0516-68161922</w:t>
      </w:r>
      <w:r/>
    </w:p>
    <w:p>
      <w:pPr>
        <w:pStyle w:val="734"/>
        <w:ind w:firstLine="600"/>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六</w:t>
      </w:r>
      <w:r>
        <w:rPr>
          <w:rFonts w:ascii="仿宋" w:hAnsi="仿宋" w:eastAsia="仿宋"/>
          <w:color w:val="000000"/>
          <w:sz w:val="28"/>
          <w:szCs w:val="28"/>
          <w:highlight w:val="none"/>
        </w:rPr>
        <w:t xml:space="preserve">、采购代理机构</w:t>
      </w:r>
      <w:r/>
    </w:p>
    <w:p>
      <w:pPr>
        <w:pStyle w:val="734"/>
        <w:ind w:firstLine="600"/>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（一）名称：</w:t>
      </w:r>
      <w:r>
        <w:rPr>
          <w:rFonts w:hint="eastAsia" w:ascii="仿宋" w:hAnsi="仿宋" w:eastAsia="仿宋"/>
          <w:color w:val="000000"/>
          <w:sz w:val="28"/>
          <w:szCs w:val="28"/>
          <w:highlight w:val="none"/>
          <w:lang w:eastAsia="zh-CN"/>
        </w:rPr>
        <w:t xml:space="preserve">贾汪区</w:t>
      </w:r>
      <w:r>
        <w:rPr>
          <w:rFonts w:hint="eastAsia" w:ascii="仿宋" w:hAnsi="仿宋" w:eastAsia="仿宋"/>
          <w:color w:val="000000"/>
          <w:sz w:val="28"/>
          <w:szCs w:val="28"/>
          <w:highlight w:val="none"/>
        </w:rPr>
        <w:t xml:space="preserve">公共资源交易中心</w:t>
      </w:r>
      <w:r/>
    </w:p>
    <w:p>
      <w:pPr>
        <w:pStyle w:val="734"/>
        <w:ind w:firstLine="600"/>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（二）地址：</w:t>
      </w:r>
      <w:r>
        <w:rPr>
          <w:rFonts w:hint="eastAsia" w:ascii="仿宋" w:hAnsi="仿宋" w:eastAsia="仿宋"/>
          <w:color w:val="000000"/>
          <w:sz w:val="28"/>
          <w:szCs w:val="28"/>
          <w:highlight w:val="none"/>
        </w:rPr>
        <w:t xml:space="preserve">贾汪区文化巷东首</w:t>
      </w:r>
      <w:r/>
    </w:p>
    <w:p>
      <w:pPr>
        <w:pStyle w:val="734"/>
        <w:ind w:firstLine="600"/>
        <w:pageBreakBefore w:val="0"/>
        <w:spacing w:line="560" w:lineRule="exact"/>
        <w:rPr>
          <w:rFonts w:hint="eastAsia" w:ascii="仿宋" w:hAnsi="仿宋" w:eastAsia="仿宋"/>
          <w:color w:val="000000"/>
          <w:sz w:val="28"/>
          <w:szCs w:val="28"/>
          <w:highlight w:val="none"/>
          <w:lang w:val="en-US" w:eastAsia="zh-CN"/>
        </w:rPr>
      </w:pPr>
      <w:r>
        <w:rPr>
          <w:rFonts w:ascii="仿宋" w:hAnsi="仿宋" w:eastAsia="仿宋"/>
          <w:color w:val="000000"/>
          <w:sz w:val="28"/>
          <w:szCs w:val="28"/>
          <w:highlight w:val="none"/>
        </w:rPr>
        <w:t xml:space="preserve">（三）采购项目联系人：</w:t>
      </w:r>
      <w:r>
        <w:rPr>
          <w:rFonts w:hint="eastAsia" w:ascii="仿宋" w:hAnsi="仿宋" w:eastAsia="仿宋"/>
          <w:color w:val="000000"/>
          <w:sz w:val="28"/>
          <w:szCs w:val="28"/>
          <w:highlight w:val="none"/>
          <w:lang w:eastAsia="zh-CN"/>
        </w:rPr>
        <w:t xml:space="preserve">许先生</w:t>
      </w:r>
      <w:r/>
    </w:p>
    <w:p>
      <w:pPr>
        <w:pStyle w:val="734"/>
        <w:ind w:firstLine="1355"/>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rPr>
        <w:t xml:space="preserve">0516-68929578</w:t>
      </w:r>
      <w:r/>
    </w:p>
    <w:p>
      <w:pPr>
        <w:pStyle w:val="734"/>
        <w:pageBreakBefore w:val="0"/>
        <w:spacing w:line="560" w:lineRule="exact"/>
        <w:rPr>
          <w:color w:val="000000"/>
        </w:rPr>
      </w:pPr>
      <w:r/>
      <w:bookmarkStart w:id="13" w:name="_Toc522790131"/>
      <w:r/>
      <w:bookmarkStart w:id="14" w:name="_Toc349"/>
      <w:r/>
      <w:r/>
    </w:p>
    <w:p>
      <w:pPr>
        <w:pStyle w:val="955"/>
        <w:pageBreakBefore w:val="0"/>
        <w:spacing w:line="560" w:lineRule="exact"/>
        <w:rPr>
          <w:rFonts w:ascii="仿宋" w:hAnsi="仿宋" w:eastAsia="仿宋"/>
          <w:color w:val="000000"/>
          <w:szCs w:val="30"/>
        </w:rPr>
      </w:pPr>
      <w:r/>
      <w:bookmarkStart w:id="15" w:name="_Toc8665"/>
      <w:r/>
      <w:bookmarkStart w:id="16" w:name="_Toc25921"/>
      <w:r/>
      <w:bookmarkStart w:id="17" w:name="_Toc6589"/>
      <w:r/>
      <w:bookmarkStart w:id="18" w:name="_Toc2239"/>
      <w:r/>
      <w:bookmarkStart w:id="19" w:name="_Toc20446"/>
      <w:r>
        <w:rPr>
          <w:rFonts w:ascii="仿宋" w:hAnsi="仿宋" w:eastAsia="仿宋"/>
          <w:color w:val="000000"/>
          <w:sz w:val="32"/>
          <w:szCs w:val="32"/>
        </w:rPr>
        <w:t xml:space="preserve">第二章  投标人须知</w:t>
      </w:r>
      <w:bookmarkEnd w:id="13"/>
      <w:r/>
      <w:bookmarkEnd w:id="14"/>
      <w:r/>
      <w:bookmarkEnd w:id="15"/>
      <w:r/>
      <w:bookmarkEnd w:id="16"/>
      <w:r/>
      <w:bookmarkEnd w:id="17"/>
      <w:r/>
      <w:bookmarkEnd w:id="18"/>
      <w:r/>
      <w:bookmarkEnd w:id="19"/>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一、总则</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（一）采购人。采购人即指依法进行政府采购的国家机关、事业单位和团体组织。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（二）政府招标采购方式。政府采购货物或服务（以下简称“货物服务”）的招标方式，分为公开招标和邀请招标。</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（五）采购人委托采购代理机构代理招标的，采购代理机构必须在采购人委托的范围内依法开展采购活动。</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（六）投标人的资格条件：</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投标人是指响应招标、参加投标竞争的法人、其他组织或者自然人。</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2.投标人授权代表系指法定代表人或受法人委托的受托人。</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（七）投标费用：投标人应承担所有与准备和参加投标有关的费用。无论投标的结果如何，采购代理机构对上述费用不承担任何责任和义务。</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二、招标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（八）招标文件应包括以下内容：</w:t>
      </w:r>
      <w:r/>
    </w:p>
    <w:p>
      <w:pPr>
        <w:pStyle w:val="734"/>
        <w:ind w:firstLine="600"/>
        <w:pageBreakBefore w:val="0"/>
        <w:spacing w:line="560" w:lineRule="exact"/>
        <w:rPr>
          <w:rFonts w:ascii="仿宋" w:hAnsi="仿宋" w:eastAsia="仿宋"/>
          <w:color w:val="000000"/>
          <w:sz w:val="28"/>
          <w:szCs w:val="28"/>
        </w:rPr>
      </w:pPr>
      <w:r/>
      <w:bookmarkStart w:id="20" w:name="_Toc31965"/>
      <w:r/>
      <w:bookmarkStart w:id="21" w:name="_Toc13990"/>
      <w:r>
        <w:rPr>
          <w:rFonts w:ascii="仿宋" w:hAnsi="仿宋" w:eastAsia="仿宋"/>
          <w:color w:val="000000"/>
          <w:sz w:val="28"/>
          <w:szCs w:val="28"/>
        </w:rPr>
        <w:t xml:space="preserve">第一章，投标邀请；</w:t>
      </w:r>
      <w:bookmarkEnd w:id="20"/>
      <w:r/>
      <w:bookmarkEnd w:id="21"/>
      <w:r/>
      <w:r/>
    </w:p>
    <w:p>
      <w:pPr>
        <w:pStyle w:val="734"/>
        <w:ind w:firstLine="600"/>
        <w:pageBreakBefore w:val="0"/>
        <w:spacing w:line="560" w:lineRule="exact"/>
        <w:rPr>
          <w:rFonts w:ascii="仿宋" w:hAnsi="仿宋" w:eastAsia="仿宋"/>
          <w:color w:val="000000"/>
          <w:sz w:val="28"/>
          <w:szCs w:val="28"/>
        </w:rPr>
      </w:pPr>
      <w:r/>
      <w:bookmarkStart w:id="22" w:name="_Toc18377"/>
      <w:r/>
      <w:bookmarkStart w:id="23" w:name="_Toc9065"/>
      <w:r>
        <w:rPr>
          <w:rFonts w:ascii="仿宋" w:hAnsi="仿宋" w:eastAsia="仿宋"/>
          <w:color w:val="000000"/>
          <w:sz w:val="28"/>
          <w:szCs w:val="28"/>
        </w:rPr>
        <w:t xml:space="preserve">第二章，投标人须知；</w:t>
      </w:r>
      <w:bookmarkEnd w:id="22"/>
      <w:r/>
      <w:bookmarkEnd w:id="23"/>
      <w:r/>
      <w:r/>
    </w:p>
    <w:p>
      <w:pPr>
        <w:pStyle w:val="734"/>
        <w:ind w:firstLine="600"/>
        <w:pageBreakBefore w:val="0"/>
        <w:spacing w:line="560" w:lineRule="exact"/>
        <w:rPr>
          <w:rFonts w:ascii="仿宋" w:hAnsi="仿宋" w:eastAsia="仿宋"/>
          <w:color w:val="000000"/>
          <w:sz w:val="28"/>
          <w:szCs w:val="28"/>
        </w:rPr>
      </w:pPr>
      <w:r/>
      <w:bookmarkStart w:id="24" w:name="_Toc10856"/>
      <w:r/>
      <w:bookmarkStart w:id="25" w:name="_Toc9657"/>
      <w:r>
        <w:rPr>
          <w:rFonts w:ascii="仿宋" w:hAnsi="仿宋" w:eastAsia="仿宋"/>
          <w:color w:val="000000"/>
          <w:sz w:val="28"/>
          <w:szCs w:val="28"/>
        </w:rPr>
        <w:t xml:space="preserve">第三章，投标资料表；</w:t>
      </w:r>
      <w:bookmarkEnd w:id="24"/>
      <w:r/>
      <w:bookmarkEnd w:id="25"/>
      <w:r/>
      <w:r/>
    </w:p>
    <w:p>
      <w:pPr>
        <w:pStyle w:val="734"/>
        <w:ind w:firstLine="600"/>
        <w:pageBreakBefore w:val="0"/>
        <w:spacing w:line="560" w:lineRule="exact"/>
        <w:rPr>
          <w:rFonts w:ascii="仿宋" w:hAnsi="仿宋" w:eastAsia="仿宋"/>
          <w:color w:val="000000"/>
          <w:sz w:val="28"/>
          <w:szCs w:val="28"/>
        </w:rPr>
      </w:pPr>
      <w:r/>
      <w:bookmarkStart w:id="26" w:name="_Toc306"/>
      <w:r/>
      <w:bookmarkStart w:id="27" w:name="_Toc15634"/>
      <w:r>
        <w:rPr>
          <w:rFonts w:ascii="仿宋" w:hAnsi="仿宋" w:eastAsia="仿宋"/>
          <w:color w:val="000000"/>
          <w:sz w:val="28"/>
          <w:szCs w:val="28"/>
        </w:rPr>
        <w:t xml:space="preserve">第四章，评标标准；</w:t>
      </w:r>
      <w:bookmarkEnd w:id="26"/>
      <w:r/>
      <w:bookmarkEnd w:id="27"/>
      <w:r/>
      <w:r/>
    </w:p>
    <w:p>
      <w:pPr>
        <w:pStyle w:val="734"/>
        <w:ind w:firstLine="600"/>
        <w:pageBreakBefore w:val="0"/>
        <w:spacing w:line="560" w:lineRule="exact"/>
        <w:rPr>
          <w:rFonts w:ascii="仿宋" w:hAnsi="仿宋" w:eastAsia="仿宋"/>
          <w:color w:val="000000"/>
          <w:sz w:val="28"/>
          <w:szCs w:val="28"/>
        </w:rPr>
      </w:pPr>
      <w:r/>
      <w:bookmarkStart w:id="28" w:name="_Toc26225"/>
      <w:r/>
      <w:bookmarkStart w:id="29" w:name="_Toc29691"/>
      <w:r>
        <w:rPr>
          <w:rFonts w:ascii="仿宋" w:hAnsi="仿宋" w:eastAsia="仿宋"/>
          <w:color w:val="000000"/>
          <w:sz w:val="28"/>
          <w:szCs w:val="28"/>
        </w:rPr>
        <w:t xml:space="preserve">第五章，拟签订的合同文本；</w:t>
      </w:r>
      <w:bookmarkEnd w:id="28"/>
      <w:r/>
      <w:bookmarkEnd w:id="29"/>
      <w:r/>
      <w:r/>
    </w:p>
    <w:p>
      <w:pPr>
        <w:pStyle w:val="734"/>
        <w:ind w:firstLine="600"/>
        <w:pageBreakBefore w:val="0"/>
        <w:spacing w:line="560" w:lineRule="exact"/>
        <w:rPr>
          <w:rFonts w:ascii="仿宋" w:hAnsi="仿宋" w:eastAsia="仿宋"/>
          <w:color w:val="000000"/>
          <w:sz w:val="28"/>
          <w:szCs w:val="28"/>
        </w:rPr>
      </w:pPr>
      <w:r/>
      <w:bookmarkStart w:id="30" w:name="_Toc26388"/>
      <w:r/>
      <w:bookmarkStart w:id="31" w:name="_Toc13070"/>
      <w:r>
        <w:rPr>
          <w:rFonts w:ascii="仿宋" w:hAnsi="仿宋" w:eastAsia="仿宋"/>
          <w:color w:val="000000"/>
          <w:sz w:val="28"/>
          <w:szCs w:val="28"/>
        </w:rPr>
        <w:t xml:space="preserve">第六章，采购需求；</w:t>
      </w:r>
      <w:bookmarkEnd w:id="30"/>
      <w:r/>
      <w:bookmarkEnd w:id="31"/>
      <w:r/>
      <w:r/>
    </w:p>
    <w:p>
      <w:pPr>
        <w:pStyle w:val="734"/>
        <w:ind w:firstLine="600"/>
        <w:pageBreakBefore w:val="0"/>
        <w:spacing w:line="560" w:lineRule="exact"/>
        <w:rPr>
          <w:rFonts w:ascii="仿宋" w:hAnsi="仿宋" w:eastAsia="仿宋"/>
          <w:color w:val="000000"/>
          <w:sz w:val="28"/>
          <w:szCs w:val="28"/>
        </w:rPr>
      </w:pPr>
      <w:r/>
      <w:bookmarkStart w:id="32" w:name="_Toc27801"/>
      <w:r/>
      <w:bookmarkStart w:id="33" w:name="_Toc23100"/>
      <w:r>
        <w:rPr>
          <w:rFonts w:ascii="仿宋" w:hAnsi="仿宋" w:eastAsia="仿宋"/>
          <w:color w:val="000000"/>
          <w:sz w:val="28"/>
          <w:szCs w:val="28"/>
        </w:rPr>
        <w:t xml:space="preserve">第七章，投标文件相关格式。</w:t>
      </w:r>
      <w:bookmarkEnd w:id="32"/>
      <w:r/>
      <w:bookmarkEnd w:id="33"/>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（九）招标文件澄清或者修改：</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2.现场考察以本文件第三章《投标资料表》中的要求为准。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3.开标前答疑会以本文件第三章《投标资料表》中的要求为准。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（十）投标人应当按照招标文件的要求编制投标文件。投标文件应对招标文件提出的要求和条件作出实质性响应。</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（十二）投标文件的构成：</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1.投标文件的构成以本文件第三章《投标资料表》中的要求为准。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2.投标人应当提交的资格、资信证明文件，以本文件第三章《投标资料表》中的所提要求为准。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函和价格表、商务条件、交货和提供服务的时间：</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函和价格表的要求见本章（十二）、（十三），格式见本文件第七章《投标文件相关格式》中《</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函》和《开标一览表》。</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2.商务条件以本文件第三章《投标资料表》中的要求为准。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3.交货和提供服务的时间，以本文件第三章《投标资料表》中所提要求为准。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（十四）投标报价要求：</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1.投标人应按照招标文件的要求报出分项价格（如有）和总价。</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2.投标人应按照招标文件的要求进行报价，如投标人作出偏离，应在《偏离表》中列出。</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3.采购人不支付报价以外的任何费用。</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5.投标人只能提交一个投标价格，投标人提交多个价格的投标文件，在资格性、符合性检查时按照无效投标处理。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（十五）投标货币。以本文件第三章《投标资料表》中所提要求为准。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（十六）投标有效期：</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1.投标有效期为开标之日后90天。采购人可以要求对投标有效期延长一次，但该延长期最长不得超过30天。</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（十七）投标文件的编制要求和签署要求：</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（1）电子招标投标交易平台（即“苏采云”系统）相关要求是本招标文件的组成部分。</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（2）投标人应对 CA 证书妥善保管，如被他人盗用投标，因此带来的结果均由投标人自行承担。</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（3）投标人应当对招标文件提出的要求和条件作出实质性响应，并在电子投标系统逐条应答。</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（4）投标人应对要求提供的资格证明文件（如资质证书、资格证书）、技术资料（如白皮书、彩页、手册、检测报告等）扫描上传至投标系统。</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（5）投标人应在投标截止时间前，将电子投标文件上传至投标系统。</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（十八）投标文件的要求：</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1.投标人未在规定时间内解密电子投标文件的，所导致的一切后果均由投标人承担。</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2.投标文件的盖章要求，以本文件第三章《投标资料表》中所提要求为准。</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（十九）提交投标文件的注意事项。投标人应在招标文件要求的提交投标文件的截止时间前，将电子投标文件上传系统。</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（二十）凡在招标文件要求提交投标文件的截止时间之后上传的投标文件，均为无效投标文件。在规定时间内各投标人凭CA锁进行网上解密。</w:t>
      </w:r>
      <w:r/>
    </w:p>
    <w:p>
      <w:pPr>
        <w:pStyle w:val="734"/>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（二十一）投标人在投标截止时间前，可以对所递交的投标文件进行补充、修改或者撤回。</w:t>
      </w:r>
      <w:r/>
    </w:p>
    <w:p>
      <w:pPr>
        <w:pStyle w:val="734"/>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（二十二）投标人应当遵循公平竞争的原则，不得恶意串通，不得妨碍其他投标人的竞争行为，不得损害采购人或者其他投标人的合法权益。</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在评标过程中发现投标人有上述情形的，评标委员会应当认定其投标无效，并书面报告本级财政部门。</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（二十三）有下列情形之一的，其投标无效。</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1.不同投标人的投标文件，由同一单位或者个人编制；</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2.不同投标人委托同一单位或者个人办理投标事宜；</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3.不同投标人的投标文件中，所载明的项目管理成员或联系人为同一人；</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4.不同投标人的投标文件，异常一致或者投标报价呈规律性差异；</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5.不同投标人投标文件内容存在非正常一致、项目组成员出现同一人、投标文件中错误（ 或异常）一致或雷同、电子文档信息一致或雷同的、投标报价呈规律性差异的；</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6.电子投标文件未按招标文件要求签章的；</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7.投标人未在规定时间内解密电子投标文件的；</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8.投标文件未按招标文件规定的内容和要求填写的；没有在投标系统指定位置上传对应文件、材料的。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9.不具备招标文件中规定的资格要求的；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10.报价超过招标文件中规定的预算金额或者最高限价的；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11.投标文件含有采购人不能接受的附加条件的；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12.法律、法规和招标文件规定的其他无效情形。</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四、开标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（二十四）开标：</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1.开标时间及地点。开标应当在招标文件确定的提交投标文件截止时间的同一时间公开进行；开标地点应当为招标文件中预先确定的地点。</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2.开标由采购代理机构主持，邀请投标人参加。</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3.所有投标单位在到达开标时间时，用CA 证书解密各自投标文件，由工作人员操作系统进行开标。</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4.投标人代表对开标过程和开标记录有疑义的，或者认为采购人、采购代理机构相关工作人员有需要回避情形的，应当场提出询问或者提出回避申请。</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投标人未参加开标的，视同认可开标结果。</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五、评标</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（二十五）公开招标采购项目开标结束后，采购人依法对投标人的资格进行审查。</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1.评标工作由采购代理机构负责组织，并履行下列职责：</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（2）宣布评标纪律；</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（3）公布投标人名单，告知评审专家应当回避的情形；</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（4）组织评标委员会推选评标组长（采购人代表不得担任组长）；</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（5）在评标期间采取必要的通讯管理措施，保证评标活动不受外界干扰；</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（6）根据评标委员会的要求介绍政府采购相关政策法规、招标文件；</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（8）核对评标结果，对有《</w:t>
      </w:r>
      <w:r>
        <w:fldChar w:fldCharType="begin"/>
      </w:r>
      <w:r>
        <w:instrText xml:space="preserve"> HYPERLINK "http://www.caigou2003.com/" \t "_blank" </w:instrText>
      </w:r>
      <w:r>
        <w:fldChar w:fldCharType="separate"/>
      </w:r>
      <w:r>
        <w:rPr>
          <w:rFonts w:ascii="仿宋" w:hAnsi="仿宋" w:eastAsia="仿宋"/>
          <w:color w:val="000000"/>
          <w:sz w:val="28"/>
          <w:szCs w:val="28"/>
        </w:rPr>
        <w:t xml:space="preserve">政府采购</w:t>
      </w:r>
      <w:r>
        <w:rPr>
          <w:rFonts w:ascii="仿宋" w:hAnsi="仿宋" w:eastAsia="仿宋"/>
          <w:color w:val="000000"/>
          <w:sz w:val="28"/>
          <w:szCs w:val="28"/>
        </w:rPr>
        <w:fldChar w:fldCharType="end"/>
      </w:r>
      <w:r>
        <w:rPr>
          <w:rFonts w:ascii="仿宋" w:hAnsi="仿宋" w:eastAsia="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（9）评审工作完成后，按照规定向评审专家支付劳务报酬和异地评审差旅费，不得向评审专家以外的其他人员支付评审劳务报酬； </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（10）处理与评标有关的其他事项。</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2.评标委员会负责具体评标事务，并独立履行下列职责：</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（1）审查、评价投标文件是否符合招标文件的商务、技术等实质性要求；</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（2）要求投标人对投标文件有关事项作出澄清或者说明；</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（3）对投标文件进行比较和评价；</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（4）确定中标候选人名单，以及根据采购人委托直接确定中标人；</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（5）向采购人、采购代理机构或有关部门报告评标中发现的违法行为。</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（二十六）评标方法分为最低评标价法和综合评分法。</w:t>
      </w:r>
      <w:r/>
    </w:p>
    <w:p>
      <w:pPr>
        <w:pStyle w:val="734"/>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（二十七）评标</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1.评标工作程序：</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（1）投标文件初审。</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①资格性审查。</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②符合性审查。</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（2）澄清有关问题。</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（3）比较与评价。</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（4）推荐中标候选供应商名单。</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（5）编写评审报告（评标报告）。</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734"/>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3.3.采用</w:t>
      </w:r>
      <w:r>
        <w:fldChar w:fldCharType="begin"/>
      </w:r>
      <w:r>
        <w:instrText xml:space="preserve"> HYPERLINK "http://lilun.caigou2003.com/recijiedu/2365668.html" \t "_blank" </w:instrText>
      </w:r>
      <w:r>
        <w:fldChar w:fldCharType="separate"/>
      </w:r>
      <w:r>
        <w:rPr>
          <w:rFonts w:ascii="仿宋" w:hAnsi="仿宋" w:eastAsia="仿宋"/>
          <w:color w:val="000000"/>
          <w:sz w:val="28"/>
          <w:szCs w:val="28"/>
        </w:rPr>
        <w:t xml:space="preserve">最低评标价法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的采购项目，是指投标文件满足招标文件全部实质性要求，且投标报价最低的投标人为中标候选人的评标方法。</w:t>
      </w:r>
      <w:r/>
    </w:p>
    <w:p>
      <w:pPr>
        <w:pStyle w:val="734"/>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采用</w:t>
      </w:r>
      <w:r>
        <w:fldChar w:fldCharType="begin"/>
      </w:r>
      <w:r>
        <w:instrText xml:space="preserve"> HYPERLINK "http://lilun.caigou2003.com/recijiedu/2365667.html" \t "_blank" </w:instrText>
      </w:r>
      <w:r>
        <w:fldChar w:fldCharType="separate"/>
      </w:r>
      <w:r>
        <w:rPr>
          <w:rFonts w:ascii="仿宋" w:hAnsi="仿宋" w:eastAsia="仿宋"/>
          <w:color w:val="000000"/>
          <w:sz w:val="28"/>
          <w:szCs w:val="28"/>
        </w:rPr>
        <w:t xml:space="preserve">综合评分法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的采购项目，是指投标文件满足招标文件全部实质性要求，且按照评审因素的量化指标评审得分最高的投标人为中标候选人的评标方法</w:t>
      </w:r>
      <w:r>
        <w:rPr>
          <w:rFonts w:hint="eastAsia" w:ascii="仿宋" w:hAnsi="仿宋" w:eastAsia="仿宋"/>
          <w:color w:val="000000"/>
          <w:sz w:val="28"/>
          <w:szCs w:val="28"/>
        </w:rPr>
        <w:t xml:space="preserve">。</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（二十八）投标文件报价出现前后不一致的，按照下列规定修正：</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4.总价金额与按单价合计金额不一致的，以单价金额计算结果为准。</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pStyle w:val="807"/>
        <w:numPr>
          <w:ilvl w:val="0"/>
          <w:numId w:val="0"/>
        </w:numPr>
        <w:ind w:firstLine="56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（一）根据财库[2026]2号文件，政府采购评审中出现下列情形之一的，评审委员会应当启动异常低价投标(响应)审查程序：</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1.投标(响应)报价低于全部通过符合性审查供应商投标(响应)报价平均值50%的，即投标(响应)报价〈全部通过符合性审查供应商投标(响应)报价平均值x50%;</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2.投标(响应)报价低于通过符合性审查的次低报价供应商投标(响应)报价50%的，即投标(响应)报价〈通过符合性审查的次低报价供应商投标(响应)报价x50%;</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3.投标(响应)报价低于采购项目最高限价45%的，即投标(响应)报价(采购项目最高限价x45%;</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4.评审委员会基于专业判断，认为供应商报价过低，有可能影响产品质量或者不能诚信履约的其他情形。</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采购人可以结合具体项目实际情况，提高上述第1项至第3项中启动异常低价投标(响应)审查的数值标准，但是最高不得超过65%.</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相关法律法规对供应商报价有规定的，从其规定。</w:t>
      </w:r>
      <w:r/>
    </w:p>
    <w:p>
      <w:pPr>
        <w:pStyle w:val="807"/>
        <w:numPr>
          <w:ilvl w:val="0"/>
          <w:numId w:val="13"/>
        </w:numPr>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7"/>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相关内容和要求见：财库[2026]2号文件。</w:t>
      </w:r>
      <w:r/>
    </w:p>
    <w:p>
      <w:pPr>
        <w:pStyle w:val="734"/>
        <w:ind w:firstLine="56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（三十一）废标条款：</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出现下列情形之一的，应予废标。</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1.符合专业条件的供应商或者对招标文件作实质响应的供应商不足</w:t>
      </w:r>
      <w:r>
        <w:rPr>
          <w:rFonts w:hint="eastAsia" w:ascii="仿宋" w:hAnsi="仿宋" w:eastAsia="仿宋"/>
          <w:sz w:val="28"/>
          <w:szCs w:val="28"/>
        </w:rPr>
        <w:t xml:space="preserve">三</w:t>
      </w:r>
      <w:r>
        <w:rPr>
          <w:rFonts w:ascii="仿宋" w:hAnsi="仿宋" w:eastAsia="仿宋"/>
          <w:sz w:val="28"/>
          <w:szCs w:val="28"/>
        </w:rPr>
        <w:t xml:space="preserve">家</w:t>
      </w:r>
      <w:r>
        <w:rPr>
          <w:rFonts w:ascii="仿宋" w:hAnsi="仿宋" w:eastAsia="仿宋"/>
          <w:color w:val="000000"/>
          <w:sz w:val="28"/>
          <w:szCs w:val="28"/>
        </w:rPr>
        <w:t xml:space="preserve">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2.出现影响采购公正的违法、违规行为的；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3.投标人的报价均超过了采购预算，采购人不能支付的；</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4.因重大变故，采购任务取消的。</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六、定标</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（三十二）采购代理机构应当在评标结束后2个工作日内将评标报告送采购人。</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（三十三）采购人应当自收到评标报告之日起5个工作日内，在评标报告确定的中标候选人名单中按顺序确定中标人。</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四）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七、政府采购合同</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（三十五）签订政府采购合同（合同签订方式）：</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采购人不得向中标人提出任何不合理的要求作为签订合同的条件。</w:t>
      </w:r>
      <w:r/>
    </w:p>
    <w:p>
      <w:pPr>
        <w:pStyle w:val="734"/>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34"/>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（三十六）采购人与中标人应当根据合同的约定依法履行合同义务。政府采购合同的履行、违约责任和解决争议的方法等，按《中华人民共和国民法典》相关条款执行。</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（三十八）腐败和欺诈行为：</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1.采购代理机构、采购人、投标人等参与招投标的各方，均应在招标、采购、合同执行等过程中保持廉洁和最高的道德水准。</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（1）腐败和欺诈行为的含义：</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（2）如果被推荐的中标人有腐败和欺诈行为，将取消其中标资格。</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八、询问和质疑</w:t>
      </w:r>
      <w:r/>
    </w:p>
    <w:p>
      <w:pPr>
        <w:pStyle w:val="734"/>
        <w:ind w:firstLine="600"/>
        <w:jc w:val="left"/>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（三十九）询问和质疑</w:t>
      </w:r>
      <w:r/>
    </w:p>
    <w:p>
      <w:pPr>
        <w:pStyle w:val="734"/>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供应商对政府采购活动事项有疑问的，向采购人或采购代理机构提出询问；</w:t>
      </w:r>
      <w:r/>
    </w:p>
    <w:p>
      <w:pPr>
        <w:pStyle w:val="736"/>
        <w:pageBreakBefore w:val="0"/>
        <w:spacing w:line="560" w:lineRule="exact"/>
        <w:rPr>
          <w:rFonts w:eastAsia="仿宋"/>
        </w:rPr>
      </w:pPr>
      <w:r>
        <w:rPr>
          <w:rFonts w:hint="eastAsia" w:ascii="仿宋" w:hAnsi="仿宋" w:eastAsia="仿宋"/>
          <w:color w:val="000000"/>
          <w:sz w:val="28"/>
          <w:szCs w:val="28"/>
        </w:rPr>
        <w:t xml:space="preserve">依据委托代理协议，</w:t>
      </w:r>
      <w:r>
        <w:rPr>
          <w:rFonts w:ascii="仿宋" w:hAnsi="仿宋" w:eastAsia="仿宋"/>
          <w:color w:val="000000"/>
          <w:sz w:val="28"/>
          <w:szCs w:val="28"/>
        </w:rPr>
        <w:t xml:space="preserve">供应商认为</w:t>
      </w:r>
      <w:r>
        <w:rPr>
          <w:rFonts w:hint="eastAsia" w:ascii="仿宋" w:hAnsi="仿宋" w:eastAsia="仿宋"/>
          <w:color w:val="000000"/>
          <w:sz w:val="28"/>
          <w:szCs w:val="28"/>
        </w:rPr>
        <w:t xml:space="preserve">采购文件中的采购需求</w:t>
      </w:r>
      <w:r>
        <w:rPr>
          <w:rFonts w:ascii="仿宋" w:hAnsi="仿宋" w:eastAsia="仿宋"/>
          <w:color w:val="000000"/>
          <w:sz w:val="28"/>
          <w:szCs w:val="28"/>
        </w:rPr>
        <w:t xml:space="preserve">使自己的权益受到损害的</w:t>
      </w:r>
      <w:r>
        <w:rPr>
          <w:rFonts w:hint="eastAsia" w:ascii="仿宋" w:hAnsi="仿宋" w:eastAsia="仿宋"/>
          <w:color w:val="000000"/>
          <w:sz w:val="28"/>
          <w:szCs w:val="28"/>
        </w:rPr>
        <w:t xml:space="preserve">，</w:t>
      </w:r>
      <w:r>
        <w:rPr>
          <w:rFonts w:ascii="仿宋" w:hAnsi="仿宋" w:eastAsia="仿宋"/>
          <w:color w:val="000000"/>
          <w:sz w:val="28"/>
          <w:szCs w:val="28"/>
        </w:rPr>
        <w:t xml:space="preserve">可以在知道或者应知其权益受到损害之日起，七个工作日内以书面形式向采购人提出质疑</w:t>
      </w:r>
      <w:r>
        <w:rPr>
          <w:rFonts w:hint="eastAsia" w:ascii="仿宋" w:hAnsi="仿宋" w:eastAsia="仿宋"/>
          <w:color w:val="000000"/>
          <w:sz w:val="28"/>
          <w:szCs w:val="28"/>
        </w:rPr>
        <w:t xml:space="preserve">；</w:t>
      </w:r>
      <w:r>
        <w:rPr>
          <w:rFonts w:ascii="仿宋" w:hAnsi="仿宋" w:eastAsia="仿宋"/>
          <w:color w:val="000000"/>
          <w:sz w:val="28"/>
          <w:szCs w:val="28"/>
        </w:rPr>
        <w:t xml:space="preserve">认为采购文件</w:t>
      </w:r>
      <w:r>
        <w:rPr>
          <w:rFonts w:hint="eastAsia" w:ascii="仿宋" w:hAnsi="仿宋" w:eastAsia="仿宋"/>
          <w:color w:val="000000"/>
          <w:sz w:val="28"/>
          <w:szCs w:val="28"/>
        </w:rPr>
        <w:t xml:space="preserve">其他内容</w:t>
      </w:r>
      <w:r>
        <w:rPr>
          <w:rFonts w:ascii="仿宋" w:hAnsi="仿宋" w:eastAsia="仿宋"/>
          <w:color w:val="000000"/>
          <w:sz w:val="28"/>
          <w:szCs w:val="28"/>
        </w:rPr>
        <w:t xml:space="preserve">、采购过程和中标、成交结果使自己的权益受到损害的，可以在知道或者应知其权益受到损害之日起，七个工作日内以书面形式向采购人或采购代理机构提出质疑。询问和质疑由采购人或采购代理机构依法处理。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九、电子招标投标交易平台</w:t>
      </w:r>
      <w:r/>
    </w:p>
    <w:p>
      <w:pPr>
        <w:pStyle w:val="95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（四十）评标中需要投标人对投标文件澄清或者说明的，应当通过“苏采云”系统交换数据电文。在评标期间，请投标人保持在线。</w:t>
      </w:r>
      <w:r/>
    </w:p>
    <w:p>
      <w:pPr>
        <w:pStyle w:val="95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（四十一）对于投标文件中含义不明确、同类问题表述不一致或者有明显文字和计算错误的内容，评标委员会通过“苏采云”系统要求投标人作出必要的澄清、说明或者补正，并规定回复时间。</w:t>
      </w:r>
      <w:r/>
    </w:p>
    <w:p>
      <w:pPr>
        <w:pStyle w:val="95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二）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56"/>
        <w:ind w:firstLine="600"/>
        <w:pageBreakBefore w:val="0"/>
        <w:spacing w:line="560" w:lineRule="exact"/>
        <w:rPr>
          <w:rFonts w:ascii="仿宋" w:hAnsi="仿宋" w:eastAsia="仿宋"/>
          <w:color w:val="000000"/>
          <w:sz w:val="30"/>
          <w:szCs w:val="30"/>
        </w:rPr>
      </w:pPr>
      <w:r>
        <w:rPr>
          <w:rFonts w:ascii="仿宋" w:hAnsi="仿宋" w:eastAsia="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955"/>
        <w:pageBreakBefore w:val="0"/>
        <w:spacing w:line="560" w:lineRule="exact"/>
        <w:rPr>
          <w:rFonts w:ascii="仿宋" w:hAnsi="仿宋" w:eastAsia="仿宋"/>
          <w:color w:val="000000"/>
          <w:sz w:val="32"/>
          <w:szCs w:val="32"/>
        </w:rPr>
      </w:pPr>
      <w:r/>
      <w:bookmarkStart w:id="34" w:name="_Toc522790132"/>
      <w:r/>
      <w:bookmarkStart w:id="35" w:name="_Toc974"/>
      <w:r/>
      <w:r/>
    </w:p>
    <w:p>
      <w:pPr>
        <w:pageBreakBefore w:val="0"/>
        <w:spacing w:line="560" w:lineRule="exact"/>
        <w:rPr>
          <w:color w:val="000000"/>
        </w:rPr>
      </w:pPr>
      <w:r>
        <w:rPr>
          <w:rFonts w:ascii="仿宋" w:hAnsi="仿宋" w:eastAsia="仿宋"/>
          <w:color w:val="000000"/>
          <w:sz w:val="32"/>
          <w:szCs w:val="32"/>
        </w:rPr>
        <w:br w:type="page" w:clear="all"/>
      </w:r>
      <w:bookmarkStart w:id="36" w:name="_Toc25733"/>
      <w:r/>
      <w:bookmarkStart w:id="37" w:name="_Toc8090"/>
      <w:r>
        <w:rPr>
          <w:rFonts w:hint="eastAsia" w:ascii="仿宋" w:hAnsi="仿宋" w:eastAsia="仿宋"/>
          <w:color w:val="000000"/>
          <w:sz w:val="32"/>
          <w:szCs w:val="32"/>
          <w:lang w:val="en-US" w:eastAsia="zh-CN"/>
        </w:rPr>
        <w:t xml:space="preserve">                </w:t>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lang w:eastAsia="zh-CN"/>
        </w:rPr>
        <w:t xml:space="preserve">第三章</w:t>
      </w:r>
      <w:r>
        <w:rPr>
          <w:rFonts w:hint="eastAsia" w:ascii="仿宋" w:hAnsi="仿宋" w:eastAsia="仿宋"/>
          <w:color w:val="000000"/>
          <w:sz w:val="32"/>
          <w:szCs w:val="32"/>
          <w:lang w:val="en-US" w:eastAsia="zh-CN"/>
        </w:rPr>
        <w:t xml:space="preserve">  </w:t>
      </w:r>
      <w:r>
        <w:rPr>
          <w:rFonts w:ascii="仿宋" w:hAnsi="仿宋" w:eastAsia="仿宋"/>
          <w:b/>
          <w:bCs/>
          <w:color w:val="000000"/>
          <w:sz w:val="32"/>
          <w:szCs w:val="32"/>
        </w:rPr>
        <w:t xml:space="preserve">投标资料表</w:t>
      </w:r>
      <w:bookmarkEnd w:id="34"/>
      <w:r/>
      <w:bookmarkEnd w:id="35"/>
      <w:r/>
      <w:bookmarkEnd w:id="36"/>
      <w:r/>
      <w:bookmarkEnd w:id="37"/>
      <w:r/>
      <w:r/>
    </w:p>
    <w:p>
      <w:pPr>
        <w:pStyle w:val="909"/>
        <w:ind w:firstLine="600"/>
        <w:pageBreakBefore w:val="0"/>
        <w:spacing w:line="560" w:lineRule="exact"/>
        <w:rPr>
          <w:rFonts w:ascii="仿宋" w:hAnsi="仿宋" w:eastAsia="仿宋"/>
          <w:color w:val="000000"/>
          <w:szCs w:val="28"/>
        </w:rPr>
      </w:pPr>
      <w:r>
        <w:rPr>
          <w:rFonts w:ascii="仿宋" w:hAnsi="仿宋" w:eastAsia="仿宋"/>
          <w:color w:val="000000"/>
          <w:szCs w:val="28"/>
        </w:rPr>
        <w:t xml:space="preserve">该资料表的条款项号是与《投标人须知》的条款项号相对应的，若有增加的条款，是对《投标人须知》的补充、修改和完善，如果因此而造成矛盾时，应以本资料表为准。</w:t>
      </w:r>
      <w:r/>
    </w:p>
    <w:tbl>
      <w:tblPr>
        <w:tblStyle w:val="730"/>
        <w:tblpPr w:horzAnchor="page" w:tblpX="1192" w:vertAnchor="text" w:tblpY="226" w:leftFromText="180" w:topFromText="0" w:rightFromText="180" w:bottomFromText="0"/>
        <w:tblW w:w="992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W w:w="1560" w:type="dxa"/>
            <w:textDirection w:val="lrTb"/>
            <w:noWrap w:val="false"/>
          </w:tcPr>
          <w:p>
            <w:pPr>
              <w:pStyle w:val="734"/>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条款项号</w:t>
            </w:r>
            <w:r/>
          </w:p>
        </w:tc>
        <w:tc>
          <w:tcPr>
            <w:tcW w:w="8363" w:type="dxa"/>
            <w:textDirection w:val="lrTb"/>
            <w:noWrap w:val="false"/>
          </w:tcPr>
          <w:p>
            <w:pPr>
              <w:pStyle w:val="734"/>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内    容</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总则</w:t>
            </w:r>
            <w:r/>
          </w:p>
        </w:tc>
      </w:tr>
      <w:tr>
        <w:trPr>
          <w:trHeight w:val="265"/>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本项目采购人：</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财政局 </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本次采购采用的政府采购方式：</w:t>
            </w:r>
            <w:r>
              <w:rPr>
                <w:rFonts w:ascii="仿宋" w:hAnsi="仿宋" w:eastAsia="仿宋"/>
                <w:b/>
                <w:bCs/>
                <w:color w:val="000000"/>
                <w:sz w:val="28"/>
                <w:szCs w:val="28"/>
              </w:rPr>
              <w:t xml:space="preserve">公开招标</w:t>
            </w:r>
            <w:r>
              <w:rPr>
                <w:rFonts w:ascii="仿宋" w:hAnsi="仿宋" w:eastAsia="仿宋"/>
                <w:color w:val="000000"/>
                <w:sz w:val="28"/>
                <w:szCs w:val="28"/>
              </w:rPr>
              <w:t xml:space="preserve">。</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734"/>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采购人确定的采购项目属性：</w:t>
            </w:r>
            <w:r>
              <w:rPr>
                <w:rFonts w:hint="eastAsia" w:ascii="仿宋" w:hAnsi="仿宋" w:eastAsia="仿宋"/>
                <w:b/>
                <w:bCs/>
                <w:color w:val="000000"/>
                <w:sz w:val="28"/>
                <w:szCs w:val="28"/>
                <w:lang w:eastAsia="zh-CN"/>
              </w:rPr>
              <w:t xml:space="preserve">服务</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本项目采购代理机构：</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p>
        </w:tc>
      </w:tr>
      <w:tr>
        <w:trPr/>
        <w:tc>
          <w:tcPr>
            <w:tcW w:w="1560" w:type="dxa"/>
            <w:textDirection w:val="lrTb"/>
            <w:noWrap w:val="false"/>
          </w:tcPr>
          <w:p>
            <w:pPr>
              <w:pStyle w:val="734"/>
              <w:jc w:val="center"/>
              <w:pageBreakBefore w:val="0"/>
              <w:spacing w:line="560" w:lineRule="exact"/>
            </w:pPr>
            <w:r>
              <w:t xml:space="preserve">(五)</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投标人的资格条件：</w:t>
            </w:r>
            <w:r/>
          </w:p>
          <w:p>
            <w:pPr>
              <w:pStyle w:val="734"/>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pStyle w:val="734"/>
              <w:pageBreakBefore w:val="0"/>
              <w:spacing w:line="56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2.落实政府采购政策需满足的资格要求：</w:t>
            </w:r>
            <w:r>
              <w:rPr>
                <w:rFonts w:hint="eastAsia" w:ascii="仿宋" w:hAnsi="仿宋" w:eastAsia="仿宋"/>
                <w:b/>
                <w:bCs/>
                <w:color w:val="000000"/>
                <w:sz w:val="28"/>
                <w:szCs w:val="28"/>
              </w:rPr>
              <w:t xml:space="preserve">本项目为非专门面向中小企业的项目</w:t>
            </w:r>
            <w:r/>
          </w:p>
          <w:p>
            <w:pPr>
              <w:pStyle w:val="734"/>
              <w:pageBreakBefore w:val="0"/>
              <w:spacing w:line="560" w:lineRule="exact"/>
              <w:rPr>
                <w:rFonts w:hint="eastAsia" w:ascii="仿宋" w:hAnsi="仿宋" w:eastAsia="仿宋"/>
                <w:color w:val="ff0000"/>
                <w:sz w:val="28"/>
                <w:szCs w:val="28"/>
                <w:highlight w:val="yellow"/>
              </w:rPr>
            </w:pPr>
            <w:r>
              <w:rPr>
                <w:rFonts w:hint="eastAsia" w:ascii="仿宋" w:hAnsi="仿宋" w:eastAsia="仿宋"/>
                <w:color w:val="000000"/>
                <w:sz w:val="28"/>
                <w:szCs w:val="28"/>
              </w:rPr>
              <w:t xml:space="preserve">3.</w:t>
            </w:r>
            <w:r>
              <w:rPr>
                <w:rFonts w:hint="eastAsia" w:ascii="仿宋" w:hAnsi="仿宋" w:eastAsia="仿宋"/>
                <w:color w:val="000000"/>
                <w:sz w:val="28"/>
                <w:szCs w:val="28"/>
                <w:highlight w:val="none"/>
              </w:rPr>
              <w:t xml:space="preserve">本项目的特定资格要求：</w:t>
            </w:r>
            <w:r>
              <w:rPr>
                <w:rFonts w:hint="eastAsia" w:ascii="仿宋" w:hAnsi="仿宋" w:eastAsia="仿宋" w:cs="Times New Roman"/>
                <w:b/>
                <w:bCs/>
                <w:color w:val="000000"/>
                <w:sz w:val="28"/>
                <w:szCs w:val="28"/>
                <w:highlight w:val="none"/>
                <w:lang w:val="en-US" w:eastAsia="zh-CN" w:bidi="ar-SA"/>
              </w:rPr>
              <w:t xml:space="preserve">投标人具有江苏省内政策性农业保险经营资质。</w:t>
            </w:r>
            <w:r/>
          </w:p>
          <w:p>
            <w:pPr>
              <w:pStyle w:val="736"/>
              <w:rPr>
                <w:rFonts w:hint="eastAsia"/>
                <w:lang w:eastAsia="zh-CN"/>
              </w:rPr>
            </w:pPr>
            <w:r>
              <w:rPr>
                <w:rFonts w:hint="eastAsia" w:ascii="仿宋" w:hAnsi="仿宋" w:eastAsia="仿宋" w:cs="Times New Roman"/>
                <w:b/>
                <w:bCs/>
                <w:color w:val="000000"/>
                <w:sz w:val="28"/>
                <w:szCs w:val="28"/>
                <w:lang w:val="en-US" w:eastAsia="zh-CN" w:bidi="ar-SA"/>
              </w:rPr>
              <w:t xml:space="preserve">4.本项目不接受联合体投标。</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734"/>
              <w:pageBreakBefore w:val="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本次招标，</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公共资源交易中心为中标供应商提供服务，不收取中标服务费</w:t>
            </w:r>
            <w:r>
              <w:rPr>
                <w:rFonts w:hint="eastAsia" w:ascii="仿宋" w:hAnsi="仿宋" w:eastAsia="仿宋"/>
                <w:color w:val="000000"/>
                <w:sz w:val="28"/>
                <w:szCs w:val="28"/>
                <w:lang w:eastAsia="zh-CN"/>
              </w:rPr>
              <w:t xml:space="preserve">。</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(七)1</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(七)2</w:t>
            </w:r>
            <w:r/>
          </w:p>
        </w:tc>
        <w:tc>
          <w:tcPr>
            <w:tcW w:w="8363" w:type="dxa"/>
            <w:textDirection w:val="lrTb"/>
            <w:noWrap w:val="false"/>
          </w:tcPr>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不安排现场考察。</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(七)3</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不安排开标前答疑会。</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w:t>
            </w:r>
            <w:r/>
          </w:p>
        </w:tc>
      </w:tr>
      <w:tr>
        <w:trPr>
          <w:trHeight w:val="510"/>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w:t>
            </w:r>
            <w:r/>
          </w:p>
        </w:tc>
        <w:tc>
          <w:tcPr>
            <w:tcW w:w="8363" w:type="dxa"/>
            <w:textDirection w:val="lrTb"/>
            <w:noWrap w:val="false"/>
          </w:tcPr>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投标文件的语言为中文</w:t>
            </w:r>
            <w:r/>
          </w:p>
        </w:tc>
      </w:tr>
      <w:tr>
        <w:trPr>
          <w:trHeight w:val="510"/>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w:t>
            </w:r>
            <w:r/>
          </w:p>
        </w:tc>
        <w:tc>
          <w:tcPr>
            <w:tcW w:w="8363" w:type="dxa"/>
            <w:textDirection w:val="lrTb"/>
            <w:noWrap w:val="false"/>
          </w:tcPr>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color w:val="000000"/>
                <w:sz w:val="28"/>
                <w:szCs w:val="28"/>
              </w:rPr>
              <w:t xml:space="preserve">http://jszfcg.jsc</w:t>
            </w:r>
            <w:bookmarkStart w:id="38" w:name="_Hlt91509263"/>
            <w:r/>
            <w:bookmarkStart w:id="39" w:name="_Hlt91509264"/>
            <w:r>
              <w:rPr>
                <w:rFonts w:ascii="仿宋" w:hAnsi="仿宋" w:eastAsia="仿宋"/>
                <w:color w:val="000000"/>
                <w:sz w:val="28"/>
                <w:szCs w:val="28"/>
              </w:rPr>
              <w:t xml:space="preserve">z</w:t>
            </w:r>
            <w:bookmarkEnd w:id="38"/>
            <w:r/>
            <w:bookmarkEnd w:id="39"/>
            <w:r>
              <w:rPr>
                <w:rFonts w:ascii="仿宋" w:hAnsi="仿宋" w:eastAsia="仿宋"/>
                <w:color w:val="000000"/>
                <w:sz w:val="28"/>
                <w:szCs w:val="28"/>
              </w:rPr>
              <w:t xml:space="preserve">t.cn/</w:t>
            </w:r>
            <w:r>
              <w:rPr>
                <w:rFonts w:ascii="仿宋" w:hAnsi="仿宋" w:eastAsia="仿宋"/>
                <w:color w:val="000000"/>
                <w:sz w:val="28"/>
                <w:szCs w:val="28"/>
              </w:rPr>
              <w:fldChar w:fldCharType="end"/>
            </w:r>
            <w:r>
              <w:rPr>
                <w:rFonts w:ascii="仿宋" w:hAnsi="仿宋" w:eastAsia="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特别说明：政府采购客户端工具需要导出加密的投标文件（后缀名为zip）。投标文件不得超过350M！                         </w:t>
            </w:r>
            <w:r>
              <w:rPr>
                <w:rFonts w:ascii="仿宋" w:hAnsi="仿宋" w:eastAsia="仿宋"/>
                <w:b/>
                <w:bCs/>
                <w:color w:val="000000"/>
                <w:sz w:val="28"/>
                <w:szCs w:val="28"/>
              </w:rPr>
              <w:t xml:space="preserve">技术支持</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如有疑问，请联系客服人员。（工作时间：法定工作日9:00-17:00）</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进入政府采购交易系统，遇到任何问题，请联系政府采购富深系统技术支持。</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政府采购富深系统技术支持联系方式：</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QQ：930120676、460623709、80502162、455640644、469287724</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电话：0516-67669051 、0516-67669158</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附：</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① 江苏省政府采购管理交易系统（苏采云）供应商操作手册及政府采购客户端：</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http://czj.xz.gov.cn/Home/HomeDetails?type=13&amp;articleid=a5520682-d9b1-4ff4-b46c-e9a09d1c7d08</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② 供应商报名和标书制作：</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http://czj.xz.gov.cn/Home/HomeDetails?type=13&amp;articleid=1d984549-f767-40c7-8647-cbbd55af52da</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③ 供应商开标视频流程：</w:t>
            </w:r>
            <w:r/>
          </w:p>
          <w:p>
            <w:pPr>
              <w:pStyle w:val="734"/>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http://czj.xz.gov.cn/Home/HomeDetails?type=13&amp;articleid=9614c442-efd2-44c4-9b6f-2aed99840c8e</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8363" w:type="dxa"/>
            <w:textDirection w:val="lrTb"/>
            <w:noWrap w:val="false"/>
          </w:tcPr>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线上投标文件编制要求：</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请按照以下要求（包括但不限于以下要求）制作：</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一、《承诺函》。要求加盖电子签章，格式见本文件第七章《投标文件相关格式》。</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二、《法定代表人授权书》。要求加盖电子签章，格式见本文件第七章《投标文件相关格式》。</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三、价格部分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(一)《开标一览表》。要求加盖电子签章，格式见本文件第七章《投标文件相关格式》</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四、投标人应当提交的资格、资信证明文件（1-</w:t>
            </w:r>
            <w:r>
              <w:rPr>
                <w:rFonts w:ascii="仿宋" w:hAnsi="仿宋" w:eastAsia="仿宋"/>
                <w:color w:val="000000"/>
                <w:sz w:val="28"/>
                <w:szCs w:val="28"/>
                <w:lang w:val="en-US" w:eastAsia="zh-CN"/>
              </w:rPr>
              <w:t xml:space="preserve">6</w:t>
            </w:r>
            <w:r>
              <w:rPr>
                <w:rFonts w:ascii="仿宋" w:hAnsi="仿宋" w:eastAsia="仿宋"/>
                <w:color w:val="000000"/>
                <w:sz w:val="28"/>
                <w:szCs w:val="28"/>
              </w:rPr>
              <w:t xml:space="preserve">必须提供，否则投标无效）。</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（一）满足《中华人民共和国政府采购法》第二十二条规定；</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rPr>
              <w:t xml:space="preserve">(一)投标人合法有效的法人的营业执照扫描件，或事业单位法人证书扫描件，或民办非企业单位登记证书</w:t>
            </w:r>
            <w:r>
              <w:rPr>
                <w:rFonts w:ascii="仿宋" w:hAnsi="仿宋" w:eastAsia="仿宋"/>
                <w:color w:val="000000"/>
                <w:sz w:val="28"/>
                <w:szCs w:val="28"/>
                <w:lang w:eastAsia="zh-CN"/>
              </w:rPr>
              <w:t xml:space="preserve">。</w:t>
            </w:r>
            <w:r>
              <w:rPr>
                <w:rFonts w:ascii="仿宋" w:hAnsi="仿宋" w:eastAsia="仿宋"/>
                <w:color w:val="000000"/>
                <w:sz w:val="28"/>
                <w:szCs w:val="28"/>
              </w:rPr>
              <w:t xml:space="preserve">以支公司（分公司）参与投标的，以支（分）公司营业执照上列示的负责人等代表支（分）公司的负责同志授权即属有效授权。以上原件扫描上传并加盖电子签章。</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2.财务状况报告，提供：投标人的本项目开标时间前6个月内任一时间截点的资产负债表和利润表月报表的扫描件1份或提供供应商上</w:t>
            </w:r>
            <w:r>
              <w:rPr>
                <w:rFonts w:ascii="仿宋" w:hAnsi="仿宋" w:eastAsia="仿宋"/>
                <w:color w:val="000000"/>
                <w:sz w:val="28"/>
                <w:szCs w:val="28"/>
                <w:lang w:eastAsia="zh-CN"/>
              </w:rPr>
              <w:t xml:space="preserve">一</w:t>
            </w:r>
            <w:r>
              <w:rPr>
                <w:rFonts w:ascii="仿宋" w:hAnsi="仿宋" w:eastAsia="仿宋"/>
                <w:color w:val="000000"/>
                <w:sz w:val="28"/>
                <w:szCs w:val="28"/>
              </w:rPr>
              <w:t xml:space="preserve">年度财务审计报告或供应商的本项目开标时间前6个月内银行出具的资信证明扫描件。</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4.提供具备履行合同所必需的设备和专业技术能力的书面声明（格式见招标文件第七章《投标文件相关格式》）。</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5.供应商参加政府采购活动前3年内在经营活动中没有重大违法记录的书面声明（加盖电子签章，格式见招标文件第七章《投标文件相关格式》）。</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rPr>
              <w:t xml:space="preserve">6.投标人具有江苏省内政策性农业保险经营资质。</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五、技术部分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要求见本文件第四章《评标标准》及第六章《采购需求》。</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(一)评分细则中评分得分需提供的相关证明文件</w:t>
            </w:r>
            <w:r>
              <w:rPr>
                <w:rFonts w:ascii="仿宋" w:hAnsi="仿宋" w:eastAsia="仿宋"/>
                <w:color w:val="000000"/>
                <w:sz w:val="28"/>
                <w:szCs w:val="28"/>
                <w:lang w:eastAsia="zh-CN"/>
              </w:rPr>
              <w:t xml:space="preserve">按要求</w:t>
            </w:r>
            <w:r>
              <w:rPr>
                <w:rFonts w:ascii="仿宋" w:hAnsi="仿宋" w:eastAsia="仿宋"/>
                <w:color w:val="000000"/>
                <w:sz w:val="28"/>
                <w:szCs w:val="28"/>
              </w:rPr>
              <w:t xml:space="preserve">扫描上传。</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六、《偏离表》。要求加盖电子签章，格式见本文件第七章《投标文件相关格式》。</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七、商务部分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要求见本文件第四章《评标标准》。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二）投标人提供的货物全部由符合政策要求的中小企业承接的，提供《中小企业声明函》（加盖电子签章，填写完整。格式见招标文件第七章《投标文件相关格式》）。《中小企业声明函》查询渠道参考工业和信息化部发布的中小企业规模自测小程序。</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注：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（三）投标人认为需提供的其它证明文件。</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八、其他部分</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投标人《关于符合本国产品标准的声明函》（如有）（填写完整，加盖电子签章，格式见招标文件第七章《投标文件相关格式》）（请填写完整，如不填写完整或未按要求填写的，视为非本国产品）。</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本国产品应当符合以下条件：</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（一）在中国境内生产</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产品应当在中国境内生产，即在中华人民共和国关境内实现从原材料、组件到产品的属性改变。</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属性改变是指经过制造、加工或者组装等工序，产生完全不同于原材料、组件的新产品，并具有新的名称和特征（用途）。属性改变不包括以下细微操作：</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1.为确保产品在运输或者储存期间保持某种状态而进行的操作；</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2.为产品运输或者销售进行的包装或者展示；</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3.在产品或者其包装上粘贴或者印刷品牌、标志、标识以及其他用于区别的标记；</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4.简单的上漆、磨光和分装；</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5.其他不属于属性改变的情形。</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（二）在中国境内生产的组件成本占比达到规定比例</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产品在中国境内生产的组件成本占比应当达到规定比例，计算公式为：</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mc:AlternateContent>
                <mc:Choice Requires="wpg">
                  <w:drawing>
                    <wp:inline xmlns:wp="http://schemas.openxmlformats.org/drawingml/2006/wordprocessingDrawing" distT="0" distB="0" distL="0" distR="0">
                      <wp:extent cx="3381375" cy="695325"/>
                      <wp:effectExtent l="0" t="0" r="952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6.2pt;height:54.8pt;mso-wrap-distance-left:0.0pt;mso-wrap-distance-top:0.0pt;mso-wrap-distance-right:0.0pt;mso-wrap-distance-bottom:0.0pt;" stroked="f">
                      <v:path textboxrect="0,0,0,0"/>
                      <v:imagedata r:id="rId14" o:title=""/>
                    </v:shape>
                  </w:pict>
                </mc:Fallback>
              </mc:AlternateConten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（三）特定产品的关键组件、关键工序符合相关要求</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本国产品标准的适用范围</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对本国产品的支持政策</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具体以《国务院办公厅关于在政府采购中实施本国产品标准及相关政策的通知》（国办发〔2025〕34号）规定为准。</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注：中国境内生产的组件成本核算基本规则</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1.产品的一级组件是指直接组成产品的组件。产品的二级组件是指直接组成产品一级组件的组件。一级组件不可分解的，视同二级组件。</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2.二级组件在中国境内生产的，其全部成本计入中国境内生产的组件成本；二级组件不在中国境内生产的，其成本不计入中国境内生产的组件成本。</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3.产品总成本和组件成本以相关会计核算数据、采购合同、进货记录等为基础进行计算。</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4.需要对成本核算规则予以进一步明确的其他有关事项，由财政部会同有关部门另行规定。</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九、价格折扣文件格式：无</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注：</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1.投标人应对以上文件的合法性、真实性负责。</w:t>
            </w:r>
            <w:r/>
          </w:p>
          <w:p>
            <w:pPr>
              <w:pStyle w:val="734"/>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2.签订合同前，中标人必须向采购人提交其投标文件中所有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查询及使用供应商信用记录：</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⑴由采购代理机构(或者采购人)查询信用信息。</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⑵查询渠道包括：</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①“信用中国”网（</w:t>
            </w:r>
            <w:r>
              <w:fldChar w:fldCharType="begin"/>
            </w:r>
            <w:r>
              <w:instrText xml:space="preserve"> HYPERLINK "http://www.creditchina.gov.cn/" \o "http://www.creditchina.gov.cn/" </w:instrText>
            </w:r>
            <w:r>
              <w:fldChar w:fldCharType="separate"/>
            </w:r>
            <w:r>
              <w:rPr>
                <w:rFonts w:ascii="仿宋" w:hAnsi="仿宋" w:eastAsia="仿宋"/>
                <w:color w:val="000000"/>
                <w:sz w:val="28"/>
                <w:szCs w:val="28"/>
              </w:rPr>
              <w:t xml:space="preserve">www.creditchina.gov.cn</w:t>
            </w:r>
            <w:r>
              <w:rPr>
                <w:rFonts w:ascii="仿宋" w:hAnsi="仿宋" w:eastAsia="仿宋"/>
                <w:color w:val="000000"/>
                <w:sz w:val="28"/>
                <w:szCs w:val="28"/>
              </w:rPr>
              <w:fldChar w:fldCharType="end"/>
            </w:r>
            <w:r>
              <w:rPr>
                <w:rFonts w:ascii="仿宋" w:hAnsi="仿宋" w:eastAsia="仿宋"/>
                <w:color w:val="000000"/>
                <w:sz w:val="28"/>
                <w:szCs w:val="28"/>
              </w:rPr>
              <w:t xml:space="preserve">）；</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②“中国政府采购”网（</w:t>
            </w:r>
            <w:r>
              <w:fldChar w:fldCharType="begin"/>
            </w:r>
            <w:r>
              <w:instrText xml:space="preserve"> HYPERLINK "http://www.ccgp.gov.cn/" \o "http://www.ccgp.gov.cn/" </w:instrText>
            </w:r>
            <w:r>
              <w:fldChar w:fldCharType="separate"/>
            </w:r>
            <w:r>
              <w:rPr>
                <w:rFonts w:ascii="仿宋" w:hAnsi="仿宋" w:eastAsia="仿宋"/>
                <w:color w:val="000000"/>
                <w:sz w:val="28"/>
                <w:szCs w:val="28"/>
              </w:rPr>
              <w:t xml:space="preserve">www.ccgp.gov.cn</w:t>
            </w:r>
            <w:r>
              <w:rPr>
                <w:rFonts w:ascii="仿宋" w:hAnsi="仿宋" w:eastAsia="仿宋"/>
                <w:color w:val="000000"/>
                <w:sz w:val="28"/>
                <w:szCs w:val="28"/>
              </w:rPr>
              <w:fldChar w:fldCharType="end"/>
            </w:r>
            <w:r>
              <w:rPr>
                <w:rFonts w:ascii="仿宋" w:hAnsi="仿宋" w:eastAsia="仿宋"/>
                <w:color w:val="000000"/>
                <w:sz w:val="28"/>
                <w:szCs w:val="28"/>
              </w:rPr>
              <w:t xml:space="preserve">）；</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③“诚信江苏”网（http://jscredit.gov.cn）；</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④“诚信徐州”网（ </w:t>
            </w:r>
            <w:r>
              <w:fldChar w:fldCharType="begin"/>
            </w:r>
            <w:r>
              <w:instrText xml:space="preserve"> HYPERLINK "http://www.xuzhoucredit.gov.cn/" \o "http://www.xuzhoucredit.gov.cn/" </w:instrText>
            </w:r>
            <w:r>
              <w:fldChar w:fldCharType="separate"/>
            </w:r>
            <w:r>
              <w:rPr>
                <w:rFonts w:ascii="仿宋" w:hAnsi="仿宋" w:eastAsia="仿宋"/>
                <w:color w:val="000000"/>
                <w:sz w:val="28"/>
                <w:szCs w:val="28"/>
              </w:rPr>
              <w:t xml:space="preserve">http://www.xuzhoucredit.gov.cn</w:t>
            </w:r>
            <w:r>
              <w:rPr>
                <w:rFonts w:ascii="仿宋" w:hAnsi="仿宋" w:eastAsia="仿宋"/>
                <w:color w:val="000000"/>
                <w:sz w:val="28"/>
                <w:szCs w:val="28"/>
              </w:rPr>
              <w:fldChar w:fldCharType="end"/>
            </w:r>
            <w:r>
              <w:rPr>
                <w:rFonts w:ascii="仿宋" w:hAnsi="仿宋" w:eastAsia="仿宋"/>
                <w:color w:val="000000"/>
                <w:sz w:val="28"/>
                <w:szCs w:val="28"/>
              </w:rPr>
              <w:t xml:space="preserve">）；</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⑤“江苏省政府采购信用评价系统”。</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⑶截止时点（查询环节）：评标结束前。</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⑷信用信息查询记录和证据留存的具体方式：</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网页截屏打印，与其他采购文件一并保存。</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⑸信用信息的使用规则：</w:t>
            </w:r>
            <w:r/>
          </w:p>
          <w:p>
            <w:pPr>
              <w:pStyle w:val="734"/>
              <w:pageBreakBefore w:val="0"/>
              <w:spacing w:line="559" w:lineRule="exact"/>
              <w:rPr>
                <w:rFonts w:ascii="仿宋" w:hAnsi="仿宋" w:eastAsia="仿宋"/>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34"/>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rPr>
              <w:t xml:space="preserve">供应商信用评价结果参考期限从项目开标之日前三年起算，具体按照《江苏省政府采购信用管理暂行办法》（苏财规[2018]18号）执行。</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w:t>
            </w:r>
            <w:r/>
          </w:p>
        </w:tc>
        <w:tc>
          <w:tcPr>
            <w:tcW w:w="8363" w:type="dxa"/>
            <w:textDirection w:val="lrTb"/>
            <w:noWrap w:val="false"/>
          </w:tcPr>
          <w:p>
            <w:pPr>
              <w:pStyle w:val="734"/>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商务条件见：</w:t>
            </w:r>
            <w:r/>
          </w:p>
          <w:p>
            <w:pPr>
              <w:pStyle w:val="734"/>
              <w:pageBreakBefore w:val="0"/>
              <w:spacing w:line="560" w:lineRule="exact"/>
              <w:widowControl/>
              <w:rPr>
                <w:rFonts w:ascii="仿宋" w:hAnsi="仿宋" w:eastAsia="仿宋"/>
                <w:bCs/>
                <w:color w:val="000000"/>
                <w:sz w:val="28"/>
                <w:szCs w:val="28"/>
              </w:rPr>
            </w:pPr>
            <w:r>
              <w:rPr>
                <w:rFonts w:ascii="仿宋" w:hAnsi="仿宋" w:eastAsia="仿宋"/>
                <w:color w:val="000000"/>
                <w:sz w:val="28"/>
                <w:szCs w:val="28"/>
              </w:rPr>
              <w:t xml:space="preserve">一、本文件第四章《评标标准》中《评分细则》。</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w:t>
            </w:r>
            <w:r/>
          </w:p>
        </w:tc>
        <w:tc>
          <w:tcPr>
            <w:tcW w:w="8363" w:type="dxa"/>
            <w:textDirection w:val="lrTb"/>
            <w:noWrap w:val="false"/>
          </w:tcPr>
          <w:p>
            <w:pPr>
              <w:pStyle w:val="734"/>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交货和提供服务的时间：见本文件第五章《拟签订的合同文本》及或本文件第六章《采购需求》。</w:t>
            </w:r>
            <w:r/>
          </w:p>
        </w:tc>
      </w:tr>
      <w:tr>
        <w:trPr>
          <w:trHeight w:val="90"/>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p>
        </w:tc>
        <w:tc>
          <w:tcPr>
            <w:tcW w:w="8363" w:type="dxa"/>
            <w:textDirection w:val="lrTb"/>
            <w:noWrap w:val="false"/>
          </w:tcPr>
          <w:p>
            <w:pPr>
              <w:pStyle w:val="734"/>
              <w:pageBreakBefore w:val="0"/>
              <w:spacing w:line="560" w:lineRule="exact"/>
              <w:rPr>
                <w:rFonts w:ascii="仿宋" w:hAnsi="仿宋" w:eastAsia="仿宋"/>
                <w:color w:val="ff0000"/>
                <w:sz w:val="28"/>
                <w:szCs w:val="28"/>
              </w:rPr>
            </w:pPr>
            <w:r>
              <w:rPr>
                <w:rFonts w:ascii="仿宋" w:hAnsi="仿宋" w:eastAsia="仿宋"/>
                <w:bCs/>
                <w:color w:val="000000"/>
                <w:sz w:val="28"/>
                <w:szCs w:val="28"/>
              </w:rPr>
              <w:t xml:space="preserve">本项目采购预算金额</w:t>
            </w:r>
            <w:r>
              <w:rPr>
                <w:rFonts w:ascii="仿宋" w:hAnsi="仿宋" w:eastAsia="仿宋"/>
                <w:color w:val="000000"/>
                <w:sz w:val="28"/>
                <w:szCs w:val="28"/>
              </w:rPr>
              <w:t xml:space="preserve">:</w:t>
            </w:r>
            <w:r>
              <w:rPr>
                <w:rFonts w:hint="eastAsia" w:ascii="仿宋" w:hAnsi="仿宋" w:eastAsia="仿宋"/>
                <w:b/>
                <w:bCs/>
                <w:color w:val="000000"/>
                <w:sz w:val="28"/>
                <w:szCs w:val="28"/>
              </w:rPr>
              <w:t xml:space="preserve">本项目预算金额约为</w:t>
            </w:r>
            <w:r>
              <w:rPr>
                <w:rFonts w:hint="eastAsia" w:ascii="仿宋" w:hAnsi="仿宋" w:eastAsia="仿宋"/>
                <w:b/>
                <w:bCs/>
                <w:color w:val="000000"/>
                <w:sz w:val="28"/>
                <w:szCs w:val="28"/>
                <w:lang w:val="en-US" w:eastAsia="zh-CN"/>
              </w:rPr>
              <w:t xml:space="preserve">18</w:t>
            </w:r>
            <w:r>
              <w:rPr>
                <w:rFonts w:hint="eastAsia" w:ascii="仿宋" w:hAnsi="仿宋" w:eastAsia="仿宋"/>
                <w:b/>
                <w:bCs/>
                <w:color w:val="000000"/>
                <w:sz w:val="28"/>
                <w:szCs w:val="28"/>
              </w:rPr>
              <w:t xml:space="preserve">000</w:t>
            </w:r>
            <w:r>
              <w:rPr>
                <w:rFonts w:hint="eastAsia" w:ascii="仿宋" w:hAnsi="仿宋" w:eastAsia="仿宋"/>
                <w:b/>
                <w:bCs/>
                <w:color w:val="000000"/>
                <w:sz w:val="28"/>
                <w:szCs w:val="28"/>
                <w:lang w:val="en-US" w:eastAsia="zh-CN"/>
              </w:rPr>
              <w:t xml:space="preserve">万元(仅作为系统填报使用，不作为中标金额。因项目中标供应商为3家，请各投标人在苏采云系统“开标一览表”里填“6000”万元。)</w:t>
            </w:r>
            <w:r>
              <w:rPr>
                <w:rFonts w:hint="eastAsia" w:ascii="仿宋" w:hAnsi="仿宋" w:eastAsia="仿宋"/>
                <w:b/>
                <w:bCs/>
                <w:color w:val="000000"/>
                <w:sz w:val="28"/>
                <w:szCs w:val="28"/>
                <w:highlight w:val="none"/>
                <w:lang w:eastAsia="zh-CN"/>
              </w:rPr>
              <w:t xml:space="preserve">。</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w:t>
            </w:r>
            <w:r/>
          </w:p>
        </w:tc>
        <w:tc>
          <w:tcPr>
            <w:tcW w:w="8363" w:type="dxa"/>
            <w:textDirection w:val="lrTb"/>
            <w:noWrap w:val="false"/>
          </w:tcPr>
          <w:p>
            <w:pPr>
              <w:pStyle w:val="734"/>
              <w:pageBreakBefore w:val="0"/>
              <w:spacing w:line="560" w:lineRule="exact"/>
              <w:rPr>
                <w:rFonts w:hint="eastAsia" w:ascii="仿宋" w:hAnsi="仿宋" w:eastAsia="仿宋"/>
                <w:color w:val="000000"/>
                <w:sz w:val="28"/>
                <w:szCs w:val="28"/>
                <w:lang w:eastAsia="zh-CN"/>
              </w:rPr>
            </w:pPr>
            <w:r>
              <w:rPr>
                <w:rFonts w:ascii="仿宋" w:hAnsi="仿宋" w:eastAsia="仿宋"/>
                <w:b/>
                <w:bCs/>
                <w:color w:val="ff0000"/>
                <w:sz w:val="28"/>
                <w:szCs w:val="28"/>
                <w:highlight w:val="none"/>
              </w:rPr>
              <w:t xml:space="preserve">以人民币报价</w:t>
            </w:r>
            <w:r>
              <w:rPr>
                <w:rFonts w:hint="eastAsia" w:ascii="仿宋" w:hAnsi="仿宋" w:eastAsia="仿宋"/>
                <w:b/>
                <w:bCs/>
                <w:color w:val="ff0000"/>
                <w:sz w:val="28"/>
                <w:szCs w:val="28"/>
                <w:highlight w:val="none"/>
                <w:lang w:eastAsia="zh-CN"/>
              </w:rPr>
              <w:t xml:space="preserve">，本项价格仅作为系统填报用，请各投标人在苏采云系统“开标一览表”里填“</w:t>
            </w:r>
            <w:r>
              <w:rPr>
                <w:rFonts w:hint="eastAsia" w:ascii="仿宋" w:hAnsi="仿宋" w:eastAsia="仿宋"/>
                <w:b/>
                <w:bCs/>
                <w:color w:val="ff0000"/>
                <w:sz w:val="28"/>
                <w:szCs w:val="28"/>
                <w:highlight w:val="none"/>
                <w:lang w:val="en-US" w:eastAsia="zh-CN"/>
              </w:rPr>
              <w:t xml:space="preserve">6000</w:t>
            </w:r>
            <w:r>
              <w:rPr>
                <w:rFonts w:hint="eastAsia" w:ascii="仿宋" w:hAnsi="仿宋" w:eastAsia="仿宋"/>
                <w:b/>
                <w:bCs/>
                <w:color w:val="ff0000"/>
                <w:sz w:val="28"/>
                <w:szCs w:val="28"/>
                <w:highlight w:val="none"/>
                <w:lang w:eastAsia="zh-CN"/>
              </w:rPr>
              <w:t xml:space="preserve">”万元。</w:t>
            </w:r>
            <w:r/>
          </w:p>
        </w:tc>
      </w:tr>
      <w:tr>
        <w:trPr/>
        <w:tc>
          <w:tcPr>
            <w:tcW w:w="1560" w:type="dxa"/>
            <w:textDirection w:val="lrTb"/>
            <w:noWrap w:val="false"/>
          </w:tcPr>
          <w:p>
            <w:pPr>
              <w:pStyle w:val="734"/>
              <w:jc w:val="center"/>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（十五）</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线上要求：</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特别说明：投标人通过“苏采云”系统提交政府采购客户端工具导出加密的投标文件（后缀名为zip）。投标文件不得超过350M！</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说明：供应商投标文件从政府采购客户端工具制作通过“苏采云”系统提交。 </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线上投标文件的密封、签署、盖章要求：</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一、投标文件的密封（加密）要求：</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二、投标文件的签署要求：见招标文件第七章《投标文件相关格式》。</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w:t>
            </w:r>
            <w:r/>
          </w:p>
          <w:p>
            <w:pPr>
              <w:pStyle w:val="73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未进行线上投标并解密(因“苏采云”系统导致解密失败的除外)的，所导致的一切后果均由投标人承担。</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四、投标文件的签署要求：见招标文件第七章《投标文件相关格式》。</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五、投标文件的盖章要求：见招标文件第三章《投标资料表》和招标文件第七章《投标文件相关格式》。</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说明：投标人应凭CA数字证书以及自备的能够登录“苏采云”系统的笔记本电脑，在达到开标时间后，使用CA数字证书解密各自投标文件。</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投标人未按规定加密的投标文件，“苏采云”系统应当拒收并提示。</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投标人应在提交投标文件的截止时间前，将电子投标文件上传系统。</w:t>
            </w:r>
            <w:r/>
          </w:p>
        </w:tc>
      </w:tr>
      <w:tr>
        <w:trPr>
          <w:trHeight w:val="90"/>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（十八）</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电子投标文件应由其法定代表人或法定代表人授权代表在规定的网上投标时间内，凭 CA 证书登陆“苏采云”系统平台在线编制投标文件（电子数据），并在投标截止时间之前上传投标文件。在达到开标时间后，使用CA数字证书解密各自投标文件。</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(十九)</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开标地点：苏采云”系统“开标大厅”或进入徐州政府采购网--业务工作--用户登录，点击“苏采云”进入系统“开标大厅”。</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招标文件规定的需要公示的内容：投标人名称、投标价格。</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评标</w:t>
            </w:r>
            <w:r/>
          </w:p>
        </w:tc>
      </w:tr>
      <w:tr>
        <w:trPr>
          <w:trHeight w:val="90"/>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(二十一)</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采用综合评分法。</w:t>
            </w:r>
            <w:r/>
          </w:p>
        </w:tc>
      </w:tr>
      <w:tr>
        <w:trPr>
          <w:trHeight w:val="1862"/>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(二十二)</w:t>
            </w:r>
            <w:r/>
          </w:p>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(二十三)</w:t>
            </w:r>
            <w:r/>
          </w:p>
        </w:tc>
        <w:tc>
          <w:tcPr>
            <w:tcW w:w="8363" w:type="dxa"/>
            <w:textDirection w:val="lrTb"/>
            <w:noWrap w:val="false"/>
          </w:tcPr>
          <w:p>
            <w:pPr>
              <w:pStyle w:val="734"/>
              <w:ind w:left="560" w:hanging="560"/>
              <w:pageBreakBefore w:val="0"/>
              <w:spacing w:line="560" w:lineRule="exact"/>
              <w:rPr>
                <w:rFonts w:ascii="仿宋" w:hAnsi="仿宋" w:eastAsia="仿宋"/>
                <w:color w:val="000000"/>
                <w:sz w:val="28"/>
                <w:szCs w:val="28"/>
                <w:highlight w:val="yellow"/>
              </w:rPr>
            </w:pPr>
            <w:r>
              <w:rPr>
                <w:rFonts w:ascii="仿宋" w:hAnsi="仿宋" w:eastAsia="仿宋"/>
                <w:color w:val="000000"/>
                <w:sz w:val="28"/>
                <w:szCs w:val="28"/>
              </w:rPr>
              <w:t xml:space="preserve">一、推荐中标候选供应商名单。</w:t>
            </w:r>
            <w:r>
              <w:rPr>
                <w:rFonts w:ascii="仿宋" w:hAnsi="仿宋" w:eastAsia="仿宋"/>
                <w:b/>
                <w:bCs/>
                <w:color w:val="000000"/>
                <w:sz w:val="28"/>
                <w:szCs w:val="28"/>
                <w:highlight w:val="none"/>
              </w:rPr>
              <w:t xml:space="preserve">中标候选供应商</w:t>
            </w:r>
            <w:r>
              <w:rPr>
                <w:rFonts w:hint="eastAsia" w:ascii="仿宋" w:hAnsi="仿宋" w:eastAsia="仿宋"/>
                <w:b/>
                <w:bCs/>
                <w:color w:val="000000"/>
                <w:sz w:val="28"/>
                <w:szCs w:val="28"/>
                <w:highlight w:val="none"/>
                <w:lang w:eastAsia="zh-CN"/>
              </w:rPr>
              <w:t xml:space="preserve">数量为</w:t>
            </w:r>
            <w:r>
              <w:rPr>
                <w:rFonts w:hint="eastAsia" w:ascii="仿宋" w:hAnsi="仿宋" w:eastAsia="仿宋"/>
                <w:b/>
                <w:bCs/>
                <w:color w:val="000000"/>
                <w:sz w:val="28"/>
                <w:szCs w:val="28"/>
                <w:highlight w:val="none"/>
                <w:lang w:val="en-US" w:eastAsia="zh-CN"/>
              </w:rPr>
              <w:t xml:space="preserve">3名</w:t>
            </w:r>
            <w:r>
              <w:rPr>
                <w:rFonts w:ascii="仿宋" w:hAnsi="仿宋" w:eastAsia="仿宋"/>
                <w:color w:val="000000"/>
                <w:sz w:val="28"/>
                <w:szCs w:val="28"/>
                <w:highlight w:val="none"/>
              </w:rPr>
              <w:t xml:space="preserve">。</w:t>
            </w:r>
            <w:r/>
          </w:p>
          <w:p>
            <w:pPr>
              <w:pStyle w:val="734"/>
              <w:ind w:left="560" w:hanging="560"/>
              <w:pageBreakBefore w:val="0"/>
              <w:spacing w:line="560" w:lineRule="exact"/>
              <w:rPr>
                <w:rFonts w:ascii="仿宋" w:hAnsi="仿宋" w:eastAsia="仿宋"/>
                <w:bCs/>
                <w:color w:val="000000"/>
                <w:sz w:val="28"/>
                <w:szCs w:val="28"/>
              </w:rPr>
            </w:pPr>
            <w:r>
              <w:rPr>
                <w:rFonts w:ascii="仿宋" w:hAnsi="仿宋" w:eastAsia="仿宋"/>
                <w:color w:val="000000"/>
                <w:sz w:val="28"/>
                <w:szCs w:val="28"/>
              </w:rPr>
              <w:t xml:space="preserve">二、</w:t>
            </w:r>
            <w:r>
              <w:rPr>
                <w:rFonts w:ascii="仿宋" w:hAnsi="仿宋" w:eastAsia="仿宋"/>
                <w:b/>
                <w:bCs/>
                <w:sz w:val="28"/>
                <w:szCs w:val="28"/>
              </w:rPr>
              <w:t xml:space="preserve">采用综合评分法的，按评审后得分由高到低顺序排列。得分相同的，按</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第四章 评标标准</w:t>
            </w:r>
            <w:r>
              <w:rPr>
                <w:rFonts w:hint="eastAsia" w:ascii="仿宋" w:hAnsi="仿宋" w:eastAsia="仿宋"/>
                <w:b/>
                <w:bCs/>
                <w:sz w:val="28"/>
                <w:szCs w:val="28"/>
                <w:lang w:eastAsia="zh-CN"/>
              </w:rPr>
              <w:t xml:space="preserve">”</w:t>
            </w:r>
            <w:r>
              <w:rPr>
                <w:rFonts w:hint="eastAsia" w:ascii="仿宋" w:hAnsi="仿宋" w:eastAsia="仿宋" w:cs="Times New Roman"/>
                <w:b/>
                <w:bCs/>
                <w:sz w:val="28"/>
                <w:szCs w:val="28"/>
              </w:rPr>
              <w:t xml:space="preserve">技术部分得分顺序排列</w:t>
            </w:r>
            <w:r>
              <w:rPr>
                <w:rFonts w:ascii="仿宋" w:hAnsi="仿宋" w:eastAsia="仿宋"/>
                <w:b/>
                <w:bCs/>
                <w:sz w:val="28"/>
                <w:szCs w:val="28"/>
              </w:rPr>
              <w:t xml:space="preserve">。</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政府采购合同</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采购人与中标、成交供应商应当在中标、成交通知书发出之日起30日内，按照采购文件确定的事项签订政府采购合同。</w:t>
            </w:r>
            <w:r/>
          </w:p>
        </w:tc>
      </w:tr>
      <w:tr>
        <w:trPr/>
        <w:tc>
          <w:tcPr>
            <w:gridSpan w:val="2"/>
            <w:tcW w:w="9923" w:type="dxa"/>
            <w:vAlign w:val="center"/>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（二十五） 履约保证金：无。</w:t>
            </w:r>
            <w:r/>
          </w:p>
        </w:tc>
      </w:tr>
      <w:tr>
        <w:trPr/>
        <w:tc>
          <w:tcPr>
            <w:tcW w:w="1560" w:type="dxa"/>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(二十六)</w:t>
            </w:r>
            <w:r/>
          </w:p>
        </w:tc>
        <w:tc>
          <w:tcPr>
            <w:tcW w:w="8363" w:type="dxa"/>
            <w:textDirection w:val="lrTb"/>
            <w:noWrap w:val="false"/>
          </w:tcPr>
          <w:p>
            <w:pPr>
              <w:pStyle w:val="734"/>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34"/>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2、供应商在法定质疑期内一次性提出针对同一采购程序环节的质疑。</w:t>
            </w:r>
            <w:r/>
          </w:p>
          <w:p>
            <w:pPr>
              <w:pStyle w:val="734"/>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代理机构质疑接收人：许先生</w:t>
            </w:r>
            <w:r>
              <w:rPr>
                <w:rFonts w:hint="eastAsia" w:ascii="仿宋" w:hAnsi="仿宋" w:eastAsia="仿宋"/>
                <w:color w:val="000000"/>
                <w:sz w:val="28"/>
                <w:szCs w:val="28"/>
                <w:highlight w:val="none"/>
                <w:lang w:val="en-US" w:eastAsia="zh-CN"/>
              </w:rPr>
              <w:t xml:space="preserve">  </w:t>
            </w:r>
            <w:r/>
          </w:p>
          <w:p>
            <w:pPr>
              <w:pStyle w:val="734"/>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lang w:val="en-US" w:eastAsia="zh-CN"/>
              </w:rPr>
              <w:t xml:space="preserve">  0516-68929578</w:t>
            </w:r>
            <w:r/>
          </w:p>
          <w:p>
            <w:pPr>
              <w:pStyle w:val="734"/>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贾汪区文化巷东首</w:t>
            </w:r>
            <w:r/>
          </w:p>
          <w:p>
            <w:pPr>
              <w:pStyle w:val="734"/>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采购人质疑接收人：权成 </w:t>
            </w:r>
            <w:r/>
          </w:p>
          <w:p>
            <w:pPr>
              <w:pStyle w:val="734"/>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联系电话：0516-68161922</w:t>
            </w:r>
            <w:r/>
          </w:p>
          <w:p>
            <w:pPr>
              <w:pStyle w:val="734"/>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江苏省徐州市贾汪区新城区府佐路C楼</w:t>
            </w:r>
            <w:r/>
          </w:p>
        </w:tc>
      </w:tr>
    </w:tbl>
    <w:p>
      <w:pPr>
        <w:pStyle w:val="734"/>
        <w:pageBreakBefore w:val="0"/>
        <w:spacing w:line="560" w:lineRule="exact"/>
        <w:widowControl/>
        <w:rPr>
          <w:rFonts w:ascii="仿宋" w:hAnsi="仿宋" w:eastAsia="仿宋"/>
          <w:b/>
          <w:bCs/>
          <w:color w:val="000000"/>
          <w:sz w:val="32"/>
          <w:szCs w:val="32"/>
        </w:rPr>
      </w:pPr>
      <w:r/>
      <w:bookmarkStart w:id="40" w:name="_Toc10308"/>
      <w:r/>
      <w:bookmarkStart w:id="41" w:name="_Toc18184"/>
      <w:r/>
      <w:bookmarkStart w:id="42" w:name="_Toc522790133"/>
      <w:r/>
      <w:r/>
    </w:p>
    <w:p>
      <w:pPr>
        <w:pStyle w:val="734"/>
        <w:numPr>
          <w:ilvl w:val="0"/>
          <w:numId w:val="0"/>
        </w:numPr>
        <w:ind w:firstLine="2891"/>
        <w:jc w:val="both"/>
        <w:pageBreakBefore w:val="0"/>
        <w:spacing w:line="560" w:lineRule="exact"/>
        <w:widowControl/>
        <w:rPr>
          <w:rFonts w:ascii="宋体" w:hAnsi="宋体"/>
          <w:b/>
          <w:bCs/>
          <w:color w:val="000000"/>
          <w:szCs w:val="21"/>
        </w:rPr>
      </w:pPr>
      <w:r>
        <w:rPr>
          <w:rFonts w:hint="eastAsia" w:ascii="仿宋" w:hAnsi="仿宋" w:eastAsia="仿宋"/>
          <w:b/>
          <w:bCs/>
          <w:color w:val="000000"/>
          <w:sz w:val="32"/>
          <w:szCs w:val="32"/>
          <w:lang w:eastAsia="zh-CN"/>
        </w:rPr>
        <w:t xml:space="preserve">第四章</w:t>
      </w:r>
      <w:r>
        <w:rPr>
          <w:rFonts w:ascii="仿宋" w:hAnsi="仿宋" w:eastAsia="仿宋"/>
          <w:b/>
          <w:bCs/>
          <w:color w:val="000000"/>
          <w:sz w:val="32"/>
          <w:szCs w:val="32"/>
        </w:rPr>
        <w:t xml:space="preserve"> </w:t>
      </w:r>
      <w:bookmarkStart w:id="43" w:name="_Toc9839"/>
      <w:r>
        <w:rPr>
          <w:rFonts w:ascii="仿宋" w:hAnsi="仿宋" w:eastAsia="仿宋"/>
          <w:b/>
          <w:bCs/>
          <w:color w:val="000000"/>
          <w:sz w:val="32"/>
          <w:szCs w:val="32"/>
        </w:rPr>
        <w:t xml:space="preserve">评标标准</w:t>
      </w:r>
      <w:bookmarkEnd w:id="40"/>
      <w:r/>
      <w:bookmarkEnd w:id="41"/>
      <w:r/>
      <w:bookmarkEnd w:id="42"/>
      <w:r/>
      <w:bookmarkEnd w:id="43"/>
      <w:r/>
      <w:r/>
    </w:p>
    <w:p>
      <w:pPr>
        <w:pStyle w:val="736"/>
        <w:pageBreakBefore w:val="0"/>
        <w:spacing w:line="560" w:lineRule="exact"/>
        <w:rPr>
          <w:rFonts w:ascii="宋体" w:hAnsi="宋体"/>
          <w:b/>
          <w:bCs/>
          <w:color w:val="000000"/>
          <w:szCs w:val="21"/>
        </w:rPr>
      </w:pPr>
      <w:r>
        <w:rPr>
          <w:rFonts w:ascii="宋体" w:hAnsi="宋体"/>
          <w:b/>
          <w:bCs/>
          <w:color w:val="000000"/>
          <w:szCs w:val="21"/>
        </w:rPr>
        <w:t xml:space="preserve">本章说明：本项目采用综合评分法。</w:t>
      </w:r>
      <w:r/>
    </w:p>
    <w:tbl>
      <w:tblPr>
        <w:tblStyle w:val="730"/>
        <w:tblW w:w="9042" w:type="dxa"/>
        <w:jc w:val="center"/>
        <w:tblLayout w:type="fixed"/>
        <w:tblCellMar>
          <w:left w:w="64" w:type="dxa"/>
          <w:top w:w="32" w:type="dxa"/>
          <w:right w:w="64" w:type="dxa"/>
          <w:bottom w:w="32" w:type="dxa"/>
        </w:tblCellMar>
        <w:tblLook w:val="04A0" w:firstRow="1" w:lastRow="0" w:firstColumn="1" w:lastColumn="0" w:noHBand="0" w:noVBand="1"/>
      </w:tblPr>
      <w:tblGrid>
        <w:gridCol w:w="423"/>
        <w:gridCol w:w="754"/>
        <w:gridCol w:w="1783"/>
        <w:gridCol w:w="6082"/>
      </w:tblGrid>
      <w:tr>
        <w:trPr>
          <w:jc w:val="center"/>
          <w:trHeight w:val="0"/>
          <w:tblHeader/>
        </w:trPr>
        <w:tc>
          <w:tcPr>
            <w:gridSpan w:val="3"/>
            <w:tcBorders>
              <w:top w:val="single" w:color="000000" w:sz="4" w:space="0"/>
              <w:left w:val="single" w:color="000000" w:sz="2" w:space="0"/>
              <w:bottom w:val="single" w:color="000000" w:sz="4" w:space="0"/>
              <w:right w:val="single" w:color="000000" w:sz="4" w:space="0"/>
            </w:tcBorders>
            <w:tcW w:w="2960" w:type="dxa"/>
            <w:vAlign w:val="center"/>
            <w:textDirection w:val="lrTb"/>
            <w:noWrap w:val="false"/>
          </w:tcPr>
          <w:p>
            <w:pPr>
              <w:jc w:val="center"/>
              <w:rPr>
                <w:rFonts w:hint="eastAsia" w:ascii="宋体" w:hAnsi="宋体" w:eastAsia="宋体" w:cs="宋体"/>
                <w:b w:val="0"/>
                <w:bCs/>
                <w:color w:val="000000"/>
                <w:sz w:val="21"/>
                <w:szCs w:val="20"/>
                <w:highlight w:val="none"/>
                <w:lang w:eastAsia="zh-CN"/>
              </w:rPr>
            </w:pPr>
            <w:r>
              <w:rPr>
                <w:rFonts w:hint="eastAsia" w:ascii="宋体" w:hAnsi="宋体" w:eastAsia="宋体" w:cs="宋体"/>
                <w:b w:val="0"/>
                <w:bCs/>
                <w:color w:val="000000"/>
                <w:sz w:val="21"/>
                <w:szCs w:val="20"/>
                <w:highlight w:val="none"/>
                <w:lang w:eastAsia="zh-CN"/>
              </w:rPr>
              <w:t xml:space="preserve">评审项目</w:t>
            </w:r>
            <w:r/>
          </w:p>
        </w:tc>
        <w:tc>
          <w:tcPr>
            <w:tcBorders>
              <w:top w:val="single" w:color="000000" w:sz="4" w:space="0"/>
              <w:left w:val="single" w:color="000000" w:sz="2" w:space="0"/>
              <w:bottom w:val="single" w:color="000000" w:sz="4" w:space="0"/>
              <w:right w:val="single" w:color="000000" w:sz="4" w:space="0"/>
            </w:tcBorders>
            <w:tcW w:w="6082" w:type="dxa"/>
            <w:vAlign w:val="center"/>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评审因素细化和量化</w:t>
            </w:r>
            <w:r/>
          </w:p>
        </w:tc>
      </w:tr>
      <w:tr>
        <w:trPr>
          <w:jc w:val="center"/>
          <w:trHeight w:val="0"/>
          <w:tblHeader/>
        </w:trPr>
        <w:tc>
          <w:tcPr>
            <w:tcBorders>
              <w:top w:val="single" w:color="000000" w:sz="2" w:space="0"/>
              <w:left w:val="single" w:color="000000" w:sz="2" w:space="0"/>
              <w:right w:val="single" w:color="000000" w:sz="4" w:space="0"/>
            </w:tcBorders>
            <w:tcW w:w="423" w:type="dxa"/>
            <w:vAlign w:val="center"/>
            <w:vMerge w:val="restart"/>
            <w:textDirection w:val="lrTb"/>
            <w:noWrap w:val="false"/>
          </w:tcPr>
          <w:p>
            <w:pPr>
              <w:jc w:val="center"/>
              <w:rPr>
                <w:rFonts w:hint="eastAsia" w:ascii="宋体" w:hAnsi="宋体" w:eastAsia="宋体" w:cs="宋体"/>
                <w:b w:val="0"/>
                <w:bCs/>
                <w:color w:val="000000"/>
                <w:sz w:val="21"/>
                <w:szCs w:val="20"/>
                <w:highlight w:val="none"/>
                <w:lang w:val="en-US" w:eastAsia="zh-CN"/>
              </w:rPr>
            </w:pPr>
            <w:r>
              <w:rPr>
                <w:rFonts w:hint="eastAsia" w:ascii="宋体" w:hAnsi="宋体" w:eastAsia="宋体" w:cs="宋体"/>
                <w:b w:val="0"/>
                <w:bCs/>
                <w:color w:val="000000"/>
                <w:sz w:val="21"/>
                <w:szCs w:val="20"/>
                <w:highlight w:val="none"/>
                <w:lang w:val="en-US" w:eastAsia="zh-CN"/>
              </w:rPr>
              <w:t xml:space="preserve">综合评审</w:t>
            </w:r>
            <w:r/>
          </w:p>
        </w:tc>
        <w:tc>
          <w:tcPr>
            <w:gridSpan w:val="2"/>
            <w:tcBorders>
              <w:top w:val="single" w:color="000000" w:sz="2" w:space="0"/>
              <w:left w:val="single" w:color="000000" w:sz="2" w:space="0"/>
              <w:bottom w:val="single" w:color="000000" w:sz="4" w:space="0"/>
              <w:right w:val="single" w:color="000000" w:sz="4" w:space="0"/>
            </w:tcBorders>
            <w:tcW w:w="2537" w:type="dxa"/>
            <w:vAlign w:val="center"/>
            <w:textDirection w:val="lrTb"/>
            <w:noWrap w:val="false"/>
          </w:tcPr>
          <w:p>
            <w:pPr>
              <w:pStyle w:val="731"/>
              <w:jc w:val="center"/>
              <w:rPr>
                <w:rFonts w:hint="eastAsia" w:ascii="宋体" w:eastAsia="宋体"/>
                <w:b w:val="0"/>
                <w:bCs/>
                <w:sz w:val="21"/>
                <w:highlight w:val="none"/>
                <w:lang w:eastAsia="zh-CN"/>
              </w:rPr>
            </w:pPr>
            <w:r>
              <w:rPr>
                <w:rFonts w:hint="eastAsia" w:ascii="宋体" w:hAnsi="宋体" w:eastAsia="宋体" w:cs="宋体"/>
                <w:b w:val="0"/>
                <w:bCs/>
                <w:color w:val="000000"/>
                <w:sz w:val="21"/>
                <w:szCs w:val="20"/>
                <w:highlight w:val="none"/>
                <w:lang w:eastAsia="zh-CN"/>
              </w:rPr>
              <w:t xml:space="preserve">价格部分（0分）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color w:val="000000"/>
                <w:sz w:val="21"/>
                <w:szCs w:val="20"/>
                <w:highlight w:val="none"/>
                <w:lang w:eastAsia="zh-CN"/>
              </w:rPr>
              <w:t xml:space="preserve">本项目价格不列为评审因素。</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color w:val="000000"/>
                <w:sz w:val="21"/>
                <w:szCs w:val="20"/>
                <w:highlight w:val="none"/>
                <w:lang w:val="en-US" w:eastAsia="zh-CN"/>
              </w:rPr>
            </w:pPr>
            <w:r>
              <w:rPr>
                <w:rFonts w:hint="eastAsia" w:ascii="宋体" w:hAnsi="宋体" w:eastAsia="宋体" w:cs="宋体"/>
                <w:b w:val="0"/>
                <w:bCs/>
                <w:color w:val="000000"/>
                <w:sz w:val="21"/>
                <w:szCs w:val="20"/>
                <w:highlight w:val="none"/>
                <w:lang w:val="en-US" w:eastAsia="zh-CN"/>
              </w:rPr>
            </w:r>
            <w:r/>
          </w:p>
        </w:tc>
        <w:tc>
          <w:tcPr>
            <w:tcBorders>
              <w:top w:val="single" w:color="000000" w:sz="2" w:space="0"/>
              <w:left w:val="single" w:color="000000" w:sz="2" w:space="0"/>
              <w:right w:val="single" w:color="000000" w:sz="4" w:space="0"/>
            </w:tcBorders>
            <w:tcW w:w="754" w:type="dxa"/>
            <w:vAlign w:val="center"/>
            <w:vMerge w:val="restart"/>
            <w:textDirection w:val="lrTb"/>
            <w:noWrap w:val="false"/>
          </w:tcPr>
          <w:p>
            <w:pPr>
              <w:jc w:val="center"/>
              <w:rPr>
                <w:rFonts w:hint="eastAsia" w:ascii="宋体" w:eastAsia="宋体" w:cs="宋体"/>
                <w:b w:val="0"/>
                <w:bCs/>
                <w:color w:val="000000"/>
                <w:sz w:val="21"/>
                <w:szCs w:val="20"/>
                <w:highlight w:val="none"/>
                <w:lang w:val="en-US" w:eastAsia="zh-CN"/>
              </w:rPr>
            </w:pPr>
            <w:r>
              <w:rPr>
                <w:rFonts w:hint="eastAsia" w:ascii="宋体" w:eastAsia="宋体" w:cs="宋体"/>
                <w:b w:val="0"/>
                <w:bCs/>
                <w:color w:val="000000"/>
                <w:sz w:val="21"/>
                <w:szCs w:val="20"/>
                <w:highlight w:val="none"/>
                <w:lang w:val="en-US" w:eastAsia="zh-CN"/>
              </w:rPr>
              <w:t xml:space="preserve">商务部分</w:t>
            </w:r>
            <w:r/>
          </w:p>
          <w:p>
            <w:pPr>
              <w:pStyle w:val="731"/>
              <w:rPr>
                <w:rFonts w:hint="eastAsia"/>
                <w:b w:val="0"/>
                <w:bCs/>
                <w:highlight w:val="none"/>
                <w:lang w:val="en-US" w:eastAsia="zh-CN"/>
              </w:rPr>
            </w:pPr>
            <w:r>
              <w:rPr>
                <w:rFonts w:hint="eastAsia" w:ascii="宋体" w:eastAsia="宋体" w:cs="宋体"/>
                <w:b w:val="0"/>
                <w:bCs/>
                <w:color w:val="000000"/>
                <w:sz w:val="21"/>
                <w:szCs w:val="20"/>
                <w:highlight w:val="none"/>
                <w:lang w:val="en-US" w:eastAsia="zh-CN"/>
              </w:rPr>
              <w:t xml:space="preserve">（20分）</w:t>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总公司偿付能力状况（8分）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center"/>
              <w:rPr>
                <w:b w:val="0"/>
                <w:bCs/>
                <w:highlight w:val="none"/>
              </w:rPr>
            </w:pPr>
            <w:r>
              <w:rPr>
                <w:rFonts w:hint="eastAsia" w:ascii="宋体" w:eastAsia="宋体" w:cs="宋体"/>
                <w:b w:val="0"/>
                <w:bCs/>
                <w:sz w:val="21"/>
                <w:szCs w:val="20"/>
                <w:highlight w:val="none"/>
                <w:lang w:eastAsia="zh-CN"/>
              </w:rPr>
              <w:t xml:space="preserve">提供投标人总公司经审计的202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年度偿付能力报告或保险监管部门下发的202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年度保险公司综合偿付能力文件（</w:t>
            </w:r>
            <w:r>
              <w:rPr>
                <w:rFonts w:hint="eastAsia" w:ascii="宋体" w:eastAsia="宋体" w:cs="宋体"/>
                <w:b w:val="0"/>
                <w:bCs/>
                <w:sz w:val="21"/>
                <w:szCs w:val="20"/>
                <w:highlight w:val="none"/>
                <w:lang w:val="en-US" w:eastAsia="zh-CN"/>
              </w:rPr>
              <w:t xml:space="preserve">提供原件扫描件</w:t>
            </w:r>
            <w:r>
              <w:rPr>
                <w:rFonts w:hint="eastAsia" w:ascii="宋体" w:eastAsia="宋体" w:cs="宋体"/>
                <w:b w:val="0"/>
                <w:bCs/>
                <w:sz w:val="21"/>
                <w:szCs w:val="20"/>
                <w:highlight w:val="none"/>
                <w:lang w:eastAsia="zh-CN"/>
              </w:rPr>
              <w:t xml:space="preserve">），202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年四季度末综合偿付能力充足率大于等于</w:t>
            </w:r>
            <w:r>
              <w:rPr>
                <w:rFonts w:hint="eastAsia" w:ascii="宋体" w:cs="宋体"/>
                <w:b w:val="0"/>
                <w:bCs/>
                <w:sz w:val="21"/>
                <w:szCs w:val="20"/>
                <w:highlight w:val="none"/>
                <w:lang w:val="en-US" w:eastAsia="zh-CN"/>
              </w:rPr>
              <w:t xml:space="preserve">30</w:t>
            </w:r>
            <w:r>
              <w:rPr>
                <w:rFonts w:hint="eastAsia" w:ascii="宋体" w:eastAsia="宋体" w:cs="宋体"/>
                <w:b w:val="0"/>
                <w:bCs/>
                <w:sz w:val="21"/>
                <w:szCs w:val="20"/>
                <w:highlight w:val="none"/>
                <w:lang w:eastAsia="zh-CN"/>
              </w:rPr>
              <w:t xml:space="preserve">0%的得8分，</w:t>
            </w:r>
            <w:r>
              <w:rPr>
                <w:rFonts w:hint="eastAsia" w:ascii="宋体" w:cs="宋体"/>
                <w:b w:val="0"/>
                <w:bCs/>
                <w:sz w:val="21"/>
                <w:szCs w:val="20"/>
                <w:highlight w:val="none"/>
                <w:lang w:val="en-US" w:eastAsia="zh-CN"/>
              </w:rPr>
              <w:t xml:space="preserve">30</w:t>
            </w:r>
            <w:r>
              <w:rPr>
                <w:rFonts w:hint="eastAsia" w:ascii="宋体" w:eastAsia="宋体" w:cs="宋体"/>
                <w:b w:val="0"/>
                <w:bCs/>
                <w:sz w:val="21"/>
                <w:szCs w:val="20"/>
                <w:highlight w:val="none"/>
                <w:lang w:eastAsia="zh-CN"/>
              </w:rPr>
              <w:t xml:space="preserve">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0%（含）得6分,2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0%-</w:t>
            </w:r>
            <w:r>
              <w:rPr>
                <w:rFonts w:hint="eastAsia" w:ascii="宋体" w:cs="宋体"/>
                <w:b w:val="0"/>
                <w:bCs/>
                <w:sz w:val="21"/>
                <w:szCs w:val="20"/>
                <w:highlight w:val="none"/>
                <w:lang w:val="en-US" w:eastAsia="zh-CN"/>
              </w:rPr>
              <w:t xml:space="preserve">20</w:t>
            </w:r>
            <w:r>
              <w:rPr>
                <w:rFonts w:hint="eastAsia" w:ascii="宋体" w:eastAsia="宋体" w:cs="宋体"/>
                <w:b w:val="0"/>
                <w:bCs/>
                <w:sz w:val="21"/>
                <w:szCs w:val="20"/>
                <w:highlight w:val="none"/>
                <w:lang w:eastAsia="zh-CN"/>
              </w:rPr>
              <w:t xml:space="preserve">0%（含）得4分，低于</w:t>
            </w:r>
            <w:r>
              <w:rPr>
                <w:rFonts w:hint="eastAsia" w:ascii="宋体" w:cs="宋体"/>
                <w:b w:val="0"/>
                <w:bCs/>
                <w:sz w:val="21"/>
                <w:szCs w:val="20"/>
                <w:highlight w:val="none"/>
                <w:lang w:val="en-US" w:eastAsia="zh-CN"/>
              </w:rPr>
              <w:t xml:space="preserve">20</w:t>
            </w:r>
            <w:r>
              <w:rPr>
                <w:rFonts w:hint="eastAsia" w:ascii="宋体" w:eastAsia="宋体" w:cs="宋体"/>
                <w:b w:val="0"/>
                <w:bCs/>
                <w:sz w:val="21"/>
                <w:szCs w:val="20"/>
                <w:highlight w:val="none"/>
                <w:lang w:eastAsia="zh-CN"/>
              </w:rPr>
              <w:t xml:space="preserve">0%的得2分。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总公司风险综合评级（8分）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color w:val="ff0000"/>
                <w:sz w:val="21"/>
                <w:szCs w:val="20"/>
                <w:highlight w:val="none"/>
                <w:lang w:eastAsia="zh-CN"/>
              </w:rPr>
            </w:pPr>
            <w:r>
              <w:rPr>
                <w:rFonts w:hint="eastAsia" w:ascii="宋体" w:hAnsi="宋体" w:eastAsia="宋体" w:cs="宋体"/>
                <w:b w:val="0"/>
                <w:bCs/>
                <w:sz w:val="21"/>
                <w:szCs w:val="20"/>
                <w:highlight w:val="none"/>
                <w:lang w:eastAsia="zh-CN"/>
              </w:rPr>
              <w:t xml:space="preserve">投标人总公司202</w:t>
            </w:r>
            <w:r>
              <w:rPr>
                <w:rFonts w:hint="eastAsia" w:ascii="宋体" w:hAnsi="宋体" w:cs="宋体"/>
                <w:b w:val="0"/>
                <w:bCs/>
                <w:sz w:val="21"/>
                <w:szCs w:val="20"/>
                <w:highlight w:val="none"/>
                <w:lang w:val="en-US" w:eastAsia="zh-CN"/>
              </w:rPr>
              <w:t xml:space="preserve">5</w:t>
            </w:r>
            <w:r>
              <w:rPr>
                <w:rFonts w:hint="eastAsia" w:ascii="宋体" w:hAnsi="宋体" w:eastAsia="宋体" w:cs="宋体"/>
                <w:b w:val="0"/>
                <w:bCs/>
                <w:sz w:val="21"/>
                <w:szCs w:val="20"/>
                <w:highlight w:val="none"/>
                <w:lang w:eastAsia="zh-CN"/>
              </w:rPr>
              <w:t xml:space="preserve">年四季度末的风险综合评级A类得8分，B得6分，C得4分，D类及以下得2分。投标人提供保险监管部门公布的202</w:t>
            </w:r>
            <w:r>
              <w:rPr>
                <w:rFonts w:hint="eastAsia" w:ascii="宋体" w:hAnsi="宋体" w:cs="宋体"/>
                <w:b w:val="0"/>
                <w:bCs/>
                <w:sz w:val="21"/>
                <w:szCs w:val="20"/>
                <w:highlight w:val="none"/>
                <w:lang w:val="en-US" w:eastAsia="zh-CN"/>
              </w:rPr>
              <w:t xml:space="preserve">5</w:t>
            </w:r>
            <w:r>
              <w:rPr>
                <w:rFonts w:hint="eastAsia" w:ascii="宋体" w:hAnsi="宋体" w:eastAsia="宋体" w:cs="宋体"/>
                <w:b w:val="0"/>
                <w:bCs/>
                <w:sz w:val="21"/>
                <w:szCs w:val="20"/>
                <w:highlight w:val="none"/>
                <w:lang w:eastAsia="zh-CN"/>
              </w:rPr>
              <w:t xml:space="preserve">年四季度风险综合评级结果</w:t>
            </w:r>
            <w:r>
              <w:rPr>
                <w:rFonts w:hint="eastAsia" w:ascii="宋体" w:hAnsi="宋体" w:eastAsia="宋体" w:cs="宋体"/>
                <w:b w:val="0"/>
                <w:bCs/>
                <w:sz w:val="21"/>
                <w:szCs w:val="20"/>
                <w:highlight w:val="none"/>
                <w:lang w:val="en-US" w:eastAsia="zh-CN"/>
              </w:rPr>
              <w:t xml:space="preserve">原件扫描件</w:t>
            </w:r>
            <w:r>
              <w:rPr>
                <w:rFonts w:hint="eastAsia" w:ascii="宋体" w:hAnsi="宋体" w:eastAsia="宋体" w:cs="宋体"/>
                <w:b w:val="0"/>
                <w:bCs/>
                <w:sz w:val="21"/>
                <w:szCs w:val="20"/>
                <w:highlight w:val="none"/>
                <w:lang w:eastAsia="zh-CN"/>
              </w:rPr>
              <w:t xml:space="preserve">，未按要求提供的不得分。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color w:val="000000"/>
                <w:sz w:val="21"/>
                <w:szCs w:val="20"/>
                <w:highlight w:val="none"/>
                <w:lang w:eastAsia="zh-CN"/>
              </w:rPr>
            </w:pPr>
            <w:r>
              <w:rPr>
                <w:rFonts w:hint="eastAsia" w:ascii="宋体" w:hAnsi="宋体" w:eastAsia="宋体" w:cs="宋体"/>
                <w:b w:val="0"/>
                <w:bCs/>
                <w:color w:val="000000"/>
                <w:sz w:val="21"/>
                <w:szCs w:val="20"/>
                <w:highlight w:val="none"/>
                <w:lang w:eastAsia="zh-CN"/>
              </w:rPr>
            </w:r>
            <w:r/>
          </w:p>
        </w:tc>
        <w:tc>
          <w:tcPr>
            <w:tcBorders>
              <w:left w:val="single" w:color="000000" w:sz="2"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color w:val="000000"/>
                <w:sz w:val="21"/>
                <w:szCs w:val="20"/>
                <w:highlight w:val="none"/>
                <w:lang w:eastAsia="zh-CN"/>
              </w:rPr>
            </w:pPr>
            <w:r>
              <w:rPr>
                <w:rFonts w:hint="eastAsia" w:ascii="宋体" w:hAnsi="宋体" w:eastAsia="宋体" w:cs="宋体"/>
                <w:b w:val="0"/>
                <w:bCs/>
                <w:color w:val="000000"/>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政策性农业保险承保经验（4分）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rPr>
                <w:rFonts w:hint="eastAsia"/>
                <w:b w:val="0"/>
                <w:bCs/>
                <w:highlight w:val="none"/>
                <w:lang w:eastAsia="zh-CN"/>
              </w:rPr>
            </w:pPr>
            <w:r>
              <w:rPr>
                <w:rFonts w:hint="eastAsia"/>
                <w:highlight w:val="none"/>
                <w:lang w:eastAsia="zh-CN"/>
              </w:rPr>
              <w:t xml:space="preserve">投标人提供自202</w:t>
            </w:r>
            <w:r>
              <w:rPr>
                <w:rFonts w:hint="eastAsia"/>
                <w:highlight w:val="none"/>
                <w:lang w:val="en-US" w:eastAsia="zh-CN"/>
              </w:rPr>
              <w:t xml:space="preserve">3</w:t>
            </w:r>
            <w:r>
              <w:rPr>
                <w:rFonts w:hint="eastAsia"/>
                <w:highlight w:val="none"/>
                <w:lang w:eastAsia="zh-CN"/>
              </w:rPr>
              <w:t xml:space="preserve">年1月以</w:t>
            </w:r>
            <w:r>
              <w:rPr>
                <w:rFonts w:hint="eastAsia"/>
                <w:highlight w:val="none"/>
                <w:lang w:val="en-US" w:eastAsia="zh-CN"/>
              </w:rPr>
              <w:t xml:space="preserve">来</w:t>
            </w:r>
            <w:r>
              <w:rPr>
                <w:rFonts w:hint="eastAsia"/>
                <w:highlight w:val="none"/>
                <w:lang w:eastAsia="zh-CN"/>
              </w:rPr>
              <w:t xml:space="preserve">的政策性农业保险服务协议（</w:t>
            </w:r>
            <w:r>
              <w:rPr>
                <w:rFonts w:hint="eastAsia"/>
                <w:highlight w:val="none"/>
                <w:lang w:val="en-US" w:eastAsia="zh-CN"/>
              </w:rPr>
              <w:t xml:space="preserve">提供</w:t>
            </w:r>
            <w:r>
              <w:rPr>
                <w:rFonts w:hint="eastAsia"/>
                <w:highlight w:val="none"/>
                <w:lang w:eastAsia="zh-CN"/>
              </w:rPr>
              <w:t xml:space="preserve">合同</w:t>
            </w:r>
            <w:r>
              <w:rPr>
                <w:rFonts w:hint="eastAsia"/>
                <w:highlight w:val="none"/>
                <w:lang w:val="en-US" w:eastAsia="zh-CN"/>
              </w:rPr>
              <w:t xml:space="preserve">原件扫描件</w:t>
            </w:r>
            <w:r>
              <w:rPr>
                <w:rFonts w:hint="eastAsia"/>
                <w:highlight w:val="none"/>
                <w:lang w:eastAsia="zh-CN"/>
              </w:rPr>
              <w:t xml:space="preserve">）。每提供一份得2分，最高4分。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right w:val="single" w:color="000000" w:sz="4" w:space="0"/>
            </w:tcBorders>
            <w:tcW w:w="754" w:type="dxa"/>
            <w:vAlign w:val="center"/>
            <w:vMerge w:val="restart"/>
            <w:textDirection w:val="lrTb"/>
            <w:noWrap w:val="false"/>
          </w:tcPr>
          <w:p>
            <w:pPr>
              <w:pStyle w:val="737"/>
              <w:jc w:val="center"/>
              <w:rPr>
                <w:rFonts w:hint="eastAsia" w:eastAsia="宋体" w:cs="宋体"/>
                <w:b w:val="0"/>
                <w:bCs/>
                <w:sz w:val="21"/>
                <w:szCs w:val="20"/>
                <w:highlight w:val="none"/>
                <w:lang w:eastAsia="zh-CN"/>
              </w:rPr>
            </w:pPr>
            <w:r>
              <w:rPr>
                <w:rFonts w:hint="eastAsia" w:eastAsia="宋体" w:cs="宋体"/>
                <w:b w:val="0"/>
                <w:bCs/>
                <w:sz w:val="21"/>
                <w:szCs w:val="20"/>
                <w:highlight w:val="none"/>
                <w:lang w:eastAsia="zh-CN"/>
              </w:rPr>
              <w:t xml:space="preserve">技术部分</w:t>
            </w:r>
            <w:r/>
          </w:p>
          <w:p>
            <w:pPr>
              <w:rPr>
                <w:rFonts w:hint="eastAsia"/>
                <w:b w:val="0"/>
                <w:bCs/>
                <w:highlight w:val="none"/>
                <w:lang w:eastAsia="zh-CN"/>
              </w:rPr>
            </w:pPr>
            <w:r>
              <w:rPr>
                <w:rFonts w:hint="eastAsia" w:eastAsia="宋体" w:cs="宋体"/>
                <w:b w:val="0"/>
                <w:bCs/>
                <w:sz w:val="21"/>
                <w:szCs w:val="20"/>
                <w:highlight w:val="none"/>
                <w:lang w:eastAsia="zh-CN"/>
              </w:rPr>
              <w:t xml:space="preserve">（80分）</w:t>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pStyle w:val="737"/>
              <w:ind w:left="0" w:firstLine="0"/>
              <w:jc w:val="left"/>
              <w:rPr>
                <w:rFonts w:hint="eastAsia" w:ascii="宋体" w:eastAsia="宋体"/>
                <w:b w:val="0"/>
                <w:bCs/>
                <w:sz w:val="21"/>
                <w:highlight w:val="none"/>
                <w:lang w:eastAsia="zh-CN"/>
              </w:rPr>
            </w:pPr>
            <w:r>
              <w:rPr>
                <w:rFonts w:hint="eastAsia"/>
                <w:highlight w:val="none"/>
                <w:lang w:eastAsia="zh-CN"/>
              </w:rPr>
              <w:t xml:space="preserve">农险专业人员配备（6分）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投标人设置农业保险部门及专业人员，人员数为5人时得1分，超过5人每增加1人加1分，低于5人不得分，本项最高得6分。提供相关建立管理机构、岗位设置和服务队伍的情况证明，专职保险服务人员需提供近3个月公司为其缴纳的社会保险的证明</w:t>
            </w:r>
            <w:r>
              <w:rPr>
                <w:rFonts w:hint="eastAsia" w:ascii="宋体" w:hAnsi="宋体" w:eastAsia="宋体" w:cs="宋体"/>
                <w:b w:val="0"/>
                <w:bCs/>
                <w:sz w:val="21"/>
                <w:szCs w:val="20"/>
                <w:highlight w:val="none"/>
                <w:lang w:val="en-US" w:eastAsia="zh-CN"/>
              </w:rPr>
              <w:t xml:space="preserve">原件扫描</w:t>
            </w:r>
            <w:r>
              <w:rPr>
                <w:rFonts w:hint="eastAsia" w:ascii="宋体" w:hAnsi="宋体" w:eastAsia="宋体" w:cs="宋体"/>
                <w:b w:val="0"/>
                <w:bCs/>
                <w:sz w:val="21"/>
                <w:szCs w:val="20"/>
                <w:highlight w:val="none"/>
                <w:lang w:eastAsia="zh-CN"/>
              </w:rPr>
              <w:t xml:space="preserve">件。</w:t>
            </w:r>
            <w:r/>
          </w:p>
        </w:tc>
      </w:tr>
      <w:tr>
        <w:trPr>
          <w:jc w:val="center"/>
          <w:trHeight w:val="2811"/>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val="en-US" w:eastAsia="zh-CN"/>
              </w:rPr>
            </w:pPr>
            <w:r>
              <w:rPr>
                <w:rFonts w:hint="eastAsia"/>
                <w:highlight w:val="none"/>
                <w:lang w:eastAsia="zh-CN"/>
              </w:rPr>
              <w:t xml:space="preserve">基层服务网点建设情况（12分）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rPr>
                <w:rFonts w:hint="eastAsia"/>
                <w:b w:val="0"/>
                <w:bCs/>
                <w:highlight w:val="none"/>
                <w:lang w:val="en-US" w:eastAsia="zh-CN"/>
              </w:rPr>
            </w:pPr>
            <w:r>
              <w:rPr>
                <w:rFonts w:hint="eastAsia"/>
                <w:highlight w:val="none"/>
                <w:lang w:eastAsia="zh-CN"/>
              </w:rPr>
              <w:t xml:space="preserve">投标人在镇村有完善的农业保险基层服务网点体系，并有相应的硬件投入，镇级服务网点应为投标人自营的下属服务机构（不含兼业代理机构）。网点覆盖完善的得12分、网点覆盖较完善的得8分、网点覆盖较少的得4分。需提供乡镇网点的营业执照及运营场所照片、房产证明或租赁合同</w:t>
            </w:r>
            <w:r>
              <w:rPr>
                <w:rFonts w:hint="eastAsia"/>
                <w:highlight w:val="none"/>
                <w:lang w:val="en-US" w:eastAsia="zh-CN"/>
              </w:rPr>
              <w:t xml:space="preserve">的原件扫描件</w:t>
            </w:r>
            <w:r>
              <w:rPr>
                <w:rFonts w:hint="eastAsia"/>
                <w:highlight w:val="none"/>
                <w:lang w:eastAsia="zh-CN"/>
              </w:rPr>
              <w:t xml:space="preserve">,未提供的或提供内容不能反映上述要求的不得分。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险种创新及开发能力（10分）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投标人提供202</w:t>
            </w:r>
            <w:r>
              <w:rPr>
                <w:rFonts w:hint="eastAsia" w:ascii="宋体" w:hAnsi="宋体" w:cs="宋体"/>
                <w:b w:val="0"/>
                <w:bCs/>
                <w:sz w:val="21"/>
                <w:szCs w:val="20"/>
                <w:highlight w:val="none"/>
                <w:lang w:val="en-US" w:eastAsia="zh-CN"/>
              </w:rPr>
              <w:t xml:space="preserve">3</w:t>
            </w:r>
            <w:r>
              <w:rPr>
                <w:rFonts w:hint="eastAsia" w:ascii="宋体" w:hAnsi="宋体" w:eastAsia="宋体" w:cs="宋体"/>
                <w:b w:val="0"/>
                <w:bCs/>
                <w:sz w:val="21"/>
                <w:szCs w:val="20"/>
                <w:highlight w:val="none"/>
                <w:lang w:eastAsia="zh-CN"/>
              </w:rPr>
              <w:t xml:space="preserve">年以来在县域内开办过价格指数保险、气象指数保险、生猪价格指数保险、农产品质量保证险，以及农业保险贷、“保险+期货”等特色农业保险创新险种及涉农商业保险。由评委综合打分，开发能力强的得10分、较强的得7分、一般的得4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承保服务承诺（6分）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eastAsia="宋体"/>
                <w:b w:val="0"/>
                <w:bCs/>
                <w:sz w:val="21"/>
                <w:szCs w:val="20"/>
                <w:highlight w:val="none"/>
                <w:lang w:eastAsia="zh-CN"/>
              </w:rPr>
            </w:pPr>
            <w:r>
              <w:rPr>
                <w:rFonts w:hint="eastAsia" w:ascii="宋体" w:hAnsi="宋体" w:eastAsia="宋体" w:cs="宋体"/>
                <w:b w:val="0"/>
                <w:bCs/>
                <w:sz w:val="21"/>
                <w:szCs w:val="20"/>
                <w:highlight w:val="none"/>
                <w:lang w:eastAsia="zh-CN"/>
              </w:rPr>
              <w:t xml:space="preserve">包括不限于主要种养业、高效设施农业保险推进措施、种植业保险覆盖面、保险深度、保险密度指标等方面采取的措施以及服务投保农户的措施等。根据投标人的服务承诺和实施方案，方案合理、切实可行得6分、方案较合理、基本可行得3分、方案不太合理、可行性较差得1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eastAsia="宋体"/>
                <w:b w:val="0"/>
                <w:bCs/>
                <w:sz w:val="21"/>
                <w:szCs w:val="20"/>
                <w:highlight w:val="none"/>
                <w:lang w:eastAsia="zh-CN"/>
              </w:rPr>
            </w:pPr>
            <w:r>
              <w:rPr>
                <w:rFonts w:hint="eastAsia" w:ascii="宋体" w:eastAsia="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eastAsia="宋体"/>
                <w:b w:val="0"/>
                <w:bCs/>
                <w:sz w:val="21"/>
                <w:szCs w:val="20"/>
                <w:highlight w:val="none"/>
                <w:lang w:eastAsia="zh-CN"/>
              </w:rPr>
            </w:pPr>
            <w:r>
              <w:rPr>
                <w:rFonts w:hint="eastAsia" w:ascii="宋体" w:eastAsia="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理赔服务承诺（</w:t>
            </w:r>
            <w:r>
              <w:rPr>
                <w:rFonts w:hint="eastAsia"/>
                <w:highlight w:val="none"/>
                <w:lang w:val="en-US" w:eastAsia="zh-CN"/>
              </w:rPr>
              <w:t xml:space="preserve">6</w:t>
            </w:r>
            <w:r>
              <w:rPr>
                <w:rFonts w:hint="eastAsia"/>
                <w:highlight w:val="none"/>
                <w:lang w:eastAsia="zh-CN"/>
              </w:rPr>
              <w:t xml:space="preserve">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eastAsia="宋体"/>
                <w:b w:val="0"/>
                <w:bCs/>
                <w:sz w:val="21"/>
                <w:szCs w:val="20"/>
                <w:highlight w:val="none"/>
                <w:lang w:eastAsia="zh-CN"/>
              </w:rPr>
            </w:pPr>
            <w:r>
              <w:rPr>
                <w:rFonts w:hint="eastAsia" w:ascii="宋体" w:eastAsia="宋体"/>
                <w:b w:val="0"/>
                <w:bCs/>
                <w:sz w:val="21"/>
                <w:szCs w:val="20"/>
                <w:highlight w:val="none"/>
                <w:lang w:eastAsia="zh-CN"/>
              </w:rPr>
              <w:t xml:space="preserve">包括:全天24小时报案受理，24小时内查勘定损并告知理赔程序，限时赔付，理赔执行在线直赔到户，病死保险畜禽100%无害化处理等理赔流程规范合规。根据投标人的服务承诺和实施方案，方案合理</w:t>
            </w:r>
            <w:r>
              <w:rPr>
                <w:rFonts w:hint="eastAsia" w:ascii="宋体" w:hAnsi="宋体" w:eastAsia="宋体" w:cs="宋体"/>
                <w:b w:val="0"/>
                <w:bCs/>
                <w:sz w:val="21"/>
                <w:szCs w:val="20"/>
                <w:highlight w:val="none"/>
                <w:lang w:eastAsia="zh-CN"/>
              </w:rPr>
              <w:t xml:space="preserve">、切实可行</w:t>
            </w:r>
            <w:r>
              <w:rPr>
                <w:rFonts w:hint="eastAsia" w:ascii="宋体" w:eastAsia="宋体"/>
                <w:b w:val="0"/>
                <w:bCs/>
                <w:sz w:val="21"/>
                <w:szCs w:val="20"/>
                <w:highlight w:val="none"/>
                <w:lang w:eastAsia="zh-CN"/>
              </w:rPr>
              <w:t xml:space="preserve">得</w:t>
            </w:r>
            <w:r>
              <w:rPr>
                <w:rFonts w:hint="eastAsia" w:ascii="宋体"/>
                <w:b w:val="0"/>
                <w:bCs/>
                <w:sz w:val="21"/>
                <w:szCs w:val="20"/>
                <w:highlight w:val="none"/>
                <w:lang w:val="en-US" w:eastAsia="zh-CN"/>
              </w:rPr>
              <w:t xml:space="preserve">6</w:t>
            </w:r>
            <w:r>
              <w:rPr>
                <w:rFonts w:hint="eastAsia" w:ascii="宋体" w:eastAsia="宋体"/>
                <w:b w:val="0"/>
                <w:bCs/>
                <w:sz w:val="21"/>
                <w:szCs w:val="20"/>
                <w:highlight w:val="none"/>
                <w:lang w:eastAsia="zh-CN"/>
              </w:rPr>
              <w:t xml:space="preserve">分、方案较合理、</w:t>
            </w:r>
            <w:r>
              <w:rPr>
                <w:rFonts w:hint="eastAsia" w:ascii="宋体" w:hAnsi="宋体" w:eastAsia="宋体" w:cs="宋体"/>
                <w:b w:val="0"/>
                <w:bCs/>
                <w:sz w:val="21"/>
                <w:szCs w:val="20"/>
                <w:highlight w:val="none"/>
                <w:lang w:eastAsia="zh-CN"/>
              </w:rPr>
              <w:t xml:space="preserve">基本可行</w:t>
            </w:r>
            <w:r>
              <w:rPr>
                <w:rFonts w:hint="eastAsia" w:ascii="宋体" w:eastAsia="宋体"/>
                <w:b w:val="0"/>
                <w:bCs/>
                <w:sz w:val="21"/>
                <w:szCs w:val="20"/>
                <w:highlight w:val="none"/>
                <w:lang w:eastAsia="zh-CN"/>
              </w:rPr>
              <w:t xml:space="preserve">得</w:t>
            </w:r>
            <w:r>
              <w:rPr>
                <w:rFonts w:hint="eastAsia" w:ascii="宋体"/>
                <w:b w:val="0"/>
                <w:bCs/>
                <w:sz w:val="21"/>
                <w:szCs w:val="20"/>
                <w:highlight w:val="none"/>
                <w:lang w:val="en-US" w:eastAsia="zh-CN"/>
              </w:rPr>
              <w:t xml:space="preserve">3</w:t>
            </w:r>
            <w:r>
              <w:rPr>
                <w:rFonts w:hint="eastAsia" w:ascii="宋体" w:eastAsia="宋体"/>
                <w:b w:val="0"/>
                <w:bCs/>
                <w:sz w:val="21"/>
                <w:szCs w:val="20"/>
                <w:highlight w:val="none"/>
                <w:lang w:eastAsia="zh-CN"/>
              </w:rPr>
              <w:t xml:space="preserve">分、方案</w:t>
            </w:r>
            <w:r>
              <w:rPr>
                <w:rFonts w:hint="eastAsia" w:ascii="宋体" w:hAnsi="宋体" w:eastAsia="宋体" w:cs="宋体"/>
                <w:b w:val="0"/>
                <w:bCs/>
                <w:sz w:val="21"/>
                <w:szCs w:val="20"/>
                <w:highlight w:val="none"/>
                <w:lang w:eastAsia="zh-CN"/>
              </w:rPr>
              <w:t xml:space="preserve">不太合理、可行性较差</w:t>
            </w:r>
            <w:r>
              <w:rPr>
                <w:rFonts w:hint="eastAsia" w:ascii="宋体" w:eastAsia="宋体"/>
                <w:b w:val="0"/>
                <w:bCs/>
                <w:sz w:val="21"/>
                <w:szCs w:val="20"/>
                <w:highlight w:val="none"/>
                <w:lang w:eastAsia="zh-CN"/>
              </w:rPr>
              <w:t xml:space="preserve">得</w:t>
            </w:r>
            <w:r>
              <w:rPr>
                <w:rFonts w:hint="eastAsia" w:ascii="宋体"/>
                <w:b w:val="0"/>
                <w:bCs/>
                <w:sz w:val="21"/>
                <w:szCs w:val="20"/>
                <w:highlight w:val="none"/>
                <w:lang w:val="en-US" w:eastAsia="zh-CN"/>
              </w:rPr>
              <w:t xml:space="preserve">1</w:t>
            </w:r>
            <w:r>
              <w:rPr>
                <w:rFonts w:hint="eastAsia" w:ascii="宋体" w:eastAsia="宋体"/>
                <w:b w:val="0"/>
                <w:bCs/>
                <w:sz w:val="21"/>
                <w:szCs w:val="20"/>
                <w:highlight w:val="none"/>
                <w:lang w:eastAsia="zh-CN"/>
              </w:rPr>
              <w:t xml:space="preserve">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业务管理承诺（</w:t>
            </w:r>
            <w:r>
              <w:rPr>
                <w:rFonts w:hint="eastAsia"/>
                <w:highlight w:val="none"/>
                <w:lang w:val="en-US" w:eastAsia="zh-CN"/>
              </w:rPr>
              <w:t xml:space="preserve">8</w:t>
            </w:r>
            <w:r>
              <w:rPr>
                <w:rFonts w:hint="eastAsia"/>
                <w:highlight w:val="none"/>
                <w:lang w:eastAsia="zh-CN"/>
              </w:rPr>
              <w:t xml:space="preserve">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spacing w:line="400" w:lineRule="exact"/>
              <w:rPr>
                <w:rFonts w:hint="eastAsia" w:ascii="宋体" w:hAnsi="宋体" w:eastAsia="宋体" w:cs="宋体"/>
                <w:b w:val="0"/>
                <w:bCs/>
                <w:sz w:val="21"/>
                <w:szCs w:val="20"/>
                <w:highlight w:val="none"/>
                <w:lang w:eastAsia="zh-CN"/>
              </w:rPr>
            </w:pPr>
            <w:r>
              <w:rPr>
                <w:rFonts w:hint="eastAsia"/>
                <w:highlight w:val="none"/>
                <w:lang w:eastAsia="zh-CN"/>
              </w:rPr>
              <w:t xml:space="preserve">农业保险业务与其他保险业务分开管理，单独核算；业务管理系统能够直接导出农业保险承保、理赔、批改等数据，并于月度终了后5个工作日内向县级财政部门报送完整准确的原始数据信息；合规经营，杜绝虚假保单、虚假理赔。由评委综合评价打分，全面具体详实得</w:t>
            </w:r>
            <w:r>
              <w:rPr>
                <w:rFonts w:hint="eastAsia"/>
                <w:highlight w:val="none"/>
                <w:lang w:val="en-US" w:eastAsia="zh-CN"/>
              </w:rPr>
              <w:t xml:space="preserve">8</w:t>
            </w:r>
            <w:r>
              <w:rPr>
                <w:rFonts w:hint="eastAsia"/>
                <w:highlight w:val="none"/>
                <w:lang w:eastAsia="zh-CN"/>
              </w:rPr>
              <w:t xml:space="preserve">分、较全面得</w:t>
            </w:r>
            <w:r>
              <w:rPr>
                <w:rFonts w:hint="eastAsia"/>
                <w:highlight w:val="none"/>
                <w:lang w:val="en-US" w:eastAsia="zh-CN"/>
              </w:rPr>
              <w:t xml:space="preserve">4</w:t>
            </w:r>
            <w:r>
              <w:rPr>
                <w:rFonts w:hint="eastAsia"/>
                <w:highlight w:val="none"/>
                <w:lang w:eastAsia="zh-CN"/>
              </w:rPr>
              <w:t xml:space="preserve">分、一般得</w:t>
            </w:r>
            <w:r>
              <w:rPr>
                <w:rFonts w:hint="eastAsia"/>
                <w:highlight w:val="none"/>
                <w:lang w:val="en-US" w:eastAsia="zh-CN"/>
              </w:rPr>
              <w:t xml:space="preserve">2</w:t>
            </w:r>
            <w:r>
              <w:rPr>
                <w:rFonts w:hint="eastAsia"/>
                <w:highlight w:val="none"/>
                <w:lang w:eastAsia="zh-CN"/>
              </w:rPr>
              <w:t xml:space="preserve">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服务设备配置</w:t>
            </w:r>
            <w:r/>
          </w:p>
          <w:p>
            <w:pPr>
              <w:rPr>
                <w:rFonts w:hint="eastAsia"/>
                <w:b w:val="0"/>
                <w:bCs/>
                <w:highlight w:val="none"/>
                <w:lang w:eastAsia="zh-CN"/>
              </w:rPr>
            </w:pPr>
            <w:r>
              <w:rPr>
                <w:rFonts w:hint="eastAsia"/>
                <w:highlight w:val="none"/>
                <w:lang w:eastAsia="zh-CN"/>
              </w:rPr>
              <w:t xml:space="preserve">（</w:t>
            </w:r>
            <w:r>
              <w:rPr>
                <w:rFonts w:hint="eastAsia"/>
                <w:highlight w:val="none"/>
                <w:lang w:val="en-US" w:eastAsia="zh-CN"/>
              </w:rPr>
              <w:t xml:space="preserve">10</w:t>
            </w:r>
            <w:r>
              <w:rPr>
                <w:rFonts w:hint="eastAsia"/>
                <w:highlight w:val="none"/>
                <w:lang w:eastAsia="zh-CN"/>
              </w:rPr>
              <w:t xml:space="preserve">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numPr>
                <w:ilvl w:val="0"/>
                <w:numId w:val="0"/>
              </w:num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配有满足政策性农业保险服务主要设备，包括GPS定位功能、无人机、遥感快速测量地块面积并直接上传业务系统、移动端快速理赔应用。其中无人机配置具备以下功能：采集分析作物长势、灌溉水质异常识别、灾后倒伏面积及受淹面积快速测定、利用历史数据对比分析受灾面积及损毁比例为定损理赔提供依据。设备应提供装备应用照片、有效产权或相关协议证明材料；有农险专用查勘车辆，提供带有“三农服务”或“理赔查勘”字样的车辆照片和行驶证或使用权证明材料。根据配置情况，配置齐全的得10分、较齐全的得7分、一般得4分，以上内容未提供者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color w:val="auto"/>
                <w:sz w:val="21"/>
                <w:szCs w:val="20"/>
                <w:highlight w:val="none"/>
                <w:lang w:eastAsia="zh-CN"/>
              </w:rPr>
            </w:pPr>
            <w:r>
              <w:rPr>
                <w:rFonts w:hint="eastAsia" w:ascii="宋体" w:hAnsi="宋体" w:eastAsia="宋体" w:cs="宋体"/>
                <w:b w:val="0"/>
                <w:bCs/>
                <w:color w:val="auto"/>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color w:val="auto"/>
                <w:sz w:val="21"/>
                <w:szCs w:val="20"/>
                <w:highlight w:val="none"/>
                <w:lang w:eastAsia="zh-CN"/>
              </w:rPr>
            </w:pPr>
            <w:r>
              <w:rPr>
                <w:rFonts w:hint="eastAsia" w:ascii="宋体" w:hAnsi="宋体" w:eastAsia="宋体" w:cs="宋体"/>
                <w:b w:val="0"/>
                <w:bCs/>
                <w:color w:val="auto"/>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公司有应急理赔应对预案（5分）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shd w:val="clear" w:color="auto"/>
              <w:rPr>
                <w:rFonts w:hint="eastAsia" w:ascii="宋体" w:hAnsi="宋体" w:eastAsia="宋体" w:cs="宋体"/>
                <w:b w:val="0"/>
                <w:bCs/>
                <w:color w:val="ff0000"/>
                <w:sz w:val="21"/>
                <w:szCs w:val="20"/>
                <w:highlight w:val="none"/>
                <w:lang w:eastAsia="zh-CN"/>
              </w:rPr>
            </w:pPr>
            <w:r>
              <w:rPr>
                <w:rFonts w:hint="eastAsia" w:ascii="宋体" w:hAnsi="宋体" w:eastAsia="宋体" w:cs="宋体"/>
                <w:b w:val="0"/>
                <w:bCs/>
                <w:color w:val="auto"/>
                <w:sz w:val="21"/>
                <w:szCs w:val="20"/>
                <w:highlight w:val="none"/>
                <w:lang w:eastAsia="zh-CN"/>
              </w:rPr>
              <w:t xml:space="preserve">提供总公司或省公司针对政策性农业保险的大灾风险应急理赔预案，包括但不限于应急响应、应急人员调配、应急查勘、应急赔付等，方案合理</w:t>
            </w:r>
            <w:r>
              <w:rPr>
                <w:rFonts w:hint="eastAsia" w:ascii="宋体" w:hAnsi="宋体" w:eastAsia="宋体" w:cs="宋体"/>
                <w:b w:val="0"/>
                <w:bCs/>
                <w:sz w:val="21"/>
                <w:szCs w:val="20"/>
                <w:highlight w:val="none"/>
                <w:lang w:eastAsia="zh-CN"/>
              </w:rPr>
              <w:t xml:space="preserve">、切实可行</w:t>
            </w:r>
            <w:r>
              <w:rPr>
                <w:rFonts w:hint="eastAsia" w:ascii="宋体" w:hAnsi="宋体" w:eastAsia="宋体" w:cs="宋体"/>
                <w:b w:val="0"/>
                <w:bCs/>
                <w:color w:val="auto"/>
                <w:sz w:val="21"/>
                <w:szCs w:val="20"/>
                <w:highlight w:val="none"/>
                <w:lang w:eastAsia="zh-CN"/>
              </w:rPr>
              <w:t xml:space="preserve">得5分、方案较合理、</w:t>
            </w:r>
            <w:r>
              <w:rPr>
                <w:rFonts w:hint="eastAsia" w:ascii="宋体" w:hAnsi="宋体" w:eastAsia="宋体" w:cs="宋体"/>
                <w:b w:val="0"/>
                <w:bCs/>
                <w:sz w:val="21"/>
                <w:szCs w:val="20"/>
                <w:highlight w:val="none"/>
                <w:lang w:eastAsia="zh-CN"/>
              </w:rPr>
              <w:t xml:space="preserve">基本可行</w:t>
            </w:r>
            <w:r>
              <w:rPr>
                <w:rFonts w:hint="eastAsia" w:ascii="宋体" w:hAnsi="宋体" w:eastAsia="宋体" w:cs="宋体"/>
                <w:b w:val="0"/>
                <w:bCs/>
                <w:color w:val="auto"/>
                <w:sz w:val="21"/>
                <w:szCs w:val="20"/>
                <w:highlight w:val="none"/>
                <w:lang w:eastAsia="zh-CN"/>
              </w:rPr>
              <w:t xml:space="preserve">3分、方案不</w:t>
            </w:r>
            <w:r>
              <w:rPr>
                <w:rFonts w:hint="eastAsia" w:ascii="宋体" w:hAnsi="宋体" w:eastAsia="宋体" w:cs="宋体"/>
                <w:b w:val="0"/>
                <w:bCs/>
                <w:sz w:val="21"/>
                <w:szCs w:val="20"/>
                <w:highlight w:val="none"/>
                <w:lang w:eastAsia="zh-CN"/>
              </w:rPr>
              <w:t xml:space="preserve">太合理、可行性较差</w:t>
            </w:r>
            <w:r>
              <w:rPr>
                <w:rFonts w:hint="eastAsia" w:ascii="宋体" w:hAnsi="宋体" w:eastAsia="宋体" w:cs="宋体"/>
                <w:b w:val="0"/>
                <w:bCs/>
                <w:color w:val="auto"/>
                <w:sz w:val="21"/>
                <w:szCs w:val="20"/>
                <w:highlight w:val="none"/>
                <w:lang w:eastAsia="zh-CN"/>
              </w:rPr>
              <w:t xml:space="preserve">得1分、未提供的不得分。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公司有稳健风险应对预案（5分）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color w:val="auto"/>
                <w:sz w:val="21"/>
                <w:szCs w:val="20"/>
                <w:highlight w:val="none"/>
                <w:lang w:eastAsia="zh-CN"/>
              </w:rPr>
              <w:t xml:space="preserve">提供总公司或省级公司的农业再保险和大灾风险安排以及风险应对预案，并按正常要求逐年足额提取农业大灾风险准备金，方案合理</w:t>
            </w:r>
            <w:r>
              <w:rPr>
                <w:rFonts w:hint="eastAsia" w:ascii="宋体" w:hAnsi="宋体" w:eastAsia="宋体" w:cs="宋体"/>
                <w:b w:val="0"/>
                <w:bCs/>
                <w:sz w:val="21"/>
                <w:szCs w:val="20"/>
                <w:highlight w:val="none"/>
                <w:lang w:eastAsia="zh-CN"/>
              </w:rPr>
              <w:t xml:space="preserve">、切实可行</w:t>
            </w:r>
            <w:r>
              <w:rPr>
                <w:rFonts w:hint="eastAsia" w:ascii="宋体" w:hAnsi="宋体" w:eastAsia="宋体" w:cs="宋体"/>
                <w:b w:val="0"/>
                <w:bCs/>
                <w:color w:val="auto"/>
                <w:sz w:val="21"/>
                <w:szCs w:val="20"/>
                <w:highlight w:val="none"/>
                <w:lang w:eastAsia="zh-CN"/>
              </w:rPr>
              <w:t xml:space="preserve">得5分、方案较合理、</w:t>
            </w:r>
            <w:r>
              <w:rPr>
                <w:rFonts w:hint="eastAsia" w:ascii="宋体" w:hAnsi="宋体" w:eastAsia="宋体" w:cs="宋体"/>
                <w:b w:val="0"/>
                <w:bCs/>
                <w:sz w:val="21"/>
                <w:szCs w:val="20"/>
                <w:highlight w:val="none"/>
                <w:lang w:eastAsia="zh-CN"/>
              </w:rPr>
              <w:t xml:space="preserve">基本可行</w:t>
            </w:r>
            <w:r>
              <w:rPr>
                <w:rFonts w:hint="eastAsia" w:ascii="宋体" w:hAnsi="宋体" w:eastAsia="宋体" w:cs="宋体"/>
                <w:b w:val="0"/>
                <w:bCs/>
                <w:color w:val="auto"/>
                <w:sz w:val="21"/>
                <w:szCs w:val="20"/>
                <w:highlight w:val="none"/>
                <w:lang w:eastAsia="zh-CN"/>
              </w:rPr>
              <w:t xml:space="preserve">3分、方案不</w:t>
            </w:r>
            <w:r>
              <w:rPr>
                <w:rFonts w:hint="eastAsia" w:ascii="宋体" w:hAnsi="宋体" w:eastAsia="宋体" w:cs="宋体"/>
                <w:b w:val="0"/>
                <w:bCs/>
                <w:sz w:val="21"/>
                <w:szCs w:val="20"/>
                <w:highlight w:val="none"/>
                <w:lang w:eastAsia="zh-CN"/>
              </w:rPr>
              <w:t xml:space="preserve">太合理、可行性较差</w:t>
            </w:r>
            <w:r>
              <w:rPr>
                <w:rFonts w:hint="eastAsia" w:ascii="宋体" w:hAnsi="宋体" w:eastAsia="宋体" w:cs="宋体"/>
                <w:b w:val="0"/>
                <w:bCs/>
                <w:color w:val="auto"/>
                <w:sz w:val="21"/>
                <w:szCs w:val="20"/>
                <w:highlight w:val="none"/>
                <w:lang w:eastAsia="zh-CN"/>
              </w:rPr>
              <w:t xml:space="preserve">得1分、未提供的不得分。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公司有完善的农业保险内控制度</w:t>
            </w:r>
            <w:r/>
          </w:p>
          <w:p>
            <w:pPr>
              <w:rPr>
                <w:rFonts w:hint="eastAsia"/>
                <w:b w:val="0"/>
                <w:bCs/>
                <w:highlight w:val="none"/>
                <w:lang w:eastAsia="zh-CN"/>
              </w:rPr>
            </w:pPr>
            <w:r>
              <w:rPr>
                <w:rFonts w:hint="eastAsia"/>
                <w:highlight w:val="none"/>
                <w:lang w:eastAsia="zh-CN"/>
              </w:rPr>
              <w:t xml:space="preserve">（6分）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投标文件中须提供“制度汇编目录及文号，包括（但不限于）：承保、理赔、查勘、财务、责任追究等服务流程和管理制度、制定数据的定期通报制度、数据安全管理制度”，由评委综合评价打分，制度全面具体得6分、较全面得4分、一般得2分、未提供的不得分。</w:t>
            </w:r>
            <w:r/>
          </w:p>
        </w:tc>
      </w:tr>
      <w:tr>
        <w:trPr>
          <w:jc w:val="center"/>
          <w:trHeight w:val="0"/>
          <w:tblHeader/>
        </w:trPr>
        <w:tc>
          <w:tcPr>
            <w:tcBorders>
              <w:left w:val="single" w:color="000000" w:sz="2" w:space="0"/>
              <w:bottom w:val="single" w:color="000000" w:sz="2" w:space="0"/>
              <w:right w:val="single" w:color="000000" w:sz="4" w:space="0"/>
            </w:tcBorders>
            <w:tcW w:w="423" w:type="dxa"/>
            <w:vAlign w:val="center"/>
            <w:vMerge w:val="continue"/>
            <w:textDirection w:val="lrTb"/>
            <w:noWrap w:val="false"/>
          </w:tcPr>
          <w:p>
            <w:pPr>
              <w:ind w:firstLine="210"/>
              <w:jc w:val="center"/>
              <w:spacing w:line="400" w:lineRule="exac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bottom w:val="single" w:color="000000" w:sz="2" w:space="0"/>
              <w:right w:val="single" w:color="000000" w:sz="4" w:space="0"/>
            </w:tcBorders>
            <w:tcW w:w="754" w:type="dxa"/>
            <w:vAlign w:val="center"/>
            <w:vMerge w:val="continue"/>
            <w:textDirection w:val="lrTb"/>
            <w:noWrap w:val="false"/>
          </w:tcPr>
          <w:p>
            <w:pPr>
              <w:ind w:firstLine="210"/>
              <w:jc w:val="center"/>
              <w:spacing w:line="400" w:lineRule="exac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2" w:space="0"/>
              <w:right w:val="single" w:color="000000" w:sz="4" w:space="0"/>
            </w:tcBorders>
            <w:tcW w:w="1783" w:type="dxa"/>
            <w:vAlign w:val="center"/>
            <w:textDirection w:val="lrTb"/>
            <w:noWrap w:val="false"/>
          </w:tcPr>
          <w:p>
            <w:pPr>
              <w:pStyle w:val="731"/>
              <w:jc w:val="center"/>
              <w:rPr>
                <w:rFonts w:hint="eastAsia" w:ascii="宋体" w:eastAsia="宋体"/>
                <w:b w:val="0"/>
                <w:bCs/>
                <w:sz w:val="21"/>
                <w:highlight w:val="none"/>
                <w:lang w:eastAsia="zh-CN"/>
              </w:rPr>
            </w:pPr>
            <w:r>
              <w:rPr>
                <w:rFonts w:hint="eastAsia" w:ascii="宋体" w:hAnsi="宋体" w:eastAsia="宋体" w:cs="宋体"/>
                <w:b w:val="0"/>
                <w:bCs/>
                <w:sz w:val="21"/>
                <w:szCs w:val="20"/>
                <w:highlight w:val="none"/>
                <w:lang w:eastAsia="zh-CN"/>
              </w:rPr>
              <w:t xml:space="preserve">政策宣传（6分）</w:t>
            </w:r>
            <w:r/>
          </w:p>
        </w:tc>
        <w:tc>
          <w:tcPr>
            <w:tcBorders>
              <w:top w:val="single" w:color="000000" w:sz="2" w:space="0"/>
              <w:left w:val="single" w:color="000000" w:sz="2" w:space="0"/>
              <w:bottom w:val="single" w:color="000000" w:sz="2" w:space="0"/>
              <w:right w:val="single" w:color="000000" w:sz="4" w:space="0"/>
            </w:tcBorders>
            <w:tcW w:w="6082" w:type="dxa"/>
            <w:vAlign w:val="center"/>
            <w:textDirection w:val="lrTb"/>
            <w:noWrap w:val="false"/>
          </w:tcPr>
          <w:p>
            <w:pPr>
              <w:jc w:val="left"/>
              <w:rPr>
                <w:rFonts w:ascii="宋体" w:hAnsi="宋体" w:eastAsia="宋体" w:cs="宋体"/>
                <w:b w:val="0"/>
                <w:bCs/>
                <w:sz w:val="21"/>
                <w:szCs w:val="20"/>
                <w:highlight w:val="none"/>
              </w:rPr>
            </w:pPr>
            <w:r>
              <w:rPr>
                <w:rFonts w:hint="eastAsia" w:ascii="宋体" w:hAnsi="宋体" w:eastAsia="宋体" w:cs="宋体"/>
                <w:b w:val="0"/>
                <w:bCs/>
                <w:sz w:val="21"/>
                <w:szCs w:val="20"/>
                <w:highlight w:val="none"/>
                <w:lang w:val="en-US" w:eastAsia="zh-CN"/>
              </w:rPr>
              <w:t xml:space="preserve">自202</w:t>
            </w:r>
            <w:r>
              <w:rPr>
                <w:rFonts w:hint="eastAsia" w:ascii="宋体" w:hAnsi="宋体" w:cs="宋体"/>
                <w:b w:val="0"/>
                <w:bCs/>
                <w:sz w:val="21"/>
                <w:szCs w:val="20"/>
                <w:highlight w:val="none"/>
                <w:lang w:val="en-US" w:eastAsia="zh-CN"/>
              </w:rPr>
              <w:t xml:space="preserve">3</w:t>
            </w:r>
            <w:r>
              <w:rPr>
                <w:rFonts w:hint="eastAsia" w:ascii="宋体" w:hAnsi="宋体" w:eastAsia="宋体" w:cs="宋体"/>
                <w:b w:val="0"/>
                <w:bCs/>
                <w:sz w:val="21"/>
                <w:szCs w:val="20"/>
                <w:highlight w:val="none"/>
                <w:lang w:val="en-US" w:eastAsia="zh-CN"/>
              </w:rPr>
              <w:t xml:space="preserve">年1月以来投标人开展农业保险宣传活动的相关资料，包括开展农业保险知识培训、媒体宣传、政策咨询活动、宣传资料发放、资金投入等，活动开展形式多样、宣传资料丰富专业得6分，活动开展形式较多样、宣传资料较丰富得4分，活动开展形式单一、宣传资料不全面得2分、没有开展不得分。(提供相关证明材料扫描件)</w:t>
            </w:r>
            <w:r/>
          </w:p>
        </w:tc>
      </w:tr>
    </w:tbl>
    <w:p>
      <w:pPr>
        <w:pStyle w:val="735"/>
      </w:pPr>
      <w:r>
        <w:rPr>
          <w:rFonts w:hint="eastAsia" w:ascii="仿宋" w:hAnsi="仿宋" w:eastAsia="仿宋" w:cs="仿宋"/>
          <w:i w:val="0"/>
          <w:iCs w:val="0"/>
          <w:color w:val="ff0000"/>
          <w:sz w:val="22"/>
          <w:szCs w:val="22"/>
          <w:u w:val="none"/>
          <w:lang w:val="en-US" w:eastAsia="zh-CN" w:bidi="ar"/>
        </w:rPr>
        <w:t xml:space="preserve">备注：得分保留两位小数。</w:t>
      </w:r>
      <w:r/>
    </w:p>
    <w:p>
      <w:pPr>
        <w:pStyle w:val="736"/>
        <w:jc w:val="center"/>
        <w:pageBreakBefore w:val="0"/>
        <w:spacing w:line="560" w:lineRule="exact"/>
        <w:rPr>
          <w:rFonts w:ascii="楷体_GB2312" w:hAnsi="楷体_GB2312" w:eastAsia="仿宋" w:cs="楷体_GB2312"/>
          <w:b/>
          <w:sz w:val="44"/>
          <w:szCs w:val="44"/>
        </w:rPr>
      </w:pPr>
      <w:r>
        <w:rPr>
          <w:rFonts w:ascii="仿宋" w:hAnsi="仿宋" w:eastAsia="仿宋"/>
          <w:b/>
          <w:bCs/>
          <w:color w:val="000000"/>
          <w:sz w:val="32"/>
          <w:szCs w:val="32"/>
        </w:rPr>
        <w:br w:type="page" w:clear="all"/>
      </w:r>
      <w:r>
        <w:rPr>
          <w:rFonts w:hint="eastAsia" w:ascii="仿宋" w:hAnsi="仿宋" w:eastAsia="仿宋"/>
          <w:b/>
          <w:bCs/>
          <w:color w:val="000000"/>
          <w:sz w:val="32"/>
          <w:szCs w:val="32"/>
        </w:rPr>
        <w:t xml:space="preserve">第五章  拟签订的合同文本</w:t>
      </w:r>
      <w:r/>
    </w:p>
    <w:p>
      <w:pPr>
        <w:pStyle w:val="918"/>
        <w:ind w:firstLine="1506"/>
        <w:pageBreakBefore w:val="0"/>
        <w:spacing w:line="560" w:lineRule="exact"/>
        <w:rPr>
          <w:rFonts w:hint="eastAsia" w:ascii="宋体" w:hAnsi="宋体" w:eastAsia="宋体" w:cs="宋体"/>
          <w:b/>
          <w:bCs w:val="0"/>
          <w:sz w:val="30"/>
          <w:szCs w:val="30"/>
        </w:rPr>
      </w:pPr>
      <w:r/>
      <w:bookmarkStart w:id="44" w:name="_Toc522790135"/>
      <w:r>
        <w:rPr>
          <w:rFonts w:hint="eastAsia" w:ascii="宋体" w:hAnsi="宋体" w:cs="宋体"/>
          <w:b/>
          <w:bCs w:val="0"/>
          <w:sz w:val="30"/>
          <w:szCs w:val="30"/>
          <w:lang w:eastAsia="zh-CN"/>
        </w:rPr>
        <w:t xml:space="preserve">贾汪区</w:t>
      </w:r>
      <w:r>
        <w:rPr>
          <w:rFonts w:hint="eastAsia" w:ascii="宋体" w:hAnsi="宋体" w:eastAsia="宋体" w:cs="宋体"/>
          <w:b/>
          <w:bCs w:val="0"/>
          <w:sz w:val="30"/>
          <w:szCs w:val="30"/>
        </w:rPr>
        <w:t xml:space="preserve">2026-2029年政策性农业保险服务协议</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（甲方）：</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（乙方）：</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根据《中华人民共和国民法典》、《农业保险条例》、《关于做好政策性农业保险承保机构遴选工作的通知》（苏财金〔2021）42号〕、《关于进一步加强政策性农业保险承保机构遴选管理工作的通知》（苏财金〔2024〕144号）及《关于做好徐州市政策性农业保险承保机构遴选工作的通知》（徐农保〔2021〕4号）等文件要求，为优化农业保险市场布局，提升农业保险服务质量，更好推动农业保险高质量发展，甲乙双方本着自愿、平等、互利和诚实守信的原则，签订本合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1.定义</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除非另有特别约定，在本合同以及与本合同有关的甲乙双方另行签订的其他文件中，下列词语按如下定义进行解释：</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合同”系指甲方和乙方已达成的协议，即由双方签订的合同格式中的文件，包括所有的附件、附录和组成合同部分的所有其他文件。这里的“乙方”系指为本次招标提供政策性农业保险承保出单、理赔以及相关保险服务的保险机构。</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1.2“服务”系指本合同约定的乙方同意按照甲方的要求开展政策性农业保险的承保、理赔、服务等工作的总称。</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1.3“被保险人”是指按本合同约定在乙方处办理政策性农业保险业务的具体投保单位或个人。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1.4“工作日”系指除公休日和国家法定节假日以外的日历日。</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1.5“第三方”系指本合同以外的任何中国境内、境外的法人、自然人或其他组织。</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1.6“附件”系指与本合同的订立、履行有关的，经甲乙双方认可的，对本合同约定的内容进行细化、补充、修改、变更的文件、图纸、音像制品等资料。</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2.适用范围</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2.1本合同条款仅适用于2026年7月-2029年6月</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政策性农业保险各项工作。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3.合同的组成</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下列文件应作为本合同的组成部分：</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3.1本合同书；</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3.2中标通知书；</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3.3投标文件及其附件（含投标人在评标期间递交和确认并经采购中心同意的对有关问题的补充资料和澄清文件等）；</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3.4招标文件及其附件（含采购中心在招标过程中对有关问题的补充资料和澄清文件等，如果有）；</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3.5与本次招标有关的并经当事人双方确认的其他文件。</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上述文件互为补充和解释，如有不清或相互矛盾之处，以所列顺序在前的为准，但甲乙双方有特别约定的除外。</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4.基本约定</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政策性农业保险模式为政府指导下的保险机构承保，市政府不分担保费收入和承担赔付责任，而由中标的乙方独立经营。</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4.1.1乙方应当完全响应采购需求，按照中标情况依法合规，独立在各自区划范围开展经营活动。承保机构应当接受省农业保险工作小组办公室、市相关部门或其委托的第三方机构的全程监督、考评、绩效评价和信息共享。</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4.1.2乙方承保区域范围为镇、街道（以中标通知书为准）。</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4.1.3乙方承保险种范围为纳入政策性农业保险目录享受中央和江苏省财政补贴的全部险种，包括主要种植业、养殖业、地方特色农产品和农业设施险种、政策性农业机械保险及涉农创新险种。</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4.2保险条款、费率</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乙方必须使用经中国银保监会和江苏省农业保险工作小组办公室批准的农险条款和费率。</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4.3投保险种与保险金额/赔偿限额</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4.3.1投保的农业保险险种以中央、省、市、县（区）财政补贴的险种为准。</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4.3.2保险金额与赔偿限额根据上级有关规定。</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4.4保险期限</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保险期限由保险投保单位或农户选择确定，但应符合下列条件：保险期限符合农业种植业、养殖业生长周期，符合保险条款有关规定，最长为壹年。</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4.5保险服务履约保证</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4.5.1乙方应保证承保辖区内每个乡镇村具有完备服务网络和必要的人、财、物，服务网点正常运转。积极宣传农业保险有关政策，热情接受投保，不得拒保，接到报案后必须在12小时内到现场查勘，及时、合理、公平定损。</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4.5.2乙方本着诚实信用的原则执行合同，接受履约考核，完成省、市、县下达的农业保险发展任务目标和保费补贴资金绩效目标，配合完成业务全程监督、考评、绩效评价、信息共享。协议期内，承保机构的承保资格与其年度服务评价结果相挂钩，根据考核结果，可以调整险种或承保区域或取消承保机构剩余服务期限内的承保资格。</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4.6特别约定：乙方对于在本合同生效日之前与被保险人签订的仍在有效期限内的保险单，应当继续履行未尽义务。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5.甲方职责</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5.1作为农业保险管理工作责任主体，统一领导组织协调监督管理全市农业保险工作，支持农业保险业务平稳有序健康发展。</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5.2负责对乙方业务经营活动进行监督管理、考核评估等工作。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5.3按照省、市财政补贴保险费政策和保险承保工作进度，及时向乙方拨付、结算财政补贴资金。</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6.乙方职责</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6.1建立完善的管理制度</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加强信息管理系统建设，农业保险业务要与其他保险业务分开管理，信息系统支持单独核算农业保险业务损益，实现农业保险全流程系统管理，承保、理赔、再保险和财务系统应当无缝对接，信息管理系统应当能够实时监控承保理赔情况，具备数据管理、统计分析、稽核等功能。</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6.1.2严格按照法律法规和监管规定做好农业保险信息数据安全保护工作，确保信息系统安全和数据安全。对于开展业务中知悉的个人隐私、个人信息等数据，保险机构应当依法予以保密，不得泄露或者非法提供。</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如实记录农业保险业务和财务情况，保证业务和财务数据真实、准确、完整。对外部数据信息应当进行必要的查验审核，对存在问题的数据信息应当及时向有关部门报告。禁止通过虚假承保、虚假理赔、虚列费用等方式骗取农业保险保费补贴。</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6.1.4定期向</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财政局报告保险展业、理赔与服务情况以及工作总结、工作方案，同时提交电子文档。</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6.2建立完善的组织体系</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6.2.1承保机构应当设立农业保险专职部门并安排配备专职人员，负责组织实施本项目所有业务，为各被保险人提供承保、理赔及相关农业保险方面的服务，包括内外各方关系的协调工作。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6.2.2人员配置：落实展业、出单、核保、查勘、定损、核赔、财务、统计、档案等人员。</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6.2.3培训上岗：及时组织完成相关人员的培训工作，专业技术人员在业务素质和数量上要充分保障本项目相关条件及要求。</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6.2.4基层营销服务网络：建立符合农业保险业务开展的镇级服务站，并延伸到村级服务的网络体系。鼓励中标承保机构积极建立镇级营销服务部，中标承保机构应当在其承保区域内至少每个镇设置一个服务站、每个村设置一个服务点，和配备足量农业保险工作人员，保障区域内农业保险业务正常有序开展。</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6.2.5农险车辆：配备足以保障农业保险工作正常开展的农险专用车辆，专职用于农业保险的承保验标、查勘定损等。</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6.3加强承保服务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6.3.1承保机构应当主动到各投保单位或农户处组织投保，也可以由农业生产经营组织、村民委员会等单位组织农民投保。</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6.3.2应当严格履行说明义务，在投保单、保险单上作出足以引起投保人注意的提示，并向投保人重点说明投保险种的保险责任、责任免除、合同双方权利义务、特别约定、理赔标准和方式等条款内容。</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6.3.3应当准确完整记录投保信息。业务系统中投保信息必录项应当至少包括：（一）客户信息。投保人、被保险人姓名或者组织名称、身份证号码或统一社会信用代码、联系方式、联系地址等。（二）保险标的信息。种植业保险标的数量、品种、地块或村组位置，养殖业保险标的数量、品种、地点位置、标识或有关信息，森林保险标的数量、属性、地点位置等。（三）其他信息。投保险种、保费金额、保险费率、自缴保费、保险金额、保险期间等。</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6.3.4应当根据保险标的特征和分布等情况，采用全检或比例抽查方式查验标的，核查保险标的位置、数量、权属和风险等情况。保险机构可以从当地财政、农业农村、林草等部门或相关机构取得保险标的有关信息，辅助核查投保信息的真实性。</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（1）承保种植业保险，还应当查验被保险人土地承包经营权证书或土地承包经营租赁合同；被保险人确实无法提供的，应由管理部门或组织出具证明资料。</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（2）承保养殖业保险，还应当查验保险标的存栏数量、防灾防疫、标识标志等情况；被保险人为规模养殖场的，还应当查验经营许可证明等资料。注重做好养殖数据核查，确保承保信息准确。</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（3）承保森林保险，还应当查验被保险人山林权属证明或山林承包经营租赁合同；被保险人确实无法提供的，应当由管理部门或组织出具证明资料。</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6.3.5应当对标的查验情况进行拍摄，并确保影像资料清晰、完整、未经任何修改。查验影像应能反映查验人员、查验日期、承保标的特征和规模等。养殖业如有特殊情形，经被保险人与保险人双方同意，可由被保险人提供相关影像和证明资料。保险机构应当将影像资料上传至业务系统作为核保的必要档案。保险机构可以采用无人机、遥感等远程科技手段查验标的。</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6.3.6对于组织投保的业务，在订立农业保险合同时，保险机构应当制作分户投保清单，列明被保险人的相关投保信息。在依法保护个人信息的前提下，保险机构应当对分户投保清单进行不少于3天的承保公示。承保公示方式包括：在村级或农业生产经营组织公共区域张贴公告；通过政府公共网站、行业信息平台发布；经被保险人同意的其他线上公示方式。公示期间，投保人、被保险人对公示信息提出异议的，保险机构应当及时核查、据实调整，并将核查情况及时反馈相关投保人、被保险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6.3.7应当集中核保，原则上由总公司或省级分公司集中核保，特殊情形可临时授权中心支公司进行核保。保险机构应当合理设置核保权限，明确核保人员职责与权限，实行核保授权分级管理制度。保险机构应当对投保单、分户投保清单、验标影像、承保公示资料等承保要件以及保险金额、保险费率、保险期间等承保条件进行认真审核，重点审核承保信息的真实性、准确性、完整性。不符合规定要求或缺少相关内容的，不得审核通过。</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6.3.8应当在确认收到农民或农业生产经营组织应缴保费后，出具保险单。保险单或保险凭证应当及时发放到户。</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6.3.9应当加强批改管理，合理设置保单批改权限，由总公司或省级分公司集中审批。保险机构应当在业务信息系统中真实、准确、完整记录批改说明及证明资料。涉及投保人、被保险人个人信息和承保重要信息变动的，应当由投保人、被保险人签名或盖章确认。</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6.3.10应当根据中央省市等有关政策文件和保险标的种植和养殖周期以及条款规定按时做好承保工作。其中，小麦、油菜必须在2月底前完成承保工作；春玉米必须在5月底前完成承保工作；水稻、棉花、秋玉米、大豆必须在8月底前完成承保工作。同时在各承保区域内完成我市三大主粮承保覆盖率、保险密度、保险深度等有关目标要求。</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6.3.11应当提供真实的投保单数据。</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财政局对保单进行抽查，在审核检查无误的基础上，将保险费划转承保公司。</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6.4理赔服务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6.4.1应当以保障被保险人合法权益为出发点，遵循“精准投保、精准理赔”的原则，按照“主动、迅速、科学、合理”的要求，做好理赔工作。保险机构应当重合同、守信用，不得平均赔付、协议赔付。</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6.4.2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6.5接报案和立案</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6.5.1应当加强接报案管理，设立专线电话，保持报案渠道畅通，24小时在线接收报案，并及时通知相关责任人。接报案应当由总公司或省级分公司集中受理，报案信息应当及时准确录入业务系统。对属于保险责任的案件，保险机构应当及时立案，及时核定损失。对报案后超过10个工作日未立案的，业务系统应当强制自动立案。</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6.6现场查勘</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6.6.1应当建立农业保险查勘制度，查勘应当真实客观反映标的损失情况，查勘过程应当完整、规范。接到报案后，保险机构应当在8小时（大灾24小时）内到达现场进行查勘，因客观原因难以及时查勘的，应当与报案人联系并说明原因。</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6.6.2应当对损失情况进行拍摄，并确保影像资料清晰、完整、未经任何修改。查勘影像应当体现查勘人员、拍摄位置、拍摄日期、受损标的特征和规模、损失原因和程度、标识或有关信息等，并尽可能由投保人确认。</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6.6.3发生种植业、森林灾害，保险机构可以采用无人机、遥感等远程科技手段开展查勘定损工作。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6.6.4发生养殖业灾害，保险机构必须及时现场查勘，按照地方政府有关要求，对病死畜禽必须进行100%无害化处理。保险机构应当将无害化处理作为理赔的前提条件，对于不能确认无害化处理的，不予赔偿，以无害化处理系统数据为依据。</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6.6.5发生大灾和突发事件后，乙方应启动大灾及突发事件应急预案，及时向政府有关部门汇报灾情及突发事件情况。</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6.7定责定损</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6.7.1应当加强定损管理，依据定损标准和规范科学定损，定损结果应当确定到户。保险机构应当加强案件拒赔管理。对于不属于保险责任的，应当在核定之日起3个工作日内向被保险人发出拒赔通知书，并说明理由。拒赔材料应当上传业务系统进行管理。</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6.7.2种植业保险、森林保险发生全部损失的，应当在接到报案后10个工作日内完成损失核定；发生部分损失的，应当在接到报案后20个工作日内完成损失核定。养殖业保险应当在接到报案后3个工作日内完成损失核定。</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6.7.3发生重大灾害、大范围疫情以及存在其他特殊情形的，保险机构可以按照合同约定，适当延长损失核定时间，并向被保险人做好解释说明工作。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6.8索赔材料递交</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6.8.1应当对查勘报告、损失清单、查勘影像、公示资料等理赔要件进行严格审核，重点核实赔案的真实性和定损结果的科学性、合理性。</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6.8.2查勘定损过程中，应当由被保险人提供的有关证明资料不齐全或不符合要求的，保险机构应当一次性告知被保险人提供；保险机构能够直接取得的气象灾害证明等有关证明资料，不得要求被保险人提供。</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6.8.3法律法规对受损保险标的处理有规定的，保险机构理赔时应当取得受损保险标的已依法处理的证据或证明资料。</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6.8.4除保险合同另有约定外，保险机构不得主张对受损保险标的残余价值的权利。</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6.9赔款时限</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6.9.1应当在与被保险人达成赔偿协议后10个工作日内，将赔款支付给被保险人。农业保险合同对赔款支付的期限有约定的，保险机构应当按照约定履行赔付义务。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6.9.2自收到被保险人赔偿请求和有关证明资料之日起60个工作日内，如不能确定赔款金额，应当依据已有证明和资料，对可以确定的金额先予以支付。最终确定赔偿金额并达成赔偿协议后，应当支付相应的差额。</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6.9.3任何单位和个人不得非法干预保险机构履行赔偿保险金的义务，不得限制被保险人取得保险金的权利。</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6.10理赔签字确认</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6.10.1应当如实撰写查勘报告，并保存查勘原始记录等单证资料，严禁编纂虚假查勘资料和报告。查勘单证应当对标的受损情况、事故原因以及是否属于保险责任等提出意见，并由查勘人员和被保险人签名确认。</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6.10.2应当根据公示反馈结果制作分户理赔清单，列明被保险人姓名、身份证号、银行账号、赔付险种和赔款金额，由被保险人签名或盖章确认。</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6.10.3可以制作电子理赔清单，并采取被保险人电子签名等可验证方式确认理赔清单。保险机构工作人员、协办人员不得篡改理赔信息。</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6.11理赔公示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6.11.1理赔公示方式包括：在村级或农业生产经营组织公共区域张贴公告；通过政府公共网站、行业信息平台发布；经被保险人同意的其他线上公示方式。</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6.11.2对于组织投保的业务，在依法保护个人信息的前提下，保险机构应当对分户定损结果进行不少于3天的理赔公示。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6.11.3公示期间，投保人、被保险人对公示信息提出异议的，保险机构应当及时核查，据实调整，并将核查情况及时反馈相关投保人、被保险人。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6.12赔付方式</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6.12.1农业保险赔款一律采取银行转账方式直接支付到农户或被保险人银行账户（卡）。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6.13建立投诉回访制度</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6.13.1应当建立投诉处理制度。对于农业保险相关投诉事项，保险机构应当及时受理、认真调查，在规定时限内作出答复。</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6.13.2应当建立完善承保理赔客户回访管理制度，包括但不限于回访方式、回访频率、回访比例、回访记录格式、回访档案管理等内容。</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6.13.3建立争议协调制度，一旦发生承保、理赔方面的争议，按以下程序进行：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（1）复查承保、理赔程序与相关要求，查明原因后与农户协商解决；</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（2）与农户协商未决，可以由各镇街道调解委员会协商解决；</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（3）协商未决，可以递交仲裁机构进行仲裁，仲裁费用按相关规定执行。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6.14加强宣传培训</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6.14.1定期开展各类保险知识培训、政策宣传、养殖种植科技培训、防灾减损宣传、风险评估等活动，提高农户对农业保险、国家强农惠农富农政策的认知水平，并逐步向村级、组、农户延伸。</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6.14.2积极开展防灾减损与特色服务活动，扩大农业保险覆盖面，拓宽农业保险服务领域，满足农民和农业生产组织多元化的风险保障需求。</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6.14.3积极探索改进服务质量、提高服务效率、提升农户满意度，主动承担社会责任，支持三农建设，推动农业保险高质量发展。</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6.15建立防灾防损专家库</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6.15.1乙方负责建立农业种植、养殖技术专家队伍、动物防疫技术专家组、协助开展村镇社区防疫站的技术培训工作以及对农户的知识普及工作。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6.16其他职责</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6.16.1应当积极开展农业保险创新，开办符合当地特色产业的商业性涉农险种，落实省市等相关政策和文件要求。</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7.经费保障</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承保机构应当提供必要的专项经费用于基层服务网络建设、人员、车辆等，保障政策性农业保险工作的正常开展。</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8.未尽事项</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本合同有关的未尽事项，按照《农业保险条例》、《农业保险承保理赔管理办法》（银保监规〔2022〕4号）、《江苏省金融监管局 江苏省财政厅 江苏省农业农村厅 江苏省林业局关于印发江苏省农业保险精准投保理赔行动方案的通知》（苏金发〔2025〕25号）等有关规定执行。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9.合同的法律适用及解释</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9.1本合同及附件的订立、效力、解释、履行、争议的解决等适用本合同签订时有效的中华人民共和国法律、法规、规范性文件的有关规定。</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9.2任何一方对本合同及其附件的解释均应遵循诚实守信原则，依照本合同签订时有效的中华人民共和国的法律、法规、司法解释等相关规定进行。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9.3本合同标题仅供查阅方便，并非对本合同的诠释或解释，本合同中以日表述的时间期限均指公历日。</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9.4对本合同的任何解释均应以书面做出。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10.争议的解决</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10.1在执行本合同中发生的与本合同有关的争端，甲乙双方应通过友好协商解决，经协商不能达成协议时，签约地诉讼解决。</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10.2在诉讼期间，除正在进行的争议部分外，合同其他部分继续执行。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11.合同的变更和终止</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11.1本合同有效期内，承保机构在服务期间存在以下情形的，终止承保服务合同，并依照有关法律法规、政策等追究责任。</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1.套取财政补贴资金；</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2.未按规定区域、合同约定承保；</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3.不履行合同义务或者履行合同义务不符合约定；</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4.不接受政府有关部门管理与指导；</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5.上年度政策性农业保险服务评价经同级财政、农业农村等部门评定不合格的；</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6.被相关管理部门处罚停止农业保险补贴，被禁止或限制农业保险业务的；</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7.因农业保险业务违规，被移送纪检监察及司法部门并受到处理的；</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8.因违法违规违反约定行为，未及时化解信访矛盾等导致出现重大舆情；</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9.服务合同约定的其他情形。</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11.2除本合同另有约定外，发生任何以下一种情况，甲方有权解除本合同，对于由此给乙方造成的损失甲方不承担责任。</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11.2.1乙方有违法违规经营行为，被保险监督管理机关、财政、审计部门处罚，后果严重的，甲方有权终止“政策性农业保险服务合同”。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11.2.2保险政策发生重大变化时，双方应及时协商重新修订合同相关条款。如协商未达成一致，甲方有权终止合同。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11.3出现下列情况时本合同自行终止：</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11.3.1本合同正常履行完毕，双方没有续约约定的。</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11.3.2不可抗力导致本合同无法履行或履行不必要时。</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11.3.3一方不履行合同条款，造成另一方无法执行合同协议，协商又不能求得解决，责任方赔偿损失并经另一方同意后，合同终止。</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12.保密条款</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12.1任何一方对其获知的本合同涉及的所有有形、无形的信息及资料（包括但不限于甲乙双方的往来书面文字文件、电子邮件及信息、电子资料等）中另一方的商业秘密负有保密义务。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12.2除非法律、法规另有规定或得到本合同之另一方的书面许可，任何一方不得向第三方泄露前款规定的商业秘密。保密期限自任何一方获知该商业秘密之日起至本条规定的秘密成为公众信息之日止。</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13.权利的保留</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14.合同修改</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14.1对于本合同的未尽事宜，需进行修改、补充或完善的，甲乙双方必须就所修改的内容签订书面的合同修改书，作为本合同的补充协议。</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14.2补充协议与本合同具有同等法律效力。</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15.合同生效及其他</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15.1除非合同中另有说明，本合同经甲乙双方代表人或授权代理人签字盖章后，即开始生效。</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15.2本合同中的附件均为本合同不可分割的部分，与本合同具有同等的法律效力。</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15.3本合同期满后，在合同有效期内乙方与被保险人签订的农业保险保单，应当按照约定继续履行未尽义务。</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15.4本合同期限为2026年</w:t>
      </w:r>
      <w:r>
        <w:rPr>
          <w:rFonts w:hint="eastAsia" w:ascii="宋体" w:hAnsi="宋体" w:cs="宋体"/>
          <w:b w:val="0"/>
          <w:bCs/>
          <w:sz w:val="22"/>
          <w:szCs w:val="22"/>
          <w:lang w:val="en-US" w:eastAsia="zh-CN"/>
        </w:rPr>
        <w:t xml:space="preserve">10</w:t>
      </w:r>
      <w:r>
        <w:rPr>
          <w:rFonts w:hint="eastAsia" w:ascii="宋体" w:hAnsi="宋体" w:eastAsia="宋体" w:cs="宋体"/>
          <w:b w:val="0"/>
          <w:bCs/>
          <w:sz w:val="22"/>
          <w:szCs w:val="22"/>
        </w:rPr>
        <w:t xml:space="preserve">月</w:t>
      </w:r>
      <w:r>
        <w:rPr>
          <w:rFonts w:hint="eastAsia" w:ascii="宋体" w:hAnsi="宋体" w:cs="宋体"/>
          <w:b w:val="0"/>
          <w:bCs/>
          <w:sz w:val="22"/>
          <w:szCs w:val="22"/>
          <w:lang w:val="en-US" w:eastAsia="zh-CN"/>
        </w:rPr>
        <w:t xml:space="preserve">1</w:t>
      </w:r>
      <w:r>
        <w:rPr>
          <w:rFonts w:hint="eastAsia" w:ascii="宋体" w:hAnsi="宋体" w:eastAsia="宋体" w:cs="宋体"/>
          <w:b w:val="0"/>
          <w:bCs/>
          <w:sz w:val="22"/>
          <w:szCs w:val="22"/>
        </w:rPr>
        <w:t xml:space="preserve">日至2029年</w:t>
      </w:r>
      <w:r>
        <w:rPr>
          <w:rFonts w:hint="eastAsia" w:ascii="宋体" w:hAnsi="宋体" w:cs="宋体"/>
          <w:b w:val="0"/>
          <w:bCs/>
          <w:sz w:val="22"/>
          <w:szCs w:val="22"/>
          <w:lang w:val="en-US" w:eastAsia="zh-CN"/>
        </w:rPr>
        <w:t xml:space="preserve">9</w:t>
      </w:r>
      <w:r>
        <w:rPr>
          <w:rFonts w:hint="eastAsia" w:ascii="宋体" w:hAnsi="宋体" w:eastAsia="宋体" w:cs="宋体"/>
          <w:b w:val="0"/>
          <w:bCs/>
          <w:sz w:val="22"/>
          <w:szCs w:val="22"/>
        </w:rPr>
        <w:t xml:space="preserve">月</w:t>
      </w:r>
      <w:r>
        <w:rPr>
          <w:rFonts w:hint="eastAsia" w:ascii="宋体" w:hAnsi="宋体" w:cs="宋体"/>
          <w:b w:val="0"/>
          <w:bCs/>
          <w:sz w:val="22"/>
          <w:szCs w:val="22"/>
          <w:lang w:val="en-US" w:eastAsia="zh-CN"/>
        </w:rPr>
        <w:t xml:space="preserve">3</w:t>
      </w:r>
      <w:r>
        <w:rPr>
          <w:rFonts w:hint="eastAsia" w:ascii="宋体" w:hAnsi="宋体" w:eastAsia="宋体" w:cs="宋体"/>
          <w:b w:val="0"/>
          <w:bCs/>
          <w:sz w:val="22"/>
          <w:szCs w:val="22"/>
        </w:rPr>
        <w:t xml:space="preserve">0日。</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16.合同附件</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附件1:招标文件及其附件</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附件2:投标文件及其附件</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附件3:中标通知书</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17.合同保存</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本合同壹式肆份，甲方壹份，乙方壹份，公共资源交易中心壹份，政府采购监管部门壹份。</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甲方（盖章）：                    乙方（盖章）：</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负责人：                         负责人：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地址：                           地址：</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电话：                           电话：</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传真：                           传真：</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联系人：                         联系人：</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联系电话：                       联系电话：</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开户行：                         开户行：</w:t>
      </w:r>
      <w:r/>
    </w:p>
    <w:p>
      <w:pPr>
        <w:pStyle w:val="918"/>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日期：  年  月  日               日期：  年  月  日  </w:t>
      </w:r>
      <w:r/>
    </w:p>
    <w:p>
      <w:pPr>
        <w:pStyle w:val="918"/>
        <w:ind w:firstLine="442"/>
        <w:keepLines w:val="0"/>
        <w:keepNext w:val="0"/>
        <w:pageBreakBefore w:val="0"/>
        <w:spacing w:line="400" w:lineRule="exact"/>
        <w:widowControl/>
        <w:rPr>
          <w:rFonts w:hint="eastAsia" w:ascii="宋体" w:hAnsi="宋体" w:eastAsia="宋体" w:cs="宋体"/>
          <w:b/>
          <w:sz w:val="22"/>
          <w:szCs w:val="22"/>
        </w:rPr>
      </w:pPr>
      <w:r>
        <w:rPr>
          <w:rFonts w:hint="eastAsia" w:ascii="宋体" w:hAnsi="宋体" w:eastAsia="宋体" w:cs="宋体"/>
          <w:b/>
          <w:sz w:val="22"/>
          <w:szCs w:val="22"/>
        </w:rPr>
      </w:r>
      <w:r/>
    </w:p>
    <w:p>
      <w:pPr>
        <w:pStyle w:val="918"/>
        <w:ind w:firstLine="422"/>
        <w:keepLines w:val="0"/>
        <w:keepNext w:val="0"/>
        <w:pageBreakBefore w:val="0"/>
        <w:spacing w:line="560" w:lineRule="exact"/>
        <w:widowControl/>
        <w:rPr>
          <w:rFonts w:ascii="宋体" w:hAnsi="宋体" w:cs="宋体"/>
          <w:b/>
          <w:szCs w:val="24"/>
        </w:rPr>
      </w:pPr>
      <w:r>
        <w:rPr>
          <w:rFonts w:ascii="宋体" w:hAnsi="宋体" w:cs="宋体"/>
          <w:b/>
          <w:szCs w:val="24"/>
        </w:rPr>
      </w:r>
      <w:r/>
    </w:p>
    <w:p>
      <w:pPr>
        <w:pStyle w:val="918"/>
        <w:pageBreakBefore w:val="0"/>
        <w:spacing w:line="560" w:lineRule="exact"/>
        <w:rPr>
          <w:rFonts w:ascii="宋体" w:hAnsi="宋体" w:cs="宋体"/>
          <w:b/>
          <w:szCs w:val="24"/>
        </w:rPr>
      </w:pPr>
      <w:r>
        <w:rPr>
          <w:rFonts w:ascii="宋体" w:hAnsi="宋体" w:cs="宋体"/>
          <w:b/>
          <w:szCs w:val="24"/>
        </w:rPr>
      </w:r>
      <w:r/>
    </w:p>
    <w:p>
      <w:pPr>
        <w:pStyle w:val="918"/>
        <w:pageBreakBefore w:val="0"/>
        <w:spacing w:line="560" w:lineRule="exact"/>
        <w:rPr>
          <w:rFonts w:ascii="宋体" w:hAnsi="宋体" w:cs="宋体"/>
          <w:b/>
          <w:szCs w:val="24"/>
        </w:rPr>
      </w:pPr>
      <w:r>
        <w:rPr>
          <w:rFonts w:ascii="宋体" w:hAnsi="宋体" w:cs="宋体"/>
          <w:b/>
          <w:szCs w:val="24"/>
        </w:rPr>
      </w:r>
      <w:r/>
    </w:p>
    <w:p>
      <w:pPr>
        <w:pStyle w:val="840"/>
        <w:pageBreakBefore w:val="0"/>
        <w:spacing w:line="560" w:lineRule="exact"/>
        <w:rPr>
          <w:rFonts w:hint="eastAsia"/>
        </w:rPr>
      </w:pPr>
      <w:r/>
      <w:bookmarkStart w:id="45" w:name="_Toc31192"/>
      <w:r/>
      <w:bookmarkStart w:id="46" w:name="_Toc28374"/>
      <w:r/>
      <w:bookmarkStart w:id="47" w:name="_Toc3160"/>
      <w:r/>
      <w:bookmarkStart w:id="48" w:name="_Toc2849"/>
      <w:r/>
      <w:r/>
    </w:p>
    <w:p>
      <w:pPr>
        <w:pStyle w:val="955"/>
        <w:ind w:firstLine="2891"/>
        <w:jc w:val="both"/>
        <w:pageBreakBefore w:val="0"/>
        <w:spacing w:line="560" w:lineRule="exact"/>
        <w:rPr>
          <w:rFonts w:ascii="仿宋" w:hAnsi="仿宋" w:eastAsia="仿宋"/>
          <w:color w:val="000000"/>
          <w:sz w:val="32"/>
          <w:szCs w:val="32"/>
          <w:highlight w:val="yellow"/>
        </w:rPr>
      </w:pPr>
      <w:r/>
      <w:bookmarkStart w:id="49" w:name="_Toc19359"/>
      <w:r/>
      <w:bookmarkStart w:id="50" w:name="_Toc26713"/>
      <w:r>
        <w:rPr>
          <w:rFonts w:hint="eastAsia" w:ascii="仿宋" w:hAnsi="仿宋" w:eastAsia="仿宋"/>
          <w:color w:val="000000"/>
          <w:sz w:val="32"/>
          <w:szCs w:val="32"/>
        </w:rPr>
        <w:t xml:space="preserve">第六章  采购需求</w:t>
      </w:r>
      <w:bookmarkEnd w:id="44"/>
      <w:r/>
      <w:bookmarkEnd w:id="45"/>
      <w:r/>
      <w:bookmarkEnd w:id="46"/>
      <w:r/>
      <w:bookmarkEnd w:id="47"/>
      <w:r/>
      <w:bookmarkEnd w:id="48"/>
      <w:r/>
      <w:bookmarkEnd w:id="49"/>
      <w:r/>
      <w:bookmarkEnd w:id="50"/>
      <w:r/>
      <w:bookmarkStart w:id="51" w:name="_Toc522790136"/>
      <w:r/>
      <w:bookmarkStart w:id="52" w:name="_Toc23485"/>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一、采购项目说明</w:t>
      </w:r>
      <w:r/>
    </w:p>
    <w:p>
      <w:pPr>
        <w:ind w:firstLine="480"/>
        <w:keepLines w:val="0"/>
        <w:keepNext w:val="0"/>
        <w:pageBreakBefore w:val="0"/>
        <w:spacing w:line="560" w:lineRule="exact"/>
        <w:widowControl w:val="off"/>
        <w:rPr>
          <w:rFonts w:hint="eastAsia" w:ascii="宋体" w:hAnsi="宋体"/>
          <w:sz w:val="24"/>
          <w:szCs w:val="24"/>
          <w:lang w:val="zh-CN"/>
        </w:rPr>
      </w:pPr>
      <w:r>
        <w:rPr>
          <w:rFonts w:hint="eastAsia" w:ascii="宋体" w:hAnsi="宋体"/>
          <w:sz w:val="24"/>
          <w:szCs w:val="24"/>
          <w:lang w:val="zh-CN"/>
        </w:rPr>
        <w:t xml:space="preserve">1.采购人：贾汪区财政局</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项目名称：贾汪区2026-2029年政策性农业保险承保机构遴选项目</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3.本项目预算金额约为</w:t>
      </w:r>
      <w:r>
        <w:rPr>
          <w:rFonts w:hint="eastAsia" w:ascii="宋体" w:hAnsi="宋体" w:eastAsia="宋体"/>
          <w:sz w:val="24"/>
          <w:szCs w:val="24"/>
          <w:lang w:val="en-US" w:eastAsia="zh-CN"/>
        </w:rPr>
        <w:t xml:space="preserve">18</w:t>
      </w:r>
      <w:r>
        <w:rPr>
          <w:rFonts w:hint="eastAsia" w:ascii="宋体" w:hAnsi="宋体"/>
          <w:sz w:val="24"/>
          <w:szCs w:val="24"/>
        </w:rPr>
        <w:t xml:space="preserve">000万元</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4.本项目为</w:t>
      </w:r>
      <w:r>
        <w:rPr>
          <w:rFonts w:hint="eastAsia" w:ascii="宋体" w:hAnsi="宋体"/>
          <w:b/>
          <w:bCs/>
          <w:sz w:val="24"/>
          <w:szCs w:val="24"/>
        </w:rPr>
        <w:t xml:space="preserve">非</w:t>
      </w:r>
      <w:r>
        <w:rPr>
          <w:rFonts w:hint="eastAsia" w:ascii="宋体" w:hAnsi="宋体"/>
          <w:sz w:val="24"/>
          <w:szCs w:val="24"/>
        </w:rPr>
        <w:t xml:space="preserve">专门面向中小企业的项目</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二、具体技术要求</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（一）项目概述</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根据《江苏省财政厅 江苏省农业农村厅关于做好政策性农业保险承保机构遴选工作的通知》（苏财金〔2021〕42号）、《关于进一步加强政策性农业保险承保机构遴选管理工作的通知》（苏财金〔2024〕144号）以及《关于做好徐州市政策性农业保险承保机构遴选工作的通知》（徐农保〔2021〕4号）等文件精神，依法依规开展遴选工作。</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（二）服务内容</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1、我</w:t>
      </w:r>
      <w:r>
        <w:rPr>
          <w:rFonts w:hint="eastAsia" w:ascii="宋体" w:hAnsi="宋体" w:eastAsia="宋体" w:cs="宋体"/>
          <w:color w:val="000000" w:themeColor="text1"/>
          <w:sz w:val="24"/>
          <w:szCs w:val="24"/>
          <w:lang w:eastAsia="zh-CN"/>
          <w14:textFill>
            <w14:solidFill>
              <w14:schemeClr w14:val="tx1"/>
            </w14:solidFill>
          </w14:textFill>
        </w:rPr>
        <w:t xml:space="preserve">区</w:t>
      </w:r>
      <w:r>
        <w:rPr>
          <w:rFonts w:hint="eastAsia" w:ascii="宋体" w:hAnsi="宋体" w:eastAsia="宋体" w:cs="宋体"/>
          <w:color w:val="000000" w:themeColor="text1"/>
          <w:sz w:val="24"/>
          <w:szCs w:val="24"/>
          <w14:textFill>
            <w14:solidFill>
              <w14:schemeClr w14:val="tx1"/>
            </w14:solidFill>
          </w14:textFill>
        </w:rPr>
        <w:t xml:space="preserve">行政区划内的政策性农业保险（含农机保险）全部纳入承保机构承保范围。政策性农业保险是指由各级财政部门提供保费补贴的农业险种，不包括各保险机构自主开展的各类涉农商业性险种。</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2、服务区域。遴选</w:t>
      </w:r>
      <w:r>
        <w:rPr>
          <w:rFonts w:hint="eastAsia" w:ascii="宋体" w:hAnsi="宋体" w:eastAsia="宋体" w:cs="宋体"/>
          <w:sz w:val="24"/>
          <w:szCs w:val="24"/>
          <w:lang w:val="en-US" w:eastAsia="zh-CN"/>
        </w:rPr>
        <w:t xml:space="preserve">3</w:t>
      </w:r>
      <w:r>
        <w:rPr>
          <w:rFonts w:hint="eastAsia" w:ascii="宋体" w:hAnsi="宋体" w:eastAsia="宋体" w:cs="宋体"/>
          <w:color w:val="000000" w:themeColor="text1"/>
          <w:sz w:val="24"/>
          <w:szCs w:val="24"/>
          <w14:textFill>
            <w14:solidFill>
              <w14:schemeClr w14:val="tx1"/>
            </w14:solidFill>
          </w14:textFill>
        </w:rPr>
        <w:t xml:space="preserve">家保险承保机构，按照以下划分区域依法独立开展承保活动。</w:t>
      </w:r>
      <w:r/>
    </w:p>
    <w:tbl>
      <w:tblPr>
        <w:tblStyle w:val="814"/>
        <w:tblpPr w:horzAnchor="margin" w:tblpXSpec="left" w:vertAnchor="page" w:tblpY="2132" w:leftFromText="180" w:topFromText="0" w:rightFromText="180" w:bottomFromText="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5268"/>
        <w:gridCol w:w="1701"/>
      </w:tblGrid>
      <w:tr>
        <w:trPr>
          <w:trHeight w:val="693"/>
        </w:trPr>
        <w:tc>
          <w:tcPr>
            <w:tcW w:w="1361"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区域</w:t>
            </w:r>
            <w:r/>
          </w:p>
        </w:tc>
        <w:tc>
          <w:tcPr>
            <w:tcW w:w="5268"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承保区域</w:t>
            </w:r>
            <w:r/>
          </w:p>
        </w:tc>
        <w:tc>
          <w:tcPr>
            <w:tcW w:w="1701"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中标人</w:t>
            </w:r>
            <w:r/>
          </w:p>
        </w:tc>
      </w:tr>
      <w:tr>
        <w:trPr>
          <w:trHeight w:val="757"/>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第一区域</w:t>
            </w:r>
            <w:r/>
          </w:p>
        </w:tc>
        <w:tc>
          <w:tcPr>
            <w:tcW w:w="5268" w:type="dxa"/>
            <w:vAlign w:val="center"/>
            <w:textDirection w:val="lrTb"/>
            <w:noWrap w:val="false"/>
          </w:tcPr>
          <w:p>
            <w:pPr>
              <w:ind w:left="57" w:hanging="57"/>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汴塘</w:t>
            </w:r>
            <w:r>
              <w:rPr>
                <w:rFonts w:hint="eastAsia" w:ascii="宋体" w:hAnsi="宋体" w:eastAsia="宋体" w:cs="宋体"/>
                <w:color w:val="000000" w:themeColor="text1"/>
                <w:sz w:val="24"/>
                <w:szCs w:val="24"/>
                <w:lang w:eastAsia="zh-CN"/>
                <w14:textFill>
                  <w14:solidFill>
                    <w14:schemeClr w14:val="tx1"/>
                  </w14:solidFill>
                </w14:textFill>
              </w:rPr>
              <w:t xml:space="preserve">、塔山、耿集、青山泉、工业园、大吴、江庄</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第一中标人</w:t>
            </w:r>
            <w:r/>
          </w:p>
        </w:tc>
      </w:tr>
      <w:tr>
        <w:trPr>
          <w:trHeight w:val="737"/>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第二区域</w:t>
            </w:r>
            <w:r/>
          </w:p>
        </w:tc>
        <w:tc>
          <w:tcPr>
            <w:tcW w:w="5268" w:type="dxa"/>
            <w:vAlign w:val="center"/>
            <w:textDirection w:val="lrTb"/>
            <w:noWrap w:val="false"/>
          </w:tcPr>
          <w:p>
            <w:pPr>
              <w:jc w:val="left"/>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茱萸山</w:t>
            </w:r>
            <w:r>
              <w:rPr>
                <w:rFonts w:hint="eastAsia" w:ascii="宋体" w:hAnsi="宋体" w:eastAsia="宋体" w:cs="宋体"/>
                <w:color w:val="000000" w:themeColor="text1"/>
                <w:sz w:val="24"/>
                <w:szCs w:val="24"/>
                <w:lang w:eastAsia="zh-CN"/>
                <w14:textFill>
                  <w14:solidFill>
                    <w14:schemeClr w14:val="tx1"/>
                  </w14:solidFill>
                </w14:textFill>
              </w:rPr>
              <w:t xml:space="preserve">、紫庄</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第二中标人</w:t>
            </w:r>
            <w:r/>
          </w:p>
        </w:tc>
      </w:tr>
      <w:tr>
        <w:trPr>
          <w:trHeight w:val="731"/>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第三区域</w:t>
            </w:r>
            <w:r/>
          </w:p>
        </w:tc>
        <w:tc>
          <w:tcPr>
            <w:tcW w:w="5268" w:type="dxa"/>
            <w:vAlign w:val="center"/>
            <w:textDirection w:val="lrTb"/>
            <w:noWrap w:val="false"/>
          </w:tcPr>
          <w:p>
            <w:pPr>
              <w:ind w:left="560" w:hanging="560"/>
              <w:jc w:val="left"/>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老矿办</w:t>
            </w:r>
            <w:r>
              <w:rPr>
                <w:rFonts w:hint="eastAsia" w:ascii="宋体" w:hAnsi="宋体" w:eastAsia="宋体" w:cs="宋体"/>
                <w:color w:val="000000" w:themeColor="text1"/>
                <w:sz w:val="24"/>
                <w:szCs w:val="24"/>
                <w:lang w:eastAsia="zh-CN"/>
                <w14:textFill>
                  <w14:solidFill>
                    <w14:schemeClr w14:val="tx1"/>
                  </w14:solidFill>
                </w14:textFill>
              </w:rPr>
              <w:t xml:space="preserve">、大泉、潘安湖</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第三中标人</w:t>
            </w:r>
            <w:r/>
          </w:p>
        </w:tc>
      </w:tr>
    </w:tbl>
    <w:p>
      <w:pPr>
        <w:spacing w:line="560" w:lineRule="exact"/>
        <w:rPr>
          <w:rFonts w:hint="eastAsia" w:ascii="仿宋_GB2312" w:hAnsi="宋体" w:eastAsia="仿宋_GB2312" w:cs="仿宋"/>
          <w:color w:val="000000" w:themeColor="text1"/>
          <w:sz w:val="32"/>
          <w:szCs w:val="32"/>
          <w14:textFill>
            <w14:solidFill>
              <w14:schemeClr w14:val="tx1"/>
            </w14:solidFill>
          </w14:textFill>
        </w:rPr>
      </w:pPr>
      <w:r>
        <w:rPr>
          <w:rFonts w:hint="eastAsia" w:ascii="仿宋_GB2312" w:hAnsi="宋体" w:eastAsia="仿宋_GB2312" w:cs="仿宋"/>
          <w:color w:val="000000" w:themeColor="text1"/>
          <w:sz w:val="32"/>
          <w:szCs w:val="32"/>
          <w14:textFill>
            <w14:solidFill>
              <w14:schemeClr w14:val="tx1"/>
            </w14:solidFill>
          </w14:textFill>
        </w:rPr>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三、履约服务要求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1.投保自愿。政策性农业保险坚持投保自愿原则,农户自愿投保所需险种，享受政府相应补贴。</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2.政府引导。财政部门通过保险费补贴等政策支持，鼓励和引导农户、农业生产经营组织投保政策性农业保险。政策性农业保险财政补贴按照国家有关政策规定实施。</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险种设置。中标供应商承保政策性险种应严格执行农业保险条例及相关政策性文件规定的操作规程、指导意见、标准指引等。补贴范围为中央和省财政奖补险种目录，并严格按照向银保监报备的有关条款和费率执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服务标准。中标供应商应当建立与开展政策性农业保险相匹配的县、镇、村三级服务网络，配备专职人员和协保员，保证每个乡镇（街道）和行政村都建立有政策性农业保险服务网点，能够深入基层做好政策性农业保险的政策宣传、业务培训、承保理赔等正常工作；积极探索建立风险防范和预警机制，发挥农险防灾减损作用；保证每个工作程序公平、公正、公开，不发生重大理赔信访、集访、重访案件。建立健全农业保险投诉及来访接待制度，及时登记处理，做到件件有回复；定期向</w:t>
      </w:r>
      <w:r>
        <w:rPr>
          <w:rFonts w:hint="eastAsia" w:ascii="宋体" w:hAnsi="宋体" w:eastAsia="宋体" w:cs="宋体"/>
          <w:color w:val="000000" w:themeColor="text1"/>
          <w:sz w:val="24"/>
          <w:szCs w:val="24"/>
          <w:lang w:eastAsia="zh-CN"/>
          <w14:textFill>
            <w14:solidFill>
              <w14:schemeClr w14:val="tx1"/>
            </w14:solidFill>
          </w14:textFill>
        </w:rPr>
        <w:t xml:space="preserve">贾汪区</w:t>
      </w:r>
      <w:r>
        <w:rPr>
          <w:rFonts w:hint="eastAsia" w:ascii="宋体" w:hAnsi="宋体" w:eastAsia="宋体" w:cs="宋体"/>
          <w:color w:val="000000" w:themeColor="text1"/>
          <w:sz w:val="24"/>
          <w:szCs w:val="24"/>
          <w14:textFill>
            <w14:solidFill>
              <w14:schemeClr w14:val="tx1"/>
            </w14:solidFill>
          </w14:textFill>
        </w:rPr>
        <w:t xml:space="preserve">财政局报告农业保险经营情况、财务情况；完成省、市、县下达的农业保险高质量发展目标任务。</w:t>
      </w:r>
      <w:r/>
    </w:p>
    <w:p>
      <w:pPr>
        <w:ind w:firstLine="480"/>
        <w:keepLines w:val="0"/>
        <w:keepNext w:val="0"/>
        <w:pageBreakBefore w:val="0"/>
        <w:spacing w:line="560" w:lineRule="exact"/>
        <w:widowControl w:val="off"/>
        <w:rPr>
          <w:rFonts w:hint="eastAsia" w:ascii="宋体" w:hAnsi="宋体" w:eastAsia="宋体" w:cs="宋体"/>
          <w:b/>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5.鼓励创新。中标供应商应根据省市有关政策文件精神，积极开发、推动创新符合当地特色的新品种，按</w:t>
      </w:r>
      <w:r>
        <w:rPr>
          <w:rFonts w:hint="eastAsia" w:ascii="宋体" w:hAnsi="宋体" w:eastAsia="宋体" w:cs="宋体"/>
          <w:b w:val="0"/>
          <w:bCs w:val="0"/>
          <w:color w:val="000000" w:themeColor="text1"/>
          <w:sz w:val="24"/>
          <w:szCs w:val="24"/>
          <w14:textFill>
            <w14:solidFill>
              <w14:schemeClr w14:val="tx1"/>
            </w14:solidFill>
          </w14:textFill>
        </w:rPr>
        <w:t xml:space="preserve">照“谁开办谁</w:t>
      </w:r>
      <w:r>
        <w:rPr>
          <w:rFonts w:hint="eastAsia" w:ascii="宋体" w:hAnsi="宋体" w:eastAsia="宋体" w:cs="宋体"/>
          <w:b w:val="0"/>
          <w:bCs w:val="0"/>
          <w:color w:val="auto"/>
          <w:sz w:val="24"/>
          <w:szCs w:val="24"/>
          <w:lang w:eastAsia="zh-CN"/>
        </w:rPr>
        <w:t xml:space="preserve">受益”的原则给予保护期支持。</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四、服务时间</w:t>
      </w:r>
      <w:r/>
    </w:p>
    <w:p>
      <w:pPr>
        <w:ind w:firstLine="482"/>
        <w:spacing w:line="52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b/>
          <w:color w:val="auto"/>
          <w:sz w:val="24"/>
          <w:szCs w:val="24"/>
          <w:lang w:eastAsia="zh-CN"/>
        </w:rPr>
        <w:t xml:space="preserve">服务时间</w:t>
      </w:r>
      <w:r>
        <w:rPr>
          <w:rFonts w:hint="eastAsia" w:ascii="宋体" w:hAnsi="宋体" w:eastAsia="宋体" w:cs="宋体"/>
          <w:b/>
          <w:bCs w:val="0"/>
          <w:color w:val="000000" w:themeColor="text1"/>
          <w:sz w:val="24"/>
          <w:szCs w:val="24"/>
          <w14:textFill>
            <w14:solidFill>
              <w14:schemeClr w14:val="tx1"/>
            </w14:solidFill>
          </w14:textFill>
        </w:rPr>
        <w:t xml:space="preserve">三年，起保日期自2026年</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bCs w:val="0"/>
          <w:color w:val="000000" w:themeColor="text1"/>
          <w:sz w:val="24"/>
          <w:szCs w:val="24"/>
          <w14:textFill>
            <w14:solidFill>
              <w14:schemeClr w14:val="tx1"/>
            </w14:solidFill>
          </w14:textFill>
        </w:rPr>
        <w:t xml:space="preserve">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14:textFill>
            <w14:solidFill>
              <w14:schemeClr w14:val="tx1"/>
            </w14:solidFill>
          </w14:textFill>
        </w:rPr>
        <w:t xml:space="preserve">日至2029年</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30</w:t>
      </w:r>
      <w:r>
        <w:rPr>
          <w:rFonts w:hint="eastAsia" w:ascii="宋体" w:hAnsi="宋体" w:eastAsia="宋体" w:cs="宋体"/>
          <w:b/>
          <w:bCs w:val="0"/>
          <w:color w:val="000000" w:themeColor="text1"/>
          <w:sz w:val="24"/>
          <w:szCs w:val="24"/>
          <w14:textFill>
            <w14:solidFill>
              <w14:schemeClr w14:val="tx1"/>
            </w14:solidFill>
          </w14:textFill>
        </w:rPr>
        <w:t xml:space="preserve">日。</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五、 服务措施及内容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建立完善的管理制度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加强信息管理系统建设，农业保险业务要与其他保险业务分开管理，信息系统支持单独核算农业保险业务损益，实现农业保险全流程系统管理，承保、理赔、再保险和财务系统应当无缝对接，信息管理系统应当能够实时监控承保理赔情况，具备数据管理、统计分析、稽核等功能。</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严格按照法律法规和监管规定做好农业保险信息数据安全保护工作，确保信息系统安全和数据安全。对于开展业务中知悉的个人隐私、个人信息等数据，保险机构应当依法予以保密，不得泄露或者非法提供。</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 如实记录农业保险业务和财务情况，保证业务和财务数据真实、准确、完整。对外部数据信息应当进行必要的查验审核，对存在问题的数据信息应当及时向有关部门报告。禁止通过虚假承保、虚假理赔、虚列费用等方式骗取农业保险保费补贴。</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 定期报告保险展业、理赔与服务情况以及工作总结、工作方案，同时提交电子文档。</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建立完善的组织体系</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承保机构应当设立农业保险专职部门并安排专职人员，负责组织实施本项目所有业务，为各被保险人提供承保、理赔及相关农业保险方面的服务，包括内外各方关系的协调工作。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 人员配置：落实展业、出单、核保、查勘、定损、核赔、财务、统计、档案等人员。 </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 培训上岗：及时组织完成相关人员的培训工作，专业技术人员在业务素质和数量上要充分保障本项目相关条件及要求。</w:t>
      </w:r>
      <w:r/>
    </w:p>
    <w:p>
      <w:pPr>
        <w:ind w:firstLine="480"/>
        <w:spacing w:line="52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2.4</w:t>
      </w:r>
      <w:r>
        <w:rPr>
          <w:rFonts w:hint="eastAsia" w:ascii="宋体" w:hAnsi="宋体" w:eastAsia="宋体" w:cs="宋体"/>
          <w:sz w:val="24"/>
          <w:szCs w:val="24"/>
        </w:rPr>
        <w:t xml:space="preserve">基层营销服务网络：建立符合农业保险业务开展的镇级服务站，并延伸到村级服务的网络体系。鼓励中标承保机构积极建立镇级营销服务部，中标承保机构应当在其承保区域内至少每个镇设置一个服务站、每个村设置一个服务点，和配备足量农业保险工作人员，保障区域内农业保险业务正常有序开展。</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 设施设备：配备足以保障农业保险工作正常开展的农险专用设施设备，如车辆、无人机等专职用于农业保险的承保验标、查勘定损等。</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加强承保服务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政策性农业保险可以由农民、农业生产经营组织自行投保，也可以由农业生产经营组织、村民委员会等单位组织农民投保。应当为投保人提供便利，不得无故拒保。</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 应当严格履行告知义务，在投保单、保险单上作出足以引起投保人注意的提示，并向投保人重点告知投保险种的保险责任、责任免除、合同双方权利义务、特别约定、理赔标准和方式等条款内容。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 应当准确完整记录投保信息。业务系统中投保信息必录项应当至少包括：（一）客户信息。投保人、被保险人姓名或者组织名称、身份证号码或统一社会信用代码、联系方式、联系地址等。（二）保险标的信息。种植业保险标的数量、品种、地块或村组位置，养殖业保险标的数量、品种、地点位置、标识或有关信息，森林保险标的数量、属性、地点位置等。（三）其他信息。投保险种、保费金额、保险费率、自缴保费、保险金额、保险期间等。</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 应当根据保险标的特征和分布等情况，采用全检或比例抽查方式查验标的，核查保险标的位置、数量、权属和风险等情况。保险机构可以从当地财政、农业农村、林草等部门或相关机构取得保险标的有关信息，辅助核查投保信息的真实性。</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（1）承保种植业保险，还应当查验被保险人土地承包经营权证书或土地承包经营租赁合同；被保险人确实无法提供的，应由管理部门或组织出具证明资料。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（2）承保养殖业保险，还应当查验保险标的存栏数量、防灾防疫、标识标志等情况；被保险人为规模养殖场的，还应当查验经营许可证明等资料。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（3）承保森林保险，还应当查验被保险人山林权属证明或山林承包经营租赁合同；被保险人确实无法提供的，应当由管理部门或组织出具证明资料。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 应当对标的查验情况进行拍摄，并确保影像资料清晰、完整、未经任何修改。查验影像应能反映查验人员、查验日期、承保标的特征和规模等。养殖业如有特殊情形，经被保险人与保险人双方同意，可由被保险人提供相关影像和证明资料。保险机构应当将影像资料上传至业务系统作为核保的必要档案。保险机构可以采用无人机、遥感等远程科技手段查验标的。</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 对于组织投保的业务，在订立农业保险合同时，保险机构应当制作分户投保清单，列明被保险人的相关投保信息。在依法保护个人信息的前提下，保险机构应当对分户投保清单进行不少于3天的承保公示。承保公示方式包括：在村级或农业生产经营组织公共区域张贴公告；通过政府公共网站、行业信息平台发布；经被保险人同意的其他线上公示方式。公示期间，投保人、被保险人对公示信息提出异议的，保险机构应当及时核查、据实调整，并将核查情况及时反馈相关投保人、被保险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 应当集中核保，原则上由总公司或省级分公司集中核保，特殊情形可临时授权中心支公司进行核保。保险机构应当合理设置核保权限，明确核保人员职责与权限，实行核保授权分级管理制度。保险机构应当对投保单、分户投保清单、验标影像、承保公示资料等承保要件以及保险金额、保险费率、保险期间等承保条件进行认真审核，重点审核承保信息的真实性、准确性、完整性。不符合规定要求或缺少相关内容的，不得审核通过。</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 应当在确认收到农民或农业生产经营组织应缴保费后，出具保险单。保险单或保险凭证应当及时发放到户。</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3.9 应当加强批改管理，合理设置保单批改权限，由总公司或省级分公司集中审批。保险机构应当在业务信息系统中真实、准确、完整记录批改说明及证明资料。涉及投保人、被保险人个人信息和承保重要信息变动的，应当由投保人、被保险人签名或盖章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3.10 应根据中央省市有关政策文件和保险标的种植和养殖周期以及条款规定按时做好承保工作。其中，小麦、油菜必须在2月底前完成承保工作；春玉米必须在5月底前完成承保工作；水稻、棉花、秋玉米、大豆必须在8月底前完成承保工作。同时在各承保区域内完成上级有关三大主粮承保覆盖率、保险密度、保险深度等目标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3.11 应当向财政局提供真实的投保数据。财政局对投保数据进行抽查，在审核检查无误的基础上，将保险费划转承保公司。</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理赔服务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应当以保障被保险人合法权益为出发点，根据“精准投保、精准理赔”的原则，按照“主动、迅速、科学、合理”的要求，做好理赔工作。保险机构应当重合同、守信用，不得平均赔付、协议赔付。</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接报案和立案</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应当加强接报案管理，设立专线电话，保持报案渠道畅通，24小时</w:t>
      </w:r>
      <w:r>
        <w:rPr>
          <w:rFonts w:hint="eastAsia" w:ascii="宋体" w:hAnsi="宋体" w:eastAsia="宋体" w:cs="宋体"/>
          <w:color w:val="000000" w:themeColor="text1"/>
          <w:sz w:val="24"/>
          <w:szCs w:val="24"/>
          <w:lang w:eastAsia="zh-CN"/>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接</w:t>
      </w:r>
      <w:r>
        <w:rPr>
          <w:rFonts w:hint="eastAsia" w:ascii="宋体" w:hAnsi="宋体" w:eastAsia="宋体" w:cs="宋体"/>
          <w:color w:val="000000" w:themeColor="text1"/>
          <w:sz w:val="24"/>
          <w:szCs w:val="24"/>
          <w:lang w:eastAsia="zh-CN"/>
          <w14:textFill>
            <w14:solidFill>
              <w14:schemeClr w14:val="tx1"/>
            </w14:solidFill>
          </w14:textFill>
        </w:rPr>
        <w:t xml:space="preserve">收</w:t>
      </w:r>
      <w:r>
        <w:rPr>
          <w:rFonts w:hint="eastAsia" w:ascii="宋体" w:hAnsi="宋体" w:eastAsia="宋体" w:cs="宋体"/>
          <w:color w:val="000000" w:themeColor="text1"/>
          <w:sz w:val="24"/>
          <w:szCs w:val="24"/>
          <w14:textFill>
            <w14:solidFill>
              <w14:schemeClr w14:val="tx1"/>
            </w14:solidFill>
          </w14:textFill>
        </w:rPr>
        <w:t xml:space="preserve">报案，并及时通知相关责任人。接报案应当由总公司或省级分公司集中受理，报案信息应当及时准确录入业务系统。对属于保险责任的案件，保险机构应当及时立案，及时核定损失。对报案后超过10日未立案的，业务系统应当强制自动立案。</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现场查勘</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应当建立农业保险查勘制度，查勘应当真实客观反映标的损失情况，查勘过程应当完整、规范。接到报案后，保险机构应当在</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小时内（大灾24小时</w:t>
      </w:r>
      <w:r>
        <w:rPr>
          <w:rFonts w:hint="eastAsia" w:ascii="宋体" w:hAnsi="宋体" w:eastAsia="宋体" w:cs="宋体"/>
          <w:color w:val="000000" w:themeColor="text1"/>
          <w:sz w:val="24"/>
          <w:szCs w:val="24"/>
          <w:lang w:eastAsia="zh-CN"/>
          <w14:textFill>
            <w14:solidFill>
              <w14:schemeClr w14:val="tx1"/>
            </w14:solidFill>
          </w14:textFill>
        </w:rPr>
        <w:t xml:space="preserve">内</w:t>
      </w:r>
      <w:r>
        <w:rPr>
          <w:rFonts w:hint="eastAsia" w:ascii="宋体" w:hAnsi="宋体" w:eastAsia="宋体" w:cs="宋体"/>
          <w:color w:val="000000" w:themeColor="text1"/>
          <w:sz w:val="24"/>
          <w:szCs w:val="24"/>
          <w14:textFill>
            <w14:solidFill>
              <w14:schemeClr w14:val="tx1"/>
            </w14:solidFill>
          </w14:textFill>
        </w:rPr>
        <w:t xml:space="preserve">）到达现场进行查勘，因客观原因难以及时查勘的，应当与报案人联系并说明原因。</w:t>
      </w:r>
      <w:r/>
    </w:p>
    <w:p>
      <w:pPr>
        <w:ind w:firstLine="48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6.2应当对损失情况进行拍摄，并确保影像资料清晰、完整、未经任何修改。查勘影像应当体现查勘人员、拍摄位置、拍摄日期、受损标的特征和规模、损失原因和程度、标识或有关信息等</w:t>
      </w:r>
      <w:r>
        <w:rPr>
          <w:rFonts w:hint="eastAsia" w:ascii="宋体" w:hAnsi="宋体" w:eastAsia="宋体" w:cs="宋体"/>
          <w:color w:val="000000" w:themeColor="text1"/>
          <w:sz w:val="24"/>
          <w:szCs w:val="24"/>
          <w:lang w:eastAsia="zh-CN"/>
          <w14:textFill>
            <w14:solidFill>
              <w14:schemeClr w14:val="tx1"/>
            </w14:solidFill>
          </w14:textFill>
        </w:rPr>
        <w:t xml:space="preserve">，并尽可能由投保人确认。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 发生种植业、森林灾害，保险机构可以采用无人机、遥感等远程科技手段开展查勘定损工作。</w:t>
      </w:r>
      <w:r/>
    </w:p>
    <w:p>
      <w:pPr>
        <w:pStyle w:val="731"/>
        <w:ind w:firstLine="48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 发生养殖业灾害，保险机构必须及时现场查勘，按照地方政府有关要求，对病死畜禽必须进行100%无害化处理。保险机构应当将无害化处理作为理赔的前提条件，对于不能确认无害化处理的，不予赔偿</w:t>
      </w:r>
      <w:r>
        <w:rPr>
          <w:rFonts w:hint="eastAsia" w:ascii="宋体" w:hAnsi="宋体" w:eastAsia="宋体" w:cs="宋体"/>
          <w:color w:val="000000" w:themeColor="text1"/>
          <w:sz w:val="24"/>
          <w:szCs w:val="24"/>
          <w:lang w:eastAsia="zh-CN"/>
          <w14:textFill>
            <w14:solidFill>
              <w14:schemeClr w14:val="tx1"/>
            </w14:solidFill>
          </w14:textFill>
        </w:rPr>
        <w:t xml:space="preserve">，以无害化处理系统数据为依据。</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6.5 发生大灾和突发事件后，乙方应启动大灾及突发事件应急预案，及时向政府有关部门汇报灾情及突发事件情况。 </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定责定损</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应当加强定损管理，承保机构依据定损标准和规范科学定损，定损结果应当确定到户。保险机构应当加强案件拒赔管理。对于不属于保险责任的，应当在核定之日起3日内向被保险人发出拒赔通知书，并说明理由。拒赔材料应当上传业务系统进行管理。</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种植业保险、森林保险发生全部损失的，应当在接到报案后10日内完成损失核定；发生部分损失的，应当在接到报案后20日内完成损失核定。养殖业保险应当在接到报案后3日内完成损失核定。</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 发生重大灾害、大范围疫情以及存在其他特殊情形的，保险机构可以按照合同约定，适当延长损失核定时间，并向被保险人做好解释说明工作。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索赔材料递交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应当对查勘报告、损失清单、查勘影像、公示资料等理赔要件进行严格审核，重点核实赔案的真实性和定损结果的科学性、合理性。</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查勘定损过程中，应当由被保险人提供的有关证明资料不齐全或不符合要求的，保险机构应当一次性告知被保险人提供；保险机构能够直接取得的气象灾害证明等有关证明资料，不得要求被保险人提供。</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8.3 法律法规对受损保险标的处理有规定的，保险机构理赔时应当取得受损保险标的已依法处理的证据或证明资料。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8.4 除保险合同另有约定外，保险机构不得主张对受损保险标的残余价值的权利。</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 赔款时限</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应当在与被保险人达成赔偿协议后10日内，将赔款支付给被保险人。农业保险合同对赔款支付的期限有约定的，保险机构应当按照约定履行赔付义务。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自收到被保险人赔偿请求和有关证明资料之日起60日内，如不能确定赔款金额，应当依据已有证明和资料，对可以确定的金额先予以支付。最终确定赔偿金额并达成赔偿协议后，应当支付相应的差额。</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任何单位和个人不得非法干预保险机构履行赔偿保险金的义务，不得限制被保险人取得保险金的权利。</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 理赔签字确认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10.1应当如实撰写查勘报告，并保存查勘原始记录等单证资料，严禁编纂虚假查勘资料和报告。查勘单证应当对标的受损情况、事故原因以及是否属于保险责任等提出意见，并由查勘人员和被保险人签名确认。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10.2应当根据公示反馈结果制作分户理赔清单，列明被保险人姓名、身份证号、银行账号、赔付险种和赔款金额，由被保险人签名或盖章确认。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10.3可以制作电子理赔清单，并采取被保险人电子签名等可验证方式确认理赔清单。保险机构工作人员、协办人员不得篡改理赔信息。</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理赔公示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11.1理赔公示方式包括：在村级或农业生产经营组织公共区域张贴公告；通过政府公共网站、行业信息平台发布；经被保险人同意的其他线上公示方式。</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11.2对于组织投保的业务，在依法保护个人信息的前提下，保险机构应当对分户定损结果进行不少于3天的理赔公示。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11.3 公示期间，投保人、被保险人对公示信息提出异议的，保险机构应当及时核查，据实调整，并将核查情况及时反馈相关投保人、被保险人。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赔付方式</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12.1农业保险赔款一律采取银行转账方式直接支付到被保险人银行账户（卡）。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 建立投诉回访制度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13.1应当建立投诉处理制度。对于农业保险相关投诉事项，保险机构应当及时受理、认真调查，并明确由高管人员负责受理各被保险人投诉，在规定时限内作出答复，同一分支机构有效投诉数量不超过5次。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13.2应当建立完善承保理赔客户回访管理制度，包括但不限于回访方式、回访频率、回访比例、回访记录格式、回访档案管理等内容。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13.3建立争议协调制度，—旦发生承保、理赔方面的争议，按以下程序进行：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（1）复查承保、理赔程序与相关要求，查明原因后与农户协商解决；</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（2）与农户协商未决，可以由各镇街道调解委员会协商解决；</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（3）协商未决，递交仲裁机构进行仲裁，仲裁费用按相关规定执行。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 加强宣传培训</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14.1定期开展各类保险知识培训、政策宣传、养殖种植科技培训、防灾减损宣传、风险评估等活动，提高农户对农业保险、国家强农惠农富农政策的认知水平，并逐步向村级、组、农户延伸。</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14.2积极开展防灾减损与特色服务活动，扩大农业保险覆盖面，拓宽农业保险服务领域，满足农民和农业生产组织多元化的风险保障需求。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14.3积极探索改进服务质量、提高服务效率、提升农户满意度，主动承担社会责任，支持三农建设，推动农业保险高质量发展。</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 建立防灾防损专家库</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15.1承保机构负责建立农业种植、养殖技术专家队伍、动物防疫技术专家组、协助开展村镇社区防疫站的技术培训工作以及对农户的知识普及工作。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 其他职责</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16.1 应当积极开展农业保险创新，开办符合当地特色产业的商业性涉农险种，落实省市等相关政策和文件要求。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 经费保障</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17.1 承保机构应当提供必要的专项经费用于基层服务网络建设、人员、车辆等，保障政策性农业保险工作的正常开展。</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六、常态化考核和退出机制</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1.1承保机构应当配合</w:t>
      </w:r>
      <w:r>
        <w:rPr>
          <w:rFonts w:hint="eastAsia" w:ascii="宋体" w:hAnsi="宋体" w:eastAsia="宋体" w:cs="宋体"/>
          <w:color w:val="000000" w:themeColor="text1"/>
          <w:sz w:val="24"/>
          <w:szCs w:val="24"/>
          <w14:textFill>
            <w14:solidFill>
              <w14:schemeClr w14:val="tx1"/>
            </w14:solidFill>
          </w14:textFill>
        </w:rPr>
        <w:t xml:space="preserve">有关部门</w:t>
      </w:r>
      <w:r>
        <w:rPr>
          <w:rFonts w:hint="eastAsia" w:ascii="宋体" w:hAnsi="宋体" w:eastAsia="宋体" w:cs="宋体"/>
          <w:bCs/>
          <w:color w:val="000000" w:themeColor="text1"/>
          <w:sz w:val="24"/>
          <w:szCs w:val="24"/>
          <w14:textFill>
            <w14:solidFill>
              <w14:schemeClr w14:val="tx1"/>
            </w14:solidFill>
          </w14:textFill>
        </w:rPr>
        <w:t xml:space="preserve">通过调研、核查、绩效评价等方式严格执行政策规定和遴选文件要求。承保机构在服务期间存在以下情形的，终止承保服务合同，并依照有关法律法规、政策等追究责任。①套取财政补贴资金；②未按规定区域、合同约定承保；③不履行合同义务或者履行合同义务不符合约定；④不接受政府有关部门管理</w:t>
      </w:r>
      <w:r>
        <w:rPr>
          <w:rFonts w:hint="eastAsia" w:ascii="宋体" w:hAnsi="宋体" w:eastAsia="宋体" w:cs="宋体"/>
          <w:bCs/>
          <w:color w:val="000000" w:themeColor="text1"/>
          <w:sz w:val="24"/>
          <w:szCs w:val="24"/>
          <w:lang w:eastAsia="zh-CN"/>
          <w14:textFill>
            <w14:solidFill>
              <w14:schemeClr w14:val="tx1"/>
            </w14:solidFill>
          </w14:textFill>
        </w:rPr>
        <w:t xml:space="preserve">和指导</w:t>
      </w:r>
      <w:r>
        <w:rPr>
          <w:rFonts w:hint="eastAsia" w:ascii="宋体" w:hAnsi="宋体" w:eastAsia="宋体" w:cs="宋体"/>
          <w:bCs/>
          <w:color w:val="000000" w:themeColor="text1"/>
          <w:sz w:val="24"/>
          <w:szCs w:val="24"/>
          <w14:textFill>
            <w14:solidFill>
              <w14:schemeClr w14:val="tx1"/>
            </w14:solidFill>
          </w14:textFill>
        </w:rPr>
        <w:t xml:space="preserve">；⑤上年度政策性农业保险服务评价经同级财政、农业农村等部门评定不合格的；⑥被相关管理部门处罚停止农业保险补贴，被禁止或限制农业保险业务的；⑦因农业保险业务违规，被移送纪检监察及司法部门并受到处理的；⑧因违法违规行为，未及时化解信访矛盾等导致出现重大舆情；⑨服务合同约定的其他情形。</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1.2协议期内，承保机构不按照合同约定履行相应义务</w:t>
      </w:r>
      <w:r>
        <w:rPr>
          <w:rFonts w:hint="eastAsia" w:ascii="宋体" w:hAnsi="宋体" w:eastAsia="宋体" w:cs="宋体"/>
          <w:color w:val="000000" w:themeColor="text1"/>
          <w:sz w:val="24"/>
          <w:szCs w:val="24"/>
          <w14:textFill>
            <w14:solidFill>
              <w14:schemeClr w14:val="tx1"/>
            </w14:solidFill>
          </w14:textFill>
        </w:rPr>
        <w:t xml:space="preserve">的，取消其中标资格，按照政府采购等相关要求，重新选择承保机构。</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七、未尽事项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本合同有关的未尽事项，按照《农业保险条例》、《农业保险承保理赔管理办法》（银保监规〔2022〕4号）、</w:t>
      </w:r>
      <w:r>
        <w:rPr>
          <w:rFonts w:hint="eastAsia" w:ascii="宋体" w:hAnsi="宋体" w:eastAsia="宋体" w:cs="宋体"/>
          <w:sz w:val="24"/>
          <w:szCs w:val="24"/>
        </w:rPr>
        <w:t xml:space="preserve">《江苏省金融监管局 江苏省财政厅 江苏省农业农村厅 江苏省林业局关于印发江苏省农业保险精准投保理赔行动方案的通知》</w:t>
      </w:r>
      <w:r>
        <w:rPr>
          <w:rFonts w:hint="eastAsia" w:ascii="宋体" w:hAnsi="宋体" w:eastAsia="宋体" w:cs="宋体"/>
          <w:color w:val="000000" w:themeColor="text1"/>
          <w:sz w:val="24"/>
          <w:szCs w:val="24"/>
          <w14:textFill>
            <w14:solidFill>
              <w14:schemeClr w14:val="tx1"/>
            </w14:solidFill>
          </w14:textFill>
        </w:rPr>
        <w:t xml:space="preserve">（苏金发〔2025〕25号）等有关规定执行。</w:t>
      </w:r>
      <w:r/>
    </w:p>
    <w:p>
      <w:pPr>
        <w:ind w:firstLine="562"/>
        <w:keepLines w:val="0"/>
        <w:keepNext w:val="0"/>
        <w:pageBreakBefore w:val="0"/>
        <w:spacing w:line="560" w:lineRule="exact"/>
        <w:widowControl w:val="off"/>
        <w:rPr>
          <w:rFonts w:hint="eastAsia" w:ascii="宋体" w:hAnsi="宋体" w:eastAsia="宋体" w:cs="宋体"/>
          <w:sz w:val="28"/>
          <w:szCs w:val="28"/>
          <w:lang w:eastAsia="zh-CN"/>
        </w:rPr>
      </w:pPr>
      <w:r>
        <w:rPr>
          <w:rFonts w:hint="eastAsia" w:ascii="宋体" w:hAnsi="宋体" w:eastAsia="宋体" w:cs="宋体"/>
          <w:b/>
          <w:color w:val="000000" w:themeColor="text1"/>
          <w:sz w:val="28"/>
          <w:szCs w:val="28"/>
          <w14:textFill>
            <w14:solidFill>
              <w14:schemeClr w14:val="tx1"/>
            </w14:solidFill>
          </w14:textFill>
        </w:rPr>
        <w:t xml:space="preserve">本项目要求为不允许偏离的实质性要求和条件，如有偏离，在符合性审查时按照投标无效处理。</w:t>
      </w:r>
      <w:bookmarkEnd w:id="51"/>
      <w:r/>
      <w:bookmarkEnd w:id="52"/>
      <w:r/>
      <w:r/>
    </w:p>
    <w:p>
      <w:pPr>
        <w:pageBreakBefore w:val="0"/>
        <w:spacing w:line="560" w:lineRule="exact"/>
        <w:rPr>
          <w:rFonts w:ascii="仿宋" w:hAnsi="仿宋" w:eastAsia="仿宋"/>
          <w:b/>
          <w:bCs/>
          <w:color w:val="000000"/>
          <w:sz w:val="32"/>
          <w:szCs w:val="32"/>
        </w:rPr>
      </w:pPr>
      <w:r/>
      <w:bookmarkStart w:id="53" w:name="_Toc13141"/>
      <w:r>
        <w:rPr>
          <w:rFonts w:ascii="仿宋" w:hAnsi="仿宋" w:eastAsia="仿宋"/>
          <w:b/>
          <w:bCs/>
          <w:color w:val="000000"/>
          <w:sz w:val="32"/>
          <w:szCs w:val="32"/>
        </w:rPr>
        <w:br w:type="page" w:clear="all"/>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rPr>
        <w:t xml:space="preserve">第七章 投标文件相关格式</w:t>
      </w:r>
      <w:bookmarkEnd w:id="53"/>
      <w:r/>
      <w:r/>
    </w:p>
    <w:p>
      <w:pPr>
        <w:pStyle w:val="734"/>
        <w:ind w:firstLine="2891"/>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一、承诺函格式</w:t>
      </w:r>
      <w:r/>
    </w:p>
    <w:p>
      <w:pPr>
        <w:pStyle w:val="734"/>
        <w:keepLines w:val="0"/>
        <w:keepNext w:val="0"/>
        <w:pageBreakBefore w:val="0"/>
        <w:spacing w:line="400" w:lineRule="exact"/>
        <w:widowControl w:val="off"/>
        <w:rPr>
          <w:rFonts w:hint="eastAsia" w:ascii="仿宋" w:hAnsi="仿宋" w:eastAsia="仿宋"/>
          <w:color w:val="000000"/>
          <w:sz w:val="28"/>
          <w:szCs w:val="28"/>
          <w:lang w:val="en-US" w:eastAsia="zh-CN"/>
        </w:rPr>
      </w:pPr>
      <w:r>
        <w:rPr>
          <w:rFonts w:ascii="仿宋" w:hAnsi="仿宋" w:eastAsia="仿宋"/>
          <w:color w:val="000000"/>
          <w:sz w:val="28"/>
          <w:szCs w:val="28"/>
        </w:rPr>
        <w:t xml:space="preserve">致：</w:t>
      </w:r>
      <w:r>
        <w:rPr>
          <w:rFonts w:hint="eastAsia" w:ascii="仿宋" w:hAnsi="仿宋" w:eastAsia="仿宋"/>
          <w:color w:val="000000"/>
          <w:sz w:val="28"/>
          <w:szCs w:val="28"/>
          <w:u w:val="single"/>
          <w:lang w:eastAsia="zh-CN"/>
        </w:rPr>
        <w:t xml:space="preserve">贾汪区财政局</w:t>
      </w:r>
      <w:r/>
    </w:p>
    <w:p>
      <w:pPr>
        <w:pStyle w:val="734"/>
        <w:ind w:firstLine="601"/>
        <w:jc w:val="both"/>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根据项目</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rPr>
          <w:rFonts w:ascii="仿宋" w:hAnsi="仿宋" w:eastAsia="仿宋"/>
          <w:color w:val="000000"/>
          <w:sz w:val="28"/>
          <w:szCs w:val="28"/>
          <w:u w:val="single"/>
        </w:rPr>
        <w:t xml:space="preserve"> </w:t>
      </w: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招标文件，</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ascii="仿宋" w:hAnsi="仿宋" w:eastAsia="仿宋"/>
          <w:color w:val="000000"/>
          <w:sz w:val="28"/>
          <w:szCs w:val="28"/>
        </w:rPr>
        <w:t xml:space="preserve">(姓名)代表我方（投标人的名称）全权处理本次投标的有关事宜。</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据此函，投标人承诺并同意如下： </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1. 投标人唯一投标报价见《开标一览表》。</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2. 投标人将按招标文件的规定履行合同责任和义务。</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3. 投标人已详细审查全部招标文件。投标人完全理解并同意放弃对这方面有不明及误解的权力。</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 投标有效期为开标之日后90天。</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 投标人同意提供按照贵方可能要求的与其投标有关的一切数据或资料，完全理解贵方不一定接受最低价的投标或收到的任何投标。</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 投标人同意在授予合同后，按照有关规定支付公证费(如有)。</w:t>
      </w:r>
      <w:r/>
    </w:p>
    <w:p>
      <w:pPr>
        <w:pStyle w:val="734"/>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 </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rPr>
          <w:rFonts w:ascii="仿宋" w:hAnsi="仿宋" w:eastAsia="仿宋"/>
          <w:color w:val="000000"/>
          <w:sz w:val="28"/>
          <w:szCs w:val="28"/>
        </w:rPr>
        <w:t xml:space="preserve">有权将我单位本项目的</w:t>
      </w:r>
      <w:r>
        <w:rPr>
          <w:rFonts w:hint="eastAsia" w:ascii="仿宋" w:hAnsi="仿宋" w:eastAsia="仿宋"/>
          <w:color w:val="000000"/>
          <w:sz w:val="28"/>
          <w:szCs w:val="28"/>
        </w:rPr>
        <w:t xml:space="preserve">《开标一览表》</w:t>
      </w:r>
      <w:r>
        <w:rPr>
          <w:rFonts w:ascii="仿宋" w:hAnsi="仿宋" w:eastAsia="仿宋"/>
          <w:color w:val="000000"/>
          <w:sz w:val="28"/>
          <w:szCs w:val="28"/>
        </w:rPr>
        <w:t xml:space="preserve">予以公示，公示的方式由</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rPr>
          <w:rFonts w:ascii="仿宋" w:hAnsi="仿宋" w:eastAsia="仿宋"/>
          <w:color w:val="000000"/>
          <w:sz w:val="28"/>
          <w:szCs w:val="28"/>
        </w:rPr>
        <w:t xml:space="preserve">确定。</w:t>
      </w:r>
      <w:r/>
    </w:p>
    <w:p>
      <w:pPr>
        <w:pStyle w:val="734"/>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4"/>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9. 与本投标有关的一切正式往来信函请寄：</w:t>
      </w:r>
      <w:r/>
    </w:p>
    <w:p>
      <w:pPr>
        <w:pStyle w:val="734"/>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地址： </w:t>
      </w:r>
      <w:r/>
    </w:p>
    <w:p>
      <w:pPr>
        <w:pStyle w:val="734"/>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电话： </w:t>
      </w:r>
      <w:r/>
    </w:p>
    <w:p>
      <w:pPr>
        <w:pStyle w:val="734"/>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传真： </w:t>
      </w:r>
      <w:r/>
    </w:p>
    <w:p>
      <w:pPr>
        <w:pStyle w:val="734"/>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投标人：（盖单位公章）</w:t>
      </w:r>
      <w:r/>
    </w:p>
    <w:p>
      <w:pPr>
        <w:pStyle w:val="734"/>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投标人授权代表：（签字或盖章）  </w:t>
      </w:r>
      <w:r/>
    </w:p>
    <w:p>
      <w:pPr>
        <w:pStyle w:val="734"/>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734"/>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736"/>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734"/>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736"/>
      </w:pPr>
      <w:r/>
      <w:r/>
    </w:p>
    <w:p>
      <w:pPr>
        <w:pStyle w:val="734"/>
        <w:ind w:firstLine="560"/>
        <w:jc w:val="center"/>
        <w:pageBreakBefore w:val="0"/>
        <w:spacing w:line="560" w:lineRule="exact"/>
        <w:rPr>
          <w:rFonts w:ascii="仿宋" w:hAnsi="仿宋" w:eastAsia="仿宋"/>
          <w:color w:val="000000"/>
          <w:sz w:val="28"/>
          <w:szCs w:val="28"/>
        </w:rPr>
      </w:pPr>
      <w:r>
        <w:rPr>
          <w:rFonts w:hint="eastAsia" w:ascii="仿宋" w:hAnsi="仿宋" w:eastAsia="仿宋"/>
          <w:b/>
          <w:bCs/>
          <w:color w:val="000000"/>
          <w:sz w:val="32"/>
          <w:szCs w:val="32"/>
        </w:rPr>
        <w:t xml:space="preserve">二.开标一览表</w:t>
      </w:r>
      <w:r/>
    </w:p>
    <w:p>
      <w:pPr>
        <w:pStyle w:val="734"/>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p>
      <w:pPr>
        <w:pStyle w:val="734"/>
        <w:ind w:firstLine="600"/>
        <w:pageBreakBefore w:val="0"/>
        <w:spacing w:line="560" w:lineRule="exact"/>
        <w:rPr>
          <w:rFonts w:hint="eastAsia" w:ascii="仿宋" w:hAnsi="仿宋" w:eastAsia="仿宋"/>
          <w:color w:val="000000"/>
          <w:sz w:val="28"/>
          <w:szCs w:val="28"/>
          <w:highlight w:val="yellow"/>
        </w:rPr>
      </w:pPr>
      <w:r>
        <w:rPr>
          <w:rFonts w:ascii="仿宋" w:hAnsi="仿宋" w:eastAsia="仿宋"/>
          <w:color w:val="000000"/>
          <w:sz w:val="28"/>
          <w:szCs w:val="28"/>
          <w:highlight w:val="none"/>
        </w:rPr>
        <w:t xml:space="preserve">项目编号：</w:t>
      </w:r>
      <w:r>
        <w:rPr>
          <w:rFonts w:hint="eastAsia" w:ascii="仿宋" w:hAnsi="仿宋" w:eastAsia="仿宋"/>
          <w:color w:val="000000"/>
          <w:sz w:val="28"/>
          <w:szCs w:val="28"/>
          <w:lang w:val="zh-CN" w:eastAsia="zh-CN"/>
        </w:rPr>
        <w:t xml:space="preserve">JSZC-320305-JWZX-G2026-0005</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货币单位：人民币元</w:t>
      </w:r>
      <w:r/>
    </w:p>
    <w:tbl>
      <w:tblPr>
        <w:tblStyle w:val="73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76"/>
        <w:gridCol w:w="2100"/>
        <w:gridCol w:w="3058"/>
      </w:tblGrid>
      <w:tr>
        <w:trPr>
          <w:cantSplit/>
          <w:jc w:val="center"/>
          <w:trHeight w:val="1163"/>
        </w:trPr>
        <w:tc>
          <w:tcPr>
            <w:tcW w:w="4176"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W w:w="2100"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项目内容</w:t>
            </w:r>
            <w:r/>
          </w:p>
        </w:tc>
        <w:tc>
          <w:tcPr>
            <w:tcW w:w="3058"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总价（小写）</w:t>
            </w:r>
            <w:r/>
          </w:p>
        </w:tc>
      </w:tr>
      <w:tr>
        <w:trPr>
          <w:cantSplit/>
          <w:jc w:val="center"/>
          <w:trHeight w:val="1214"/>
        </w:trPr>
        <w:tc>
          <w:tcPr>
            <w:tcW w:w="4176"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tc>
        <w:tc>
          <w:tcPr>
            <w:tcW w:w="2100"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详见投标文件</w:t>
            </w:r>
            <w:r/>
          </w:p>
        </w:tc>
        <w:tc>
          <w:tcPr>
            <w:tcW w:w="3058"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6000</w:t>
            </w:r>
            <w:r>
              <w:rPr>
                <w:rFonts w:ascii="仿宋" w:hAnsi="仿宋" w:eastAsia="仿宋"/>
                <w:color w:val="000000"/>
                <w:sz w:val="28"/>
                <w:szCs w:val="28"/>
              </w:rPr>
              <w:t xml:space="preserve">万元</w:t>
            </w:r>
            <w:r/>
          </w:p>
        </w:tc>
      </w:tr>
      <w:tr>
        <w:trPr>
          <w:cantSplit/>
          <w:jc w:val="center"/>
          <w:trHeight w:val="1452"/>
        </w:trPr>
        <w:tc>
          <w:tcPr>
            <w:tcW w:w="4176"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总价（大写）：</w:t>
            </w:r>
            <w:r/>
          </w:p>
        </w:tc>
        <w:tc>
          <w:tcPr>
            <w:gridSpan w:val="2"/>
            <w:tcW w:w="5158" w:type="dxa"/>
            <w:vAlign w:val="center"/>
            <w:textDirection w:val="lrTb"/>
            <w:noWrap w:val="false"/>
          </w:tcPr>
          <w:p>
            <w:pPr>
              <w:pStyle w:val="734"/>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734"/>
        <w:pageBreakBefore w:val="0"/>
        <w:spacing w:line="560" w:lineRule="exact"/>
        <w:rPr>
          <w:rFonts w:ascii="仿宋" w:hAnsi="仿宋" w:eastAsia="仿宋"/>
          <w:b/>
          <w:color w:val="000000"/>
          <w:sz w:val="28"/>
          <w:szCs w:val="28"/>
        </w:rPr>
      </w:pPr>
      <w:r>
        <w:rPr>
          <w:rFonts w:ascii="仿宋" w:hAnsi="仿宋" w:eastAsia="仿宋"/>
          <w:b/>
          <w:color w:val="000000"/>
          <w:sz w:val="28"/>
          <w:szCs w:val="28"/>
        </w:rPr>
      </w:r>
      <w:r/>
    </w:p>
    <w:p>
      <w:pPr>
        <w:pStyle w:val="734"/>
        <w:pageBreakBefore w:val="0"/>
        <w:spacing w:line="560" w:lineRule="exact"/>
        <w:rPr>
          <w:rFonts w:ascii="仿宋" w:hAnsi="仿宋" w:eastAsia="仿宋"/>
          <w:color w:val="ff0000"/>
          <w:sz w:val="28"/>
          <w:szCs w:val="28"/>
        </w:rPr>
      </w:pPr>
      <w:r>
        <w:rPr>
          <w:rFonts w:ascii="仿宋" w:hAnsi="仿宋" w:eastAsia="仿宋"/>
          <w:b/>
          <w:bCs/>
          <w:color w:val="ff0000"/>
          <w:sz w:val="28"/>
          <w:szCs w:val="28"/>
          <w:highlight w:val="none"/>
        </w:rPr>
        <w:t xml:space="preserve">以人民币报价</w:t>
      </w:r>
      <w:r>
        <w:rPr>
          <w:rFonts w:hint="eastAsia" w:ascii="仿宋" w:hAnsi="仿宋" w:eastAsia="仿宋"/>
          <w:b/>
          <w:bCs/>
          <w:color w:val="ff0000"/>
          <w:sz w:val="28"/>
          <w:szCs w:val="28"/>
          <w:highlight w:val="none"/>
          <w:lang w:eastAsia="zh-CN"/>
        </w:rPr>
        <w:t xml:space="preserve">，本项价格仅作为系统填报用，</w:t>
      </w:r>
      <w:r>
        <w:rPr>
          <w:rFonts w:hint="eastAsia" w:ascii="仿宋" w:hAnsi="仿宋" w:eastAsia="仿宋"/>
          <w:b/>
          <w:bCs/>
          <w:color w:val="ff0000"/>
          <w:sz w:val="28"/>
          <w:szCs w:val="28"/>
          <w:lang w:val="en-US" w:eastAsia="zh-CN"/>
        </w:rPr>
        <w:t xml:space="preserve">因项目中标供应商为3家，请各投标人在苏采云系统“开标一览表”里填“6000”万元，超过6000万元将视为无效报价。</w:t>
      </w:r>
      <w:r/>
    </w:p>
    <w:p>
      <w:pPr>
        <w:pStyle w:val="734"/>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ind w:firstLine="308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734"/>
        <w:ind w:firstLine="3080"/>
        <w:pageBreakBefore w:val="0"/>
        <w:spacing w:line="560" w:lineRule="exact"/>
        <w:rPr>
          <w:rFonts w:ascii="仿宋" w:hAnsi="仿宋" w:eastAsia="仿宋"/>
          <w:b/>
          <w:bCs/>
          <w:color w:val="000000"/>
          <w:sz w:val="32"/>
          <w:szCs w:val="32"/>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734"/>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734"/>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736"/>
      </w:pPr>
      <w:r/>
      <w:r/>
    </w:p>
    <w:p>
      <w:pPr>
        <w:pStyle w:val="734"/>
      </w:pPr>
      <w:r/>
      <w:r/>
    </w:p>
    <w:p>
      <w:pPr>
        <w:pStyle w:val="736"/>
        <w:rPr>
          <w:rFonts w:ascii="仿宋" w:hAnsi="仿宋" w:eastAsia="仿宋"/>
          <w:b/>
          <w:bCs/>
          <w:color w:val="000000"/>
          <w:sz w:val="32"/>
          <w:szCs w:val="32"/>
        </w:rPr>
      </w:pPr>
      <w:r>
        <w:rPr>
          <w:rFonts w:ascii="仿宋" w:hAnsi="仿宋" w:eastAsia="仿宋"/>
          <w:b/>
          <w:bCs/>
          <w:color w:val="000000"/>
          <w:sz w:val="32"/>
          <w:szCs w:val="32"/>
        </w:rPr>
      </w:r>
      <w:r/>
    </w:p>
    <w:p>
      <w:pPr>
        <w:pStyle w:val="840"/>
      </w:pPr>
      <w:r/>
      <w:r/>
    </w:p>
    <w:p>
      <w:pPr>
        <w:pStyle w:val="840"/>
      </w:pPr>
      <w:r/>
      <w:r/>
    </w:p>
    <w:p>
      <w:pPr>
        <w:pStyle w:val="840"/>
      </w:pPr>
      <w:r/>
      <w:r/>
    </w:p>
    <w:p>
      <w:pPr>
        <w:pStyle w:val="734"/>
        <w:jc w:val="both"/>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734"/>
        <w:numPr>
          <w:ilvl w:val="0"/>
          <w:numId w:val="0"/>
        </w:numPr>
        <w:ind w:firstLine="3213"/>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三、</w:t>
      </w:r>
      <w:r>
        <w:rPr>
          <w:rFonts w:ascii="仿宋" w:hAnsi="仿宋" w:eastAsia="仿宋"/>
          <w:b/>
          <w:bCs/>
          <w:color w:val="000000"/>
          <w:sz w:val="32"/>
          <w:szCs w:val="32"/>
        </w:rPr>
        <w:t xml:space="preserve">偏离表格式</w:t>
      </w:r>
      <w:r/>
    </w:p>
    <w:p>
      <w:pPr>
        <w:pStyle w:val="736"/>
        <w:numPr>
          <w:ilvl w:val="0"/>
          <w:numId w:val="0"/>
        </w:numPr>
        <w:jc w:val="both"/>
        <w:spacing w:after="120"/>
        <w:widowControl w:val="off"/>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（一）商务偏离表</w:t>
      </w:r>
      <w:r/>
    </w:p>
    <w:p>
      <w:pPr>
        <w:pStyle w:val="734"/>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p>
      <w:pPr>
        <w:pStyle w:val="734"/>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p>
    <w:tbl>
      <w:tblPr>
        <w:tblStyle w:val="73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734"/>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734"/>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736"/>
        <w:pageBreakBefore w:val="0"/>
        <w:spacing w:line="560" w:lineRule="exact"/>
      </w:pPr>
      <w:r/>
      <w:r/>
    </w:p>
    <w:p>
      <w:pPr>
        <w:pStyle w:val="734"/>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34"/>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734"/>
        <w:pageBreakBefore w:val="0"/>
        <w:spacing w:line="560" w:lineRule="exact"/>
        <w:rPr>
          <w:rFonts w:ascii="仿宋" w:hAnsi="仿宋" w:eastAsia="仿宋"/>
          <w:color w:val="000000"/>
          <w:sz w:val="28"/>
          <w:szCs w:val="28"/>
        </w:rPr>
      </w:pPr>
      <w:r>
        <w:rPr>
          <w:rFonts w:ascii="仿宋" w:hAnsi="仿宋" w:eastAsia="仿宋"/>
          <w:bCs/>
          <w:color w:val="000000"/>
          <w:sz w:val="28"/>
          <w:szCs w:val="28"/>
        </w:rPr>
        <w:br w:type="page" w:clear="all"/>
      </w:r>
      <w:r/>
    </w:p>
    <w:p>
      <w:pPr>
        <w:pStyle w:val="736"/>
        <w:numPr>
          <w:ilvl w:val="0"/>
          <w:numId w:val="0"/>
        </w:numPr>
        <w:jc w:val="both"/>
        <w:spacing w:after="120"/>
        <w:widowControl w:val="off"/>
        <w:rPr>
          <w:rFonts w:hint="eastAsia" w:eastAsia="宋体"/>
          <w:b/>
          <w:bCs/>
          <w:sz w:val="32"/>
          <w:szCs w:val="32"/>
          <w:lang w:eastAsia="zh-CN"/>
        </w:rPr>
      </w:pPr>
      <w:r>
        <w:rPr>
          <w:rFonts w:hint="eastAsia"/>
          <w:b/>
          <w:bCs/>
          <w:sz w:val="32"/>
          <w:szCs w:val="32"/>
          <w:lang w:eastAsia="zh-CN"/>
        </w:rPr>
        <w:t xml:space="preserve">（二）</w:t>
      </w:r>
      <w:r>
        <w:rPr>
          <w:rFonts w:hint="eastAsia" w:ascii="仿宋" w:hAnsi="仿宋" w:eastAsia="仿宋" w:cs="Times New Roman"/>
          <w:b/>
          <w:bCs/>
          <w:color w:val="000000"/>
          <w:sz w:val="32"/>
          <w:szCs w:val="32"/>
          <w:lang w:val="en-US" w:eastAsia="zh-CN" w:bidi="ar-SA"/>
        </w:rPr>
        <w:t xml:space="preserve">技术偏离表</w:t>
      </w:r>
      <w:r/>
    </w:p>
    <w:p>
      <w:pPr>
        <w:pStyle w:val="734"/>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p>
      <w:pPr>
        <w:pStyle w:val="734"/>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p>
    <w:tbl>
      <w:tblPr>
        <w:tblStyle w:val="73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734"/>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734"/>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734"/>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736"/>
        <w:pageBreakBefore w:val="0"/>
        <w:spacing w:line="560" w:lineRule="exact"/>
      </w:pPr>
      <w:r/>
      <w:r/>
    </w:p>
    <w:p>
      <w:pPr>
        <w:pStyle w:val="734"/>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34"/>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734"/>
        <w:jc w:val="center"/>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34"/>
        <w:jc w:val="both"/>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34"/>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lang w:eastAsia="zh-CN"/>
        </w:rPr>
        <w:t xml:space="preserve">四</w:t>
      </w:r>
      <w:r>
        <w:rPr>
          <w:rFonts w:ascii="仿宋" w:hAnsi="仿宋" w:eastAsia="仿宋"/>
          <w:b/>
          <w:color w:val="000000"/>
          <w:sz w:val="32"/>
          <w:szCs w:val="32"/>
        </w:rPr>
        <w:t xml:space="preserve">、法定代表人授权书格式</w:t>
      </w:r>
      <w:r/>
    </w:p>
    <w:p>
      <w:pPr>
        <w:pStyle w:val="734"/>
        <w:pageBreakBefore w:val="0"/>
        <w:spacing w:line="560" w:lineRule="exact"/>
        <w:rPr>
          <w:rFonts w:hint="default" w:ascii="仿宋" w:hAnsi="仿宋" w:eastAsia="仿宋"/>
          <w:color w:val="000000"/>
          <w:sz w:val="28"/>
          <w:szCs w:val="28"/>
          <w:lang w:val="en-US" w:eastAsia="zh-CN"/>
        </w:rPr>
      </w:pPr>
      <w:r>
        <w:rPr>
          <w:rFonts w:ascii="仿宋" w:hAnsi="仿宋" w:eastAsia="仿宋"/>
          <w:color w:val="000000"/>
          <w:sz w:val="28"/>
          <w:szCs w:val="28"/>
        </w:rPr>
        <w:t xml:space="preserve">委托人：</w:t>
      </w:r>
      <w:r>
        <w:rPr>
          <w:rFonts w:hint="eastAsia" w:ascii="仿宋" w:hAnsi="仿宋" w:eastAsia="仿宋"/>
          <w:color w:val="000000"/>
          <w:sz w:val="28"/>
          <w:szCs w:val="28"/>
          <w:lang w:val="en-US" w:eastAsia="zh-CN"/>
        </w:rPr>
        <w:t xml:space="preserve">        （公司名称）  </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地  址：</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法定代表人（负责人）：               职务：</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统一社会信用代码：</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                   性别：男（女）  </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年龄：  岁                 民族：   族</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职务：</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联系电话：</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身份证号：</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兹委托（       ）全权代表我企业（公司）参与（</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rPr>
          <w:rFonts w:ascii="仿宋" w:hAnsi="仿宋" w:eastAsia="仿宋"/>
          <w:color w:val="000000"/>
          <w:sz w:val="28"/>
          <w:szCs w:val="28"/>
        </w:rPr>
        <w:t xml:space="preserve">）项目（项目编号：</w:t>
      </w:r>
      <w:r>
        <w:rPr>
          <w:rFonts w:hint="eastAsia" w:ascii="仿宋" w:hAnsi="仿宋" w:eastAsia="仿宋"/>
          <w:color w:val="000000"/>
          <w:sz w:val="28"/>
          <w:szCs w:val="28"/>
          <w:lang w:val="zh-CN" w:eastAsia="zh-CN"/>
        </w:rPr>
        <w:t xml:space="preserve">JSZC-320305-JWZX-G2026-0005</w:t>
      </w:r>
      <w:r>
        <w:rPr>
          <w:rFonts w:ascii="仿宋" w:hAnsi="仿宋" w:eastAsia="仿宋"/>
          <w:color w:val="000000"/>
          <w:sz w:val="28"/>
          <w:szCs w:val="28"/>
        </w:rPr>
        <w:t xml:space="preserve">）的招、投标活动及签订合同。（         ）以我企业（公司）名义所为的法律行为及签署的文件，我企业（公司）均予以认可。有关法律责任均由我企业（公司）承担。（         ）无转委托权。委托期限自</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日起至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日止。</w:t>
      </w:r>
      <w:r/>
    </w:p>
    <w:p>
      <w:pPr>
        <w:pStyle w:val="734"/>
        <w:ind w:firstLine="63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特此授权委托。</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委托人（签字或盖章）：     受托人（签字或盖章）：</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法定代表人（签字或盖章）： </w:t>
      </w:r>
      <w:r/>
    </w:p>
    <w:p>
      <w:pPr>
        <w:pStyle w:val="734"/>
        <w:ind w:right="600" w:firstLine="53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   月   日 </w:t>
      </w:r>
      <w:r/>
    </w:p>
    <w:p>
      <w:pPr>
        <w:pStyle w:val="734"/>
        <w:ind w:firstLine="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(受托人身份证复印件附后)</w:t>
      </w:r>
      <w:r/>
    </w:p>
    <w:p>
      <w:pPr>
        <w:pStyle w:val="734"/>
        <w:jc w:val="both"/>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734"/>
        <w:ind w:firstLine="560"/>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734"/>
        <w:ind w:firstLine="560"/>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五</w:t>
      </w:r>
      <w:r>
        <w:rPr>
          <w:rFonts w:ascii="仿宋" w:hAnsi="仿宋" w:eastAsia="仿宋"/>
          <w:b/>
          <w:bCs/>
          <w:color w:val="000000"/>
          <w:sz w:val="32"/>
          <w:szCs w:val="32"/>
        </w:rPr>
        <w:t xml:space="preserve">、中小企业声明函格式</w:t>
      </w:r>
      <w:r/>
    </w:p>
    <w:p>
      <w:pPr>
        <w:pStyle w:val="73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lang w:eastAsia="zh-CN"/>
        </w:rPr>
        <w:t xml:space="preserve">贾汪区</w:t>
      </w:r>
      <w:r>
        <w:rPr>
          <w:rFonts w:hint="eastAsia" w:ascii="仿宋" w:hAnsi="仿宋" w:eastAsia="仿宋"/>
          <w:color w:val="000000"/>
          <w:spacing w:val="6"/>
          <w:sz w:val="28"/>
          <w:szCs w:val="28"/>
        </w:rPr>
        <w:t xml:space="preserve">2026-2029年政策性农业保险承保机构遴选项目</w:t>
      </w:r>
      <w:r/>
    </w:p>
    <w:p>
      <w:pPr>
        <w:pStyle w:val="73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z w:val="28"/>
          <w:szCs w:val="28"/>
          <w:lang w:val="zh-CN" w:eastAsia="zh-CN"/>
        </w:rPr>
        <w:t xml:space="preserve">JSZC-320305-JWZX-G2026-0005</w:t>
      </w:r>
      <w:r/>
    </w:p>
    <w:p>
      <w:pPr>
        <w:pStyle w:val="734"/>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本公司郑重声明，根据《政府采购促进中小企业发展管理办法》（财库[2020]46号）的规定，本公司参加（</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财政局）的（</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2026-2029年政策性农业保险承保机构遴选项目）采购活动，服务全部由符合政策要求的中小企业承接。相关企业的具体情况如下：</w:t>
      </w:r>
      <w:r/>
    </w:p>
    <w:p>
      <w:pPr>
        <w:pStyle w:val="734"/>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lang w:eastAsia="zh-CN"/>
        </w:rPr>
        <w:t xml:space="preserve">贾汪区</w:t>
      </w:r>
      <w:r>
        <w:rPr>
          <w:rFonts w:hint="eastAsia" w:ascii="仿宋" w:hAnsi="仿宋" w:eastAsia="仿宋" w:cs="Times New Roman"/>
          <w:color w:val="000000"/>
          <w:sz w:val="28"/>
          <w:szCs w:val="28"/>
        </w:rPr>
        <w:t xml:space="preserve">2026-2029年政策性农业保险承保机构遴选项目）</w:t>
      </w:r>
      <w:r>
        <w:rPr>
          <w:rFonts w:hint="eastAsia" w:ascii="仿宋" w:hAnsi="仿宋" w:eastAsia="仿宋"/>
          <w:color w:val="000000"/>
          <w:sz w:val="28"/>
          <w:szCs w:val="28"/>
          <w:lang w:eastAsia="zh-CN"/>
        </w:rPr>
        <w:t xml:space="preserve">，承接企业</w:t>
      </w:r>
      <w:r>
        <w:rPr>
          <w:rFonts w:hint="eastAsia" w:ascii="仿宋" w:hAnsi="仿宋" w:eastAsia="仿宋"/>
          <w:color w:val="000000"/>
          <w:sz w:val="28"/>
          <w:szCs w:val="28"/>
        </w:rPr>
        <w:t xml:space="preserve">为       （企业名称），从业人员（  ）人，营业收入为</w:t>
      </w:r>
      <w:r>
        <w:rPr>
          <w:rFonts w:hint="eastAsia" w:ascii="仿宋" w:hAnsi="仿宋" w:eastAsia="仿宋" w:cs="Times New Roman"/>
          <w:color w:val="000000"/>
          <w:sz w:val="28"/>
          <w:szCs w:val="28"/>
        </w:rPr>
        <w:t xml:space="preserve">（   万元），资产总额为（  万元）①，属于          （中型企业、小型企业、微型企业）；</w:t>
      </w:r>
      <w:r/>
    </w:p>
    <w:p>
      <w:pPr>
        <w:pStyle w:val="734"/>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p>
    <w:p>
      <w:pPr>
        <w:pStyle w:val="734"/>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pStyle w:val="734"/>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本企业对上述声明内容的真实性负责。如有虚假，将依法承担相应责任。</w:t>
      </w:r>
      <w:r/>
    </w:p>
    <w:p>
      <w:pPr>
        <w:pStyle w:val="734"/>
        <w:ind w:firstLine="364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734"/>
        <w:ind w:firstLine="364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935"/>
        <w:ind w:left="0" w:right="480" w:firstLine="0"/>
        <w:pageBreakBefore w:val="0"/>
        <w:spacing w:line="560" w:lineRule="exact"/>
        <w:rPr>
          <w:rFonts w:ascii="仿宋" w:hAnsi="仿宋" w:eastAsia="仿宋" w:cs="宋体"/>
          <w:sz w:val="24"/>
        </w:rPr>
      </w:pPr>
      <w:r>
        <w:rPr>
          <w:rFonts w:hint="eastAsia" w:ascii="仿宋" w:hAnsi="仿宋" w:eastAsia="仿宋"/>
          <w:color w:val="000000"/>
          <w:sz w:val="28"/>
          <w:szCs w:val="28"/>
        </w:rPr>
        <w:t xml:space="preserve">说明：1、本项目采购的服务属于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eastAsia="zh-CN"/>
        </w:rPr>
        <w:t xml:space="preserve">保险服务</w:t>
      </w:r>
      <w:r>
        <w:rPr>
          <w:rFonts w:hint="eastAsia" w:ascii="仿宋" w:hAnsi="仿宋" w:eastAsia="仿宋"/>
          <w:color w:val="000000"/>
          <w:sz w:val="28"/>
          <w:szCs w:val="28"/>
        </w:rPr>
        <w:t xml:space="preserve">。</w:t>
      </w:r>
      <w:r/>
    </w:p>
    <w:p>
      <w:pPr>
        <w:pStyle w:val="935"/>
        <w:ind w:left="0" w:firstLine="0"/>
        <w:pageBreakBefore w:val="0"/>
        <w:spacing w:line="560" w:lineRule="exact"/>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pStyle w:val="734"/>
        <w:pageBreakBefore w:val="0"/>
        <w:spacing w:before="100" w:beforeAutospacing="1" w:after="100" w:afterAutospacing="1" w:line="560" w:lineRule="exact"/>
        <w:widowControl/>
        <w:rPr>
          <w:rFonts w:ascii="仿宋" w:hAnsi="仿宋" w:eastAsia="仿宋"/>
          <w:color w:val="000000"/>
          <w:sz w:val="28"/>
          <w:szCs w:val="28"/>
        </w:rPr>
      </w:pPr>
      <w:r>
        <w:rPr>
          <w:rFonts w:ascii="仿宋" w:hAnsi="仿宋" w:eastAsia="仿宋"/>
          <w:color w:val="000000"/>
          <w:sz w:val="28"/>
          <w:szCs w:val="28"/>
        </w:rPr>
      </w:r>
      <w:r/>
    </w:p>
    <w:p>
      <w:pPr>
        <w:pStyle w:val="734"/>
        <w:jc w:val="center"/>
        <w:pageBreakBefore w:val="0"/>
        <w:spacing w:line="560" w:lineRule="exact"/>
        <w:rPr>
          <w:rFonts w:ascii="仿宋" w:hAnsi="仿宋" w:eastAsia="仿宋"/>
          <w:b/>
          <w:color w:val="000000"/>
          <w:spacing w:val="6"/>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六</w:t>
      </w:r>
      <w:r>
        <w:rPr>
          <w:rFonts w:ascii="仿宋" w:hAnsi="仿宋" w:eastAsia="仿宋"/>
          <w:b/>
          <w:bCs/>
          <w:color w:val="000000"/>
          <w:sz w:val="32"/>
          <w:szCs w:val="32"/>
        </w:rPr>
        <w:t xml:space="preserve">、残疾人福利性单位声明函格式</w:t>
      </w:r>
      <w:r/>
    </w:p>
    <w:p>
      <w:pPr>
        <w:pStyle w:val="734"/>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3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lang w:eastAsia="zh-CN"/>
        </w:rPr>
        <w:t xml:space="preserve">贾汪区</w:t>
      </w:r>
      <w:r>
        <w:rPr>
          <w:rFonts w:hint="eastAsia" w:ascii="仿宋" w:hAnsi="仿宋" w:eastAsia="仿宋"/>
          <w:color w:val="000000"/>
          <w:spacing w:val="6"/>
          <w:sz w:val="28"/>
          <w:szCs w:val="28"/>
        </w:rPr>
        <w:t xml:space="preserve">2026-2029年政策性农业保险承保机构遴选项目</w:t>
      </w:r>
      <w:r/>
    </w:p>
    <w:p>
      <w:pPr>
        <w:pStyle w:val="73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z w:val="28"/>
          <w:szCs w:val="28"/>
          <w:lang w:val="zh-CN" w:eastAsia="zh-CN"/>
        </w:rPr>
        <w:t xml:space="preserve">JSZC-320305-JWZX-G2026-0005</w:t>
      </w:r>
      <w:r/>
    </w:p>
    <w:p>
      <w:pPr>
        <w:pStyle w:val="734"/>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本单位郑重声明，根据《财政部 民政部 中国残疾人联合会关于促进残疾人就业政府采购政策的通知》（财库</w:t>
      </w:r>
      <w:r>
        <w:rPr>
          <w:rFonts w:ascii="仿宋" w:hAnsi="仿宋" w:eastAsia="仿宋"/>
          <w:color w:val="000000"/>
          <w:sz w:val="28"/>
          <w:szCs w:val="28"/>
        </w:rPr>
        <w:t xml:space="preserve">〔2017〕141</w:t>
      </w:r>
      <w:r>
        <w:rPr>
          <w:rFonts w:ascii="仿宋" w:hAnsi="仿宋" w:eastAsia="仿宋"/>
          <w:color w:val="000000"/>
          <w:spacing w:val="6"/>
          <w:sz w:val="28"/>
          <w:szCs w:val="28"/>
        </w:rPr>
        <w:t xml:space="preserve">号）的规定，本单位为符合条件的残疾人福利性单位，且本单位参加</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单位的</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34"/>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本单位对上述声明的真实性负责。如有虚假，将依法承担相应责任。</w:t>
      </w:r>
      <w:r/>
    </w:p>
    <w:p>
      <w:pPr>
        <w:pStyle w:val="734"/>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34"/>
        <w:ind w:firstLine="584"/>
        <w:pageBreakBefore w:val="0"/>
        <w:spacing w:line="560"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                          </w:t>
      </w:r>
      <w:r>
        <w:rPr>
          <w:rFonts w:ascii="仿宋" w:hAnsi="仿宋" w:eastAsia="仿宋"/>
          <w:color w:val="000000"/>
          <w:sz w:val="28"/>
          <w:szCs w:val="28"/>
        </w:rPr>
        <w:t xml:space="preserve">投标人：（盖单位公章）</w:t>
      </w:r>
      <w:r/>
    </w:p>
    <w:p>
      <w:pPr>
        <w:pStyle w:val="734"/>
        <w:ind w:left="4480" w:hanging="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734"/>
        <w:ind w:firstLine="45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jc w:val="center"/>
        <w:pageBreakBefore w:val="0"/>
        <w:spacing w:line="560" w:lineRule="exact"/>
        <w:rPr>
          <w:rFonts w:ascii="仿宋" w:hAnsi="仿宋" w:eastAsia="仿宋"/>
          <w:b/>
          <w:bCs/>
          <w:color w:val="000000"/>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七</w:t>
      </w:r>
      <w:r>
        <w:rPr>
          <w:rFonts w:ascii="仿宋" w:hAnsi="仿宋" w:eastAsia="仿宋"/>
          <w:b/>
          <w:bCs/>
          <w:color w:val="000000"/>
          <w:sz w:val="32"/>
          <w:szCs w:val="32"/>
        </w:rPr>
        <w:t xml:space="preserve">、投标人参加政府采购活动前3年内在经营活动中没有重大违法记录的书面声明格式</w:t>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我单位在参加</w:t>
      </w: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rPr>
          <w:rFonts w:hint="eastAsia" w:ascii="仿宋" w:hAnsi="仿宋" w:eastAsia="仿宋"/>
          <w:color w:val="000000"/>
          <w:sz w:val="28"/>
          <w:szCs w:val="28"/>
        </w:rPr>
        <w:t xml:space="preserve"> </w:t>
      </w:r>
      <w:r>
        <w:rPr>
          <w:rFonts w:ascii="仿宋" w:hAnsi="仿宋" w:eastAsia="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54"/>
        <w:ind w:firstLine="600"/>
        <w:pageBreakBefore w:val="0"/>
        <w:spacing w:before="0" w:beforeAutospacing="0" w:after="0" w:afterAutospacing="0" w:line="560" w:lineRule="exact"/>
        <w:rPr>
          <w:rFonts w:ascii="仿宋" w:hAnsi="仿宋" w:eastAsia="仿宋"/>
          <w:color w:val="000000"/>
          <w:sz w:val="28"/>
          <w:szCs w:val="28"/>
        </w:rPr>
      </w:pPr>
      <w:r>
        <w:rPr>
          <w:rFonts w:ascii="仿宋" w:hAnsi="仿宋" w:eastAsia="仿宋"/>
          <w:color w:val="000000"/>
          <w:sz w:val="28"/>
          <w:szCs w:val="28"/>
        </w:rPr>
        <w:t xml:space="preserve">我单位对上述声明的真实性负责。如有虚假，将依法承担相应责任。</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34"/>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5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3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5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3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rPr>
          <w:rFonts w:ascii="仿宋" w:hAnsi="仿宋" w:eastAsia="仿宋"/>
          <w:color w:val="000000"/>
          <w:sz w:val="28"/>
          <w:szCs w:val="28"/>
        </w:rPr>
      </w:pPr>
      <w:r>
        <w:rPr>
          <w:rFonts w:ascii="仿宋" w:hAnsi="仿宋" w:eastAsia="仿宋"/>
          <w:color w:val="000000"/>
          <w:sz w:val="28"/>
          <w:szCs w:val="28"/>
        </w:rPr>
      </w:r>
      <w:r/>
    </w:p>
    <w:p>
      <w:pPr>
        <w:pStyle w:val="736"/>
        <w:rPr>
          <w:rFonts w:ascii="仿宋" w:hAnsi="仿宋" w:eastAsia="仿宋"/>
          <w:color w:val="000000"/>
          <w:sz w:val="28"/>
          <w:szCs w:val="28"/>
        </w:rPr>
      </w:pPr>
      <w:r>
        <w:rPr>
          <w:rFonts w:ascii="仿宋" w:hAnsi="仿宋" w:eastAsia="仿宋"/>
          <w:color w:val="000000"/>
          <w:sz w:val="28"/>
          <w:szCs w:val="28"/>
        </w:rPr>
      </w:r>
      <w:r/>
    </w:p>
    <w:p>
      <w:pPr>
        <w:pStyle w:val="840"/>
      </w:pPr>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6"/>
        <w:rPr>
          <w:rFonts w:ascii="仿宋" w:hAnsi="仿宋" w:eastAsia="仿宋"/>
          <w:color w:val="000000"/>
          <w:sz w:val="28"/>
          <w:szCs w:val="28"/>
        </w:rPr>
      </w:pPr>
      <w:r>
        <w:rPr>
          <w:rFonts w:ascii="仿宋" w:hAnsi="仿宋" w:eastAsia="仿宋"/>
          <w:color w:val="000000"/>
          <w:sz w:val="28"/>
          <w:szCs w:val="28"/>
        </w:rPr>
      </w:r>
      <w:r/>
    </w:p>
    <w:p>
      <w:pPr>
        <w:pStyle w:val="735"/>
        <w:rPr>
          <w:rFonts w:ascii="仿宋" w:hAnsi="仿宋" w:eastAsia="仿宋"/>
          <w:color w:val="000000"/>
          <w:sz w:val="28"/>
          <w:szCs w:val="28"/>
        </w:rPr>
      </w:pPr>
      <w:r>
        <w:rPr>
          <w:rFonts w:ascii="仿宋" w:hAnsi="仿宋" w:eastAsia="仿宋"/>
          <w:color w:val="000000"/>
          <w:sz w:val="28"/>
          <w:szCs w:val="28"/>
        </w:rPr>
      </w:r>
      <w:r/>
    </w:p>
    <w:p>
      <w:pPr>
        <w:pStyle w:val="736"/>
      </w:pPr>
      <w:r/>
      <w:r/>
    </w:p>
    <w:p>
      <w:pPr>
        <w:pStyle w:val="1089"/>
        <w:numPr>
          <w:ilvl w:val="0"/>
          <w:numId w:val="0"/>
        </w:numPr>
        <w:ind w:right="420"/>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1089"/>
        <w:numPr>
          <w:ilvl w:val="0"/>
          <w:numId w:val="0"/>
        </w:numPr>
        <w:ind w:right="420" w:firstLine="96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八、具备履行合同所必需的设备和专业技术能力的</w:t>
      </w:r>
      <w:r/>
    </w:p>
    <w:p>
      <w:pPr>
        <w:pStyle w:val="1089"/>
        <w:numPr>
          <w:ilvl w:val="0"/>
          <w:numId w:val="0"/>
        </w:numPr>
        <w:ind w:right="420" w:firstLine="353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书面声明</w:t>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项目名称：贾汪区2026-2029年政策性农业保险承保机构遴选项目</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项目编号：</w:t>
      </w:r>
      <w:r/>
    </w:p>
    <w:p>
      <w:pPr>
        <w:pStyle w:val="734"/>
        <w:ind w:firstLine="60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我单位郑重声明：我单位具备履行合同（项目名称：贾汪区2026-2029年政策性农业保险承保机构遴选项目，项目编号：</w:t>
      </w:r>
      <w:r>
        <w:rPr>
          <w:rFonts w:hint="eastAsia" w:ascii="仿宋" w:hAnsi="仿宋" w:eastAsia="仿宋"/>
          <w:color w:val="000000"/>
          <w:sz w:val="28"/>
          <w:szCs w:val="28"/>
          <w:lang w:val="zh-CN" w:eastAsia="zh-CN"/>
        </w:rPr>
        <w:t xml:space="preserve">JSZC-320305-JWZX-G2026-0005</w:t>
      </w:r>
      <w:r>
        <w:rPr>
          <w:rFonts w:hint="eastAsia" w:ascii="仿宋" w:hAnsi="仿宋" w:eastAsia="仿宋" w:cs="Times New Roman"/>
          <w:color w:val="000000"/>
          <w:sz w:val="28"/>
          <w:szCs w:val="28"/>
          <w:lang w:val="en-US" w:eastAsia="zh-CN" w:bidi="ar-SA"/>
        </w:rPr>
        <w:t xml:space="preserve">）所必需的设备和专业技术能力。</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特此声明。</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我单位对上述声明的真实性负责。如有虚假，将依法承担相应责任。</w:t>
      </w:r>
      <w:r/>
    </w:p>
    <w:p>
      <w:pPr>
        <w:ind w:firstLine="480"/>
        <w:pageBreakBefore w:val="0"/>
        <w:spacing w:line="560" w:lineRule="exact"/>
        <w:rPr>
          <w:rFonts w:hint="eastAsia" w:ascii="宋体" w:hAnsi="宋体" w:cs="宋体"/>
          <w:sz w:val="24"/>
        </w:rPr>
      </w:pPr>
      <w:r>
        <w:rPr>
          <w:rFonts w:hint="eastAsia" w:ascii="宋体" w:hAnsi="宋体" w:cs="宋体"/>
          <w:sz w:val="24"/>
        </w:rPr>
      </w:r>
      <w:r/>
    </w:p>
    <w:p>
      <w:pPr>
        <w:pStyle w:val="771"/>
        <w:pageBreakBefore w:val="0"/>
        <w:spacing w:line="560" w:lineRule="exact"/>
        <w:rPr>
          <w:rFonts w:hint="eastAsia" w:ascii="宋体" w:hAnsi="宋体" w:cs="宋体"/>
          <w:sz w:val="24"/>
        </w:rPr>
      </w:pPr>
      <w:r>
        <w:rPr>
          <w:rFonts w:hint="eastAsia" w:ascii="宋体" w:hAnsi="宋体" w:cs="宋体"/>
          <w:sz w:val="24"/>
        </w:rPr>
      </w:r>
      <w:r/>
    </w:p>
    <w:p>
      <w:pPr>
        <w:pStyle w:val="748"/>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771"/>
        <w:pageBreakBefore w:val="0"/>
        <w:spacing w:line="560" w:lineRule="exact"/>
        <w:rPr>
          <w:rFonts w:hint="eastAsia" w:ascii="宋体" w:hAnsi="宋体" w:cs="宋体"/>
          <w:sz w:val="24"/>
        </w:rPr>
      </w:pPr>
      <w:r>
        <w:rPr>
          <w:rFonts w:hint="eastAsia" w:ascii="宋体" w:hAnsi="宋体" w:cs="宋体"/>
          <w:sz w:val="24"/>
        </w:rPr>
      </w:r>
      <w:r/>
    </w:p>
    <w:p>
      <w:pPr>
        <w:pStyle w:val="748"/>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771"/>
        <w:pageBreakBefore w:val="0"/>
        <w:spacing w:line="560" w:lineRule="exact"/>
        <w:rPr>
          <w:rFonts w:hint="eastAsia"/>
        </w:rPr>
      </w:pPr>
      <w:r>
        <w:rPr>
          <w:rFonts w:hint="eastAsia"/>
        </w:rPr>
      </w:r>
      <w:r/>
    </w:p>
    <w:p>
      <w:pPr>
        <w:pStyle w:val="734"/>
        <w:ind w:firstLine="392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34"/>
        <w:ind w:firstLine="39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846"/>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ind w:firstLine="560"/>
        <w:jc w:val="center"/>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九、关于符合本国产品标准的声明函</w:t>
      </w:r>
      <w:r/>
    </w:p>
    <w:p>
      <w:pPr>
        <w:ind w:firstLine="560"/>
        <w:jc w:val="center"/>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本公司（单位）对上述声明内容的真实性负责。如有虚假，愿承担相应法律责任。</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w:t>
      </w:r>
      <w:r/>
    </w:p>
    <w:p>
      <w:pPr>
        <w:ind w:firstLine="560"/>
        <w:jc w:val="right"/>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公司（单位）名称（盖章）：　        </w:t>
      </w:r>
      <w:r/>
    </w:p>
    <w:p>
      <w:pPr>
        <w:ind w:firstLine="560"/>
        <w:jc w:val="right"/>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日期：　     年　  月　  日</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__________________</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1.产品如有型号，请在“产品名称”栏一并填写。</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2.生产厂名与厂址应与生产厂营业执照载明的相关信息保持一致。</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3.该产品的中国境内生产的组件成本占比相关要求实施前，“规定比例”栏可不填，下同。</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4.该产品的关键组件要求实施前，“关键组件”栏可不填，下同。</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5.该产品的关键工序要求实施前，“关键工序”栏可不填，下同。</w:t>
      </w:r>
      <w:r/>
    </w:p>
    <w:p>
      <w:pPr>
        <w:pStyle w:val="843"/>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843"/>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843"/>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十</w:t>
      </w:r>
      <w:r>
        <w:rPr>
          <w:rFonts w:ascii="仿宋" w:hAnsi="仿宋" w:eastAsia="仿宋"/>
          <w:b/>
          <w:bCs/>
          <w:color w:val="000000"/>
          <w:sz w:val="32"/>
          <w:szCs w:val="32"/>
        </w:rPr>
        <w:t xml:space="preserve">、方案</w:t>
      </w:r>
      <w:r/>
    </w:p>
    <w:p>
      <w:pPr>
        <w:pStyle w:val="941"/>
        <w:ind w:left="1275" w:firstLine="0"/>
        <w:jc w:val="center"/>
        <w:pageBreakBefore w:val="0"/>
        <w:spacing w:line="560" w:lineRule="exact"/>
        <w:rPr>
          <w:color w:val="000000"/>
          <w:sz w:val="28"/>
          <w:szCs w:val="28"/>
        </w:rPr>
      </w:pPr>
      <w:r>
        <w:rPr>
          <w:color w:val="000000"/>
          <w:sz w:val="28"/>
          <w:szCs w:val="28"/>
        </w:rPr>
      </w:r>
      <w:r/>
    </w:p>
    <w:p>
      <w:pPr>
        <w:pStyle w:val="941"/>
        <w:ind w:left="0" w:firstLine="0"/>
        <w:jc w:val="center"/>
        <w:pageBreakBefore w:val="0"/>
        <w:spacing w:line="560" w:lineRule="exact"/>
        <w:rPr>
          <w:color w:val="000000"/>
          <w:sz w:val="28"/>
          <w:szCs w:val="28"/>
        </w:rPr>
      </w:pPr>
      <w:r/>
      <w:bookmarkStart w:id="54" w:name="_Toc8656"/>
      <w:r>
        <w:rPr>
          <w:color w:val="000000"/>
          <w:sz w:val="28"/>
          <w:szCs w:val="28"/>
        </w:rPr>
        <w:t xml:space="preserve">（格式自拟）</w:t>
      </w:r>
      <w:bookmarkEnd w:id="54"/>
      <w:r/>
      <w:r/>
    </w:p>
    <w:p>
      <w:pPr>
        <w:pStyle w:val="73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34"/>
        <w:pageBreakBefore w:val="0"/>
        <w:spacing w:line="560" w:lineRule="exact"/>
        <w:rPr>
          <w:color w:val="000000"/>
        </w:rPr>
      </w:pPr>
      <w:r>
        <w:rPr>
          <w:color w:val="000000"/>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12"/>
        <w:pageBreakBefore w:val="0"/>
        <w:spacing w:line="560" w:lineRule="exact"/>
        <w:rPr>
          <w:color w:val="000000"/>
        </w:rPr>
      </w:pPr>
      <w:r>
        <w:rPr>
          <w:color w:val="000000"/>
        </w:rPr>
      </w:r>
      <w:r/>
    </w:p>
    <w:sectPr>
      <w:footerReference w:type="default" r:id="rId12"/>
      <w:footnotePr/>
      <w:endnotePr/>
      <w:type w:val="nextPage"/>
      <w:pgSz w:w="11906" w:h="16838" w:orient="portrait"/>
      <w:pgMar w:top="1440" w:right="1587" w:bottom="1440"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849"/>
      </w:rPr>
      <w:framePr w:wrap="around" w:vAnchor="text" w:hAnchor="margin" w:xAlign="center" w:y="1"/>
    </w:pPr>
    <w:r>
      <w:fldChar w:fldCharType="begin"/>
    </w:r>
    <w:r>
      <w:rPr>
        <w:rStyle w:val="849"/>
      </w:rPr>
      <w:instrText xml:space="preserve">PAGE  </w:instrText>
    </w:r>
    <w: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2405" cy="27749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92099" cy="277471"/>
                      </a:xfrm>
                      <a:prstGeom prst="rect">
                        <a:avLst/>
                      </a:prstGeom>
                      <a:noFill/>
                      <a:ln>
                        <a:noFill/>
                      </a:ln>
                      <a:effectLst/>
                    </wps:spPr>
                    <wps:txbx>
                      <w:txbxContent>
                        <w:p>
                          <w:pPr>
                            <w:pStyle w:val="926"/>
                            <w:tabs>
                              <w:tab w:val="clear" w:pos="4153" w:leader="none"/>
                              <w:tab w:val="clear" w:pos="8306" w:leader="none"/>
                            </w:tabs>
                            <w:rPr>
                              <w:rStyle w:val="849"/>
                              <w:rFonts w:hint="eastAsia" w:ascii="仿宋_GB2312" w:hAnsi="仿宋_GB2312" w:eastAsia="仿宋_GB2312" w:cs="仿宋_GB2312"/>
                            </w:rPr>
                          </w:pPr>
                          <w:r>
                            <w:rPr>
                              <w:rFonts w:hint="eastAsia" w:ascii="仿宋_GB2312" w:hAnsi="仿宋_GB2312" w:eastAsia="仿宋_GB2312" w:cs="仿宋_GB2312"/>
                            </w:rPr>
                          </w:r>
                          <w:r/>
                        </w:p>
                        <w:p>
                          <w:pPr>
                            <w:pStyle w:val="843"/>
                            <w:rPr>
                              <w:rFonts w:hint="eastAsia" w:ascii="仿宋_GB2312" w:hAnsi="仿宋_GB2312" w:eastAsia="仿宋_GB2312" w:cs="仿宋_GB2312"/>
                            </w:rPr>
                          </w:pPr>
                          <w:r>
                            <w:rPr>
                              <w:rFonts w:hint="eastAsia" w:ascii="仿宋_GB2312" w:hAnsi="仿宋_GB2312" w:eastAsia="仿宋_GB2312" w:cs="仿宋_GB2312"/>
                            </w:rPr>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1.8pt;mso-wrap-distance-left:9.0pt;mso-wrap-distance-top:0.0pt;mso-wrap-distance-right:9.0pt;mso-wrap-distance-bottom:0.0pt;visibility:visible;" filled="f" stroked="f">
              <v:textbox inset="0,0,0,0">
                <w:txbxContent>
                  <w:p>
                    <w:pPr>
                      <w:pStyle w:val="926"/>
                      <w:tabs>
                        <w:tab w:val="clear" w:pos="4153" w:leader="none"/>
                        <w:tab w:val="clear" w:pos="8306" w:leader="none"/>
                      </w:tabs>
                      <w:rPr>
                        <w:rStyle w:val="849"/>
                        <w:rFonts w:hint="eastAsia" w:ascii="仿宋_GB2312" w:hAnsi="仿宋_GB2312" w:eastAsia="仿宋_GB2312" w:cs="仿宋_GB2312"/>
                      </w:rPr>
                    </w:pPr>
                    <w:r>
                      <w:rPr>
                        <w:rFonts w:hint="eastAsia" w:ascii="仿宋_GB2312" w:hAnsi="仿宋_GB2312" w:eastAsia="仿宋_GB2312" w:cs="仿宋_GB2312"/>
                      </w:rPr>
                    </w:r>
                    <w:r/>
                  </w:p>
                  <w:p>
                    <w:pPr>
                      <w:pStyle w:val="843"/>
                      <w:rPr>
                        <w:rFonts w:hint="eastAsia" w:ascii="仿宋_GB2312" w:hAnsi="仿宋_GB2312" w:eastAsia="仿宋_GB2312" w:cs="仿宋_GB2312"/>
                      </w:rPr>
                    </w:pPr>
                    <w:r>
                      <w:rPr>
                        <w:rFonts w:hint="eastAsia" w:ascii="仿宋_GB2312" w:hAnsi="仿宋_GB2312" w:eastAsia="仿宋_GB2312" w:cs="仿宋_GB231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1"/>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44"/>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4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73"/>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6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pStyle w:val="919"/>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0">
    <w:multiLevelType w:val="hybridMultilevel"/>
    <w:lvl w:ilvl="0">
      <w:start w:val="1"/>
      <w:numFmt w:val="decimal"/>
      <w:pStyle w:val="74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88"/>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2">
    <w:multiLevelType w:val="hybridMultilevel"/>
    <w:lvl w:ilvl="0">
      <w:start w:val="1"/>
      <w:numFmt w:val="bullet"/>
      <w:pStyle w:val="77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0">
    <w:name w:val="Heading 1"/>
    <w:basedOn w:val="719"/>
    <w:next w:val="719"/>
    <w:link w:val="825"/>
    <w:uiPriority w:val="0"/>
    <w:qFormat/>
    <w:pPr>
      <w:keepLines/>
      <w:keepNext/>
      <w:spacing w:before="340" w:beforeAutospacing="0" w:after="330" w:afterAutospacing="0" w:line="576" w:lineRule="auto"/>
      <w:outlineLvl w:val="0"/>
    </w:pPr>
    <w:rPr>
      <w:b/>
      <w:sz w:val="44"/>
    </w:rPr>
  </w:style>
  <w:style w:type="paragraph" w:styleId="721">
    <w:name w:val="Heading 2"/>
    <w:basedOn w:val="719"/>
    <w:next w:val="719"/>
    <w:link w:val="826"/>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722">
    <w:name w:val="Heading 3"/>
    <w:basedOn w:val="719"/>
    <w:next w:val="719"/>
    <w:link w:val="827"/>
    <w:uiPriority w:val="0"/>
    <w:semiHidden/>
    <w:unhideWhenUsed/>
    <w:qFormat/>
    <w:pPr>
      <w:keepLines/>
      <w:keepNext/>
      <w:spacing w:before="260" w:beforeAutospacing="0" w:after="260" w:afterAutospacing="0" w:line="413" w:lineRule="auto"/>
      <w:outlineLvl w:val="2"/>
    </w:pPr>
    <w:rPr>
      <w:b/>
      <w:sz w:val="32"/>
    </w:rPr>
  </w:style>
  <w:style w:type="paragraph" w:styleId="723">
    <w:name w:val="Heading 4"/>
    <w:basedOn w:val="719"/>
    <w:next w:val="719"/>
    <w:link w:val="824"/>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724">
    <w:name w:val="Heading 5"/>
    <w:basedOn w:val="719"/>
    <w:next w:val="719"/>
    <w:link w:val="828"/>
    <w:uiPriority w:val="0"/>
    <w:semiHidden/>
    <w:unhideWhenUsed/>
    <w:qFormat/>
    <w:pPr>
      <w:keepLines/>
      <w:keepNext/>
      <w:spacing w:before="280" w:beforeAutospacing="0" w:after="290" w:afterAutospacing="0" w:line="372" w:lineRule="auto"/>
      <w:outlineLvl w:val="4"/>
    </w:pPr>
    <w:rPr>
      <w:b/>
      <w:sz w:val="28"/>
    </w:rPr>
  </w:style>
  <w:style w:type="paragraph" w:styleId="725">
    <w:name w:val="Heading 6"/>
    <w:basedOn w:val="719"/>
    <w:next w:val="719"/>
    <w:link w:val="829"/>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726">
    <w:name w:val="Heading 7"/>
    <w:basedOn w:val="719"/>
    <w:next w:val="719"/>
    <w:link w:val="830"/>
    <w:uiPriority w:val="0"/>
    <w:semiHidden/>
    <w:unhideWhenUsed/>
    <w:qFormat/>
    <w:pPr>
      <w:keepLines/>
      <w:keepNext/>
      <w:spacing w:before="240" w:beforeAutospacing="0" w:after="64" w:afterAutospacing="0" w:line="317" w:lineRule="auto"/>
      <w:outlineLvl w:val="6"/>
    </w:pPr>
    <w:rPr>
      <w:b/>
      <w:sz w:val="24"/>
    </w:rPr>
  </w:style>
  <w:style w:type="paragraph" w:styleId="727">
    <w:name w:val="Heading 8"/>
    <w:basedOn w:val="719"/>
    <w:next w:val="719"/>
    <w:link w:val="831"/>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728">
    <w:name w:val="Heading 9"/>
    <w:basedOn w:val="719"/>
    <w:next w:val="719"/>
    <w:link w:val="832"/>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729" w:default="1">
    <w:name w:val="Default Paragraph Font"/>
    <w:uiPriority w:val="0"/>
    <w:semiHidden/>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Body Text"/>
    <w:basedOn w:val="719"/>
    <w:next w:val="732"/>
    <w:uiPriority w:val="0"/>
    <w:qFormat/>
    <w:pPr>
      <w:spacing w:after="120" w:afterAutospacing="0"/>
    </w:pPr>
  </w:style>
  <w:style w:type="paragraph" w:styleId="732" w:customStyle="1">
    <w:name w:val="一级条标题"/>
    <w:basedOn w:val="733"/>
    <w:next w:val="7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3" w:customStyle="1">
    <w:name w:val="章标题"/>
    <w:basedOn w:val="734"/>
    <w:next w:val="719"/>
    <w:uiPriority w:val="0"/>
    <w:qFormat/>
    <w:pPr>
      <w:jc w:val="center"/>
      <w:spacing w:before="158" w:after="153" w:line="1292" w:lineRule="atLeast"/>
      <w:widowControl/>
    </w:pPr>
    <w:rPr>
      <w:rFonts w:ascii="Arial" w:hAnsi="Calibri" w:eastAsia="黑体"/>
      <w:sz w:val="31"/>
      <w:szCs w:val="22"/>
      <w:lang w:eastAsia="en-US" w:bidi="en-US"/>
    </w:rPr>
  </w:style>
  <w:style w:type="paragraph" w:styleId="734" w:customStyle="1">
    <w:name w:val="正文1"/>
    <w:basedOn w:val="735"/>
    <w:next w:val="736"/>
    <w:link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正文111"/>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6" w:customStyle="1">
    <w:name w:val="正文文本1"/>
    <w:basedOn w:val="734"/>
    <w:next w:val="735"/>
    <w:uiPriority w:val="0"/>
    <w:qFormat/>
    <w:pPr>
      <w:spacing w:after="120"/>
    </w:pPr>
    <w:rPr>
      <w:rFonts w:ascii="Calibri" w:hAnsi="Calibri"/>
    </w:rPr>
  </w:style>
  <w:style w:type="paragraph" w:styleId="737" w:customStyle="1">
    <w:name w:val="段"/>
    <w:basedOn w:val="734"/>
    <w:next w:val="719"/>
    <w:uiPriority w:val="0"/>
    <w:qFormat/>
    <w:pPr>
      <w:ind w:firstLine="200"/>
      <w:widowControl/>
    </w:pPr>
    <w:rPr>
      <w:rFonts w:ascii="宋体"/>
    </w:rPr>
  </w:style>
  <w:style w:type="paragraph" w:styleId="738">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heme="minorEastAsia" w:cstheme="minorBidi"/>
      <w:sz w:val="24"/>
      <w:lang w:val="en-US" w:eastAsia="zh-CN"/>
    </w:rPr>
  </w:style>
  <w:style w:type="paragraph" w:styleId="739">
    <w:name w:val="List 3"/>
    <w:basedOn w:val="719"/>
    <w:uiPriority w:val="0"/>
    <w:qFormat/>
    <w:pPr>
      <w:ind w:left="100" w:hanging="200"/>
    </w:pPr>
  </w:style>
  <w:style w:type="paragraph" w:styleId="740">
    <w:name w:val="toc 7"/>
    <w:basedOn w:val="719"/>
    <w:next w:val="719"/>
    <w:uiPriority w:val="0"/>
    <w:qFormat/>
    <w:pPr>
      <w:ind w:left="2520"/>
    </w:pPr>
  </w:style>
  <w:style w:type="paragraph" w:styleId="741">
    <w:name w:val="List Number 2"/>
    <w:basedOn w:val="719"/>
    <w:uiPriority w:val="0"/>
    <w:qFormat/>
    <w:pPr>
      <w:numPr>
        <w:ilvl w:val="0"/>
        <w:numId w:val="1"/>
      </w:numPr>
    </w:pPr>
  </w:style>
  <w:style w:type="paragraph" w:styleId="742">
    <w:name w:val="table of authorities"/>
    <w:basedOn w:val="719"/>
    <w:next w:val="719"/>
    <w:uiPriority w:val="0"/>
    <w:qFormat/>
    <w:pPr>
      <w:ind w:left="420"/>
    </w:pPr>
  </w:style>
  <w:style w:type="paragraph" w:styleId="743">
    <w:name w:val="Note Heading"/>
    <w:basedOn w:val="719"/>
    <w:next w:val="719"/>
    <w:uiPriority w:val="0"/>
    <w:qFormat/>
    <w:pPr>
      <w:jc w:val="center"/>
    </w:pPr>
  </w:style>
  <w:style w:type="paragraph" w:styleId="744">
    <w:name w:val="List Bullet 4"/>
    <w:basedOn w:val="719"/>
    <w:uiPriority w:val="0"/>
    <w:qFormat/>
    <w:pPr>
      <w:numPr>
        <w:ilvl w:val="0"/>
        <w:numId w:val="2"/>
      </w:numPr>
    </w:pPr>
  </w:style>
  <w:style w:type="paragraph" w:styleId="745">
    <w:name w:val="index 8"/>
    <w:basedOn w:val="719"/>
    <w:next w:val="719"/>
    <w:uiPriority w:val="0"/>
    <w:qFormat/>
    <w:pPr>
      <w:ind w:left="1400"/>
    </w:pPr>
  </w:style>
  <w:style w:type="paragraph" w:styleId="746">
    <w:name w:val="E-mail Signature"/>
    <w:basedOn w:val="719"/>
    <w:uiPriority w:val="0"/>
    <w:qFormat/>
  </w:style>
  <w:style w:type="paragraph" w:styleId="747">
    <w:name w:val="List Number"/>
    <w:basedOn w:val="719"/>
    <w:uiPriority w:val="0"/>
    <w:qFormat/>
    <w:pPr>
      <w:numPr>
        <w:ilvl w:val="0"/>
        <w:numId w:val="3"/>
      </w:numPr>
    </w:pPr>
  </w:style>
  <w:style w:type="paragraph" w:styleId="748">
    <w:name w:val="Normal Indent"/>
    <w:basedOn w:val="719"/>
    <w:next w:val="719"/>
    <w:uiPriority w:val="0"/>
    <w:qFormat/>
    <w:pPr>
      <w:ind w:firstLine="420"/>
    </w:pPr>
  </w:style>
  <w:style w:type="paragraph" w:styleId="749">
    <w:name w:val="Caption"/>
    <w:basedOn w:val="719"/>
    <w:next w:val="719"/>
    <w:uiPriority w:val="0"/>
    <w:semiHidden/>
    <w:unhideWhenUsed/>
    <w:qFormat/>
    <w:rPr>
      <w:rFonts w:ascii="Arial" w:hAnsi="Arial" w:eastAsia="黑体"/>
      <w:sz w:val="20"/>
    </w:rPr>
  </w:style>
  <w:style w:type="paragraph" w:styleId="750">
    <w:name w:val="index 5"/>
    <w:basedOn w:val="719"/>
    <w:next w:val="719"/>
    <w:uiPriority w:val="0"/>
    <w:qFormat/>
    <w:pPr>
      <w:ind w:left="800"/>
    </w:pPr>
  </w:style>
  <w:style w:type="paragraph" w:styleId="751">
    <w:name w:val="List Bullet"/>
    <w:basedOn w:val="719"/>
    <w:uiPriority w:val="0"/>
    <w:qFormat/>
    <w:pPr>
      <w:numPr>
        <w:ilvl w:val="0"/>
        <w:numId w:val="4"/>
      </w:numPr>
    </w:pPr>
  </w:style>
  <w:style w:type="paragraph" w:styleId="752">
    <w:name w:val="envelope address"/>
    <w:basedOn w:val="719"/>
    <w:uiPriority w:val="0"/>
    <w:qFormat/>
    <w:pPr>
      <w:ind w:left="100"/>
    </w:pPr>
    <w:rPr>
      <w:rFonts w:ascii="Arial" w:hAnsi="Arial"/>
      <w:sz w:val="24"/>
    </w:rPr>
  </w:style>
  <w:style w:type="paragraph" w:styleId="753">
    <w:name w:val="Document Map"/>
    <w:basedOn w:val="719"/>
    <w:uiPriority w:val="0"/>
    <w:qFormat/>
    <w:pPr>
      <w:shd w:val="clear" w:color="auto" w:fill="000080"/>
    </w:pPr>
  </w:style>
  <w:style w:type="paragraph" w:styleId="754">
    <w:name w:val="toa heading"/>
    <w:basedOn w:val="719"/>
    <w:next w:val="719"/>
    <w:uiPriority w:val="0"/>
    <w:qFormat/>
    <w:pPr>
      <w:spacing w:before="120" w:beforeAutospacing="0"/>
    </w:pPr>
    <w:rPr>
      <w:rFonts w:ascii="Arial" w:hAnsi="Arial"/>
      <w:sz w:val="24"/>
    </w:rPr>
  </w:style>
  <w:style w:type="paragraph" w:styleId="755">
    <w:name w:val="annotation text"/>
    <w:basedOn w:val="719"/>
    <w:uiPriority w:val="0"/>
    <w:qFormat/>
    <w:pPr>
      <w:jc w:val="left"/>
    </w:pPr>
  </w:style>
  <w:style w:type="paragraph" w:styleId="756">
    <w:name w:val="index 6"/>
    <w:basedOn w:val="719"/>
    <w:next w:val="719"/>
    <w:uiPriority w:val="0"/>
    <w:qFormat/>
    <w:pPr>
      <w:ind w:left="1000"/>
    </w:pPr>
  </w:style>
  <w:style w:type="paragraph" w:styleId="757">
    <w:name w:val="Salutation"/>
    <w:basedOn w:val="719"/>
    <w:next w:val="719"/>
    <w:uiPriority w:val="0"/>
    <w:qFormat/>
  </w:style>
  <w:style w:type="paragraph" w:styleId="758">
    <w:name w:val="Body Text 3"/>
    <w:basedOn w:val="719"/>
    <w:uiPriority w:val="0"/>
    <w:qFormat/>
    <w:pPr>
      <w:spacing w:after="120" w:afterAutospacing="0"/>
    </w:pPr>
    <w:rPr>
      <w:sz w:val="16"/>
    </w:rPr>
  </w:style>
  <w:style w:type="paragraph" w:styleId="759">
    <w:name w:val="Closing"/>
    <w:basedOn w:val="719"/>
    <w:uiPriority w:val="0"/>
    <w:qFormat/>
    <w:pPr>
      <w:ind w:left="100"/>
    </w:pPr>
  </w:style>
  <w:style w:type="paragraph" w:styleId="760">
    <w:name w:val="List Bullet 3"/>
    <w:basedOn w:val="719"/>
    <w:uiPriority w:val="0"/>
    <w:qFormat/>
    <w:pPr>
      <w:numPr>
        <w:ilvl w:val="0"/>
        <w:numId w:val="5"/>
      </w:numPr>
    </w:pPr>
  </w:style>
  <w:style w:type="paragraph" w:styleId="761">
    <w:name w:val="Body Text Indent"/>
    <w:basedOn w:val="719"/>
    <w:uiPriority w:val="0"/>
    <w:qFormat/>
    <w:pPr>
      <w:ind w:left="420"/>
      <w:spacing w:after="120" w:afterAutospacing="0"/>
    </w:pPr>
  </w:style>
  <w:style w:type="paragraph" w:styleId="762">
    <w:name w:val="List Number 3"/>
    <w:basedOn w:val="719"/>
    <w:uiPriority w:val="0"/>
    <w:qFormat/>
    <w:pPr>
      <w:numPr>
        <w:ilvl w:val="0"/>
        <w:numId w:val="6"/>
      </w:numPr>
    </w:pPr>
  </w:style>
  <w:style w:type="paragraph" w:styleId="763">
    <w:name w:val="List 2"/>
    <w:basedOn w:val="719"/>
    <w:uiPriority w:val="0"/>
    <w:qFormat/>
    <w:pPr>
      <w:ind w:left="100" w:hanging="200"/>
    </w:pPr>
  </w:style>
  <w:style w:type="paragraph" w:styleId="764">
    <w:name w:val="List Continue"/>
    <w:basedOn w:val="719"/>
    <w:uiPriority w:val="0"/>
    <w:qFormat/>
    <w:pPr>
      <w:ind w:left="420"/>
      <w:spacing w:after="120" w:afterAutospacing="0"/>
    </w:pPr>
  </w:style>
  <w:style w:type="paragraph" w:styleId="765">
    <w:name w:val="Block Text"/>
    <w:basedOn w:val="719"/>
    <w:uiPriority w:val="0"/>
    <w:qFormat/>
    <w:pPr>
      <w:ind w:left="1440"/>
      <w:spacing w:after="120" w:afterAutospacing="0"/>
    </w:pPr>
  </w:style>
  <w:style w:type="paragraph" w:styleId="766">
    <w:name w:val="List Bullet 2"/>
    <w:basedOn w:val="719"/>
    <w:uiPriority w:val="0"/>
    <w:qFormat/>
    <w:pPr>
      <w:numPr>
        <w:ilvl w:val="0"/>
        <w:numId w:val="7"/>
      </w:numPr>
    </w:pPr>
  </w:style>
  <w:style w:type="paragraph" w:styleId="767">
    <w:name w:val="HTML Address"/>
    <w:basedOn w:val="719"/>
    <w:uiPriority w:val="0"/>
    <w:qFormat/>
    <w:rPr>
      <w:i/>
    </w:rPr>
  </w:style>
  <w:style w:type="paragraph" w:styleId="768">
    <w:name w:val="index 4"/>
    <w:basedOn w:val="719"/>
    <w:next w:val="719"/>
    <w:uiPriority w:val="0"/>
    <w:qFormat/>
    <w:pPr>
      <w:ind w:left="600"/>
    </w:pPr>
  </w:style>
  <w:style w:type="paragraph" w:styleId="769">
    <w:name w:val="toc 5"/>
    <w:basedOn w:val="719"/>
    <w:next w:val="719"/>
    <w:uiPriority w:val="0"/>
    <w:qFormat/>
    <w:pPr>
      <w:ind w:left="1680"/>
    </w:pPr>
  </w:style>
  <w:style w:type="paragraph" w:styleId="770">
    <w:name w:val="toc 3"/>
    <w:basedOn w:val="719"/>
    <w:next w:val="719"/>
    <w:uiPriority w:val="0"/>
    <w:qFormat/>
    <w:pPr>
      <w:ind w:left="840"/>
    </w:pPr>
  </w:style>
  <w:style w:type="paragraph" w:styleId="771">
    <w:name w:val="Plain Text"/>
    <w:basedOn w:val="719"/>
    <w:next w:val="748"/>
    <w:uiPriority w:val="0"/>
    <w:qFormat/>
    <w:rPr>
      <w:rFonts w:ascii="宋体" w:hAnsi="Courier New"/>
    </w:rPr>
  </w:style>
  <w:style w:type="paragraph" w:styleId="772">
    <w:name w:val="List Bullet 5"/>
    <w:basedOn w:val="719"/>
    <w:uiPriority w:val="0"/>
    <w:qFormat/>
    <w:pPr>
      <w:numPr>
        <w:ilvl w:val="0"/>
        <w:numId w:val="8"/>
      </w:numPr>
    </w:pPr>
  </w:style>
  <w:style w:type="paragraph" w:styleId="773">
    <w:name w:val="List Number 4"/>
    <w:basedOn w:val="719"/>
    <w:uiPriority w:val="0"/>
    <w:qFormat/>
    <w:pPr>
      <w:numPr>
        <w:ilvl w:val="0"/>
        <w:numId w:val="9"/>
      </w:numPr>
    </w:pPr>
  </w:style>
  <w:style w:type="paragraph" w:styleId="774">
    <w:name w:val="toc 8"/>
    <w:basedOn w:val="719"/>
    <w:next w:val="719"/>
    <w:uiPriority w:val="0"/>
    <w:qFormat/>
    <w:pPr>
      <w:ind w:left="2940"/>
    </w:pPr>
  </w:style>
  <w:style w:type="paragraph" w:styleId="775">
    <w:name w:val="index 3"/>
    <w:basedOn w:val="719"/>
    <w:next w:val="719"/>
    <w:uiPriority w:val="0"/>
    <w:qFormat/>
    <w:pPr>
      <w:ind w:left="400"/>
    </w:pPr>
  </w:style>
  <w:style w:type="paragraph" w:styleId="776">
    <w:name w:val="Date"/>
    <w:basedOn w:val="719"/>
    <w:next w:val="719"/>
    <w:uiPriority w:val="0"/>
    <w:qFormat/>
    <w:pPr>
      <w:ind w:left="100"/>
    </w:pPr>
  </w:style>
  <w:style w:type="paragraph" w:styleId="777">
    <w:name w:val="Body Text Indent 2"/>
    <w:basedOn w:val="719"/>
    <w:uiPriority w:val="0"/>
    <w:qFormat/>
    <w:pPr>
      <w:ind w:left="420"/>
      <w:spacing w:after="120" w:afterAutospacing="0" w:line="480" w:lineRule="auto"/>
    </w:pPr>
  </w:style>
  <w:style w:type="paragraph" w:styleId="778">
    <w:name w:val="endnote text"/>
    <w:basedOn w:val="719"/>
    <w:link w:val="833"/>
    <w:uiPriority w:val="0"/>
    <w:qFormat/>
    <w:pPr>
      <w:jc w:val="left"/>
    </w:pPr>
  </w:style>
  <w:style w:type="paragraph" w:styleId="779">
    <w:name w:val="List Continue 5"/>
    <w:basedOn w:val="719"/>
    <w:uiPriority w:val="0"/>
    <w:qFormat/>
    <w:pPr>
      <w:ind w:left="2100"/>
      <w:spacing w:after="120" w:afterAutospacing="0"/>
    </w:pPr>
  </w:style>
  <w:style w:type="paragraph" w:styleId="780">
    <w:name w:val="Balloon Text"/>
    <w:basedOn w:val="719"/>
    <w:link w:val="834"/>
    <w:uiPriority w:val="0"/>
    <w:qFormat/>
    <w:rPr>
      <w:sz w:val="18"/>
    </w:rPr>
  </w:style>
  <w:style w:type="paragraph" w:styleId="781">
    <w:name w:val="Footer"/>
    <w:basedOn w:val="719"/>
    <w:link w:val="835"/>
    <w:uiPriority w:val="0"/>
    <w:qFormat/>
    <w:pPr>
      <w:jc w:val="left"/>
      <w:tabs>
        <w:tab w:val="center" w:pos="4153" w:leader="none"/>
        <w:tab w:val="right" w:pos="8306" w:leader="none"/>
      </w:tabs>
    </w:pPr>
    <w:rPr>
      <w:sz w:val="18"/>
    </w:rPr>
  </w:style>
  <w:style w:type="paragraph" w:styleId="782">
    <w:name w:val="envelope return"/>
    <w:basedOn w:val="719"/>
    <w:uiPriority w:val="0"/>
    <w:qFormat/>
    <w:rPr>
      <w:rFonts w:ascii="Arial" w:hAnsi="Arial"/>
    </w:rPr>
  </w:style>
  <w:style w:type="paragraph" w:styleId="783">
    <w:name w:val="Header"/>
    <w:basedOn w:val="719"/>
    <w:link w:val="83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4">
    <w:name w:val="Signature"/>
    <w:basedOn w:val="719"/>
    <w:uiPriority w:val="0"/>
    <w:qFormat/>
    <w:pPr>
      <w:ind w:left="100"/>
    </w:pPr>
  </w:style>
  <w:style w:type="paragraph" w:styleId="785">
    <w:name w:val="toc 1"/>
    <w:basedOn w:val="719"/>
    <w:next w:val="719"/>
    <w:uiPriority w:val="0"/>
    <w:qFormat/>
  </w:style>
  <w:style w:type="paragraph" w:styleId="786">
    <w:name w:val="List Continue 4"/>
    <w:basedOn w:val="719"/>
    <w:uiPriority w:val="0"/>
    <w:qFormat/>
    <w:pPr>
      <w:ind w:left="1680"/>
      <w:spacing w:after="120" w:afterAutospacing="0"/>
    </w:pPr>
  </w:style>
  <w:style w:type="paragraph" w:styleId="787">
    <w:name w:val="toc 4"/>
    <w:basedOn w:val="719"/>
    <w:next w:val="719"/>
    <w:uiPriority w:val="0"/>
    <w:qFormat/>
    <w:pPr>
      <w:ind w:left="1260"/>
    </w:pPr>
  </w:style>
  <w:style w:type="paragraph" w:styleId="788">
    <w:name w:val="index heading"/>
    <w:basedOn w:val="719"/>
    <w:next w:val="789"/>
    <w:uiPriority w:val="0"/>
    <w:qFormat/>
    <w:rPr>
      <w:rFonts w:ascii="Arial" w:hAnsi="Arial"/>
      <w:b/>
    </w:rPr>
  </w:style>
  <w:style w:type="paragraph" w:styleId="789">
    <w:name w:val="index 1"/>
    <w:basedOn w:val="719"/>
    <w:next w:val="719"/>
    <w:uiPriority w:val="0"/>
    <w:qFormat/>
  </w:style>
  <w:style w:type="paragraph" w:styleId="790">
    <w:name w:val="Subtitle"/>
    <w:basedOn w:val="719"/>
    <w:link w:val="837"/>
    <w:uiPriority w:val="0"/>
    <w:qFormat/>
    <w:pPr>
      <w:jc w:val="center"/>
      <w:spacing w:before="240" w:beforeAutospacing="0" w:after="60" w:afterAutospacing="0" w:line="312" w:lineRule="auto"/>
      <w:outlineLvl w:val="1"/>
    </w:pPr>
    <w:rPr>
      <w:rFonts w:ascii="Arial" w:hAnsi="Arial"/>
      <w:b/>
      <w:sz w:val="32"/>
    </w:rPr>
  </w:style>
  <w:style w:type="paragraph" w:styleId="791">
    <w:name w:val="List Number 5"/>
    <w:basedOn w:val="719"/>
    <w:uiPriority w:val="0"/>
    <w:qFormat/>
    <w:pPr>
      <w:numPr>
        <w:ilvl w:val="0"/>
        <w:numId w:val="10"/>
      </w:numPr>
    </w:pPr>
  </w:style>
  <w:style w:type="paragraph" w:styleId="792">
    <w:name w:val="List"/>
    <w:basedOn w:val="719"/>
    <w:uiPriority w:val="0"/>
    <w:qFormat/>
    <w:pPr>
      <w:ind w:left="200" w:hanging="200"/>
    </w:pPr>
  </w:style>
  <w:style w:type="paragraph" w:styleId="793">
    <w:name w:val="footnote text"/>
    <w:basedOn w:val="719"/>
    <w:link w:val="838"/>
    <w:uiPriority w:val="0"/>
    <w:qFormat/>
    <w:pPr>
      <w:jc w:val="left"/>
    </w:pPr>
    <w:rPr>
      <w:sz w:val="18"/>
    </w:rPr>
  </w:style>
  <w:style w:type="paragraph" w:styleId="794">
    <w:name w:val="toc 6"/>
    <w:basedOn w:val="719"/>
    <w:next w:val="719"/>
    <w:uiPriority w:val="0"/>
    <w:qFormat/>
    <w:pPr>
      <w:ind w:left="2100"/>
    </w:pPr>
  </w:style>
  <w:style w:type="paragraph" w:styleId="795">
    <w:name w:val="List 5"/>
    <w:basedOn w:val="719"/>
    <w:uiPriority w:val="0"/>
    <w:qFormat/>
    <w:pPr>
      <w:ind w:left="100" w:hanging="200"/>
    </w:pPr>
  </w:style>
  <w:style w:type="paragraph" w:styleId="796">
    <w:name w:val="Body Text Indent 3"/>
    <w:basedOn w:val="719"/>
    <w:uiPriority w:val="0"/>
    <w:qFormat/>
    <w:pPr>
      <w:ind w:left="420"/>
      <w:spacing w:after="120" w:afterAutospacing="0"/>
    </w:pPr>
    <w:rPr>
      <w:sz w:val="16"/>
    </w:rPr>
  </w:style>
  <w:style w:type="paragraph" w:styleId="797">
    <w:name w:val="index 7"/>
    <w:basedOn w:val="719"/>
    <w:next w:val="719"/>
    <w:uiPriority w:val="0"/>
    <w:qFormat/>
    <w:pPr>
      <w:ind w:left="1200"/>
    </w:pPr>
  </w:style>
  <w:style w:type="paragraph" w:styleId="798">
    <w:name w:val="index 9"/>
    <w:basedOn w:val="719"/>
    <w:next w:val="719"/>
    <w:uiPriority w:val="0"/>
    <w:qFormat/>
    <w:pPr>
      <w:ind w:left="1600"/>
    </w:pPr>
  </w:style>
  <w:style w:type="paragraph" w:styleId="799">
    <w:name w:val="table of figures"/>
    <w:basedOn w:val="719"/>
    <w:next w:val="719"/>
    <w:uiPriority w:val="0"/>
    <w:qFormat/>
    <w:pPr>
      <w:ind w:hanging="200"/>
    </w:pPr>
  </w:style>
  <w:style w:type="paragraph" w:styleId="800">
    <w:name w:val="toc 2"/>
    <w:basedOn w:val="719"/>
    <w:next w:val="719"/>
    <w:uiPriority w:val="0"/>
    <w:qFormat/>
    <w:pPr>
      <w:ind w:left="420"/>
    </w:pPr>
  </w:style>
  <w:style w:type="paragraph" w:styleId="801">
    <w:name w:val="toc 9"/>
    <w:basedOn w:val="719"/>
    <w:next w:val="719"/>
    <w:uiPriority w:val="0"/>
    <w:qFormat/>
    <w:pPr>
      <w:ind w:left="3360"/>
    </w:pPr>
  </w:style>
  <w:style w:type="paragraph" w:styleId="802">
    <w:name w:val="Body Text 2"/>
    <w:basedOn w:val="719"/>
    <w:uiPriority w:val="0"/>
    <w:qFormat/>
    <w:pPr>
      <w:spacing w:after="120" w:afterAutospacing="0" w:line="480" w:lineRule="auto"/>
    </w:pPr>
  </w:style>
  <w:style w:type="paragraph" w:styleId="803">
    <w:name w:val="List 4"/>
    <w:basedOn w:val="719"/>
    <w:uiPriority w:val="0"/>
    <w:qFormat/>
    <w:pPr>
      <w:ind w:left="100" w:hanging="200"/>
    </w:pPr>
  </w:style>
  <w:style w:type="paragraph" w:styleId="804">
    <w:name w:val="List Continue 2"/>
    <w:basedOn w:val="719"/>
    <w:uiPriority w:val="0"/>
    <w:qFormat/>
    <w:pPr>
      <w:ind w:left="840"/>
      <w:spacing w:after="120" w:afterAutospacing="0"/>
    </w:pPr>
  </w:style>
  <w:style w:type="paragraph" w:styleId="805">
    <w:name w:val="Message Header"/>
    <w:basedOn w:val="71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6">
    <w:name w:val="HTML Preformatted"/>
    <w:basedOn w:val="719"/>
    <w:uiPriority w:val="0"/>
    <w:qFormat/>
    <w:rPr>
      <w:rFonts w:ascii="Courier New" w:hAnsi="Courier New"/>
      <w:sz w:val="20"/>
    </w:rPr>
  </w:style>
  <w:style w:type="paragraph" w:styleId="807">
    <w:name w:val="Normal (Web)"/>
    <w:basedOn w:val="719"/>
    <w:uiPriority w:val="0"/>
    <w:qFormat/>
    <w:rPr>
      <w:sz w:val="24"/>
    </w:rPr>
  </w:style>
  <w:style w:type="paragraph" w:styleId="808">
    <w:name w:val="List Continue 3"/>
    <w:basedOn w:val="719"/>
    <w:uiPriority w:val="0"/>
    <w:qFormat/>
    <w:pPr>
      <w:ind w:left="1260"/>
      <w:spacing w:after="120" w:afterAutospacing="0"/>
    </w:pPr>
  </w:style>
  <w:style w:type="paragraph" w:styleId="809">
    <w:name w:val="index 2"/>
    <w:basedOn w:val="719"/>
    <w:next w:val="719"/>
    <w:uiPriority w:val="0"/>
    <w:qFormat/>
    <w:pPr>
      <w:ind w:left="200"/>
    </w:pPr>
  </w:style>
  <w:style w:type="paragraph" w:styleId="810">
    <w:name w:val="Title"/>
    <w:basedOn w:val="719"/>
    <w:link w:val="839"/>
    <w:uiPriority w:val="0"/>
    <w:qFormat/>
    <w:pPr>
      <w:jc w:val="center"/>
      <w:spacing w:before="240" w:beforeAutospacing="0" w:after="60" w:afterAutospacing="0"/>
      <w:outlineLvl w:val="0"/>
    </w:pPr>
    <w:rPr>
      <w:rFonts w:ascii="Arial" w:hAnsi="Arial"/>
      <w:b/>
      <w:sz w:val="32"/>
    </w:rPr>
  </w:style>
  <w:style w:type="paragraph" w:styleId="811">
    <w:name w:val="annotation subject"/>
    <w:basedOn w:val="755"/>
    <w:next w:val="755"/>
    <w:uiPriority w:val="0"/>
    <w:qFormat/>
    <w:rPr>
      <w:b/>
    </w:rPr>
  </w:style>
  <w:style w:type="paragraph" w:styleId="812">
    <w:name w:val="Body Text First Indent"/>
    <w:basedOn w:val="731"/>
    <w:uiPriority w:val="0"/>
    <w:qFormat/>
    <w:pPr>
      <w:ind w:firstLine="420"/>
    </w:pPr>
  </w:style>
  <w:style w:type="paragraph" w:styleId="813">
    <w:name w:val="Body Text First Indent 2"/>
    <w:basedOn w:val="761"/>
    <w:uiPriority w:val="0"/>
    <w:qFormat/>
    <w:pPr>
      <w:ind w:firstLine="420"/>
    </w:p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29"/>
    <w:uiPriority w:val="22"/>
    <w:qFormat/>
    <w:rPr>
      <w:b/>
      <w:bCs/>
    </w:rPr>
  </w:style>
  <w:style w:type="character" w:styleId="816">
    <w:name w:val="endnote reference"/>
    <w:uiPriority w:val="99"/>
    <w:unhideWhenUsed/>
    <w:qFormat/>
    <w:rPr>
      <w:vertAlign w:val="superscript"/>
    </w:rPr>
  </w:style>
  <w:style w:type="character" w:styleId="817">
    <w:name w:val="Emphasis"/>
    <w:basedOn w:val="729"/>
    <w:uiPriority w:val="20"/>
    <w:qFormat/>
    <w:rPr>
      <w:i/>
      <w:iCs/>
    </w:rPr>
  </w:style>
  <w:style w:type="character" w:styleId="818">
    <w:name w:val="Hyperlink"/>
    <w:uiPriority w:val="99"/>
    <w:unhideWhenUsed/>
    <w:qFormat/>
    <w:rPr>
      <w:color w:val="0000ff"/>
      <w:u w:val="single"/>
    </w:rPr>
  </w:style>
  <w:style w:type="character" w:styleId="819">
    <w:name w:val="annotation reference"/>
    <w:uiPriority w:val="99"/>
    <w:unhideWhenUsed/>
    <w:qFormat/>
    <w:rPr>
      <w:sz w:val="21"/>
      <w:szCs w:val="21"/>
    </w:rPr>
  </w:style>
  <w:style w:type="character" w:styleId="820">
    <w:name w:val="footnote reference"/>
    <w:uiPriority w:val="99"/>
    <w:unhideWhenUsed/>
    <w:qFormat/>
    <w:rPr>
      <w:vertAlign w:val="superscript"/>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文本块111"/>
    <w:basedOn w:val="719"/>
    <w:next w:val="719"/>
    <w:uiPriority w:val="6"/>
    <w:unhideWhenUsed/>
    <w:qFormat/>
    <w:pPr>
      <w:ind w:left="1440" w:right="1440"/>
      <w:spacing w:after="120"/>
    </w:pPr>
  </w:style>
  <w:style w:type="paragraph" w:styleId="823" w:customStyle="1">
    <w:name w:val="标题 31"/>
    <w:next w:val="719"/>
    <w:link w:val="907"/>
    <w:uiPriority w:val="0"/>
    <w:qFormat/>
    <w:pPr>
      <w:keepLines/>
      <w:keepNext/>
      <w:spacing w:before="320" w:after="200"/>
      <w:outlineLvl w:val="2"/>
    </w:pPr>
    <w:rPr>
      <w:rFonts w:hint="default" w:ascii="Arial" w:hAnsi="Arial" w:eastAsia="Arial" w:cs="Times New Roman"/>
      <w:sz w:val="30"/>
      <w:szCs w:val="30"/>
      <w:lang w:val="en-US" w:eastAsia="zh-CN" w:bidi="ar-SA"/>
    </w:rPr>
  </w:style>
  <w:style w:type="character" w:styleId="824" w:customStyle="1">
    <w:name w:val="标题 4 Char"/>
    <w:link w:val="723"/>
    <w:uiPriority w:val="9"/>
    <w:qFormat/>
    <w:rPr>
      <w:rFonts w:ascii="Arial" w:hAnsi="Arial" w:eastAsia="黑体"/>
      <w:b/>
      <w:sz w:val="28"/>
    </w:rPr>
  </w:style>
  <w:style w:type="character" w:styleId="825" w:customStyle="1">
    <w:name w:val="标题 1 Char"/>
    <w:link w:val="720"/>
    <w:uiPriority w:val="9"/>
    <w:qFormat/>
    <w:rPr>
      <w:b/>
      <w:sz w:val="44"/>
    </w:rPr>
  </w:style>
  <w:style w:type="character" w:styleId="826" w:customStyle="1">
    <w:name w:val="标题 2 Char1"/>
    <w:link w:val="721"/>
    <w:uiPriority w:val="9"/>
    <w:qFormat/>
    <w:rPr>
      <w:rFonts w:ascii="Arial" w:hAnsi="Arial" w:eastAsia="黑体"/>
      <w:b/>
      <w:sz w:val="32"/>
    </w:rPr>
  </w:style>
  <w:style w:type="character" w:styleId="827" w:customStyle="1">
    <w:name w:val="标题 3 Char"/>
    <w:link w:val="722"/>
    <w:uiPriority w:val="9"/>
    <w:qFormat/>
    <w:rPr>
      <w:b/>
      <w:sz w:val="32"/>
    </w:rPr>
  </w:style>
  <w:style w:type="character" w:styleId="828" w:customStyle="1">
    <w:name w:val="标题 5 Char"/>
    <w:link w:val="724"/>
    <w:uiPriority w:val="9"/>
    <w:qFormat/>
    <w:rPr>
      <w:b/>
      <w:sz w:val="28"/>
    </w:rPr>
  </w:style>
  <w:style w:type="character" w:styleId="829" w:customStyle="1">
    <w:name w:val="标题 6 Char"/>
    <w:link w:val="725"/>
    <w:uiPriority w:val="9"/>
    <w:qFormat/>
    <w:rPr>
      <w:rFonts w:ascii="Arial" w:hAnsi="Arial" w:eastAsia="黑体"/>
      <w:b/>
      <w:sz w:val="24"/>
    </w:rPr>
  </w:style>
  <w:style w:type="character" w:styleId="830" w:customStyle="1">
    <w:name w:val="标题 7 Char"/>
    <w:link w:val="726"/>
    <w:uiPriority w:val="9"/>
    <w:qFormat/>
    <w:rPr>
      <w:b/>
      <w:sz w:val="24"/>
    </w:rPr>
  </w:style>
  <w:style w:type="character" w:styleId="831" w:customStyle="1">
    <w:name w:val="标题 8 Char"/>
    <w:link w:val="727"/>
    <w:uiPriority w:val="9"/>
    <w:qFormat/>
    <w:rPr>
      <w:rFonts w:ascii="Arial" w:hAnsi="Arial" w:eastAsia="黑体"/>
      <w:sz w:val="24"/>
    </w:rPr>
  </w:style>
  <w:style w:type="character" w:styleId="832" w:customStyle="1">
    <w:name w:val="标题 9 Char"/>
    <w:link w:val="728"/>
    <w:uiPriority w:val="9"/>
    <w:qFormat/>
    <w:rPr>
      <w:rFonts w:ascii="Arial" w:hAnsi="Arial" w:eastAsia="黑体"/>
      <w:sz w:val="21"/>
    </w:rPr>
  </w:style>
  <w:style w:type="character" w:styleId="833" w:customStyle="1">
    <w:name w:val="尾注文本 Char"/>
    <w:link w:val="778"/>
    <w:uiPriority w:val="99"/>
    <w:qFormat/>
  </w:style>
  <w:style w:type="character" w:styleId="834" w:customStyle="1">
    <w:name w:val="批注框文本 Char"/>
    <w:link w:val="780"/>
    <w:uiPriority w:val="99"/>
    <w:semiHidden/>
    <w:qFormat/>
    <w:rPr>
      <w:sz w:val="18"/>
    </w:rPr>
  </w:style>
  <w:style w:type="character" w:styleId="835" w:customStyle="1">
    <w:name w:val="页脚 Char"/>
    <w:link w:val="781"/>
    <w:uiPriority w:val="99"/>
    <w:qFormat/>
    <w:rPr>
      <w:sz w:val="18"/>
    </w:rPr>
  </w:style>
  <w:style w:type="character" w:styleId="836" w:customStyle="1">
    <w:name w:val="页眉 Char"/>
    <w:link w:val="783"/>
    <w:uiPriority w:val="99"/>
    <w:qFormat/>
    <w:rPr>
      <w:sz w:val="18"/>
    </w:rPr>
  </w:style>
  <w:style w:type="character" w:styleId="837" w:customStyle="1">
    <w:name w:val="副标题 Char"/>
    <w:link w:val="790"/>
    <w:uiPriority w:val="11"/>
    <w:qFormat/>
    <w:rPr>
      <w:rFonts w:ascii="Arial" w:hAnsi="Arial"/>
      <w:b/>
      <w:sz w:val="32"/>
    </w:rPr>
  </w:style>
  <w:style w:type="character" w:styleId="838" w:customStyle="1">
    <w:name w:val="脚注文本 Char"/>
    <w:link w:val="793"/>
    <w:uiPriority w:val="99"/>
    <w:qFormat/>
    <w:rPr>
      <w:sz w:val="18"/>
    </w:rPr>
  </w:style>
  <w:style w:type="character" w:styleId="839" w:customStyle="1">
    <w:name w:val="标题 Char"/>
    <w:link w:val="810"/>
    <w:uiPriority w:val="10"/>
    <w:qFormat/>
    <w:rPr>
      <w:rFonts w:ascii="Arial" w:hAnsi="Arial"/>
      <w:b/>
      <w:sz w:val="32"/>
    </w:rPr>
  </w:style>
  <w:style w:type="paragraph" w:styleId="84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41" w:customStyle="1">
    <w:name w:val="标题 7 字符"/>
    <w:link w:val="842"/>
    <w:uiPriority w:val="0"/>
    <w:qFormat/>
    <w:rPr>
      <w:rFonts w:ascii="Arial" w:hAnsi="Arial" w:eastAsia="Arial"/>
      <w:b/>
      <w:bCs/>
      <w:i/>
      <w:iCs/>
      <w:sz w:val="22"/>
      <w:szCs w:val="22"/>
      <w:lang w:bidi="ar-SA"/>
    </w:rPr>
  </w:style>
  <w:style w:type="paragraph" w:styleId="842" w:customStyle="1">
    <w:name w:val="标题 71"/>
    <w:next w:val="843"/>
    <w:link w:val="841"/>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43" w:customStyle="1">
    <w:name w:val="正文11"/>
    <w:next w:val="844"/>
    <w:link w:val="849"/>
    <w:uiPriority w:val="0"/>
    <w:qFormat/>
    <w:rPr>
      <w:rFonts w:hint="default" w:ascii="Times New Roman" w:hAnsi="Times New Roman" w:eastAsia="宋体" w:cs="Times New Roman"/>
      <w:lang w:val="en-US" w:eastAsia="zh-CN" w:bidi="ar-SA"/>
    </w:rPr>
  </w:style>
  <w:style w:type="paragraph" w:styleId="844" w:customStyle="1">
    <w:name w:val="正文缩进11"/>
    <w:basedOn w:val="843"/>
    <w:next w:val="843"/>
    <w:uiPriority w:val="0"/>
    <w:qFormat/>
    <w:pPr>
      <w:ind w:firstLine="420"/>
    </w:pPr>
  </w:style>
  <w:style w:type="paragraph" w:styleId="845" w:customStyle="1">
    <w:name w:val="正文文本缩进1"/>
    <w:basedOn w:val="843"/>
    <w:next w:val="846"/>
    <w:uiPriority w:val="0"/>
    <w:qFormat/>
    <w:pPr>
      <w:ind w:firstLine="723"/>
      <w:spacing w:line="360" w:lineRule="auto"/>
    </w:pPr>
    <w:rPr>
      <w:rFonts w:ascii="宋体" w:hAnsi="宋体"/>
      <w:b/>
      <w:bCs/>
      <w:sz w:val="24"/>
      <w:lang w:val="zh-CN"/>
    </w:rPr>
  </w:style>
  <w:style w:type="paragraph" w:styleId="846" w:customStyle="1">
    <w:name w:val="寄信人地址1"/>
    <w:basedOn w:val="843"/>
    <w:uiPriority w:val="0"/>
    <w:qFormat/>
    <w:rPr>
      <w:rFonts w:ascii="Arial" w:hAnsi="Arial"/>
    </w:rPr>
  </w:style>
  <w:style w:type="paragraph" w:styleId="847" w:customStyle="1">
    <w:name w:val="正文首行缩进 21"/>
    <w:basedOn w:val="845"/>
    <w:next w:val="848"/>
    <w:uiPriority w:val="0"/>
    <w:qFormat/>
    <w:pPr>
      <w:ind w:firstLine="420"/>
    </w:pPr>
    <w:rPr>
      <w:sz w:val="20"/>
    </w:rPr>
  </w:style>
  <w:style w:type="paragraph" w:styleId="848" w:customStyle="1">
    <w:name w:val="正文缩进1"/>
    <w:basedOn w:val="734"/>
    <w:next w:val="843"/>
    <w:uiPriority w:val="0"/>
    <w:qFormat/>
    <w:pPr>
      <w:ind w:firstLine="420"/>
    </w:pPr>
  </w:style>
  <w:style w:type="character" w:styleId="849" w:customStyle="1">
    <w:name w:val="页码1"/>
    <w:link w:val="843"/>
    <w:uiPriority w:val="0"/>
    <w:qFormat/>
  </w:style>
  <w:style w:type="character" w:styleId="850" w:customStyle="1">
    <w:name w:val="默认段落字体1"/>
    <w:link w:val="734"/>
    <w:uiPriority w:val="0"/>
    <w:qFormat/>
    <w:rPr>
      <w:sz w:val="21"/>
      <w:szCs w:val="24"/>
      <w:lang w:val="en-US" w:eastAsia="zh-CN" w:bidi="ar-SA"/>
    </w:rPr>
  </w:style>
  <w:style w:type="character" w:styleId="851" w:customStyle="1">
    <w:name w:val="标题 1 字符"/>
    <w:link w:val="852"/>
    <w:uiPriority w:val="0"/>
    <w:qFormat/>
    <w:rPr>
      <w:rFonts w:ascii="Arial" w:hAnsi="Arial" w:eastAsia="Arial"/>
      <w:sz w:val="40"/>
      <w:szCs w:val="40"/>
      <w:lang w:bidi="ar-SA"/>
    </w:rPr>
  </w:style>
  <w:style w:type="paragraph" w:styleId="852" w:customStyle="1">
    <w:name w:val="标题 111"/>
    <w:next w:val="843"/>
    <w:link w:val="851"/>
    <w:uiPriority w:val="0"/>
    <w:qFormat/>
    <w:pPr>
      <w:keepLines/>
      <w:keepNext/>
      <w:spacing w:before="480" w:after="200"/>
      <w:outlineLvl w:val="0"/>
    </w:pPr>
    <w:rPr>
      <w:rFonts w:hint="default" w:ascii="Arial" w:hAnsi="Arial" w:eastAsia="Arial" w:cs="Times New Roman"/>
      <w:sz w:val="40"/>
      <w:szCs w:val="40"/>
      <w:lang w:val="en-US" w:eastAsia="zh-CN" w:bidi="ar-SA"/>
    </w:rPr>
  </w:style>
  <w:style w:type="character" w:styleId="853" w:customStyle="1">
    <w:name w:val="超链接1"/>
    <w:uiPriority w:val="0"/>
    <w:qFormat/>
    <w:rPr>
      <w:color w:val="0000ff"/>
      <w:u w:val="single"/>
    </w:rPr>
  </w:style>
  <w:style w:type="character" w:styleId="854" w:customStyle="1">
    <w:name w:val="页脚 字符"/>
    <w:link w:val="855"/>
    <w:uiPriority w:val="0"/>
    <w:qFormat/>
  </w:style>
  <w:style w:type="paragraph" w:styleId="855" w:customStyle="1">
    <w:name w:val="页脚11"/>
    <w:basedOn w:val="843"/>
    <w:link w:val="854"/>
    <w:uiPriority w:val="0"/>
    <w:qFormat/>
    <w:pPr>
      <w:tabs>
        <w:tab w:val="center" w:pos="7143" w:leader="none"/>
        <w:tab w:val="right" w:pos="14287" w:leader="none"/>
      </w:tabs>
    </w:pPr>
  </w:style>
  <w:style w:type="character" w:styleId="856" w:customStyle="1">
    <w:name w:val="Subtitle Char"/>
    <w:basedOn w:val="729"/>
    <w:uiPriority w:val="11"/>
    <w:qFormat/>
    <w:rPr>
      <w:sz w:val="24"/>
      <w:szCs w:val="24"/>
    </w:rPr>
  </w:style>
  <w:style w:type="character" w:styleId="857" w:customStyle="1">
    <w:name w:val="Heading 6 Char"/>
    <w:basedOn w:val="729"/>
    <w:uiPriority w:val="9"/>
    <w:qFormat/>
    <w:rPr>
      <w:rFonts w:ascii="Arial" w:hAnsi="Arial" w:eastAsia="Arial" w:cs="Arial"/>
      <w:b/>
      <w:bCs/>
      <w:sz w:val="22"/>
      <w:szCs w:val="22"/>
    </w:rPr>
  </w:style>
  <w:style w:type="character" w:styleId="858" w:customStyle="1">
    <w:name w:val="标题 8 字符"/>
    <w:link w:val="859"/>
    <w:uiPriority w:val="0"/>
    <w:qFormat/>
    <w:rPr>
      <w:rFonts w:ascii="Arial" w:hAnsi="Arial" w:eastAsia="Arial"/>
      <w:i/>
      <w:iCs/>
      <w:sz w:val="22"/>
      <w:szCs w:val="22"/>
      <w:lang w:bidi="ar-SA"/>
    </w:rPr>
  </w:style>
  <w:style w:type="paragraph" w:styleId="859" w:customStyle="1">
    <w:name w:val="标题 81"/>
    <w:next w:val="843"/>
    <w:link w:val="858"/>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860" w:customStyle="1">
    <w:name w:val="Endnote Text Char"/>
    <w:uiPriority w:val="99"/>
    <w:qFormat/>
    <w:rPr>
      <w:sz w:val="20"/>
    </w:rPr>
  </w:style>
  <w:style w:type="character" w:styleId="861" w:customStyle="1">
    <w:name w:val="Intense Quote Char"/>
    <w:uiPriority w:val="30"/>
    <w:qFormat/>
    <w:rPr>
      <w:i/>
    </w:rPr>
  </w:style>
  <w:style w:type="character" w:styleId="862" w:customStyle="1">
    <w:name w:val="尾注文本 字符"/>
    <w:link w:val="863"/>
    <w:uiPriority w:val="0"/>
    <w:qFormat/>
    <w:rPr>
      <w:lang w:val="en-US" w:eastAsia="zh-CN" w:bidi="ar-SA"/>
    </w:rPr>
  </w:style>
  <w:style w:type="paragraph" w:styleId="863" w:customStyle="1">
    <w:name w:val="尾注文本1"/>
    <w:link w:val="862"/>
    <w:uiPriority w:val="0"/>
    <w:qFormat/>
    <w:rPr>
      <w:rFonts w:hint="default" w:ascii="Times New Roman" w:hAnsi="Times New Roman" w:eastAsia="宋体" w:cs="Times New Roman"/>
      <w:lang w:val="en-US" w:eastAsia="zh-CN" w:bidi="ar-SA"/>
    </w:rPr>
  </w:style>
  <w:style w:type="character" w:styleId="864" w:customStyle="1">
    <w:name w:val="Caption Char"/>
    <w:uiPriority w:val="0"/>
    <w:qFormat/>
  </w:style>
  <w:style w:type="character" w:styleId="865" w:customStyle="1">
    <w:name w:val="引用 字符"/>
    <w:link w:val="866"/>
    <w:uiPriority w:val="0"/>
    <w:qFormat/>
    <w:rPr>
      <w:i/>
      <w:lang w:val="en-US" w:eastAsia="zh-CN" w:bidi="ar-SA"/>
    </w:rPr>
  </w:style>
  <w:style w:type="paragraph" w:styleId="866" w:customStyle="1">
    <w:name w:val="引用1"/>
    <w:link w:val="865"/>
    <w:uiPriority w:val="0"/>
    <w:qFormat/>
    <w:pPr>
      <w:ind w:left="720" w:right="720"/>
    </w:pPr>
    <w:rPr>
      <w:rFonts w:hint="default" w:ascii="Times New Roman" w:hAnsi="Times New Roman" w:eastAsia="宋体" w:cs="Times New Roman"/>
      <w:i/>
      <w:lang w:val="en-US" w:eastAsia="zh-CN" w:bidi="ar-SA"/>
    </w:rPr>
  </w:style>
  <w:style w:type="character" w:styleId="867" w:customStyle="1">
    <w:name w:val="脚注文本 字符"/>
    <w:link w:val="868"/>
    <w:uiPriority w:val="0"/>
    <w:qFormat/>
    <w:rPr>
      <w:sz w:val="18"/>
      <w:lang w:bidi="ar-SA"/>
    </w:rPr>
  </w:style>
  <w:style w:type="paragraph" w:styleId="868" w:customStyle="1">
    <w:name w:val="脚注文本11"/>
    <w:link w:val="867"/>
    <w:uiPriority w:val="0"/>
    <w:qFormat/>
    <w:pPr>
      <w:spacing w:after="40"/>
    </w:pPr>
    <w:rPr>
      <w:rFonts w:hint="default" w:ascii="Times New Roman" w:hAnsi="Times New Roman" w:eastAsia="宋体" w:cs="Times New Roman"/>
      <w:sz w:val="18"/>
      <w:lang w:val="en-US" w:eastAsia="zh-CN" w:bidi="ar-SA"/>
    </w:rPr>
  </w:style>
  <w:style w:type="character" w:styleId="869" w:customStyle="1">
    <w:name w:val="标题 5 字符"/>
    <w:link w:val="870"/>
    <w:uiPriority w:val="0"/>
    <w:qFormat/>
    <w:rPr>
      <w:rFonts w:ascii="Arial" w:hAnsi="Arial" w:eastAsia="Arial"/>
      <w:b/>
      <w:bCs/>
      <w:sz w:val="24"/>
      <w:szCs w:val="24"/>
      <w:lang w:bidi="ar-SA"/>
    </w:rPr>
  </w:style>
  <w:style w:type="paragraph" w:styleId="870" w:customStyle="1">
    <w:name w:val="标题 51"/>
    <w:next w:val="843"/>
    <w:link w:val="869"/>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871" w:customStyle="1">
    <w:name w:val="页眉 字符"/>
    <w:link w:val="872"/>
    <w:uiPriority w:val="0"/>
    <w:qFormat/>
    <w:rPr>
      <w:lang w:val="en-US" w:eastAsia="zh-CN" w:bidi="ar-SA"/>
    </w:rPr>
  </w:style>
  <w:style w:type="paragraph" w:styleId="872" w:customStyle="1">
    <w:name w:val="页眉11"/>
    <w:link w:val="871"/>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73" w:customStyle="1">
    <w:name w:val="Heading 1 Char"/>
    <w:basedOn w:val="729"/>
    <w:uiPriority w:val="9"/>
    <w:qFormat/>
    <w:rPr>
      <w:rFonts w:ascii="Arial" w:hAnsi="Arial" w:eastAsia="Arial" w:cs="Arial"/>
      <w:sz w:val="40"/>
      <w:szCs w:val="40"/>
    </w:rPr>
  </w:style>
  <w:style w:type="character" w:styleId="874" w:customStyle="1">
    <w:name w:val="Heading 2 Char"/>
    <w:basedOn w:val="729"/>
    <w:uiPriority w:val="9"/>
    <w:qFormat/>
    <w:rPr>
      <w:rFonts w:ascii="Arial" w:hAnsi="Arial" w:eastAsia="Arial" w:cs="Arial"/>
      <w:sz w:val="34"/>
    </w:rPr>
  </w:style>
  <w:style w:type="character" w:styleId="875" w:customStyle="1">
    <w:name w:val="Quote Char"/>
    <w:uiPriority w:val="29"/>
    <w:qFormat/>
    <w:rPr>
      <w:i/>
    </w:rPr>
  </w:style>
  <w:style w:type="character" w:styleId="876" w:customStyle="1">
    <w:name w:val="Heading 4 Char"/>
    <w:basedOn w:val="729"/>
    <w:uiPriority w:val="9"/>
    <w:qFormat/>
    <w:rPr>
      <w:rFonts w:ascii="Arial" w:hAnsi="Arial" w:eastAsia="Arial" w:cs="Arial"/>
      <w:b/>
      <w:bCs/>
      <w:sz w:val="26"/>
      <w:szCs w:val="26"/>
    </w:rPr>
  </w:style>
  <w:style w:type="character" w:styleId="877" w:customStyle="1">
    <w:name w:val="Heading 7 Char"/>
    <w:basedOn w:val="729"/>
    <w:uiPriority w:val="9"/>
    <w:qFormat/>
    <w:rPr>
      <w:rFonts w:ascii="Arial" w:hAnsi="Arial" w:eastAsia="Arial" w:cs="Arial"/>
      <w:b/>
      <w:bCs/>
      <w:i/>
      <w:iCs/>
      <w:sz w:val="22"/>
      <w:szCs w:val="22"/>
    </w:rPr>
  </w:style>
  <w:style w:type="character" w:styleId="878" w:customStyle="1">
    <w:name w:val="Title Char"/>
    <w:basedOn w:val="729"/>
    <w:uiPriority w:val="10"/>
    <w:qFormat/>
    <w:rPr>
      <w:sz w:val="48"/>
      <w:szCs w:val="48"/>
    </w:rPr>
  </w:style>
  <w:style w:type="character" w:styleId="879" w:customStyle="1">
    <w:name w:val="标题 2 字符"/>
    <w:link w:val="880"/>
    <w:uiPriority w:val="0"/>
    <w:qFormat/>
    <w:rPr>
      <w:rFonts w:ascii="Arial" w:hAnsi="Arial" w:eastAsia="Arial"/>
      <w:sz w:val="34"/>
    </w:rPr>
  </w:style>
  <w:style w:type="paragraph" w:styleId="880" w:customStyle="1">
    <w:name w:val="标题 21"/>
    <w:basedOn w:val="843"/>
    <w:next w:val="848"/>
    <w:link w:val="879"/>
    <w:uiPriority w:val="0"/>
    <w:qFormat/>
    <w:pPr>
      <w:keepLines/>
      <w:keepNext/>
      <w:spacing w:before="360" w:after="200"/>
      <w:outlineLvl w:val="1"/>
    </w:pPr>
    <w:rPr>
      <w:rFonts w:ascii="Arial" w:hAnsi="Arial" w:eastAsia="Arial"/>
      <w:sz w:val="34"/>
    </w:rPr>
  </w:style>
  <w:style w:type="character" w:styleId="881" w:customStyle="1">
    <w:name w:val="标题 9 字符"/>
    <w:link w:val="882"/>
    <w:uiPriority w:val="0"/>
    <w:qFormat/>
    <w:rPr>
      <w:rFonts w:ascii="Arial" w:hAnsi="Arial" w:eastAsia="Arial"/>
      <w:i/>
      <w:iCs/>
      <w:sz w:val="21"/>
      <w:szCs w:val="21"/>
      <w:lang w:bidi="ar-SA"/>
    </w:rPr>
  </w:style>
  <w:style w:type="paragraph" w:styleId="882" w:customStyle="1">
    <w:name w:val="标题 91"/>
    <w:next w:val="843"/>
    <w:link w:val="881"/>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83" w:customStyle="1">
    <w:name w:val="尾注引用1"/>
    <w:uiPriority w:val="0"/>
    <w:qFormat/>
    <w:rPr>
      <w:vertAlign w:val="superscript"/>
    </w:rPr>
  </w:style>
  <w:style w:type="character" w:styleId="884" w:customStyle="1">
    <w:name w:val="标题 字符"/>
    <w:link w:val="885"/>
    <w:uiPriority w:val="0"/>
    <w:qFormat/>
    <w:rPr>
      <w:sz w:val="48"/>
      <w:szCs w:val="48"/>
      <w:lang w:bidi="ar-SA"/>
    </w:rPr>
  </w:style>
  <w:style w:type="paragraph" w:styleId="885" w:customStyle="1">
    <w:name w:val="标题11"/>
    <w:link w:val="884"/>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86" w:customStyle="1">
    <w:name w:val="标题 4 字符"/>
    <w:link w:val="887"/>
    <w:uiPriority w:val="0"/>
    <w:qFormat/>
    <w:rPr>
      <w:rFonts w:ascii="Arial" w:hAnsi="Arial" w:eastAsia="Arial"/>
      <w:b/>
      <w:bCs/>
      <w:sz w:val="26"/>
      <w:szCs w:val="26"/>
    </w:rPr>
  </w:style>
  <w:style w:type="paragraph" w:styleId="887" w:customStyle="1">
    <w:name w:val="标题 411"/>
    <w:basedOn w:val="843"/>
    <w:next w:val="843"/>
    <w:link w:val="886"/>
    <w:uiPriority w:val="0"/>
    <w:qFormat/>
    <w:pPr>
      <w:keepLines/>
      <w:keepNext/>
      <w:spacing w:before="320" w:after="200"/>
      <w:outlineLvl w:val="3"/>
    </w:pPr>
    <w:rPr>
      <w:rFonts w:ascii="Arial" w:hAnsi="Arial" w:eastAsia="Arial"/>
      <w:b/>
      <w:bCs/>
      <w:sz w:val="26"/>
      <w:szCs w:val="26"/>
    </w:rPr>
  </w:style>
  <w:style w:type="character" w:styleId="888" w:customStyle="1">
    <w:name w:val="明显引用 Char"/>
    <w:link w:val="889"/>
    <w:uiPriority w:val="30"/>
    <w:qFormat/>
    <w:rPr>
      <w:i/>
    </w:rPr>
  </w:style>
  <w:style w:type="paragraph" w:styleId="889">
    <w:name w:val="Intense Quote"/>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0" w:customStyle="1">
    <w:name w:val="Footnote Text Char"/>
    <w:uiPriority w:val="99"/>
    <w:qFormat/>
    <w:rPr>
      <w:sz w:val="18"/>
    </w:rPr>
  </w:style>
  <w:style w:type="character" w:styleId="891" w:customStyle="1">
    <w:name w:val="标题 6 字符"/>
    <w:link w:val="892"/>
    <w:uiPriority w:val="0"/>
    <w:qFormat/>
    <w:rPr>
      <w:rFonts w:ascii="Arial" w:hAnsi="Arial" w:eastAsia="Arial"/>
      <w:b/>
      <w:bCs/>
      <w:sz w:val="22"/>
      <w:szCs w:val="22"/>
      <w:lang w:bidi="ar-SA"/>
    </w:rPr>
  </w:style>
  <w:style w:type="paragraph" w:styleId="892" w:customStyle="1">
    <w:name w:val="标题 61"/>
    <w:next w:val="843"/>
    <w:link w:val="891"/>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character" w:styleId="893" w:customStyle="1">
    <w:name w:val="Heading 3 Char"/>
    <w:basedOn w:val="729"/>
    <w:uiPriority w:val="9"/>
    <w:qFormat/>
    <w:rPr>
      <w:rFonts w:ascii="Arial" w:hAnsi="Arial" w:eastAsia="Arial" w:cs="Arial"/>
      <w:sz w:val="30"/>
      <w:szCs w:val="30"/>
    </w:rPr>
  </w:style>
  <w:style w:type="character" w:styleId="894" w:customStyle="1">
    <w:name w:val="脚注引用1"/>
    <w:uiPriority w:val="0"/>
    <w:qFormat/>
    <w:rPr>
      <w:vertAlign w:val="superscript"/>
    </w:rPr>
  </w:style>
  <w:style w:type="character" w:styleId="895" w:customStyle="1">
    <w:name w:val="Footer Char"/>
    <w:basedOn w:val="729"/>
    <w:uiPriority w:val="99"/>
    <w:qFormat/>
  </w:style>
  <w:style w:type="character" w:styleId="896" w:customStyle="1">
    <w:name w:val="Header Char"/>
    <w:basedOn w:val="729"/>
    <w:uiPriority w:val="99"/>
    <w:qFormat/>
  </w:style>
  <w:style w:type="character" w:styleId="897" w:customStyle="1">
    <w:name w:val="Heading 8 Char"/>
    <w:basedOn w:val="729"/>
    <w:uiPriority w:val="9"/>
    <w:qFormat/>
    <w:rPr>
      <w:rFonts w:ascii="Arial" w:hAnsi="Arial" w:eastAsia="Arial" w:cs="Arial"/>
      <w:i/>
      <w:iCs/>
      <w:sz w:val="22"/>
      <w:szCs w:val="22"/>
    </w:rPr>
  </w:style>
  <w:style w:type="character" w:styleId="898" w:customStyle="1">
    <w:name w:val="Heading 5 Char"/>
    <w:basedOn w:val="729"/>
    <w:uiPriority w:val="9"/>
    <w:qFormat/>
    <w:rPr>
      <w:rFonts w:ascii="Arial" w:hAnsi="Arial" w:eastAsia="Arial" w:cs="Arial"/>
      <w:b/>
      <w:bCs/>
      <w:sz w:val="24"/>
      <w:szCs w:val="24"/>
    </w:rPr>
  </w:style>
  <w:style w:type="character" w:styleId="899" w:customStyle="1">
    <w:name w:val="Heading 9 Char"/>
    <w:basedOn w:val="729"/>
    <w:uiPriority w:val="9"/>
    <w:qFormat/>
    <w:rPr>
      <w:rFonts w:ascii="Arial" w:hAnsi="Arial" w:eastAsia="Arial" w:cs="Arial"/>
      <w:i/>
      <w:iCs/>
      <w:sz w:val="21"/>
      <w:szCs w:val="21"/>
    </w:rPr>
  </w:style>
  <w:style w:type="character" w:styleId="900" w:customStyle="1">
    <w:name w:val="副标题 字符"/>
    <w:link w:val="901"/>
    <w:uiPriority w:val="0"/>
    <w:qFormat/>
    <w:rPr>
      <w:sz w:val="24"/>
      <w:szCs w:val="24"/>
      <w:lang w:bidi="ar-SA"/>
    </w:rPr>
  </w:style>
  <w:style w:type="paragraph" w:styleId="901" w:customStyle="1">
    <w:name w:val="副标题1"/>
    <w:link w:val="900"/>
    <w:uiPriority w:val="0"/>
    <w:qFormat/>
    <w:pPr>
      <w:spacing w:before="200" w:after="200"/>
    </w:pPr>
    <w:rPr>
      <w:rFonts w:hint="default" w:ascii="Times New Roman" w:hAnsi="Times New Roman" w:eastAsia="宋体" w:cs="Times New Roman"/>
      <w:sz w:val="24"/>
      <w:szCs w:val="24"/>
      <w:lang w:val="en-US" w:eastAsia="zh-CN" w:bidi="ar-SA"/>
    </w:rPr>
  </w:style>
  <w:style w:type="character" w:styleId="902" w:customStyle="1">
    <w:name w:val="引用 Char"/>
    <w:link w:val="903"/>
    <w:uiPriority w:val="29"/>
    <w:qFormat/>
    <w:rPr>
      <w:i/>
    </w:rPr>
  </w:style>
  <w:style w:type="paragraph" w:styleId="903">
    <w:name w:val="Quote"/>
    <w:link w:val="902"/>
    <w:uiPriority w:val="29"/>
    <w:qFormat/>
    <w:pPr>
      <w:ind w:left="720" w:right="720"/>
    </w:pPr>
    <w:rPr>
      <w:rFonts w:hint="default" w:ascii="Times New Roman" w:hAnsi="Times New Roman" w:eastAsia="宋体" w:cs="Times New Roman"/>
      <w:i/>
      <w:lang w:val="en-US" w:eastAsia="zh-CN" w:bidi="ar-SA"/>
    </w:rPr>
  </w:style>
  <w:style w:type="character" w:styleId="904" w:customStyle="1">
    <w:name w:val="默认段落字体11"/>
    <w:uiPriority w:val="0"/>
    <w:qFormat/>
  </w:style>
  <w:style w:type="character" w:styleId="905" w:customStyle="1">
    <w:name w:val="明显引用 字符"/>
    <w:link w:val="906"/>
    <w:uiPriority w:val="0"/>
    <w:qFormat/>
    <w:rPr>
      <w:i/>
      <w:shd w:val="clear" w:color="auto" w:fill="f2f2f2"/>
      <w:lang w:val="en-US" w:eastAsia="zh-CN" w:bidi="ar-SA"/>
    </w:rPr>
  </w:style>
  <w:style w:type="paragraph" w:styleId="906" w:customStyle="1">
    <w:name w:val="明显引用1"/>
    <w:link w:val="90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7" w:customStyle="1">
    <w:name w:val="标题 3 字符"/>
    <w:link w:val="823"/>
    <w:uiPriority w:val="0"/>
    <w:qFormat/>
    <w:rPr>
      <w:rFonts w:ascii="Arial" w:hAnsi="Arial" w:eastAsia="Arial"/>
      <w:sz w:val="30"/>
      <w:szCs w:val="30"/>
      <w:lang w:bidi="ar-SA"/>
    </w:rPr>
  </w:style>
  <w:style w:type="character" w:styleId="908" w:customStyle="1">
    <w:name w:val="标题 2 Char"/>
    <w:uiPriority w:val="0"/>
    <w:qFormat/>
    <w:rPr>
      <w:rFonts w:ascii="Cambria" w:hAnsi="Cambria" w:eastAsia="宋体"/>
      <w:b/>
      <w:bCs/>
      <w:sz w:val="28"/>
      <w:szCs w:val="32"/>
    </w:rPr>
  </w:style>
  <w:style w:type="paragraph" w:styleId="909" w:customStyle="1">
    <w:name w:val="日期1"/>
    <w:basedOn w:val="734"/>
    <w:next w:val="734"/>
    <w:uiPriority w:val="0"/>
    <w:qFormat/>
    <w:rPr>
      <w:rFonts w:eastAsia="仿宋_GB2312"/>
      <w:sz w:val="28"/>
      <w:szCs w:val="20"/>
    </w:rPr>
  </w:style>
  <w:style w:type="paragraph" w:styleId="910" w:customStyle="1">
    <w:name w:val="p0"/>
    <w:basedOn w:val="734"/>
    <w:uiPriority w:val="0"/>
    <w:qFormat/>
    <w:pPr>
      <w:widowControl/>
    </w:pPr>
    <w:rPr>
      <w:szCs w:val="21"/>
    </w:rPr>
  </w:style>
  <w:style w:type="paragraph" w:styleId="911" w:customStyle="1">
    <w:name w:val="正文1121"/>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标题 41"/>
    <w:basedOn w:val="913"/>
    <w:next w:val="911"/>
    <w:uiPriority w:val="0"/>
    <w:qFormat/>
    <w:pPr>
      <w:keepLines/>
      <w:keepNext/>
      <w:spacing w:before="280" w:after="290" w:line="376" w:lineRule="auto"/>
      <w:outlineLvl w:val="3"/>
    </w:pPr>
    <w:rPr>
      <w:rFonts w:ascii="Cambria" w:hAnsi="Cambria"/>
      <w:b/>
      <w:bCs/>
      <w:sz w:val="28"/>
      <w:szCs w:val="28"/>
    </w:rPr>
  </w:style>
  <w:style w:type="paragraph" w:styleId="913" w:customStyle="1">
    <w:name w:val="正文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01、普通正文"/>
    <w:basedOn w:val="719"/>
    <w:next w:val="794"/>
    <w:uiPriority w:val="0"/>
    <w:qFormat/>
    <w:pPr>
      <w:tabs>
        <w:tab w:val="left" w:pos="0" w:leader="none"/>
      </w:tabs>
    </w:pPr>
  </w:style>
  <w:style w:type="paragraph" w:styleId="915" w:customStyle="1">
    <w:name w:val="目录 21"/>
    <w:next w:val="843"/>
    <w:uiPriority w:val="0"/>
    <w:qFormat/>
    <w:pPr>
      <w:ind w:left="283"/>
      <w:spacing w:after="57"/>
    </w:pPr>
    <w:rPr>
      <w:rFonts w:hint="default" w:ascii="Times New Roman" w:hAnsi="Times New Roman" w:eastAsia="宋体" w:cs="Times New Roman"/>
      <w:lang w:val="en-US" w:eastAsia="zh-CN" w:bidi="ar-SA"/>
    </w:rPr>
  </w:style>
  <w:style w:type="paragraph" w:styleId="916">
    <w:name w:val="List Paragraph"/>
    <w:basedOn w:val="719"/>
    <w:uiPriority w:val="34"/>
    <w:qFormat/>
    <w:pPr>
      <w:contextualSpacing/>
      <w:ind w:left="720"/>
    </w:pPr>
  </w:style>
  <w:style w:type="paragraph" w:styleId="917" w:customStyle="1">
    <w:name w:val="Default"/>
    <w:next w:val="799"/>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18" w:customStyle="1">
    <w:name w:val="UserStyle_1"/>
    <w:uiPriority w:val="0"/>
    <w:qFormat/>
    <w:pPr>
      <w:spacing w:line="300" w:lineRule="auto"/>
    </w:pPr>
    <w:rPr>
      <w:rFonts w:hint="default" w:ascii="Arial" w:hAnsi="Arial" w:eastAsia="宋体" w:cs="Times New Roman"/>
      <w:sz w:val="21"/>
      <w:szCs w:val="21"/>
      <w:lang w:val="en-US" w:eastAsia="zh-CN" w:bidi="ar-SA"/>
    </w:rPr>
  </w:style>
  <w:style w:type="paragraph" w:styleId="919" w:customStyle="1">
    <w:name w:val="UserStyle_0"/>
    <w:basedOn w:val="719"/>
    <w:next w:val="918"/>
    <w:uiPriority w:val="0"/>
    <w:qFormat/>
    <w:pPr>
      <w:numPr>
        <w:ilvl w:val="4"/>
        <w:numId w:val="11"/>
      </w:numPr>
      <w:keepLines/>
      <w:keepNext/>
      <w:spacing w:before="280" w:after="156" w:line="377" w:lineRule="auto"/>
    </w:pPr>
    <w:rPr>
      <w:rFonts w:ascii="Arial" w:hAnsi="Arial" w:eastAsia="黑体"/>
      <w:b/>
      <w:sz w:val="24"/>
      <w:szCs w:val="28"/>
    </w:rPr>
  </w:style>
  <w:style w:type="paragraph" w:styleId="920" w:customStyle="1">
    <w:name w:val="列出段落1"/>
    <w:basedOn w:val="719"/>
    <w:uiPriority w:val="34"/>
    <w:qFormat/>
    <w:pPr>
      <w:ind w:firstLine="420"/>
    </w:pPr>
  </w:style>
  <w:style w:type="paragraph" w:styleId="921" w:customStyle="1">
    <w:name w:val="目录 91"/>
    <w:next w:val="843"/>
    <w:uiPriority w:val="0"/>
    <w:qFormat/>
    <w:pPr>
      <w:ind w:left="2268"/>
      <w:spacing w:after="57"/>
    </w:pPr>
    <w:rPr>
      <w:rFonts w:hint="default" w:ascii="Times New Roman" w:hAnsi="Times New Roman" w:eastAsia="宋体" w:cs="Times New Roman"/>
      <w:lang w:val="en-US" w:eastAsia="zh-CN" w:bidi="ar-SA"/>
    </w:rPr>
  </w:style>
  <w:style w:type="paragraph" w:styleId="922" w:customStyle="1">
    <w:name w:val="目录 41"/>
    <w:next w:val="843"/>
    <w:uiPriority w:val="0"/>
    <w:qFormat/>
    <w:pPr>
      <w:ind w:left="850"/>
      <w:spacing w:after="57"/>
    </w:pPr>
    <w:rPr>
      <w:rFonts w:hint="default" w:ascii="Times New Roman" w:hAnsi="Times New Roman" w:eastAsia="宋体" w:cs="Times New Roman"/>
      <w:lang w:val="en-US" w:eastAsia="zh-CN" w:bidi="ar-SA"/>
    </w:rPr>
  </w:style>
  <w:style w:type="paragraph" w:styleId="923" w:customStyle="1">
    <w:name w:val="TOC 标题1"/>
    <w:uiPriority w:val="39"/>
    <w:unhideWhenUsed/>
    <w:qFormat/>
    <w:rPr>
      <w:rFonts w:hint="default" w:ascii="Times New Roman" w:hAnsi="Times New Roman" w:eastAsia="宋体" w:cs="Times New Roman"/>
      <w:lang w:val="en-US" w:eastAsia="zh-CN" w:bidi="ar-SA"/>
    </w:rPr>
  </w:style>
  <w:style w:type="paragraph" w:styleId="924" w:customStyle="1">
    <w:name w:val="目录 71"/>
    <w:next w:val="843"/>
    <w:uiPriority w:val="0"/>
    <w:qFormat/>
    <w:pPr>
      <w:ind w:left="1701"/>
      <w:spacing w:after="57"/>
    </w:pPr>
    <w:rPr>
      <w:rFonts w:hint="default" w:ascii="Times New Roman" w:hAnsi="Times New Roman" w:eastAsia="宋体" w:cs="Times New Roman"/>
      <w:lang w:val="en-US" w:eastAsia="zh-CN" w:bidi="ar-SA"/>
    </w:rPr>
  </w:style>
  <w:style w:type="paragraph" w:styleId="925" w:customStyle="1">
    <w:name w:val="纯文本1"/>
    <w:basedOn w:val="734"/>
    <w:uiPriority w:val="0"/>
    <w:qFormat/>
    <w:rPr>
      <w:rFonts w:ascii="宋体" w:hAnsi="Courier New"/>
      <w:sz w:val="20"/>
      <w:szCs w:val="20"/>
    </w:rPr>
  </w:style>
  <w:style w:type="paragraph" w:styleId="926" w:customStyle="1">
    <w:name w:val="页脚1"/>
    <w:basedOn w:val="734"/>
    <w:uiPriority w:val="0"/>
    <w:qFormat/>
    <w:pPr>
      <w:jc w:val="left"/>
      <w:tabs>
        <w:tab w:val="center" w:pos="4153" w:leader="none"/>
        <w:tab w:val="right" w:pos="8306" w:leader="none"/>
      </w:tabs>
    </w:pPr>
    <w:rPr>
      <w:sz w:val="18"/>
      <w:szCs w:val="18"/>
    </w:rPr>
  </w:style>
  <w:style w:type="paragraph" w:styleId="927" w:customStyle="1">
    <w:name w:val="正文文本11"/>
    <w:basedOn w:val="843"/>
    <w:next w:val="732"/>
    <w:uiPriority w:val="0"/>
    <w:qFormat/>
    <w:pPr>
      <w:spacing w:after="120"/>
    </w:pPr>
  </w:style>
  <w:style w:type="paragraph" w:styleId="928" w:customStyle="1">
    <w:name w:val="文本块1"/>
    <w:basedOn w:val="734"/>
    <w:uiPriority w:val="0"/>
    <w:qFormat/>
    <w:pPr>
      <w:ind w:left="1440" w:right="1440"/>
      <w:spacing w:after="120"/>
    </w:pPr>
  </w:style>
  <w:style w:type="paragraph" w:styleId="929" w:customStyle="1">
    <w:name w:val="样式 首行缩进:  2 字符"/>
    <w:basedOn w:val="843"/>
    <w:uiPriority w:val="0"/>
    <w:qFormat/>
    <w:pPr>
      <w:ind w:firstLine="200"/>
      <w:spacing w:line="400" w:lineRule="exact"/>
    </w:pPr>
    <w:rPr>
      <w:rFonts w:ascii="Calibri" w:hAnsi="Calibri"/>
      <w:sz w:val="24"/>
      <w:szCs w:val="24"/>
    </w:rPr>
  </w:style>
  <w:style w:type="paragraph" w:styleId="930" w:customStyle="1">
    <w:name w:val="索引 51"/>
    <w:basedOn w:val="734"/>
    <w:next w:val="734"/>
    <w:uiPriority w:val="0"/>
    <w:qFormat/>
    <w:pPr>
      <w:ind w:left="798"/>
      <w:jc w:val="left"/>
    </w:pPr>
    <w:rPr>
      <w:rFonts w:ascii="Calibri" w:hAnsi="Calibri"/>
    </w:rPr>
  </w:style>
  <w:style w:type="paragraph" w:styleId="931" w:customStyle="1">
    <w:name w:val="_Style 8"/>
    <w:basedOn w:val="719"/>
    <w:uiPriority w:val="0"/>
    <w:qFormat/>
    <w:pPr>
      <w:ind w:firstLine="420"/>
    </w:pPr>
    <w:rPr>
      <w:rFonts w:ascii="Calibri" w:hAnsi="Calibri"/>
    </w:rPr>
  </w:style>
  <w:style w:type="paragraph" w:styleId="932" w:customStyle="1">
    <w:name w:val="Table Paragraph"/>
    <w:basedOn w:val="843"/>
    <w:uiPriority w:val="0"/>
    <w:qFormat/>
    <w:rPr>
      <w:rFonts w:ascii="仿宋" w:hAnsi="仿宋" w:eastAsia="仿宋"/>
      <w:sz w:val="22"/>
      <w:szCs w:val="22"/>
      <w:lang w:val="zh-CN" w:bidi="zh-CN"/>
    </w:rPr>
  </w:style>
  <w:style w:type="paragraph" w:styleId="933">
    <w:name w:val="No Spacing"/>
    <w:uiPriority w:val="1"/>
    <w:qFormat/>
    <w:rPr>
      <w:rFonts w:hint="default" w:ascii="Times New Roman" w:hAnsi="Times New Roman" w:eastAsia="宋体" w:cs="Times New Roman"/>
      <w:lang w:val="en-US" w:eastAsia="zh-CN" w:bidi="ar-SA"/>
    </w:rPr>
  </w:style>
  <w:style w:type="paragraph" w:styleId="934" w:customStyle="1">
    <w:name w:val="列表段落"/>
    <w:basedOn w:val="843"/>
    <w:uiPriority w:val="0"/>
    <w:qFormat/>
    <w:pPr>
      <w:ind w:firstLine="420"/>
    </w:pPr>
  </w:style>
  <w:style w:type="paragraph" w:styleId="935" w:customStyle="1">
    <w:name w:val="正文文本缩进11"/>
    <w:basedOn w:val="719"/>
    <w:uiPriority w:val="0"/>
    <w:qFormat/>
    <w:pPr>
      <w:ind w:left="420"/>
      <w:spacing w:after="120"/>
    </w:pPr>
  </w:style>
  <w:style w:type="paragraph" w:styleId="936" w:customStyle="1">
    <w:name w:val="目录 111"/>
    <w:next w:val="843"/>
    <w:uiPriority w:val="0"/>
    <w:qFormat/>
    <w:pPr>
      <w:spacing w:after="57"/>
    </w:pPr>
    <w:rPr>
      <w:rFonts w:hint="default" w:ascii="Times New Roman" w:hAnsi="Times New Roman" w:eastAsia="宋体" w:cs="Times New Roman"/>
      <w:lang w:val="en-US" w:eastAsia="zh-CN" w:bidi="ar-SA"/>
    </w:rPr>
  </w:style>
  <w:style w:type="paragraph" w:styleId="937" w:customStyle="1">
    <w:name w:val="题注1"/>
    <w:next w:val="843"/>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38" w:customStyle="1">
    <w:name w:val="目录 61"/>
    <w:next w:val="843"/>
    <w:uiPriority w:val="0"/>
    <w:qFormat/>
    <w:pPr>
      <w:ind w:left="1417"/>
      <w:spacing w:after="57"/>
    </w:pPr>
    <w:rPr>
      <w:rFonts w:hint="default" w:ascii="Times New Roman" w:hAnsi="Times New Roman" w:eastAsia="宋体" w:cs="Times New Roman"/>
      <w:lang w:val="en-US" w:eastAsia="zh-CN" w:bidi="ar-SA"/>
    </w:rPr>
  </w:style>
  <w:style w:type="paragraph" w:styleId="939" w:customStyle="1">
    <w:name w:val="样式1"/>
    <w:basedOn w:val="940"/>
    <w:uiPriority w:val="0"/>
    <w:qFormat/>
    <w:pPr>
      <w:jc w:val="left"/>
      <w:spacing w:before="0" w:after="0" w:line="360" w:lineRule="auto"/>
    </w:pPr>
    <w:rPr>
      <w:rFonts w:ascii="仿宋_GB2312" w:hAnsi="宋体" w:eastAsia="仿宋_GB2312"/>
      <w:sz w:val="28"/>
      <w:szCs w:val="28"/>
    </w:rPr>
  </w:style>
  <w:style w:type="paragraph" w:styleId="940" w:customStyle="1">
    <w:name w:val="标题1"/>
    <w:basedOn w:val="734"/>
    <w:next w:val="734"/>
    <w:uiPriority w:val="0"/>
    <w:qFormat/>
    <w:pPr>
      <w:jc w:val="center"/>
      <w:spacing w:before="240" w:after="60"/>
      <w:outlineLvl w:val="0"/>
    </w:pPr>
    <w:rPr>
      <w:rFonts w:ascii="Calibri Light" w:hAnsi="Calibri Light"/>
      <w:b/>
      <w:bCs/>
      <w:sz w:val="32"/>
      <w:szCs w:val="32"/>
    </w:rPr>
  </w:style>
  <w:style w:type="paragraph" w:styleId="941" w:customStyle="1">
    <w:name w:val="正文文本缩进 21"/>
    <w:basedOn w:val="843"/>
    <w:uiPriority w:val="0"/>
    <w:qFormat/>
    <w:pPr>
      <w:ind w:left="630" w:firstLine="645"/>
    </w:pPr>
    <w:rPr>
      <w:rFonts w:ascii="Arial" w:hAnsi="Arial" w:eastAsia="仿宋_GB2312"/>
      <w:sz w:val="32"/>
      <w:szCs w:val="32"/>
    </w:rPr>
  </w:style>
  <w:style w:type="paragraph" w:styleId="942" w:customStyle="1">
    <w:name w:val="目录 81"/>
    <w:next w:val="843"/>
    <w:uiPriority w:val="0"/>
    <w:qFormat/>
    <w:pPr>
      <w:ind w:left="1984"/>
      <w:spacing w:after="57"/>
    </w:pPr>
    <w:rPr>
      <w:rFonts w:hint="default" w:ascii="Times New Roman" w:hAnsi="Times New Roman" w:eastAsia="宋体" w:cs="Times New Roman"/>
      <w:lang w:val="en-US" w:eastAsia="zh-CN" w:bidi="ar-SA"/>
    </w:rPr>
  </w:style>
  <w:style w:type="paragraph" w:styleId="943" w:customStyle="1">
    <w:name w:val="首行缩进"/>
    <w:basedOn w:val="843"/>
    <w:uiPriority w:val="0"/>
    <w:qFormat/>
    <w:pPr>
      <w:ind w:firstLine="480"/>
      <w:spacing w:line="360" w:lineRule="auto"/>
    </w:pPr>
    <w:rPr>
      <w:rFonts w:ascii="宋体" w:hAnsi="宋体"/>
      <w:sz w:val="24"/>
    </w:rPr>
  </w:style>
  <w:style w:type="paragraph" w:styleId="944" w:customStyle="1">
    <w:name w:val="无间隔1"/>
    <w:uiPriority w:val="0"/>
    <w:qFormat/>
    <w:rPr>
      <w:rFonts w:hint="default" w:ascii="Times New Roman" w:hAnsi="Times New Roman" w:eastAsia="宋体" w:cs="Times New Roman"/>
      <w:lang w:val="en-US" w:eastAsia="zh-CN" w:bidi="ar-SA"/>
    </w:rPr>
  </w:style>
  <w:style w:type="paragraph" w:styleId="945" w:customStyle="1">
    <w:name w:val="纯文本11"/>
    <w:basedOn w:val="843"/>
    <w:uiPriority w:val="0"/>
    <w:qFormat/>
    <w:rPr>
      <w:rFonts w:ascii="宋体" w:hAnsi="Courier New"/>
      <w:sz w:val="21"/>
      <w:szCs w:val="21"/>
    </w:rPr>
  </w:style>
  <w:style w:type="paragraph" w:styleId="946"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947" w:customStyle="1">
    <w:name w:val="目录 31"/>
    <w:next w:val="843"/>
    <w:uiPriority w:val="0"/>
    <w:qFormat/>
    <w:pPr>
      <w:ind w:left="567"/>
      <w:spacing w:after="57"/>
    </w:pPr>
    <w:rPr>
      <w:rFonts w:hint="default" w:ascii="Times New Roman" w:hAnsi="Times New Roman" w:eastAsia="宋体" w:cs="Times New Roman"/>
      <w:lang w:val="en-US" w:eastAsia="zh-CN" w:bidi="ar-SA"/>
    </w:rPr>
  </w:style>
  <w:style w:type="paragraph" w:styleId="948" w:customStyle="1">
    <w:name w:val="TOC 标题11"/>
    <w:uiPriority w:val="0"/>
    <w:qFormat/>
    <w:rPr>
      <w:rFonts w:hint="default" w:ascii="Times New Roman" w:hAnsi="Times New Roman" w:eastAsia="宋体" w:cs="Times New Roman"/>
      <w:lang w:val="en-US" w:eastAsia="zh-CN" w:bidi="ar-SA"/>
    </w:rPr>
  </w:style>
  <w:style w:type="paragraph" w:styleId="949" w:customStyle="1">
    <w:name w:val="批注文字1"/>
    <w:basedOn w:val="843"/>
    <w:uiPriority w:val="0"/>
    <w:qFormat/>
  </w:style>
  <w:style w:type="paragraph" w:styleId="950" w:customStyle="1">
    <w:name w:val="03、“注：”正文(加粗，首行缩进2字符)"/>
    <w:basedOn w:val="914"/>
    <w:uiPriority w:val="0"/>
    <w:qFormat/>
    <w:pPr>
      <w:ind w:firstLine="480"/>
    </w:pPr>
    <w:rPr>
      <w:b/>
    </w:rPr>
  </w:style>
  <w:style w:type="paragraph" w:styleId="951" w:customStyle="1">
    <w:name w:val="目录 11"/>
    <w:basedOn w:val="734"/>
    <w:next w:val="734"/>
    <w:uiPriority w:val="0"/>
    <w:qFormat/>
  </w:style>
  <w:style w:type="paragraph" w:styleId="952" w:customStyle="1">
    <w:name w:val="目录 51"/>
    <w:next w:val="843"/>
    <w:uiPriority w:val="0"/>
    <w:qFormat/>
    <w:pPr>
      <w:ind w:left="1134"/>
      <w:spacing w:after="57"/>
    </w:pPr>
    <w:rPr>
      <w:rFonts w:hint="default" w:ascii="Times New Roman" w:hAnsi="Times New Roman" w:eastAsia="宋体" w:cs="Times New Roman"/>
      <w:lang w:val="en-US" w:eastAsia="zh-CN" w:bidi="ar-SA"/>
    </w:rPr>
  </w:style>
  <w:style w:type="paragraph" w:styleId="953" w:customStyle="1">
    <w:name w:val="图表目录1"/>
    <w:next w:val="843"/>
    <w:uiPriority w:val="0"/>
    <w:qFormat/>
    <w:rPr>
      <w:rFonts w:hint="default" w:ascii="Times New Roman" w:hAnsi="Times New Roman" w:eastAsia="宋体" w:cs="Times New Roman"/>
      <w:lang w:val="en-US" w:eastAsia="zh-CN" w:bidi="ar-SA"/>
    </w:rPr>
  </w:style>
  <w:style w:type="paragraph" w:styleId="954" w:customStyle="1">
    <w:name w:val="普通(网站)1"/>
    <w:basedOn w:val="734"/>
    <w:uiPriority w:val="0"/>
    <w:qFormat/>
    <w:pPr>
      <w:jc w:val="left"/>
      <w:spacing w:before="100" w:beforeAutospacing="1" w:after="100" w:afterAutospacing="1"/>
      <w:widowControl/>
    </w:pPr>
    <w:rPr>
      <w:rFonts w:ascii="宋体" w:hAnsi="宋体"/>
      <w:sz w:val="24"/>
    </w:rPr>
  </w:style>
  <w:style w:type="paragraph" w:styleId="955" w:customStyle="1">
    <w:name w:val="标题 11"/>
    <w:basedOn w:val="734"/>
    <w:next w:val="734"/>
    <w:uiPriority w:val="0"/>
    <w:qFormat/>
    <w:pPr>
      <w:jc w:val="center"/>
      <w:keepLines/>
      <w:keepNext/>
      <w:spacing w:line="578" w:lineRule="auto"/>
      <w:outlineLvl w:val="0"/>
    </w:pPr>
    <w:rPr>
      <w:rFonts w:eastAsia="新宋体"/>
      <w:b/>
      <w:bCs/>
      <w:sz w:val="30"/>
      <w:szCs w:val="44"/>
    </w:rPr>
  </w:style>
  <w:style w:type="paragraph" w:styleId="956" w:customStyle="1">
    <w:name w:val="脚注文本1"/>
    <w:basedOn w:val="734"/>
    <w:next w:val="930"/>
    <w:uiPriority w:val="0"/>
    <w:qFormat/>
    <w:pPr>
      <w:jc w:val="left"/>
    </w:pPr>
    <w:rPr>
      <w:rFonts w:ascii="宋体" w:eastAsia="Times New Roman"/>
      <w:sz w:val="18"/>
      <w:szCs w:val="18"/>
    </w:rPr>
  </w:style>
  <w:style w:type="paragraph" w:styleId="957" w:customStyle="1">
    <w:name w:val="WPSOffice手动目录 1"/>
    <w:uiPriority w:val="0"/>
    <w:qFormat/>
    <w:rPr>
      <w:rFonts w:hint="default" w:ascii="Arial" w:hAnsi="Arial" w:eastAsia="宋体" w:cs="Times New Roman"/>
      <w:lang w:val="en-US" w:eastAsia="zh-CN" w:bidi="ar-SA"/>
    </w:rPr>
  </w:style>
  <w:style w:type="paragraph" w:styleId="958" w:customStyle="1">
    <w:name w:val="BodyText1I"/>
    <w:basedOn w:val="959"/>
    <w:uiPriority w:val="99"/>
    <w:qFormat/>
    <w:pPr>
      <w:ind w:firstLine="420"/>
    </w:pPr>
  </w:style>
  <w:style w:type="paragraph" w:styleId="959" w:customStyle="1">
    <w:name w:val="BodyText"/>
    <w:basedOn w:val="719"/>
    <w:uiPriority w:val="99"/>
    <w:qFormat/>
    <w:pPr>
      <w:spacing w:after="120"/>
    </w:pPr>
  </w:style>
  <w:style w:type="table" w:styleId="960" w:customStyle="1">
    <w:name w:val="Bordered - Accent 2"/>
    <w:uiPriority w:val="0"/>
    <w:qFormat/>
    <w:tblPr>
      <w:tblCellMar>
        <w:left w:w="0" w:type="dxa"/>
        <w:top w:w="0" w:type="dxa"/>
        <w:right w:w="0" w:type="dxa"/>
        <w:bottom w:w="0" w:type="dxa"/>
      </w:tblCellMar>
    </w:tblPr>
  </w:style>
  <w:style w:type="table" w:styleId="961" w:customStyle="1">
    <w:name w:val="Grid Table 2 - Accent 6"/>
    <w:uiPriority w:val="0"/>
    <w:qFormat/>
    <w:tblPr>
      <w:tblCellMar>
        <w:left w:w="0" w:type="dxa"/>
        <w:top w:w="0" w:type="dxa"/>
        <w:right w:w="0" w:type="dxa"/>
        <w:bottom w:w="0" w:type="dxa"/>
      </w:tblCellMar>
    </w:tblPr>
  </w:style>
  <w:style w:type="table" w:styleId="962" w:customStyle="1">
    <w:name w:val="Bordered &amp; Lined - Accent 2"/>
    <w:uiPriority w:val="0"/>
    <w:qFormat/>
    <w:rPr>
      <w:color w:val="404040"/>
    </w:rPr>
    <w:tblPr>
      <w:tblCellMar>
        <w:left w:w="0" w:type="dxa"/>
        <w:top w:w="0" w:type="dxa"/>
        <w:right w:w="0" w:type="dxa"/>
        <w:bottom w:w="0" w:type="dxa"/>
      </w:tblCellMar>
    </w:tblPr>
  </w:style>
  <w:style w:type="table" w:styleId="963" w:customStyle="1">
    <w:name w:val="List Table 6 Colorful - Accent 4"/>
    <w:uiPriority w:val="0"/>
    <w:qFormat/>
    <w:tblPr>
      <w:tblCellMar>
        <w:left w:w="0" w:type="dxa"/>
        <w:top w:w="0" w:type="dxa"/>
        <w:right w:w="0" w:type="dxa"/>
        <w:bottom w:w="0" w:type="dxa"/>
      </w:tblCellMar>
    </w:tblPr>
  </w:style>
  <w:style w:type="table" w:styleId="964" w:customStyle="1">
    <w:name w:val="Grid Table 7 Colorful - Accent 6"/>
    <w:uiPriority w:val="0"/>
    <w:qFormat/>
    <w:tblPr>
      <w:tblCellMar>
        <w:left w:w="0" w:type="dxa"/>
        <w:top w:w="0" w:type="dxa"/>
        <w:right w:w="0" w:type="dxa"/>
        <w:bottom w:w="0" w:type="dxa"/>
      </w:tblCellMar>
    </w:tblPr>
  </w:style>
  <w:style w:type="table" w:styleId="965" w:customStyle="1">
    <w:name w:val="Grid Table 4 - Accent 3"/>
    <w:uiPriority w:val="0"/>
    <w:qFormat/>
    <w:tblPr>
      <w:tblCellMar>
        <w:left w:w="0" w:type="dxa"/>
        <w:top w:w="0" w:type="dxa"/>
        <w:right w:w="0" w:type="dxa"/>
        <w:bottom w:w="0" w:type="dxa"/>
      </w:tblCellMar>
    </w:tblPr>
  </w:style>
  <w:style w:type="table" w:styleId="966" w:customStyle="1">
    <w:name w:val="Grid Table 3 - Accent 2"/>
    <w:uiPriority w:val="0"/>
    <w:qFormat/>
    <w:tblPr>
      <w:tblCellMar>
        <w:left w:w="0" w:type="dxa"/>
        <w:top w:w="0" w:type="dxa"/>
        <w:right w:w="0" w:type="dxa"/>
        <w:bottom w:w="0" w:type="dxa"/>
      </w:tblCellMar>
    </w:tblPr>
  </w:style>
  <w:style w:type="table" w:styleId="967" w:customStyle="1">
    <w:name w:val="List Table 5 Dark"/>
    <w:uiPriority w:val="0"/>
    <w:qFormat/>
    <w:tblPr>
      <w:tblCellMar>
        <w:left w:w="0" w:type="dxa"/>
        <w:top w:w="0" w:type="dxa"/>
        <w:right w:w="0" w:type="dxa"/>
        <w:bottom w:w="0" w:type="dxa"/>
      </w:tblCellMar>
    </w:tblPr>
  </w:style>
  <w:style w:type="table" w:styleId="968" w:customStyle="1">
    <w:name w:val="Plain Table 1"/>
    <w:uiPriority w:val="0"/>
    <w:qFormat/>
    <w:tblPr>
      <w:tblCellMar>
        <w:left w:w="0" w:type="dxa"/>
        <w:top w:w="0" w:type="dxa"/>
        <w:right w:w="0" w:type="dxa"/>
        <w:bottom w:w="0" w:type="dxa"/>
      </w:tblCellMar>
    </w:tblPr>
  </w:style>
  <w:style w:type="table" w:styleId="969" w:customStyle="1">
    <w:name w:val="List Table 6 Colorful - Accent 2"/>
    <w:uiPriority w:val="0"/>
    <w:qFormat/>
    <w:tblPr>
      <w:tblCellMar>
        <w:left w:w="0" w:type="dxa"/>
        <w:top w:w="0" w:type="dxa"/>
        <w:right w:w="0" w:type="dxa"/>
        <w:bottom w:w="0" w:type="dxa"/>
      </w:tblCellMar>
    </w:tblPr>
  </w:style>
  <w:style w:type="table" w:styleId="970" w:customStyle="1">
    <w:name w:val="Bordered &amp; Lined - Accent 6"/>
    <w:uiPriority w:val="0"/>
    <w:qFormat/>
    <w:rPr>
      <w:color w:val="404040"/>
    </w:rPr>
    <w:tblPr>
      <w:tblCellMar>
        <w:left w:w="0" w:type="dxa"/>
        <w:top w:w="0" w:type="dxa"/>
        <w:right w:w="0" w:type="dxa"/>
        <w:bottom w:w="0" w:type="dxa"/>
      </w:tblCellMar>
    </w:tblPr>
  </w:style>
  <w:style w:type="table" w:styleId="971" w:customStyle="1">
    <w:name w:val="List Table 4 - Accent 3"/>
    <w:uiPriority w:val="0"/>
    <w:qFormat/>
    <w:tblPr>
      <w:tblCellMar>
        <w:left w:w="0" w:type="dxa"/>
        <w:top w:w="0" w:type="dxa"/>
        <w:right w:w="0" w:type="dxa"/>
        <w:bottom w:w="0" w:type="dxa"/>
      </w:tblCellMar>
    </w:tblPr>
  </w:style>
  <w:style w:type="table" w:styleId="972" w:customStyle="1">
    <w:name w:val="List Table 2 - Accent 1"/>
    <w:uiPriority w:val="0"/>
    <w:qFormat/>
    <w:tblPr>
      <w:tblCellMar>
        <w:left w:w="0" w:type="dxa"/>
        <w:top w:w="0" w:type="dxa"/>
        <w:right w:w="0" w:type="dxa"/>
        <w:bottom w:w="0" w:type="dxa"/>
      </w:tblCellMar>
    </w:tblPr>
  </w:style>
  <w:style w:type="table" w:styleId="973" w:customStyle="1">
    <w:name w:val="List Table 6 Colorful - Accent 1"/>
    <w:uiPriority w:val="0"/>
    <w:qFormat/>
    <w:tblPr>
      <w:tblCellMar>
        <w:left w:w="0" w:type="dxa"/>
        <w:top w:w="0" w:type="dxa"/>
        <w:right w:w="0" w:type="dxa"/>
        <w:bottom w:w="0" w:type="dxa"/>
      </w:tblCellMar>
    </w:tblPr>
  </w:style>
  <w:style w:type="table" w:styleId="974" w:customStyle="1">
    <w:name w:val="List Table 1 Light - Accent 5"/>
    <w:uiPriority w:val="0"/>
    <w:qFormat/>
    <w:tblPr>
      <w:tblCellMar>
        <w:left w:w="0" w:type="dxa"/>
        <w:top w:w="0" w:type="dxa"/>
        <w:right w:w="0" w:type="dxa"/>
        <w:bottom w:w="0" w:type="dxa"/>
      </w:tblCellMar>
    </w:tblPr>
  </w:style>
  <w:style w:type="table" w:styleId="975" w:customStyle="1">
    <w:name w:val="List Table 1 Light - Accent 4"/>
    <w:uiPriority w:val="0"/>
    <w:qFormat/>
    <w:tblPr>
      <w:tblCellMar>
        <w:left w:w="0" w:type="dxa"/>
        <w:top w:w="0" w:type="dxa"/>
        <w:right w:w="0" w:type="dxa"/>
        <w:bottom w:w="0" w:type="dxa"/>
      </w:tblCellMar>
    </w:tblPr>
  </w:style>
  <w:style w:type="table" w:styleId="976" w:customStyle="1">
    <w:name w:val="Grid Table 4 - Accent 1"/>
    <w:uiPriority w:val="0"/>
    <w:qFormat/>
    <w:tblPr>
      <w:tblCellMar>
        <w:left w:w="0" w:type="dxa"/>
        <w:top w:w="0" w:type="dxa"/>
        <w:right w:w="0" w:type="dxa"/>
        <w:bottom w:w="0" w:type="dxa"/>
      </w:tblCellMar>
    </w:tblPr>
  </w:style>
  <w:style w:type="table" w:styleId="977" w:customStyle="1">
    <w:name w:val="Grid Table 4"/>
    <w:uiPriority w:val="0"/>
    <w:qFormat/>
    <w:tblPr>
      <w:tblCellMar>
        <w:left w:w="0" w:type="dxa"/>
        <w:top w:w="0" w:type="dxa"/>
        <w:right w:w="0" w:type="dxa"/>
        <w:bottom w:w="0" w:type="dxa"/>
      </w:tblCellMar>
    </w:tblPr>
  </w:style>
  <w:style w:type="table" w:styleId="978" w:customStyle="1">
    <w:name w:val="Bordered &amp; Lined - Accent"/>
    <w:uiPriority w:val="0"/>
    <w:qFormat/>
    <w:rPr>
      <w:color w:val="404040"/>
    </w:rPr>
    <w:tblPr>
      <w:tblCellMar>
        <w:left w:w="0" w:type="dxa"/>
        <w:top w:w="0" w:type="dxa"/>
        <w:right w:w="0" w:type="dxa"/>
        <w:bottom w:w="0" w:type="dxa"/>
      </w:tblCellMar>
    </w:tblPr>
  </w:style>
  <w:style w:type="table" w:styleId="979" w:customStyle="1">
    <w:name w:val="List Table 4 - Accent 5"/>
    <w:uiPriority w:val="0"/>
    <w:qFormat/>
    <w:tblPr>
      <w:tblCellMar>
        <w:left w:w="0" w:type="dxa"/>
        <w:top w:w="0" w:type="dxa"/>
        <w:right w:w="0" w:type="dxa"/>
        <w:bottom w:w="0" w:type="dxa"/>
      </w:tblCellMar>
    </w:tblPr>
  </w:style>
  <w:style w:type="table" w:styleId="980" w:customStyle="1">
    <w:name w:val="Grid Table 7 Colorful - Accent 1"/>
    <w:uiPriority w:val="0"/>
    <w:qFormat/>
    <w:tblPr>
      <w:tblCellMar>
        <w:left w:w="0" w:type="dxa"/>
        <w:top w:w="0" w:type="dxa"/>
        <w:right w:w="0" w:type="dxa"/>
        <w:bottom w:w="0" w:type="dxa"/>
      </w:tblCellMar>
    </w:tblPr>
  </w:style>
  <w:style w:type="table" w:styleId="981" w:customStyle="1">
    <w:name w:val="Grid Table 2 - Accent 4"/>
    <w:uiPriority w:val="0"/>
    <w:qFormat/>
    <w:tblPr>
      <w:tblCellMar>
        <w:left w:w="0" w:type="dxa"/>
        <w:top w:w="0" w:type="dxa"/>
        <w:right w:w="0" w:type="dxa"/>
        <w:bottom w:w="0" w:type="dxa"/>
      </w:tblCellMar>
    </w:tblPr>
  </w:style>
  <w:style w:type="table" w:styleId="982" w:customStyle="1">
    <w:name w:val="Lined - Accent 6"/>
    <w:uiPriority w:val="0"/>
    <w:qFormat/>
    <w:rPr>
      <w:color w:val="404040"/>
    </w:rPr>
    <w:tblPr>
      <w:tblCellMar>
        <w:left w:w="0" w:type="dxa"/>
        <w:top w:w="0" w:type="dxa"/>
        <w:right w:w="0" w:type="dxa"/>
        <w:bottom w:w="0" w:type="dxa"/>
      </w:tblCellMar>
    </w:tblPr>
  </w:style>
  <w:style w:type="table" w:styleId="983" w:customStyle="1">
    <w:name w:val="Grid Table 6 Colorful - Accent 4"/>
    <w:uiPriority w:val="0"/>
    <w:qFormat/>
    <w:tblPr>
      <w:tblCellMar>
        <w:left w:w="0" w:type="dxa"/>
        <w:top w:w="0" w:type="dxa"/>
        <w:right w:w="0" w:type="dxa"/>
        <w:bottom w:w="0" w:type="dxa"/>
      </w:tblCellMar>
    </w:tblPr>
  </w:style>
  <w:style w:type="table" w:styleId="984" w:customStyle="1">
    <w:name w:val="Grid Table 2"/>
    <w:uiPriority w:val="0"/>
    <w:qFormat/>
    <w:tblPr>
      <w:tblCellMar>
        <w:left w:w="0" w:type="dxa"/>
        <w:top w:w="0" w:type="dxa"/>
        <w:right w:w="0" w:type="dxa"/>
        <w:bottom w:w="0" w:type="dxa"/>
      </w:tblCellMar>
    </w:tblPr>
  </w:style>
  <w:style w:type="table" w:styleId="985" w:customStyle="1">
    <w:name w:val="List Table 5 Dark - Accent 6"/>
    <w:uiPriority w:val="0"/>
    <w:qFormat/>
    <w:tblPr>
      <w:tblCellMar>
        <w:left w:w="0" w:type="dxa"/>
        <w:top w:w="0" w:type="dxa"/>
        <w:right w:w="0" w:type="dxa"/>
        <w:bottom w:w="0" w:type="dxa"/>
      </w:tblCellMar>
    </w:tblPr>
  </w:style>
  <w:style w:type="table" w:styleId="986" w:customStyle="1">
    <w:name w:val="List Table 1 Light - Accent 2"/>
    <w:uiPriority w:val="0"/>
    <w:qFormat/>
    <w:tblPr>
      <w:tblCellMar>
        <w:left w:w="0" w:type="dxa"/>
        <w:top w:w="0" w:type="dxa"/>
        <w:right w:w="0" w:type="dxa"/>
        <w:bottom w:w="0" w:type="dxa"/>
      </w:tblCellMar>
    </w:tblPr>
  </w:style>
  <w:style w:type="table" w:styleId="987" w:customStyle="1">
    <w:name w:val="Grid Table 3 - Accent 5"/>
    <w:uiPriority w:val="0"/>
    <w:qFormat/>
    <w:tblPr>
      <w:tblCellMar>
        <w:left w:w="0" w:type="dxa"/>
        <w:top w:w="0" w:type="dxa"/>
        <w:right w:w="0" w:type="dxa"/>
        <w:bottom w:w="0" w:type="dxa"/>
      </w:tblCellMar>
    </w:tblPr>
  </w:style>
  <w:style w:type="table" w:styleId="988" w:customStyle="1">
    <w:name w:val="List Table 2"/>
    <w:uiPriority w:val="0"/>
    <w:qFormat/>
    <w:tblPr>
      <w:tblCellMar>
        <w:left w:w="0" w:type="dxa"/>
        <w:top w:w="0" w:type="dxa"/>
        <w:right w:w="0" w:type="dxa"/>
        <w:bottom w:w="0" w:type="dxa"/>
      </w:tblCellMar>
    </w:tblPr>
  </w:style>
  <w:style w:type="table" w:styleId="989" w:customStyle="1">
    <w:name w:val="Grid Table 6 Colorful - Accent 6"/>
    <w:uiPriority w:val="0"/>
    <w:qFormat/>
    <w:tblPr>
      <w:tblCellMar>
        <w:left w:w="0" w:type="dxa"/>
        <w:top w:w="0" w:type="dxa"/>
        <w:right w:w="0" w:type="dxa"/>
        <w:bottom w:w="0" w:type="dxa"/>
      </w:tblCellMar>
    </w:tblPr>
  </w:style>
  <w:style w:type="table" w:styleId="990" w:customStyle="1">
    <w:name w:val="Grid Table 4 - Accent 4"/>
    <w:uiPriority w:val="0"/>
    <w:qFormat/>
    <w:tblPr>
      <w:tblCellMar>
        <w:left w:w="0" w:type="dxa"/>
        <w:top w:w="0" w:type="dxa"/>
        <w:right w:w="0" w:type="dxa"/>
        <w:bottom w:w="0" w:type="dxa"/>
      </w:tblCellMar>
    </w:tblPr>
  </w:style>
  <w:style w:type="table" w:styleId="991" w:customStyle="1">
    <w:name w:val="List Table 4 - Accent 1"/>
    <w:uiPriority w:val="0"/>
    <w:qFormat/>
    <w:tblPr>
      <w:tblCellMar>
        <w:left w:w="0" w:type="dxa"/>
        <w:top w:w="0" w:type="dxa"/>
        <w:right w:w="0" w:type="dxa"/>
        <w:bottom w:w="0" w:type="dxa"/>
      </w:tblCellMar>
    </w:tblPr>
  </w:style>
  <w:style w:type="table" w:styleId="992" w:customStyle="1">
    <w:name w:val="List Table 5 Dark - Accent 3"/>
    <w:uiPriority w:val="0"/>
    <w:qFormat/>
    <w:tblPr>
      <w:tblCellMar>
        <w:left w:w="0" w:type="dxa"/>
        <w:top w:w="0" w:type="dxa"/>
        <w:right w:w="0" w:type="dxa"/>
        <w:bottom w:w="0" w:type="dxa"/>
      </w:tblCellMar>
    </w:tblPr>
  </w:style>
  <w:style w:type="table" w:styleId="993" w:customStyle="1">
    <w:name w:val="Grid Table 7 Colorful - Accent 3"/>
    <w:uiPriority w:val="0"/>
    <w:qFormat/>
    <w:tblPr>
      <w:tblCellMar>
        <w:left w:w="0" w:type="dxa"/>
        <w:top w:w="0" w:type="dxa"/>
        <w:right w:w="0" w:type="dxa"/>
        <w:bottom w:w="0" w:type="dxa"/>
      </w:tblCellMar>
    </w:tblPr>
  </w:style>
  <w:style w:type="table" w:styleId="994" w:customStyle="1">
    <w:name w:val="Grid Table 2 - Accent 2"/>
    <w:uiPriority w:val="0"/>
    <w:qFormat/>
    <w:tblPr>
      <w:tblCellMar>
        <w:left w:w="0" w:type="dxa"/>
        <w:top w:w="0" w:type="dxa"/>
        <w:right w:w="0" w:type="dxa"/>
        <w:bottom w:w="0" w:type="dxa"/>
      </w:tblCellMar>
    </w:tblPr>
  </w:style>
  <w:style w:type="table" w:styleId="995" w:customStyle="1">
    <w:name w:val="List Table 6 Colorful - Accent 5"/>
    <w:uiPriority w:val="0"/>
    <w:qFormat/>
    <w:tblPr>
      <w:tblCellMar>
        <w:left w:w="0" w:type="dxa"/>
        <w:top w:w="0" w:type="dxa"/>
        <w:right w:w="0" w:type="dxa"/>
        <w:bottom w:w="0" w:type="dxa"/>
      </w:tblCellMar>
    </w:tblPr>
  </w:style>
  <w:style w:type="table" w:styleId="996" w:customStyle="1">
    <w:name w:val="List Table 1 Light - Accent 1"/>
    <w:uiPriority w:val="0"/>
    <w:qFormat/>
    <w:tblPr>
      <w:tblCellMar>
        <w:left w:w="0" w:type="dxa"/>
        <w:top w:w="0" w:type="dxa"/>
        <w:right w:w="0" w:type="dxa"/>
        <w:bottom w:w="0" w:type="dxa"/>
      </w:tblCellMar>
    </w:tblPr>
  </w:style>
  <w:style w:type="table" w:styleId="997" w:customStyle="1">
    <w:name w:val="Grid Table 1 Light - Accent 4"/>
    <w:uiPriority w:val="0"/>
    <w:qFormat/>
    <w:tblPr>
      <w:tblCellMar>
        <w:left w:w="0" w:type="dxa"/>
        <w:top w:w="0" w:type="dxa"/>
        <w:right w:w="0" w:type="dxa"/>
        <w:bottom w:w="0" w:type="dxa"/>
      </w:tblCellMar>
    </w:tblPr>
  </w:style>
  <w:style w:type="table" w:styleId="998" w:customStyle="1">
    <w:name w:val="Bordered - Accent 3"/>
    <w:uiPriority w:val="0"/>
    <w:qFormat/>
    <w:tblPr>
      <w:tblCellMar>
        <w:left w:w="0" w:type="dxa"/>
        <w:top w:w="0" w:type="dxa"/>
        <w:right w:w="0" w:type="dxa"/>
        <w:bottom w:w="0" w:type="dxa"/>
      </w:tblCellMar>
    </w:tblPr>
  </w:style>
  <w:style w:type="table" w:styleId="999" w:customStyle="1">
    <w:name w:val="Grid Table 3 - Accent 4"/>
    <w:uiPriority w:val="0"/>
    <w:qFormat/>
    <w:tblPr>
      <w:tblCellMar>
        <w:left w:w="0" w:type="dxa"/>
        <w:top w:w="0" w:type="dxa"/>
        <w:right w:w="0" w:type="dxa"/>
        <w:bottom w:w="0" w:type="dxa"/>
      </w:tblCellMar>
    </w:tblPr>
  </w:style>
  <w:style w:type="table" w:styleId="1000" w:customStyle="1">
    <w:name w:val="Lined - Accent"/>
    <w:uiPriority w:val="0"/>
    <w:qFormat/>
    <w:rPr>
      <w:color w:val="404040"/>
    </w:rPr>
    <w:tblPr>
      <w:tblCellMar>
        <w:left w:w="0" w:type="dxa"/>
        <w:top w:w="0" w:type="dxa"/>
        <w:right w:w="0" w:type="dxa"/>
        <w:bottom w:w="0" w:type="dxa"/>
      </w:tblCellMar>
    </w:tblPr>
  </w:style>
  <w:style w:type="table" w:styleId="1001" w:customStyle="1">
    <w:name w:val="List Table 5 Dark - Accent 2"/>
    <w:uiPriority w:val="0"/>
    <w:qFormat/>
    <w:tblPr>
      <w:tblCellMar>
        <w:left w:w="0" w:type="dxa"/>
        <w:top w:w="0" w:type="dxa"/>
        <w:right w:w="0" w:type="dxa"/>
        <w:bottom w:w="0" w:type="dxa"/>
      </w:tblCellMar>
    </w:tblPr>
  </w:style>
  <w:style w:type="table" w:styleId="1002" w:customStyle="1">
    <w:name w:val="Bordered - Accent 4"/>
    <w:uiPriority w:val="0"/>
    <w:qFormat/>
    <w:tblPr>
      <w:tblCellMar>
        <w:left w:w="0" w:type="dxa"/>
        <w:top w:w="0" w:type="dxa"/>
        <w:right w:w="0" w:type="dxa"/>
        <w:bottom w:w="0" w:type="dxa"/>
      </w:tblCellMar>
    </w:tblPr>
  </w:style>
  <w:style w:type="table" w:styleId="1003" w:customStyle="1">
    <w:name w:val="Grid Table 3 - Accent 6"/>
    <w:uiPriority w:val="0"/>
    <w:qFormat/>
    <w:tblPr>
      <w:tblCellMar>
        <w:left w:w="0" w:type="dxa"/>
        <w:top w:w="0" w:type="dxa"/>
        <w:right w:w="0" w:type="dxa"/>
        <w:bottom w:w="0" w:type="dxa"/>
      </w:tblCellMar>
    </w:tblPr>
  </w:style>
  <w:style w:type="table" w:styleId="1004" w:customStyle="1">
    <w:name w:val="List Table 3 - Accent 3"/>
    <w:uiPriority w:val="0"/>
    <w:qFormat/>
    <w:tblPr>
      <w:tblCellMar>
        <w:left w:w="0" w:type="dxa"/>
        <w:top w:w="0" w:type="dxa"/>
        <w:right w:w="0" w:type="dxa"/>
        <w:bottom w:w="0" w:type="dxa"/>
      </w:tblCellMar>
    </w:tblPr>
  </w:style>
  <w:style w:type="table" w:styleId="1005" w:customStyle="1">
    <w:name w:val="Grid Table 7 Colorful - Accent 5"/>
    <w:uiPriority w:val="0"/>
    <w:qFormat/>
    <w:tblPr>
      <w:tblCellMar>
        <w:left w:w="0" w:type="dxa"/>
        <w:top w:w="0" w:type="dxa"/>
        <w:right w:w="0" w:type="dxa"/>
        <w:bottom w:w="0" w:type="dxa"/>
      </w:tblCellMar>
    </w:tblPr>
  </w:style>
  <w:style w:type="table" w:styleId="1006" w:customStyle="1">
    <w:name w:val="Bordered - Accent 5"/>
    <w:uiPriority w:val="0"/>
    <w:qFormat/>
    <w:tblPr>
      <w:tblCellMar>
        <w:left w:w="0" w:type="dxa"/>
        <w:top w:w="0" w:type="dxa"/>
        <w:right w:w="0" w:type="dxa"/>
        <w:bottom w:w="0" w:type="dxa"/>
      </w:tblCellMar>
    </w:tblPr>
  </w:style>
  <w:style w:type="table" w:styleId="1007" w:customStyle="1">
    <w:name w:val="Bordered"/>
    <w:uiPriority w:val="0"/>
    <w:qFormat/>
    <w:tblPr>
      <w:tblCellMar>
        <w:left w:w="0" w:type="dxa"/>
        <w:top w:w="0" w:type="dxa"/>
        <w:right w:w="0" w:type="dxa"/>
        <w:bottom w:w="0" w:type="dxa"/>
      </w:tblCellMar>
    </w:tblPr>
  </w:style>
  <w:style w:type="table" w:styleId="1008" w:customStyle="1">
    <w:name w:val="Grid Table 5 Dark - Accent 6"/>
    <w:uiPriority w:val="0"/>
    <w:qFormat/>
    <w:tblPr>
      <w:tblCellMar>
        <w:left w:w="0" w:type="dxa"/>
        <w:top w:w="0" w:type="dxa"/>
        <w:right w:w="0" w:type="dxa"/>
        <w:bottom w:w="0" w:type="dxa"/>
      </w:tblCellMar>
    </w:tblPr>
  </w:style>
  <w:style w:type="table" w:styleId="1009" w:customStyle="1">
    <w:name w:val="Grid Table 3 - Accent 1"/>
    <w:uiPriority w:val="0"/>
    <w:qFormat/>
    <w:tblPr>
      <w:tblCellMar>
        <w:left w:w="0" w:type="dxa"/>
        <w:top w:w="0" w:type="dxa"/>
        <w:right w:w="0" w:type="dxa"/>
        <w:bottom w:w="0" w:type="dxa"/>
      </w:tblCellMar>
    </w:tblPr>
  </w:style>
  <w:style w:type="table" w:styleId="1010" w:customStyle="1">
    <w:name w:val="Bordered - Accent 6"/>
    <w:uiPriority w:val="0"/>
    <w:qFormat/>
    <w:tblPr>
      <w:tblCellMar>
        <w:left w:w="0" w:type="dxa"/>
        <w:top w:w="0" w:type="dxa"/>
        <w:right w:w="0" w:type="dxa"/>
        <w:bottom w:w="0" w:type="dxa"/>
      </w:tblCellMar>
    </w:tblPr>
  </w:style>
  <w:style w:type="table" w:styleId="1011" w:customStyle="1">
    <w:name w:val="List Table 4 - Accent 4"/>
    <w:uiPriority w:val="0"/>
    <w:qFormat/>
    <w:tblPr>
      <w:tblCellMar>
        <w:left w:w="0" w:type="dxa"/>
        <w:top w:w="0" w:type="dxa"/>
        <w:right w:w="0" w:type="dxa"/>
        <w:bottom w:w="0" w:type="dxa"/>
      </w:tblCellMar>
    </w:tblPr>
  </w:style>
  <w:style w:type="table" w:styleId="1012" w:customStyle="1">
    <w:name w:val="Grid Table 1 Light - Accent 2"/>
    <w:uiPriority w:val="0"/>
    <w:qFormat/>
    <w:tblPr>
      <w:tblCellMar>
        <w:left w:w="0" w:type="dxa"/>
        <w:top w:w="0" w:type="dxa"/>
        <w:right w:w="0" w:type="dxa"/>
        <w:bottom w:w="0" w:type="dxa"/>
      </w:tblCellMar>
    </w:tblPr>
  </w:style>
  <w:style w:type="table" w:styleId="1013" w:customStyle="1">
    <w:name w:val="List Table 5 Dark - Accent 4"/>
    <w:uiPriority w:val="0"/>
    <w:qFormat/>
    <w:tblPr>
      <w:tblCellMar>
        <w:left w:w="0" w:type="dxa"/>
        <w:top w:w="0" w:type="dxa"/>
        <w:right w:w="0" w:type="dxa"/>
        <w:bottom w:w="0" w:type="dxa"/>
      </w:tblCellMar>
    </w:tblPr>
  </w:style>
  <w:style w:type="table" w:styleId="1014" w:customStyle="1">
    <w:name w:val="普通表格1"/>
    <w:uiPriority w:val="0"/>
    <w:qFormat/>
    <w:tblPr>
      <w:tblCellMar>
        <w:left w:w="0" w:type="dxa"/>
        <w:top w:w="0" w:type="dxa"/>
        <w:right w:w="0" w:type="dxa"/>
        <w:bottom w:w="0" w:type="dxa"/>
      </w:tblCellMar>
    </w:tblPr>
  </w:style>
  <w:style w:type="table" w:styleId="1015" w:customStyle="1">
    <w:name w:val="Grid Table 7 Colorful"/>
    <w:uiPriority w:val="0"/>
    <w:qFormat/>
    <w:tblPr>
      <w:tblCellMar>
        <w:left w:w="0" w:type="dxa"/>
        <w:top w:w="0" w:type="dxa"/>
        <w:right w:w="0" w:type="dxa"/>
        <w:bottom w:w="0" w:type="dxa"/>
      </w:tblCellMar>
    </w:tblPr>
  </w:style>
  <w:style w:type="table" w:styleId="1016" w:customStyle="1">
    <w:name w:val="List Table 7 Colorful - Accent 4"/>
    <w:uiPriority w:val="0"/>
    <w:qFormat/>
    <w:tblPr>
      <w:tblCellMar>
        <w:left w:w="0" w:type="dxa"/>
        <w:top w:w="0" w:type="dxa"/>
        <w:right w:w="0" w:type="dxa"/>
        <w:bottom w:w="0" w:type="dxa"/>
      </w:tblCellMar>
    </w:tblPr>
  </w:style>
  <w:style w:type="table" w:styleId="1017" w:customStyle="1">
    <w:name w:val="List Table 1 Light"/>
    <w:uiPriority w:val="0"/>
    <w:qFormat/>
    <w:tblPr>
      <w:tblCellMar>
        <w:left w:w="0" w:type="dxa"/>
        <w:top w:w="0" w:type="dxa"/>
        <w:right w:w="0" w:type="dxa"/>
        <w:bottom w:w="0" w:type="dxa"/>
      </w:tblCellMar>
    </w:tblPr>
  </w:style>
  <w:style w:type="table" w:styleId="1018" w:customStyle="1">
    <w:name w:val="Grid Table 2 - Accent 3"/>
    <w:uiPriority w:val="0"/>
    <w:qFormat/>
    <w:tblPr>
      <w:tblCellMar>
        <w:left w:w="0" w:type="dxa"/>
        <w:top w:w="0" w:type="dxa"/>
        <w:right w:w="0" w:type="dxa"/>
        <w:bottom w:w="0" w:type="dxa"/>
      </w:tblCellMar>
    </w:tblPr>
  </w:style>
  <w:style w:type="table" w:styleId="1019" w:customStyle="1">
    <w:name w:val="List Table 3"/>
    <w:uiPriority w:val="0"/>
    <w:qFormat/>
    <w:tblPr>
      <w:tblCellMar>
        <w:left w:w="0" w:type="dxa"/>
        <w:top w:w="0" w:type="dxa"/>
        <w:right w:w="0" w:type="dxa"/>
        <w:bottom w:w="0" w:type="dxa"/>
      </w:tblCellMar>
    </w:tblPr>
  </w:style>
  <w:style w:type="table" w:styleId="1020" w:customStyle="1">
    <w:name w:val="Grid Table 3 - Accent 3"/>
    <w:uiPriority w:val="0"/>
    <w:qFormat/>
    <w:tblPr>
      <w:tblCellMar>
        <w:left w:w="0" w:type="dxa"/>
        <w:top w:w="0" w:type="dxa"/>
        <w:right w:w="0" w:type="dxa"/>
        <w:bottom w:w="0" w:type="dxa"/>
      </w:tblCellMar>
    </w:tblPr>
  </w:style>
  <w:style w:type="table" w:styleId="1021" w:customStyle="1">
    <w:name w:val="List Table 6 Colorful - Accent 3"/>
    <w:uiPriority w:val="0"/>
    <w:qFormat/>
    <w:tblPr>
      <w:tblCellMar>
        <w:left w:w="0" w:type="dxa"/>
        <w:top w:w="0" w:type="dxa"/>
        <w:right w:w="0" w:type="dxa"/>
        <w:bottom w:w="0" w:type="dxa"/>
      </w:tblCellMar>
    </w:tblPr>
  </w:style>
  <w:style w:type="table" w:styleId="1022" w:customStyle="1">
    <w:name w:val="Grid Table 5 Dark - Accent 3"/>
    <w:uiPriority w:val="0"/>
    <w:qFormat/>
    <w:tblPr>
      <w:tblCellMar>
        <w:left w:w="0" w:type="dxa"/>
        <w:top w:w="0" w:type="dxa"/>
        <w:right w:w="0" w:type="dxa"/>
        <w:bottom w:w="0" w:type="dxa"/>
      </w:tblCellMar>
    </w:tblPr>
  </w:style>
  <w:style w:type="table" w:styleId="1023" w:customStyle="1">
    <w:name w:val="Bordered &amp; Lined - Accent 1"/>
    <w:uiPriority w:val="0"/>
    <w:qFormat/>
    <w:rPr>
      <w:color w:val="404040"/>
    </w:rPr>
    <w:tblPr>
      <w:tblCellMar>
        <w:left w:w="0" w:type="dxa"/>
        <w:top w:w="0" w:type="dxa"/>
        <w:right w:w="0" w:type="dxa"/>
        <w:bottom w:w="0" w:type="dxa"/>
      </w:tblCellMar>
    </w:tblPr>
  </w:style>
  <w:style w:type="table" w:styleId="1024" w:customStyle="1">
    <w:name w:val="List Table 1 Light - Accent 6"/>
    <w:uiPriority w:val="0"/>
    <w:qFormat/>
    <w:tblPr>
      <w:tblCellMar>
        <w:left w:w="0" w:type="dxa"/>
        <w:top w:w="0" w:type="dxa"/>
        <w:right w:w="0" w:type="dxa"/>
        <w:bottom w:w="0" w:type="dxa"/>
      </w:tblCellMar>
    </w:tblPr>
  </w:style>
  <w:style w:type="table" w:styleId="1025" w:customStyle="1">
    <w:name w:val="Plain Table 5"/>
    <w:uiPriority w:val="0"/>
    <w:qFormat/>
    <w:tblPr>
      <w:tblCellMar>
        <w:left w:w="0" w:type="dxa"/>
        <w:top w:w="0" w:type="dxa"/>
        <w:right w:w="0" w:type="dxa"/>
        <w:bottom w:w="0" w:type="dxa"/>
      </w:tblCellMar>
    </w:tblPr>
  </w:style>
  <w:style w:type="table" w:styleId="1026" w:customStyle="1">
    <w:name w:val="List Table 7 Colorful - Accent 3"/>
    <w:uiPriority w:val="0"/>
    <w:qFormat/>
    <w:tblPr>
      <w:tblCellMar>
        <w:left w:w="0" w:type="dxa"/>
        <w:top w:w="0" w:type="dxa"/>
        <w:right w:w="0" w:type="dxa"/>
        <w:bottom w:w="0" w:type="dxa"/>
      </w:tblCellMar>
    </w:tblPr>
  </w:style>
  <w:style w:type="table" w:styleId="1027" w:customStyle="1">
    <w:name w:val="Grid Table 4 - Accent 2"/>
    <w:uiPriority w:val="0"/>
    <w:qFormat/>
    <w:tblPr>
      <w:tblCellMar>
        <w:left w:w="0" w:type="dxa"/>
        <w:top w:w="0" w:type="dxa"/>
        <w:right w:w="0" w:type="dxa"/>
        <w:bottom w:w="0" w:type="dxa"/>
      </w:tblCellMar>
    </w:tblPr>
  </w:style>
  <w:style w:type="table" w:styleId="1028" w:customStyle="1">
    <w:name w:val="List Table 7 Colorful - Accent 2"/>
    <w:uiPriority w:val="0"/>
    <w:qFormat/>
    <w:tblPr>
      <w:tblCellMar>
        <w:left w:w="0" w:type="dxa"/>
        <w:top w:w="0" w:type="dxa"/>
        <w:right w:w="0" w:type="dxa"/>
        <w:bottom w:w="0" w:type="dxa"/>
      </w:tblCellMar>
    </w:tblPr>
  </w:style>
  <w:style w:type="table" w:styleId="1029" w:customStyle="1">
    <w:name w:val="List Table 2 - Accent 6"/>
    <w:uiPriority w:val="0"/>
    <w:qFormat/>
    <w:tblPr>
      <w:tblCellMar>
        <w:left w:w="0" w:type="dxa"/>
        <w:top w:w="0" w:type="dxa"/>
        <w:right w:w="0" w:type="dxa"/>
        <w:bottom w:w="0" w:type="dxa"/>
      </w:tblCellMar>
    </w:tblPr>
  </w:style>
  <w:style w:type="table" w:styleId="1030" w:customStyle="1">
    <w:name w:val="网格型1"/>
    <w:uiPriority w:val="0"/>
    <w:qFormat/>
    <w:tblPr>
      <w:tblCellMar>
        <w:left w:w="0" w:type="dxa"/>
        <w:top w:w="0" w:type="dxa"/>
        <w:right w:w="0" w:type="dxa"/>
        <w:bottom w:w="0" w:type="dxa"/>
      </w:tblCellMar>
    </w:tblPr>
  </w:style>
  <w:style w:type="table" w:styleId="1031" w:customStyle="1">
    <w:name w:val="List Table 2 - Accent 5"/>
    <w:uiPriority w:val="0"/>
    <w:qFormat/>
    <w:tblPr>
      <w:tblCellMar>
        <w:left w:w="0" w:type="dxa"/>
        <w:top w:w="0" w:type="dxa"/>
        <w:right w:w="0" w:type="dxa"/>
        <w:bottom w:w="0" w:type="dxa"/>
      </w:tblCellMar>
    </w:tblPr>
  </w:style>
  <w:style w:type="table" w:styleId="1032" w:customStyle="1">
    <w:name w:val="Grid Table 5 Dark - Accent 2"/>
    <w:uiPriority w:val="0"/>
    <w:qFormat/>
    <w:tblPr>
      <w:tblCellMar>
        <w:left w:w="0" w:type="dxa"/>
        <w:top w:w="0" w:type="dxa"/>
        <w:right w:w="0" w:type="dxa"/>
        <w:bottom w:w="0" w:type="dxa"/>
      </w:tblCellMar>
    </w:tblPr>
  </w:style>
  <w:style w:type="table" w:styleId="1033" w:customStyle="1">
    <w:name w:val="List Table 6 Colorful - Accent 6"/>
    <w:uiPriority w:val="0"/>
    <w:qFormat/>
    <w:tblPr>
      <w:tblCellMar>
        <w:left w:w="0" w:type="dxa"/>
        <w:top w:w="0" w:type="dxa"/>
        <w:right w:w="0" w:type="dxa"/>
        <w:bottom w:w="0" w:type="dxa"/>
      </w:tblCellMar>
    </w:tblPr>
  </w:style>
  <w:style w:type="table" w:styleId="1034" w:customStyle="1">
    <w:name w:val="Grid Table 5 Dark- Accent 1"/>
    <w:uiPriority w:val="0"/>
    <w:qFormat/>
    <w:tblPr>
      <w:tblCellMar>
        <w:left w:w="0" w:type="dxa"/>
        <w:top w:w="0" w:type="dxa"/>
        <w:right w:w="0" w:type="dxa"/>
        <w:bottom w:w="0" w:type="dxa"/>
      </w:tblCellMar>
    </w:tblPr>
  </w:style>
  <w:style w:type="table" w:styleId="1035" w:customStyle="1">
    <w:name w:val="Plain Table 4"/>
    <w:uiPriority w:val="0"/>
    <w:qFormat/>
    <w:tblPr>
      <w:tblCellMar>
        <w:left w:w="0" w:type="dxa"/>
        <w:top w:w="0" w:type="dxa"/>
        <w:right w:w="0" w:type="dxa"/>
        <w:bottom w:w="0" w:type="dxa"/>
      </w:tblCellMar>
    </w:tblPr>
  </w:style>
  <w:style w:type="table" w:styleId="1036" w:customStyle="1">
    <w:name w:val="List Table 2 - Accent 2"/>
    <w:uiPriority w:val="0"/>
    <w:qFormat/>
    <w:tblPr>
      <w:tblCellMar>
        <w:left w:w="0" w:type="dxa"/>
        <w:top w:w="0" w:type="dxa"/>
        <w:right w:w="0" w:type="dxa"/>
        <w:bottom w:w="0" w:type="dxa"/>
      </w:tblCellMar>
    </w:tblPr>
  </w:style>
  <w:style w:type="table" w:styleId="1037" w:customStyle="1">
    <w:name w:val="Plain Table 3"/>
    <w:uiPriority w:val="0"/>
    <w:qFormat/>
    <w:tblPr>
      <w:tblCellMar>
        <w:left w:w="0" w:type="dxa"/>
        <w:top w:w="0" w:type="dxa"/>
        <w:right w:w="0" w:type="dxa"/>
        <w:bottom w:w="0" w:type="dxa"/>
      </w:tblCellMar>
    </w:tblPr>
  </w:style>
  <w:style w:type="table" w:styleId="1038" w:customStyle="1">
    <w:name w:val="Lined - Accent 4"/>
    <w:uiPriority w:val="0"/>
    <w:qFormat/>
    <w:rPr>
      <w:color w:val="404040"/>
    </w:rPr>
    <w:tblPr>
      <w:tblCellMar>
        <w:left w:w="0" w:type="dxa"/>
        <w:top w:w="0" w:type="dxa"/>
        <w:right w:w="0" w:type="dxa"/>
        <w:bottom w:w="0" w:type="dxa"/>
      </w:tblCellMar>
    </w:tblPr>
  </w:style>
  <w:style w:type="table" w:styleId="1039" w:customStyle="1">
    <w:name w:val="Grid Table 4 - Accent 5"/>
    <w:uiPriority w:val="0"/>
    <w:qFormat/>
    <w:tblPr>
      <w:tblCellMar>
        <w:left w:w="0" w:type="dxa"/>
        <w:top w:w="0" w:type="dxa"/>
        <w:right w:w="0" w:type="dxa"/>
        <w:bottom w:w="0" w:type="dxa"/>
      </w:tblCellMar>
    </w:tblPr>
  </w:style>
  <w:style w:type="table" w:styleId="1040" w:customStyle="1">
    <w:name w:val="Lined - Accent 3"/>
    <w:uiPriority w:val="0"/>
    <w:qFormat/>
    <w:rPr>
      <w:color w:val="404040"/>
    </w:rPr>
    <w:tblPr>
      <w:tblCellMar>
        <w:left w:w="0" w:type="dxa"/>
        <w:top w:w="0" w:type="dxa"/>
        <w:right w:w="0" w:type="dxa"/>
        <w:bottom w:w="0" w:type="dxa"/>
      </w:tblCellMar>
    </w:tblPr>
  </w:style>
  <w:style w:type="table" w:styleId="1041" w:customStyle="1">
    <w:name w:val="List Table 3 - Accent 6"/>
    <w:uiPriority w:val="0"/>
    <w:qFormat/>
    <w:tblPr>
      <w:tblCellMar>
        <w:left w:w="0" w:type="dxa"/>
        <w:top w:w="0" w:type="dxa"/>
        <w:right w:w="0" w:type="dxa"/>
        <w:bottom w:w="0" w:type="dxa"/>
      </w:tblCellMar>
    </w:tblPr>
  </w:style>
  <w:style w:type="table" w:styleId="1042" w:customStyle="1">
    <w:name w:val="Plain Table 2"/>
    <w:uiPriority w:val="0"/>
    <w:qFormat/>
    <w:tblPr>
      <w:tblCellMar>
        <w:left w:w="0" w:type="dxa"/>
        <w:top w:w="0" w:type="dxa"/>
        <w:right w:w="0" w:type="dxa"/>
        <w:bottom w:w="0" w:type="dxa"/>
      </w:tblCellMar>
    </w:tblPr>
  </w:style>
  <w:style w:type="table" w:styleId="1043" w:customStyle="1">
    <w:name w:val="List Table 7 Colorful"/>
    <w:uiPriority w:val="0"/>
    <w:qFormat/>
    <w:tblPr>
      <w:tblCellMar>
        <w:left w:w="0" w:type="dxa"/>
        <w:top w:w="0" w:type="dxa"/>
        <w:right w:w="0" w:type="dxa"/>
        <w:bottom w:w="0" w:type="dxa"/>
      </w:tblCellMar>
    </w:tblPr>
  </w:style>
  <w:style w:type="table" w:styleId="1044" w:customStyle="1">
    <w:name w:val="Grid Table 6 Colorful - Accent 2"/>
    <w:uiPriority w:val="0"/>
    <w:qFormat/>
    <w:tblPr>
      <w:tblCellMar>
        <w:left w:w="0" w:type="dxa"/>
        <w:top w:w="0" w:type="dxa"/>
        <w:right w:w="0" w:type="dxa"/>
        <w:bottom w:w="0" w:type="dxa"/>
      </w:tblCellMar>
    </w:tblPr>
  </w:style>
  <w:style w:type="table" w:styleId="1045" w:customStyle="1">
    <w:name w:val="List Table 7 Colorful - Accent 6"/>
    <w:uiPriority w:val="0"/>
    <w:qFormat/>
    <w:tblPr>
      <w:tblCellMar>
        <w:left w:w="0" w:type="dxa"/>
        <w:top w:w="0" w:type="dxa"/>
        <w:right w:w="0" w:type="dxa"/>
        <w:bottom w:w="0" w:type="dxa"/>
      </w:tblCellMar>
    </w:tblPr>
  </w:style>
  <w:style w:type="table" w:styleId="1046" w:customStyle="1">
    <w:name w:val="List Table 2 - Accent 3"/>
    <w:uiPriority w:val="0"/>
    <w:qFormat/>
    <w:tblPr>
      <w:tblCellMar>
        <w:left w:w="0" w:type="dxa"/>
        <w:top w:w="0" w:type="dxa"/>
        <w:right w:w="0" w:type="dxa"/>
        <w:bottom w:w="0" w:type="dxa"/>
      </w:tblCellMar>
    </w:tblPr>
  </w:style>
  <w:style w:type="table" w:styleId="1047" w:customStyle="1">
    <w:name w:val="Grid Table 1 Light - Accent 5"/>
    <w:uiPriority w:val="0"/>
    <w:qFormat/>
    <w:tblPr>
      <w:tblCellMar>
        <w:left w:w="0" w:type="dxa"/>
        <w:top w:w="0" w:type="dxa"/>
        <w:right w:w="0" w:type="dxa"/>
        <w:bottom w:w="0" w:type="dxa"/>
      </w:tblCellMar>
    </w:tblPr>
  </w:style>
  <w:style w:type="table" w:styleId="1048" w:customStyle="1">
    <w:name w:val="List Table 3 - Accent 2"/>
    <w:uiPriority w:val="0"/>
    <w:qFormat/>
    <w:tblPr>
      <w:tblCellMar>
        <w:left w:w="0" w:type="dxa"/>
        <w:top w:w="0" w:type="dxa"/>
        <w:right w:w="0" w:type="dxa"/>
        <w:bottom w:w="0" w:type="dxa"/>
      </w:tblCellMar>
    </w:tblPr>
  </w:style>
  <w:style w:type="table" w:styleId="1049" w:customStyle="1">
    <w:name w:val="Grid Table 4 - Accent 6"/>
    <w:uiPriority w:val="0"/>
    <w:qFormat/>
    <w:tblPr>
      <w:tblCellMar>
        <w:left w:w="0" w:type="dxa"/>
        <w:top w:w="0" w:type="dxa"/>
        <w:right w:w="0" w:type="dxa"/>
        <w:bottom w:w="0" w:type="dxa"/>
      </w:tblCellMar>
    </w:tblPr>
  </w:style>
  <w:style w:type="table" w:styleId="1050" w:customStyle="1">
    <w:name w:val="Lined - Accent 5"/>
    <w:uiPriority w:val="0"/>
    <w:qFormat/>
    <w:rPr>
      <w:color w:val="404040"/>
    </w:rPr>
    <w:tblPr>
      <w:tblCellMar>
        <w:left w:w="0" w:type="dxa"/>
        <w:top w:w="0" w:type="dxa"/>
        <w:right w:w="0" w:type="dxa"/>
        <w:bottom w:w="0" w:type="dxa"/>
      </w:tblCellMar>
    </w:tblPr>
  </w:style>
  <w:style w:type="table" w:styleId="1051" w:customStyle="1">
    <w:name w:val="Grid Table 5 Dark - Accent 5"/>
    <w:uiPriority w:val="0"/>
    <w:qFormat/>
    <w:tblPr>
      <w:tblCellMar>
        <w:left w:w="0" w:type="dxa"/>
        <w:top w:w="0" w:type="dxa"/>
        <w:right w:w="0" w:type="dxa"/>
        <w:bottom w:w="0" w:type="dxa"/>
      </w:tblCellMar>
    </w:tblPr>
  </w:style>
  <w:style w:type="table" w:styleId="1052" w:customStyle="1">
    <w:name w:val="普通表格11"/>
    <w:uiPriority w:val="0"/>
    <w:qFormat/>
    <w:tblPr>
      <w:tblCellMar>
        <w:left w:w="0" w:type="dxa"/>
        <w:top w:w="0" w:type="dxa"/>
        <w:right w:w="0" w:type="dxa"/>
        <w:bottom w:w="0" w:type="dxa"/>
      </w:tblCellMar>
    </w:tblPr>
  </w:style>
  <w:style w:type="table" w:styleId="1053" w:customStyle="1">
    <w:name w:val="List Table 7 Colorful - Accent 5"/>
    <w:uiPriority w:val="0"/>
    <w:qFormat/>
    <w:tblPr>
      <w:tblCellMar>
        <w:left w:w="0" w:type="dxa"/>
        <w:top w:w="0" w:type="dxa"/>
        <w:right w:w="0" w:type="dxa"/>
        <w:bottom w:w="0" w:type="dxa"/>
      </w:tblCellMar>
    </w:tblPr>
  </w:style>
  <w:style w:type="table" w:styleId="1054" w:customStyle="1">
    <w:name w:val="Grid Table 1 Light - Accent 1"/>
    <w:uiPriority w:val="0"/>
    <w:qFormat/>
    <w:tblPr>
      <w:tblCellMar>
        <w:left w:w="0" w:type="dxa"/>
        <w:top w:w="0" w:type="dxa"/>
        <w:right w:w="0" w:type="dxa"/>
        <w:bottom w:w="0" w:type="dxa"/>
      </w:tblCellMar>
    </w:tblPr>
  </w:style>
  <w:style w:type="table" w:styleId="1055" w:customStyle="1">
    <w:name w:val="List Table 7 Colorful - Accent 1"/>
    <w:uiPriority w:val="0"/>
    <w:qFormat/>
    <w:tblPr>
      <w:tblCellMar>
        <w:left w:w="0" w:type="dxa"/>
        <w:top w:w="0" w:type="dxa"/>
        <w:right w:w="0" w:type="dxa"/>
        <w:bottom w:w="0" w:type="dxa"/>
      </w:tblCellMar>
    </w:tblPr>
  </w:style>
  <w:style w:type="table" w:styleId="1056" w:customStyle="1">
    <w:name w:val="List Table 3 - Accent 1"/>
    <w:uiPriority w:val="0"/>
    <w:qFormat/>
    <w:tblPr>
      <w:tblCellMar>
        <w:left w:w="0" w:type="dxa"/>
        <w:top w:w="0" w:type="dxa"/>
        <w:right w:w="0" w:type="dxa"/>
        <w:bottom w:w="0" w:type="dxa"/>
      </w:tblCellMar>
    </w:tblPr>
  </w:style>
  <w:style w:type="table" w:styleId="1057" w:customStyle="1">
    <w:name w:val="Lined - Accent 1"/>
    <w:uiPriority w:val="0"/>
    <w:qFormat/>
    <w:rPr>
      <w:color w:val="404040"/>
    </w:rPr>
    <w:tblPr>
      <w:tblCellMar>
        <w:left w:w="0" w:type="dxa"/>
        <w:top w:w="0" w:type="dxa"/>
        <w:right w:w="0" w:type="dxa"/>
        <w:bottom w:w="0" w:type="dxa"/>
      </w:tblCellMar>
    </w:tblPr>
  </w:style>
  <w:style w:type="table" w:styleId="1058" w:customStyle="1">
    <w:name w:val="List Table 2 - Accent 4"/>
    <w:uiPriority w:val="0"/>
    <w:qFormat/>
    <w:tblPr>
      <w:tblCellMar>
        <w:left w:w="0" w:type="dxa"/>
        <w:top w:w="0" w:type="dxa"/>
        <w:right w:w="0" w:type="dxa"/>
        <w:bottom w:w="0" w:type="dxa"/>
      </w:tblCellMar>
    </w:tblPr>
  </w:style>
  <w:style w:type="table" w:styleId="1059" w:customStyle="1">
    <w:name w:val="Grid Table 5 Dark- Accent 4"/>
    <w:uiPriority w:val="0"/>
    <w:qFormat/>
    <w:tblPr>
      <w:tblCellMar>
        <w:left w:w="0" w:type="dxa"/>
        <w:top w:w="0" w:type="dxa"/>
        <w:right w:w="0" w:type="dxa"/>
        <w:bottom w:w="0" w:type="dxa"/>
      </w:tblCellMar>
    </w:tblPr>
  </w:style>
  <w:style w:type="table" w:styleId="1060" w:customStyle="1">
    <w:name w:val="List Table 3 - Accent 4"/>
    <w:uiPriority w:val="0"/>
    <w:qFormat/>
    <w:tblPr>
      <w:tblCellMar>
        <w:left w:w="0" w:type="dxa"/>
        <w:top w:w="0" w:type="dxa"/>
        <w:right w:w="0" w:type="dxa"/>
        <w:bottom w:w="0" w:type="dxa"/>
      </w:tblCellMar>
    </w:tblPr>
  </w:style>
  <w:style w:type="table" w:styleId="1061" w:customStyle="1">
    <w:name w:val="Grid Table 5 Dark"/>
    <w:uiPriority w:val="0"/>
    <w:qFormat/>
    <w:tblPr>
      <w:tblCellMar>
        <w:left w:w="0" w:type="dxa"/>
        <w:top w:w="0" w:type="dxa"/>
        <w:right w:w="0" w:type="dxa"/>
        <w:bottom w:w="0" w:type="dxa"/>
      </w:tblCellMar>
    </w:tblPr>
  </w:style>
  <w:style w:type="table" w:styleId="1062" w:customStyle="1">
    <w:name w:val="Grid Table 1 Light"/>
    <w:uiPriority w:val="0"/>
    <w:qFormat/>
    <w:tblPr>
      <w:tblCellMar>
        <w:left w:w="0" w:type="dxa"/>
        <w:top w:w="0" w:type="dxa"/>
        <w:right w:w="0" w:type="dxa"/>
        <w:bottom w:w="0" w:type="dxa"/>
      </w:tblCellMar>
    </w:tblPr>
  </w:style>
  <w:style w:type="table" w:styleId="1063" w:customStyle="1">
    <w:name w:val="Grid Table 6 Colorful"/>
    <w:uiPriority w:val="0"/>
    <w:qFormat/>
    <w:tblPr>
      <w:tblCellMar>
        <w:left w:w="0" w:type="dxa"/>
        <w:top w:w="0" w:type="dxa"/>
        <w:right w:w="0" w:type="dxa"/>
        <w:bottom w:w="0" w:type="dxa"/>
      </w:tblCellMar>
    </w:tblPr>
  </w:style>
  <w:style w:type="table" w:styleId="1064" w:customStyle="1">
    <w:name w:val="Table Grid Light"/>
    <w:uiPriority w:val="0"/>
    <w:qFormat/>
    <w:tblPr>
      <w:tblCellMar>
        <w:left w:w="0" w:type="dxa"/>
        <w:top w:w="0" w:type="dxa"/>
        <w:right w:w="0" w:type="dxa"/>
        <w:bottom w:w="0" w:type="dxa"/>
      </w:tblCellMar>
    </w:tblPr>
  </w:style>
  <w:style w:type="table" w:styleId="1065" w:customStyle="1">
    <w:name w:val="Bordered - Accent 1"/>
    <w:uiPriority w:val="0"/>
    <w:qFormat/>
    <w:tblPr>
      <w:tblCellMar>
        <w:left w:w="0" w:type="dxa"/>
        <w:top w:w="0" w:type="dxa"/>
        <w:right w:w="0" w:type="dxa"/>
        <w:bottom w:w="0" w:type="dxa"/>
      </w:tblCellMar>
    </w:tblPr>
  </w:style>
  <w:style w:type="table" w:styleId="1066" w:customStyle="1">
    <w:name w:val="Grid Table 1 Light - Accent 3"/>
    <w:uiPriority w:val="0"/>
    <w:qFormat/>
    <w:tblPr>
      <w:tblCellMar>
        <w:left w:w="0" w:type="dxa"/>
        <w:top w:w="0" w:type="dxa"/>
        <w:right w:w="0" w:type="dxa"/>
        <w:bottom w:w="0" w:type="dxa"/>
      </w:tblCellMar>
    </w:tblPr>
  </w:style>
  <w:style w:type="table" w:styleId="1067" w:customStyle="1">
    <w:name w:val="List Table 6 Colorful"/>
    <w:uiPriority w:val="0"/>
    <w:qFormat/>
    <w:tblPr>
      <w:tblCellMar>
        <w:left w:w="0" w:type="dxa"/>
        <w:top w:w="0" w:type="dxa"/>
        <w:right w:w="0" w:type="dxa"/>
        <w:bottom w:w="0" w:type="dxa"/>
      </w:tblCellMar>
    </w:tblPr>
  </w:style>
  <w:style w:type="table" w:styleId="1068" w:customStyle="1">
    <w:name w:val="List Table 4 - Accent 6"/>
    <w:uiPriority w:val="0"/>
    <w:qFormat/>
    <w:tblPr>
      <w:tblCellMar>
        <w:left w:w="0" w:type="dxa"/>
        <w:top w:w="0" w:type="dxa"/>
        <w:right w:w="0" w:type="dxa"/>
        <w:bottom w:w="0" w:type="dxa"/>
      </w:tblCellMar>
    </w:tblPr>
  </w:style>
  <w:style w:type="table" w:styleId="1069" w:customStyle="1">
    <w:name w:val="Bordered &amp; Lined - Accent 4"/>
    <w:uiPriority w:val="0"/>
    <w:qFormat/>
    <w:rPr>
      <w:color w:val="404040"/>
    </w:rPr>
    <w:tblPr>
      <w:tblCellMar>
        <w:left w:w="0" w:type="dxa"/>
        <w:top w:w="0" w:type="dxa"/>
        <w:right w:w="0" w:type="dxa"/>
        <w:bottom w:w="0" w:type="dxa"/>
      </w:tblCellMar>
    </w:tblPr>
  </w:style>
  <w:style w:type="table" w:styleId="1070" w:customStyle="1">
    <w:name w:val="List Table 1 Light - Accent 3"/>
    <w:uiPriority w:val="0"/>
    <w:qFormat/>
    <w:tblPr>
      <w:tblCellMar>
        <w:left w:w="0" w:type="dxa"/>
        <w:top w:w="0" w:type="dxa"/>
        <w:right w:w="0" w:type="dxa"/>
        <w:bottom w:w="0" w:type="dxa"/>
      </w:tblCellMar>
    </w:tblPr>
  </w:style>
  <w:style w:type="table" w:styleId="1071" w:customStyle="1">
    <w:name w:val="Grid Table 7 Colorful - Accent 2"/>
    <w:uiPriority w:val="0"/>
    <w:qFormat/>
    <w:tblPr>
      <w:tblCellMar>
        <w:left w:w="0" w:type="dxa"/>
        <w:top w:w="0" w:type="dxa"/>
        <w:right w:w="0" w:type="dxa"/>
        <w:bottom w:w="0" w:type="dxa"/>
      </w:tblCellMar>
    </w:tblPr>
  </w:style>
  <w:style w:type="table" w:styleId="1072" w:customStyle="1">
    <w:name w:val="List Table 4"/>
    <w:uiPriority w:val="0"/>
    <w:qFormat/>
    <w:tblPr>
      <w:tblCellMar>
        <w:left w:w="0" w:type="dxa"/>
        <w:top w:w="0" w:type="dxa"/>
        <w:right w:w="0" w:type="dxa"/>
        <w:bottom w:w="0" w:type="dxa"/>
      </w:tblCellMar>
    </w:tblPr>
  </w:style>
  <w:style w:type="table" w:styleId="1073" w:customStyle="1">
    <w:name w:val="Grid Table 2 - Accent 5"/>
    <w:uiPriority w:val="0"/>
    <w:qFormat/>
    <w:tblPr>
      <w:tblCellMar>
        <w:left w:w="0" w:type="dxa"/>
        <w:top w:w="0" w:type="dxa"/>
        <w:right w:w="0" w:type="dxa"/>
        <w:bottom w:w="0" w:type="dxa"/>
      </w:tblCellMar>
    </w:tblPr>
  </w:style>
  <w:style w:type="table" w:styleId="1074" w:customStyle="1">
    <w:name w:val="Grid Table 6 Colorful - Accent 3"/>
    <w:uiPriority w:val="0"/>
    <w:qFormat/>
    <w:tblPr>
      <w:tblCellMar>
        <w:left w:w="0" w:type="dxa"/>
        <w:top w:w="0" w:type="dxa"/>
        <w:right w:w="0" w:type="dxa"/>
        <w:bottom w:w="0" w:type="dxa"/>
      </w:tblCellMar>
    </w:tblPr>
  </w:style>
  <w:style w:type="table" w:styleId="1075" w:customStyle="1">
    <w:name w:val="Bordered &amp; Lined - Accent 3"/>
    <w:uiPriority w:val="0"/>
    <w:qFormat/>
    <w:rPr>
      <w:color w:val="404040"/>
    </w:rPr>
    <w:tblPr>
      <w:tblCellMar>
        <w:left w:w="0" w:type="dxa"/>
        <w:top w:w="0" w:type="dxa"/>
        <w:right w:w="0" w:type="dxa"/>
        <w:bottom w:w="0" w:type="dxa"/>
      </w:tblCellMar>
    </w:tblPr>
  </w:style>
  <w:style w:type="table" w:styleId="1076" w:customStyle="1">
    <w:name w:val="Grid Table 1 Light - Accent 6"/>
    <w:uiPriority w:val="0"/>
    <w:qFormat/>
    <w:tblPr>
      <w:tblCellMar>
        <w:left w:w="0" w:type="dxa"/>
        <w:top w:w="0" w:type="dxa"/>
        <w:right w:w="0" w:type="dxa"/>
        <w:bottom w:w="0" w:type="dxa"/>
      </w:tblCellMar>
    </w:tblPr>
  </w:style>
  <w:style w:type="table" w:styleId="1077" w:customStyle="1">
    <w:name w:val="List Table 5 Dark - Accent 1"/>
    <w:uiPriority w:val="0"/>
    <w:qFormat/>
    <w:tblPr>
      <w:tblCellMar>
        <w:left w:w="0" w:type="dxa"/>
        <w:top w:w="0" w:type="dxa"/>
        <w:right w:w="0" w:type="dxa"/>
        <w:bottom w:w="0" w:type="dxa"/>
      </w:tblCellMar>
    </w:tblPr>
  </w:style>
  <w:style w:type="table" w:styleId="1078" w:customStyle="1">
    <w:name w:val="Bordered &amp; Lined - Accent 5"/>
    <w:uiPriority w:val="0"/>
    <w:qFormat/>
    <w:rPr>
      <w:color w:val="404040"/>
    </w:rPr>
    <w:tblPr>
      <w:tblCellMar>
        <w:left w:w="0" w:type="dxa"/>
        <w:top w:w="0" w:type="dxa"/>
        <w:right w:w="0" w:type="dxa"/>
        <w:bottom w:w="0" w:type="dxa"/>
      </w:tblCellMar>
    </w:tblPr>
  </w:style>
  <w:style w:type="table" w:styleId="1079" w:customStyle="1">
    <w:name w:val="Grid Table 7 Colorful - Accent 4"/>
    <w:uiPriority w:val="0"/>
    <w:qFormat/>
    <w:tblPr>
      <w:tblCellMar>
        <w:left w:w="0" w:type="dxa"/>
        <w:top w:w="0" w:type="dxa"/>
        <w:right w:w="0" w:type="dxa"/>
        <w:bottom w:w="0" w:type="dxa"/>
      </w:tblCellMar>
    </w:tblPr>
  </w:style>
  <w:style w:type="table" w:styleId="1080" w:customStyle="1">
    <w:name w:val="List Table 4 - Accent 2"/>
    <w:uiPriority w:val="0"/>
    <w:qFormat/>
    <w:tblPr>
      <w:tblCellMar>
        <w:left w:w="0" w:type="dxa"/>
        <w:top w:w="0" w:type="dxa"/>
        <w:right w:w="0" w:type="dxa"/>
        <w:bottom w:w="0" w:type="dxa"/>
      </w:tblCellMar>
    </w:tblPr>
  </w:style>
  <w:style w:type="table" w:styleId="1081" w:customStyle="1">
    <w:name w:val="Grid Table 3"/>
    <w:uiPriority w:val="0"/>
    <w:qFormat/>
    <w:tblPr>
      <w:tblCellMar>
        <w:left w:w="0" w:type="dxa"/>
        <w:top w:w="0" w:type="dxa"/>
        <w:right w:w="0" w:type="dxa"/>
        <w:bottom w:w="0" w:type="dxa"/>
      </w:tblCellMar>
    </w:tblPr>
  </w:style>
  <w:style w:type="table" w:styleId="1082" w:customStyle="1">
    <w:name w:val="Grid Table 6 Colorful - Accent 5"/>
    <w:uiPriority w:val="0"/>
    <w:qFormat/>
    <w:tblPr>
      <w:tblCellMar>
        <w:left w:w="0" w:type="dxa"/>
        <w:top w:w="0" w:type="dxa"/>
        <w:right w:w="0" w:type="dxa"/>
        <w:bottom w:w="0" w:type="dxa"/>
      </w:tblCellMar>
    </w:tblPr>
  </w:style>
  <w:style w:type="table" w:styleId="1083" w:customStyle="1">
    <w:name w:val="Lined - Accent 2"/>
    <w:uiPriority w:val="0"/>
    <w:qFormat/>
    <w:rPr>
      <w:color w:val="404040"/>
    </w:rPr>
    <w:tblPr>
      <w:tblCellMar>
        <w:left w:w="0" w:type="dxa"/>
        <w:top w:w="0" w:type="dxa"/>
        <w:right w:w="0" w:type="dxa"/>
        <w:bottom w:w="0" w:type="dxa"/>
      </w:tblCellMar>
    </w:tblPr>
  </w:style>
  <w:style w:type="table" w:styleId="1084" w:customStyle="1">
    <w:name w:val="Grid Table 2 - Accent 1"/>
    <w:uiPriority w:val="0"/>
    <w:qFormat/>
    <w:tblPr>
      <w:tblCellMar>
        <w:left w:w="0" w:type="dxa"/>
        <w:top w:w="0" w:type="dxa"/>
        <w:right w:w="0" w:type="dxa"/>
        <w:bottom w:w="0" w:type="dxa"/>
      </w:tblCellMar>
    </w:tblPr>
  </w:style>
  <w:style w:type="table" w:styleId="1085" w:customStyle="1">
    <w:name w:val="List Table 3 - Accent 5"/>
    <w:uiPriority w:val="0"/>
    <w:qFormat/>
    <w:tblPr>
      <w:tblCellMar>
        <w:left w:w="0" w:type="dxa"/>
        <w:top w:w="0" w:type="dxa"/>
        <w:right w:w="0" w:type="dxa"/>
        <w:bottom w:w="0" w:type="dxa"/>
      </w:tblCellMar>
    </w:tblPr>
  </w:style>
  <w:style w:type="table" w:styleId="1086" w:customStyle="1">
    <w:name w:val="List Table 5 Dark - Accent 5"/>
    <w:uiPriority w:val="0"/>
    <w:qFormat/>
    <w:tblPr>
      <w:tblCellMar>
        <w:left w:w="0" w:type="dxa"/>
        <w:top w:w="0" w:type="dxa"/>
        <w:right w:w="0" w:type="dxa"/>
        <w:bottom w:w="0" w:type="dxa"/>
      </w:tblCellMar>
    </w:tblPr>
  </w:style>
  <w:style w:type="table" w:styleId="1087" w:customStyle="1">
    <w:name w:val="Grid Table 6 Colorful - Accent 1"/>
    <w:uiPriority w:val="0"/>
    <w:qFormat/>
    <w:tblPr>
      <w:tblCellMar>
        <w:left w:w="0" w:type="dxa"/>
        <w:top w:w="0" w:type="dxa"/>
        <w:right w:w="0" w:type="dxa"/>
        <w:bottom w:w="0" w:type="dxa"/>
      </w:tblCellMar>
    </w:tblPr>
  </w:style>
  <w:style w:type="paragraph" w:styleId="1088" w:customStyle="1">
    <w:name w:val="标题 311"/>
    <w:basedOn w:val="719"/>
    <w:next w:val="719"/>
    <w:uiPriority w:val="0"/>
    <w:qFormat/>
    <w:pPr>
      <w:numPr>
        <w:ilvl w:val="2"/>
        <w:numId w:val="12"/>
      </w:numPr>
      <w:spacing w:before="120" w:line="360" w:lineRule="auto"/>
      <w:tabs>
        <w:tab w:val="left" w:pos="900" w:leader="none"/>
      </w:tabs>
      <w:outlineLvl w:val="2"/>
    </w:pPr>
    <w:rPr>
      <w:rFonts w:eastAsia="黑体"/>
      <w:b/>
      <w:sz w:val="28"/>
      <w:szCs w:val="20"/>
    </w:rPr>
  </w:style>
  <w:style w:type="paragraph" w:styleId="1089" w:customStyle="1">
    <w:name w:val="列出段落"/>
    <w:basedOn w:val="719"/>
    <w:uiPriority w:val="34"/>
    <w:qFormat/>
    <w:pPr>
      <w:ind w:firstLine="420"/>
      <w:jc w:val="left"/>
      <w:spacing w:line="360" w:lineRule="atLeast"/>
    </w:pPr>
    <w:rPr>
      <w:sz w:val="24"/>
    </w:rPr>
  </w:style>
  <w:style w:type="character" w:styleId="1090" w:customStyle="1">
    <w:name w:val="font61"/>
    <w:basedOn w:val="729"/>
    <w:uiPriority w:val="0"/>
    <w:qFormat/>
    <w:rPr>
      <w:rFonts w:hint="eastAsia" w:ascii="仿宋" w:hAnsi="仿宋" w:eastAsia="仿宋" w:cs="仿宋"/>
      <w:color w:val="auto"/>
      <w:sz w:val="24"/>
      <w:szCs w:val="24"/>
      <w:u w:val="none"/>
    </w:rPr>
  </w:style>
  <w:style w:type="character" w:styleId="1091" w:customStyle="1">
    <w:name w:val="font51"/>
    <w:basedOn w:val="729"/>
    <w:uiPriority w:val="0"/>
    <w:qFormat/>
    <w:rPr>
      <w:rFonts w:hint="eastAsia" w:ascii="仿宋" w:hAnsi="仿宋" w:eastAsia="仿宋" w:cs="仿宋"/>
      <w:color w:val="000000"/>
      <w:sz w:val="24"/>
      <w:szCs w:val="24"/>
      <w:u w:val="none"/>
    </w:rPr>
  </w:style>
  <w:style w:type="character" w:styleId="1092" w:customStyle="1">
    <w:name w:val="font81"/>
    <w:basedOn w:val="729"/>
    <w:uiPriority w:val="0"/>
    <w:qFormat/>
    <w:rPr>
      <w:rFonts w:hint="eastAsia" w:ascii="仿宋" w:hAnsi="仿宋" w:eastAsia="仿宋" w:cs="仿宋"/>
      <w:color w:val="auto"/>
      <w:sz w:val="24"/>
      <w:szCs w:val="24"/>
      <w:u w:val="none"/>
    </w:rPr>
  </w:style>
  <w:style w:type="character" w:styleId="1093" w:customStyle="1">
    <w:name w:val="font101"/>
    <w:basedOn w:val="729"/>
    <w:uiPriority w:val="0"/>
    <w:qFormat/>
    <w:rPr>
      <w:rFonts w:hint="default" w:ascii="Times New Roman" w:hAnsi="Times New Roman" w:cs="Times New Roman"/>
      <w:color w:val="000000"/>
      <w:sz w:val="22"/>
      <w:szCs w:val="22"/>
      <w:u w:val="none"/>
    </w:rPr>
  </w:style>
  <w:style w:type="character" w:styleId="1094" w:customStyle="1">
    <w:name w:val="font112"/>
    <w:basedOn w:val="729"/>
    <w:uiPriority w:val="0"/>
    <w:qFormat/>
    <w:rPr>
      <w:rFonts w:hint="default" w:ascii="Times New Roman" w:hAnsi="Times New Roman" w:cs="Times New Roman"/>
      <w:color w:val="000000"/>
      <w:sz w:val="22"/>
      <w:szCs w:val="22"/>
      <w:u w:val="none"/>
    </w:rPr>
  </w:style>
  <w:style w:type="character" w:styleId="1095" w:customStyle="1">
    <w:name w:val="font71"/>
    <w:basedOn w:val="729"/>
    <w:uiPriority w:val="0"/>
    <w:qFormat/>
    <w:rPr>
      <w:rFonts w:hint="eastAsia" w:ascii="宋体" w:hAnsi="宋体" w:eastAsia="宋体" w:cs="宋体"/>
      <w:color w:val="000000"/>
      <w:sz w:val="22"/>
      <w:szCs w:val="22"/>
      <w:u w:val="none"/>
    </w:rPr>
  </w:style>
  <w:style w:type="character" w:styleId="1096" w:customStyle="1">
    <w:name w:val="font121"/>
    <w:basedOn w:val="729"/>
    <w:uiPriority w:val="0"/>
    <w:qFormat/>
    <w:rPr>
      <w:rFonts w:hint="eastAsia" w:ascii="宋体" w:hAnsi="宋体" w:eastAsia="宋体" w:cs="宋体"/>
      <w:color w:val="ff0000"/>
      <w:sz w:val="22"/>
      <w:szCs w:val="22"/>
      <w:u w:val="none"/>
    </w:rPr>
  </w:style>
  <w:style w:type="character" w:styleId="1097" w:customStyle="1">
    <w:name w:val="font131"/>
    <w:basedOn w:val="729"/>
    <w:uiPriority w:val="0"/>
    <w:qFormat/>
    <w:rPr>
      <w:rFonts w:hint="eastAsia" w:ascii="宋体" w:hAnsi="宋体" w:eastAsia="宋体" w:cs="宋体"/>
      <w:strike/>
      <w:color w:val="000000"/>
      <w:sz w:val="22"/>
      <w:szCs w:val="22"/>
    </w:rPr>
  </w:style>
  <w:style w:type="character" w:styleId="1098" w:customStyle="1">
    <w:name w:val="font141"/>
    <w:basedOn w:val="729"/>
    <w:uiPriority w:val="0"/>
    <w:qFormat/>
    <w:rPr>
      <w:rFonts w:hint="eastAsia" w:ascii="宋体" w:hAnsi="宋体" w:eastAsia="宋体" w:cs="宋体"/>
      <w:strike/>
      <w:color w:val="ff0000"/>
      <w:sz w:val="22"/>
      <w:szCs w:val="22"/>
    </w:rPr>
  </w:style>
  <w:style w:type="numbering" w:styleId="7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许先生</cp:lastModifiedBy>
  <cp:revision>13</cp:revision>
  <dcterms:created xsi:type="dcterms:W3CDTF">2024-05-04T01:42:00Z</dcterms:created>
  <dcterms:modified xsi:type="dcterms:W3CDTF">2026-09-08T08:46:17Z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ABA8B9D4B5224EBF92E2DDF028457E47_13</vt:lpwstr>
  </property>
  <property fmtid="{D5CDD505-2E9C-101B-9397-08002B2CF9AE}" pid="4" name="KSOTemplateDocerSaveRecord">
    <vt:lpwstr>eyJoZGlkIjoiN2JlMmNlZjhiZjY2OTRiMzBlNTgxNzJiOTI4YjQ5ZTkiLCJ1c2VySWQiOiI3MTQ3NDQ0MjMifQ==</vt:lpwstr>
  </property>
</Properties>
</file>