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docProps/custom.xml" ContentType="application/vnd.openxmlformats-officedocument.custom-properties+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left="0"/>
        <w:jc w:val="right"/>
        <w:rPr>
          <w:rFonts w:ascii="宋体" w:hAnsi="宋体" w:cs="宋体"/>
          <w:b/>
          <w:bCs/>
          <w:color w:val="auto"/>
          <w:sz w:val="48"/>
          <w:szCs w:val="48"/>
          <w:highlight w:val="none"/>
        </w:rPr>
      </w:pPr>
      <w:r>
        <w:rPr>
          <w:rFonts w:ascii="宋体" w:hAnsi="宋体" w:cs="宋体"/>
          <w:b/>
          <w:bCs/>
          <w:color w:val="auto"/>
          <w:sz w:val="48"/>
          <w:szCs w:val="48"/>
          <w:highlight w:val="none"/>
        </w:rPr>
      </w:r>
      <w:r/>
    </w:p>
    <w:p>
      <w:pPr>
        <w:spacing w:line="360" w:lineRule="auto"/>
        <w:rPr>
          <w:rFonts w:ascii="宋体" w:hAnsi="宋体" w:cs="宋体"/>
          <w:b/>
          <w:color w:val="auto"/>
          <w:szCs w:val="21"/>
          <w:highlight w:val="none"/>
        </w:rPr>
      </w:pPr>
      <w:r>
        <w:rPr>
          <w:rFonts w:hint="eastAsia" w:ascii="宋体" w:hAnsi="宋体" w:cs="宋体"/>
          <w:color w:val="auto"/>
          <w:highlight w:val="none"/>
        </w:rPr>
        <w:t xml:space="preserve">      </w:t>
      </w:r>
      <w:r/>
    </w:p>
    <w:p>
      <w:pPr>
        <w:pStyle w:val="1067"/>
        <w:rPr>
          <w:rFonts w:ascii="宋体" w:hAnsi="宋体" w:cs="宋体"/>
          <w:b/>
          <w:color w:val="auto"/>
          <w:szCs w:val="21"/>
          <w:highlight w:val="none"/>
        </w:rPr>
      </w:pPr>
      <w:r>
        <w:rPr>
          <w:rFonts w:ascii="宋体" w:hAnsi="宋体" w:cs="宋体"/>
          <w:b/>
          <w:color w:val="auto"/>
          <w:szCs w:val="21"/>
          <w:highlight w:val="none"/>
        </w:rPr>
      </w:r>
      <w:r/>
    </w:p>
    <w:p>
      <w:pPr>
        <w:pStyle w:val="1067"/>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 w:val="84"/>
          <w:szCs w:val="84"/>
          <w:highlight w:val="none"/>
        </w:rPr>
      </w:pPr>
      <w:r>
        <w:rPr>
          <w:rFonts w:hint="eastAsia" w:ascii="宋体" w:hAnsi="宋体" w:cs="宋体"/>
          <w:b/>
          <w:color w:val="auto"/>
          <w:sz w:val="84"/>
          <w:szCs w:val="84"/>
          <w:highlight w:val="none"/>
        </w:rPr>
        <w:t xml:space="preserve">竞争性磋商文件</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1010"/>
        <w:rPr>
          <w:rFonts w:ascii="宋体" w:hAnsi="宋体" w:cs="宋体"/>
          <w:b/>
          <w:color w:val="auto"/>
          <w:szCs w:val="21"/>
          <w:highlight w:val="none"/>
        </w:rPr>
      </w:pPr>
      <w:r>
        <w:rPr>
          <w:rFonts w:ascii="宋体" w:hAnsi="宋体" w:cs="宋体"/>
          <w:b/>
          <w:color w:val="auto"/>
          <w:szCs w:val="21"/>
          <w:highlight w:val="none"/>
        </w:rPr>
      </w:r>
      <w:r/>
    </w:p>
    <w:p>
      <w:pPr>
        <w:pStyle w:val="1010"/>
        <w:jc w:val="center"/>
        <w:rPr>
          <w:rFonts w:ascii="宋体" w:hAnsi="宋体" w:cs="宋体"/>
          <w:b/>
          <w:color w:val="auto"/>
          <w:szCs w:val="21"/>
          <w:highlight w:val="none"/>
        </w:rPr>
      </w:pPr>
      <w:r>
        <w:rPr>
          <w:rStyle w:val="1519"/>
          <w:rFonts w:ascii="宋体" w:hAnsi="宋体"/>
          <w:b/>
          <w:color w:val="auto"/>
          <w:sz w:val="21"/>
          <w:szCs w:val="21"/>
          <w:highlight w:val="none"/>
        </w:rPr>
        <mc:AlternateContent>
          <mc:Choice Requires="wpg">
            <w:drawing>
              <wp:inline xmlns:wp="http://schemas.openxmlformats.org/drawingml/2006/wordprocessingDrawing" distT="0" distB="0" distL="0" distR="0">
                <wp:extent cx="3035300" cy="2167890"/>
                <wp:effectExtent l="0" t="0" r="0" b="0"/>
                <wp:docPr id="8" name="图片 1"/>
                <wp:cNvGraphicFramePr/>
                <a:graphic xmlns:a="http://schemas.openxmlformats.org/drawingml/2006/main">
                  <a:graphicData uri="http://schemas.openxmlformats.org/drawingml/2006/picture">
                    <pic:pic xmlns:pic="http://schemas.openxmlformats.org/drawingml/2006/picture">
                      <pic:nvPicPr>
                        <pic:cNvPr id="10" name="图片 1"/>
                        <pic:cNvPicPr/>
                        <pic:nvPr/>
                      </pic:nvPicPr>
                      <pic:blipFill>
                        <a:blip r:embed="rId23"/>
                        <a:stretch/>
                      </pic:blipFill>
                      <pic:spPr bwMode="auto">
                        <a:xfrm>
                          <a:off x="0" y="0"/>
                          <a:ext cx="3035300" cy="2167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39.0pt;height:170.7pt;mso-wrap-distance-left:0.0pt;mso-wrap-distance-top:0.0pt;mso-wrap-distance-right:0.0pt;mso-wrap-distance-bottom:0.0pt;" stroked="f">
                <v:path textboxrect="0,0,0,0"/>
                <v:imagedata r:id="rId23" o:title=""/>
              </v:shape>
            </w:pict>
          </mc:Fallback>
        </mc:AlternateContent>
      </w:r>
      <w:r/>
    </w:p>
    <w:p>
      <w:pPr>
        <w:pStyle w:val="1010"/>
        <w:rPr>
          <w:rFonts w:ascii="宋体" w:hAnsi="宋体" w:cs="宋体"/>
          <w:b/>
          <w:color w:val="auto"/>
          <w:szCs w:val="21"/>
          <w:highlight w:val="none"/>
        </w:rPr>
      </w:pPr>
      <w:r>
        <w:rPr>
          <w:rFonts w:ascii="宋体" w:hAnsi="宋体" w:cs="宋体"/>
          <w:b/>
          <w:color w:val="auto"/>
          <w:szCs w:val="21"/>
          <w:highlight w:val="none"/>
        </w:rPr>
      </w:r>
      <w:r/>
    </w:p>
    <w:p>
      <w:pPr>
        <w:pStyle w:val="1068"/>
        <w:rPr>
          <w:rFonts w:ascii="宋体" w:hAnsi="宋体" w:cs="宋体"/>
          <w:color w:val="auto"/>
          <w:highlight w:val="none"/>
        </w:rPr>
      </w:pPr>
      <w:r>
        <w:rPr>
          <w:rFonts w:ascii="宋体" w:hAnsi="宋体" w:cs="宋体"/>
          <w:color w:val="auto"/>
          <w:highlight w:val="none"/>
        </w:rPr>
      </w:r>
      <w:r/>
    </w:p>
    <w:p>
      <w:pPr>
        <w:pStyle w:val="1068"/>
        <w:rPr>
          <w:rFonts w:ascii="宋体" w:hAnsi="宋体" w:cs="宋体"/>
          <w:color w:val="auto"/>
          <w:highlight w:val="none"/>
        </w:rPr>
      </w:pPr>
      <w:r>
        <w:rPr>
          <w:rFonts w:ascii="宋体" w:hAnsi="宋体" w:cs="宋体"/>
          <w:color w:val="auto"/>
          <w:highlight w:val="none"/>
        </w:rPr>
      </w:r>
      <w:r/>
    </w:p>
    <w:p>
      <w:pPr>
        <w:pStyle w:val="1068"/>
        <w:rPr>
          <w:rFonts w:ascii="宋体" w:hAnsi="宋体" w:cs="宋体"/>
          <w:color w:val="auto"/>
          <w:highlight w:val="none"/>
        </w:rPr>
      </w:pPr>
      <w:r>
        <w:rPr>
          <w:rFonts w:ascii="宋体" w:hAnsi="宋体" w:cs="宋体"/>
          <w:color w:val="auto"/>
          <w:highlight w:val="none"/>
        </w:rPr>
      </w:r>
      <w:r/>
    </w:p>
    <w:p>
      <w:pPr>
        <w:ind w:firstLine="1606"/>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JSZC-320300-JTGS-C2026-0036</w:t>
      </w:r>
      <w:r/>
    </w:p>
    <w:p>
      <w:pPr>
        <w:pStyle w:val="1067"/>
        <w:jc w:val="center"/>
        <w:rPr>
          <w:rFonts w:ascii="宋体" w:hAnsi="宋体" w:cs="宋体"/>
          <w:color w:val="auto"/>
          <w:highlight w:val="none"/>
        </w:rPr>
      </w:pPr>
      <w:r>
        <w:rPr>
          <w:rFonts w:ascii="宋体" w:hAnsi="宋体" w:cs="宋体"/>
          <w:color w:val="auto"/>
          <w:highlight w:val="none"/>
        </w:rPr>
      </w:r>
      <w:r/>
    </w:p>
    <w:p>
      <w:pPr>
        <w:ind w:firstLine="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市级机关破墙透绿改造工程</w:t>
      </w:r>
      <w:r/>
    </w:p>
    <w:p>
      <w:pPr>
        <w:pStyle w:val="1067"/>
        <w:jc w:val="center"/>
        <w:rPr>
          <w:rFonts w:ascii="宋体" w:hAnsi="宋体" w:cs="宋体"/>
          <w:color w:val="auto"/>
          <w:highlight w:val="none"/>
        </w:rPr>
      </w:pPr>
      <w:r>
        <w:rPr>
          <w:rFonts w:ascii="宋体" w:hAnsi="宋体" w:cs="宋体"/>
          <w:color w:val="auto"/>
          <w:highlight w:val="none"/>
        </w:rPr>
      </w:r>
      <w:r/>
    </w:p>
    <w:p>
      <w:pPr>
        <w:ind w:firstLine="1606"/>
        <w:jc w:val="both"/>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采购单位：</w:t>
      </w:r>
      <w:r>
        <w:rPr>
          <w:rFonts w:hint="eastAsia" w:ascii="宋体" w:hAnsi="宋体" w:cs="宋体"/>
          <w:color w:val="auto"/>
          <w:sz w:val="32"/>
          <w:highlight w:val="none"/>
          <w:lang w:eastAsia="zh-CN"/>
        </w:rPr>
        <w:t xml:space="preserve">徐州市机关事务管理局</w:t>
      </w:r>
      <w:r/>
    </w:p>
    <w:p>
      <w:pPr>
        <w:jc w:val="center"/>
        <w:rPr>
          <w:rFonts w:ascii="宋体" w:hAnsi="宋体" w:cs="宋体"/>
          <w:color w:val="auto"/>
          <w:szCs w:val="21"/>
          <w:highlight w:val="none"/>
        </w:rPr>
      </w:pPr>
      <w:r>
        <w:rPr>
          <w:rFonts w:hint="eastAsia" w:ascii="宋体" w:hAnsi="宋体" w:cs="宋体"/>
          <w:color w:val="auto"/>
          <w:sz w:val="32"/>
          <w:highlight w:val="none"/>
        </w:rPr>
        <w:tab/>
      </w:r>
      <w:r/>
    </w:p>
    <w:p>
      <w:pPr>
        <w:spacing w:line="360" w:lineRule="auto"/>
        <w:rPr>
          <w:rFonts w:ascii="宋体" w:hAnsi="宋体" w:cs="宋体"/>
          <w:b/>
          <w:color w:val="auto"/>
          <w:sz w:val="32"/>
          <w:highlight w:val="none"/>
        </w:rPr>
      </w:pPr>
      <w:r>
        <w:rPr>
          <w:rFonts w:ascii="宋体" w:hAnsi="宋体" w:cs="宋体"/>
          <w:b/>
          <w:color w:val="auto"/>
          <w:sz w:val="32"/>
          <w:highlight w:val="none"/>
        </w:rPr>
      </w:r>
      <w:r/>
    </w:p>
    <w:p>
      <w:pPr>
        <w:pStyle w:val="1010"/>
        <w:rPr>
          <w:rFonts w:ascii="宋体" w:hAnsi="宋体" w:cs="宋体"/>
          <w:b/>
          <w:color w:val="auto"/>
          <w:sz w:val="32"/>
          <w:highlight w:val="none"/>
        </w:rPr>
      </w:pPr>
      <w:r>
        <w:rPr>
          <w:rFonts w:ascii="宋体" w:hAnsi="宋体" w:cs="宋体"/>
          <w:b/>
          <w:color w:val="auto"/>
          <w:sz w:val="32"/>
          <w:highlight w:val="none"/>
        </w:rPr>
      </w:r>
      <w:r/>
    </w:p>
    <w:p>
      <w:pPr>
        <w:pStyle w:val="1010"/>
        <w:rPr>
          <w:rFonts w:ascii="宋体" w:hAnsi="宋体" w:cs="宋体"/>
          <w:b/>
          <w:color w:val="auto"/>
          <w:sz w:val="32"/>
          <w:highlight w:val="none"/>
        </w:rPr>
      </w:pPr>
      <w:r>
        <w:rPr>
          <w:rFonts w:ascii="宋体" w:hAnsi="宋体" w:cs="宋体"/>
          <w:b/>
          <w:color w:val="auto"/>
          <w:sz w:val="32"/>
          <w:highlight w:val="none"/>
        </w:rPr>
      </w:r>
      <w:r/>
    </w:p>
    <w:p>
      <w:pP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      代理机构：江苏骏通建设项目管理咨询有限公司</w:t>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二〇二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八</w:t>
      </w:r>
      <w:r>
        <w:rPr>
          <w:rFonts w:hint="eastAsia" w:ascii="宋体" w:hAnsi="宋体" w:cs="宋体"/>
          <w:b/>
          <w:color w:val="auto"/>
          <w:sz w:val="32"/>
          <w:highlight w:val="none"/>
        </w:rPr>
        <w:t xml:space="preserve">月</w:t>
      </w:r>
      <w:r/>
    </w:p>
    <w:p>
      <w:pPr>
        <w:jc w:val="center"/>
        <w:rPr>
          <w:rFonts w:hint="eastAsia" w:ascii="宋体" w:hAnsi="宋体" w:cs="宋体"/>
          <w:b/>
          <w:color w:val="auto"/>
          <w:sz w:val="36"/>
          <w:highlight w:val="none"/>
        </w:rPr>
        <w:sectPr>
          <w:headerReference w:type="default" r:id="rId10"/>
          <w:headerReference w:type="first" r:id="rId11"/>
          <w:footnotePr/>
          <w:endnotePr/>
          <w:type w:val="nextPage"/>
          <w:pgSz w:w="11906" w:h="16838" w:orient="portrait"/>
          <w:pgMar w:top="1361" w:right="1417" w:bottom="1361" w:left="1417" w:header="851" w:footer="992" w:gutter="0"/>
          <w:cols w:num="1" w:sep="0" w:space="1701" w:equalWidth="1"/>
          <w:docGrid w:linePitch="360"/>
          <w:titlePg/>
        </w:sectPr>
      </w:pPr>
      <w:r>
        <w:rPr>
          <w:rFonts w:hint="eastAsia" w:ascii="宋体" w:hAnsi="宋体" w:cs="宋体"/>
          <w:b/>
          <w:color w:val="auto"/>
          <w:sz w:val="36"/>
          <w:highlight w:val="none"/>
        </w:rPr>
      </w:r>
      <w:r/>
    </w:p>
    <w:p>
      <w:pPr>
        <w:jc w:val="center"/>
        <w:rPr>
          <w:rFonts w:hint="eastAsia" w:ascii="宋体" w:hAnsi="宋体" w:cs="宋体"/>
          <w:color w:val="auto"/>
          <w:sz w:val="24"/>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JSZC-320300-JTGS-C2026-0036</w:t>
      </w:r>
      <w:r/>
    </w:p>
    <w:p>
      <w:pPr>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rPr>
        <w:t xml:space="preserve">（供应商）：</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rPr>
        <w:t xml:space="preserve">江苏骏通建设项目管理咨询有限公司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市级机关破墙透绿改造工程</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第一章 项目说明</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徐州市机关事务管理局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市级机关破墙透绿改造工程</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JSZC-320300-JTGS-C2026-0036</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JSZC-320300-JTGS-C2026-0036</w:t>
      </w:r>
      <w:r>
        <w:rPr>
          <w:rFonts w:hint="eastAsia" w:ascii="宋体" w:hAnsi="宋体" w:cs="宋体"/>
          <w:color w:val="auto"/>
          <w:sz w:val="24"/>
          <w:highlight w:val="none"/>
        </w:rPr>
        <w:t xml:space="preserve">）。</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七、</w:t>
      </w:r>
      <w:r>
        <w:rPr>
          <w:rFonts w:hint="eastAsia" w:ascii="宋体" w:hAnsi="宋体" w:cs="宋体"/>
          <w:b/>
          <w:bCs/>
          <w:color w:val="auto"/>
          <w:sz w:val="24"/>
          <w:highlight w:val="none"/>
        </w:rPr>
        <w:t xml:space="preserve">采购预算（采购项目预算金额）：见《磋商文件》附件2、《项目要求（采购需求）》。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九、合同草案条款：见《磋商文件》附件1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、《合同草案条款》。</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1、供应商报价为要约，江苏骏通建设项目管理咨询有限公司无承诺表示时视为未成交，江苏骏通建设项目管理咨询有限公司认为必要时可重新进行竞争性磋商采购或采取其它方式采购。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第二章 磋商保证金</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right="-57"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ascii="宋体" w:hAnsi="宋体" w:cs="宋体"/>
          <w:color w:val="auto"/>
          <w:sz w:val="24"/>
          <w:highlight w:val="none"/>
        </w:rPr>
      </w:pPr>
      <w:r>
        <w:rPr>
          <w:rFonts w:hint="eastAsia" w:ascii="宋体" w:hAnsi="宋体" w:cs="宋体"/>
          <w:color w:val="auto"/>
          <w:sz w:val="28"/>
          <w:szCs w:val="28"/>
          <w:highlight w:val="none"/>
        </w:rPr>
        <w:t xml:space="preserve">第三章 响应文件</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08"/>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“苏采云”系统使用要求：</w:t>
      </w:r>
      <w:r/>
    </w:p>
    <w:p>
      <w:pPr>
        <w:pStyle w:val="1008"/>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1、使用谷歌浏览器参与不见面开标及磋商环节。</w:t>
      </w:r>
      <w:r/>
    </w:p>
    <w:p>
      <w:pPr>
        <w:pStyle w:val="1008"/>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2、电脑需提前准备好麦克风、音响，摄像头，提前检查保证能够正常使用。</w:t>
      </w:r>
      <w:r/>
    </w:p>
    <w:p>
      <w:pPr>
        <w:pStyle w:val="1008"/>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3、操作系统至少win7以上，建议使用win10操作系统。</w:t>
      </w:r>
      <w:r/>
    </w:p>
    <w:p>
      <w:pPr>
        <w:pStyle w:val="972"/>
        <w:ind w:firstLine="480"/>
        <w:rPr>
          <w:rFonts w:eastAsia="宋体" w:cs="宋体"/>
          <w:color w:val="auto"/>
          <w:highlight w:val="none"/>
        </w:rPr>
      </w:pPr>
      <w:r>
        <w:rPr>
          <w:rFonts w:hint="eastAsia" w:eastAsia="宋体" w:cs="宋体"/>
          <w:b/>
          <w:bCs/>
          <w:color w:val="auto"/>
          <w:highlight w:val="none"/>
        </w:rPr>
        <w:t xml:space="preserve">（二）首次响应文件提交的截止时间：202</w:t>
      </w:r>
      <w:r>
        <w:rPr>
          <w:rFonts w:hint="eastAsia" w:eastAsia="宋体" w:cs="宋体"/>
          <w:b/>
          <w:bCs/>
          <w:color w:val="auto"/>
          <w:highlight w:val="none"/>
          <w:lang w:val="en-US" w:eastAsia="zh-CN"/>
        </w:rPr>
        <w:t xml:space="preserve">6</w:t>
      </w:r>
      <w:r>
        <w:rPr>
          <w:rFonts w:hint="eastAsia" w:eastAsia="宋体" w:cs="宋体"/>
          <w:b/>
          <w:bCs/>
          <w:color w:val="auto"/>
          <w:highlight w:val="none"/>
        </w:rPr>
        <w:t xml:space="preserve">年</w:t>
      </w:r>
      <w:bookmarkStart w:id="927" w:name="_GoBack"/>
      <w:r/>
      <w:bookmarkEnd w:id="927"/>
      <w:r>
        <w:rPr>
          <w:rFonts w:hint="eastAsia" w:eastAsia="宋体" w:cs="宋体"/>
          <w:b/>
          <w:bCs/>
          <w:color w:val="auto"/>
          <w:highlight w:val="none"/>
          <w:lang w:val="en-US" w:eastAsia="zh-CN"/>
        </w:rPr>
        <w:t xml:space="preserve">9</w:t>
      </w:r>
      <w:r>
        <w:rPr>
          <w:rFonts w:hint="eastAsia" w:eastAsia="宋体" w:cs="宋体"/>
          <w:b/>
          <w:bCs/>
          <w:color w:val="auto"/>
          <w:highlight w:val="none"/>
        </w:rPr>
        <w:t xml:space="preserve">月</w:t>
      </w:r>
      <w:r>
        <w:rPr>
          <w:rFonts w:hint="eastAsia" w:eastAsia="宋体" w:cs="宋体"/>
          <w:b/>
          <w:bCs/>
          <w:color w:val="auto"/>
          <w:highlight w:val="none"/>
          <w:lang w:val="en-US" w:eastAsia="zh-CN"/>
        </w:rPr>
        <w:t xml:space="preserve">11</w:t>
      </w:r>
      <w:r>
        <w:rPr>
          <w:rFonts w:hint="eastAsia" w:eastAsia="宋体" w:cs="宋体"/>
          <w:b/>
          <w:bCs/>
          <w:color w:val="auto"/>
          <w:highlight w:val="none"/>
        </w:rPr>
        <w:t xml:space="preserve">日9:30（北京时间），</w:t>
      </w:r>
      <w:r>
        <w:rPr>
          <w:rFonts w:hint="eastAsia" w:eastAsia="宋体" w:cs="宋体"/>
          <w:color w:val="auto"/>
          <w:highlight w:val="none"/>
        </w:rPr>
        <w:t xml:space="preserve">在截止时间后提交的首次响应文件为无效文件，将被拒收。</w:t>
      </w:r>
      <w:r/>
    </w:p>
    <w:p>
      <w:pPr>
        <w:pStyle w:val="972"/>
        <w:ind w:firstLine="480"/>
        <w:rPr>
          <w:rFonts w:eastAsia="宋体" w:cs="宋体"/>
          <w:b/>
          <w:bCs/>
          <w:color w:val="auto"/>
          <w:highlight w:val="none"/>
        </w:rPr>
      </w:pPr>
      <w:r>
        <w:rPr>
          <w:rFonts w:hint="eastAsia" w:eastAsia="宋体" w:cs="宋体"/>
          <w:b/>
          <w:bCs/>
          <w:color w:val="auto"/>
          <w:highlight w:val="none"/>
        </w:rPr>
        <w:t xml:space="preserve">（三）首次响应文件提交时间、地点：</w:t>
      </w:r>
      <w:r/>
    </w:p>
    <w:p>
      <w:pPr>
        <w:pStyle w:val="972"/>
        <w:ind w:firstLine="480"/>
        <w:rPr>
          <w:rFonts w:eastAsia="宋体" w:cs="宋体"/>
          <w:color w:val="auto"/>
          <w:highlight w:val="none"/>
        </w:rPr>
      </w:pPr>
      <w:r>
        <w:rPr>
          <w:rFonts w:hint="eastAsia" w:eastAsia="宋体" w:cs="宋体"/>
          <w:color w:val="auto"/>
          <w:highlight w:val="none"/>
        </w:rPr>
        <w:t xml:space="preserve">1、提交时间</w:t>
      </w:r>
      <w:r/>
    </w:p>
    <w:p>
      <w:pPr>
        <w:pStyle w:val="972"/>
        <w:ind w:firstLine="480"/>
        <w:rPr>
          <w:rFonts w:eastAsia="宋体" w:cs="宋体"/>
          <w:b/>
          <w:bCs/>
          <w:color w:val="auto"/>
          <w:highlight w:val="none"/>
        </w:rPr>
      </w:pPr>
      <w:r>
        <w:rPr>
          <w:rFonts w:hint="eastAsia" w:eastAsia="宋体" w:cs="宋体"/>
          <w:color w:val="auto"/>
          <w:highlight w:val="none"/>
        </w:rPr>
        <w:t xml:space="preserve">首次响应文件提交的截止时间</w:t>
      </w:r>
      <w:r>
        <w:rPr>
          <w:rFonts w:hint="eastAsia" w:eastAsia="宋体" w:cs="宋体"/>
          <w:b/>
          <w:bCs/>
          <w:color w:val="auto"/>
          <w:highlight w:val="none"/>
        </w:rPr>
        <w:t xml:space="preserve">（202</w:t>
      </w:r>
      <w:r>
        <w:rPr>
          <w:rFonts w:hint="eastAsia" w:eastAsia="宋体" w:cs="宋体"/>
          <w:b/>
          <w:bCs/>
          <w:color w:val="auto"/>
          <w:highlight w:val="none"/>
          <w:lang w:val="en-US" w:eastAsia="zh-CN"/>
        </w:rPr>
        <w:t xml:space="preserve">6</w:t>
      </w:r>
      <w:r>
        <w:rPr>
          <w:rFonts w:hint="eastAsia" w:eastAsia="宋体" w:cs="宋体"/>
          <w:b/>
          <w:bCs/>
          <w:color w:val="auto"/>
          <w:highlight w:val="none"/>
        </w:rPr>
        <w:t xml:space="preserve">年</w:t>
      </w:r>
      <w:r>
        <w:rPr>
          <w:rFonts w:hint="eastAsia" w:eastAsia="宋体" w:cs="宋体"/>
          <w:b/>
          <w:bCs/>
          <w:color w:val="auto"/>
          <w:highlight w:val="none"/>
          <w:lang w:val="en-US" w:eastAsia="zh-CN"/>
        </w:rPr>
        <w:t xml:space="preserve">9</w:t>
      </w:r>
      <w:r>
        <w:rPr>
          <w:rFonts w:hint="eastAsia" w:eastAsia="宋体" w:cs="宋体"/>
          <w:b/>
          <w:bCs/>
          <w:color w:val="auto"/>
          <w:highlight w:val="none"/>
        </w:rPr>
        <w:t xml:space="preserve">月</w:t>
      </w:r>
      <w:r>
        <w:rPr>
          <w:rFonts w:hint="eastAsia" w:eastAsia="宋体" w:cs="宋体"/>
          <w:b/>
          <w:bCs/>
          <w:color w:val="auto"/>
          <w:highlight w:val="none"/>
          <w:lang w:val="en-US" w:eastAsia="zh-CN"/>
        </w:rPr>
        <w:t xml:space="preserve">11</w:t>
      </w:r>
      <w:r>
        <w:rPr>
          <w:rFonts w:hint="eastAsia" w:eastAsia="宋体" w:cs="宋体"/>
          <w:b/>
          <w:bCs/>
          <w:color w:val="auto"/>
          <w:highlight w:val="none"/>
        </w:rPr>
        <w:t xml:space="preserve">日9:30（北京时间））前。</w:t>
      </w:r>
      <w:r/>
    </w:p>
    <w:p>
      <w:pPr>
        <w:pStyle w:val="972"/>
        <w:ind w:firstLine="480"/>
        <w:rPr>
          <w:rFonts w:eastAsia="宋体" w:cs="宋体"/>
          <w:color w:val="auto"/>
          <w:highlight w:val="none"/>
        </w:rPr>
      </w:pPr>
      <w:r>
        <w:rPr>
          <w:rFonts w:hint="eastAsia" w:eastAsia="宋体" w:cs="宋体"/>
          <w:color w:val="auto"/>
          <w:highlight w:val="none"/>
        </w:rPr>
        <w:t xml:space="preserve">2、提交地点：</w:t>
      </w:r>
      <w:r/>
    </w:p>
    <w:p>
      <w:pPr>
        <w:pStyle w:val="972"/>
        <w:ind w:firstLine="480"/>
        <w:rPr>
          <w:rFonts w:eastAsia="宋体" w:cs="宋体"/>
          <w:color w:val="auto"/>
          <w:highlight w:val="none"/>
        </w:rPr>
      </w:pPr>
      <w:r>
        <w:rPr>
          <w:rFonts w:hint="eastAsia" w:eastAsia="宋体" w:cs="宋体"/>
          <w:color w:val="auto"/>
          <w:highlight w:val="none"/>
        </w:rPr>
        <w:t xml:space="preserve">“苏采云”系统（网址：http://jszfcg.jsczt.cn/）“开标大厅”或进入徐州政府采购网（网址：http://czj.xz.gov.cn/Home/HomeIndex）-业务工作-用户登录，点击“苏采云”进入系统“开标大厅”。 </w:t>
      </w:r>
      <w:r/>
    </w:p>
    <w:p>
      <w:pPr>
        <w:pStyle w:val="972"/>
        <w:ind w:firstLine="480"/>
        <w:rPr>
          <w:rFonts w:eastAsia="宋体" w:cs="宋体"/>
          <w:b/>
          <w:bCs/>
          <w:color w:val="auto"/>
          <w:highlight w:val="none"/>
        </w:rPr>
      </w:pPr>
      <w:r>
        <w:rPr>
          <w:rFonts w:hint="eastAsia" w:eastAsia="宋体" w:cs="宋体"/>
          <w:b/>
          <w:bCs/>
          <w:color w:val="auto"/>
          <w:highlight w:val="none"/>
        </w:rPr>
        <w:t xml:space="preserve">（四）首次响应文件开启时间：202</w:t>
      </w:r>
      <w:r>
        <w:rPr>
          <w:rFonts w:hint="eastAsia" w:eastAsia="宋体" w:cs="宋体"/>
          <w:b/>
          <w:bCs/>
          <w:color w:val="auto"/>
          <w:highlight w:val="none"/>
          <w:lang w:val="en-US" w:eastAsia="zh-CN"/>
        </w:rPr>
        <w:t xml:space="preserve">6</w:t>
      </w:r>
      <w:r>
        <w:rPr>
          <w:rFonts w:hint="eastAsia" w:eastAsia="宋体" w:cs="宋体"/>
          <w:b/>
          <w:bCs/>
          <w:color w:val="auto"/>
          <w:highlight w:val="none"/>
        </w:rPr>
        <w:t xml:space="preserve">年</w:t>
      </w:r>
      <w:r>
        <w:rPr>
          <w:rFonts w:hint="eastAsia" w:eastAsia="宋体" w:cs="宋体"/>
          <w:b/>
          <w:bCs/>
          <w:color w:val="auto"/>
          <w:highlight w:val="none"/>
          <w:lang w:val="en-US" w:eastAsia="zh-CN"/>
        </w:rPr>
        <w:t xml:space="preserve">9</w:t>
      </w:r>
      <w:r>
        <w:rPr>
          <w:rFonts w:hint="eastAsia" w:eastAsia="宋体" w:cs="宋体"/>
          <w:b/>
          <w:bCs/>
          <w:color w:val="auto"/>
          <w:highlight w:val="none"/>
        </w:rPr>
        <w:t xml:space="preserve">月</w:t>
      </w:r>
      <w:r>
        <w:rPr>
          <w:rFonts w:hint="eastAsia" w:eastAsia="宋体" w:cs="宋体"/>
          <w:b/>
          <w:bCs/>
          <w:color w:val="auto"/>
          <w:highlight w:val="none"/>
          <w:lang w:val="en-US" w:eastAsia="zh-CN"/>
        </w:rPr>
        <w:t xml:space="preserve">11</w:t>
      </w:r>
      <w:r>
        <w:rPr>
          <w:rFonts w:hint="eastAsia" w:eastAsia="宋体" w:cs="宋体"/>
          <w:b/>
          <w:bCs/>
          <w:color w:val="auto"/>
          <w:highlight w:val="none"/>
        </w:rPr>
        <w:t xml:space="preserve">日9:30（北京时间）。</w:t>
      </w:r>
      <w:r/>
    </w:p>
    <w:p>
      <w:pPr>
        <w:pStyle w:val="972"/>
        <w:ind w:firstLine="480"/>
        <w:rPr>
          <w:rFonts w:eastAsia="宋体" w:cs="宋体"/>
          <w:b/>
          <w:bCs/>
          <w:color w:val="auto"/>
          <w:highlight w:val="none"/>
        </w:rPr>
      </w:pPr>
      <w:r>
        <w:rPr>
          <w:rFonts w:hint="eastAsia" w:eastAsia="宋体" w:cs="宋体"/>
          <w:b/>
          <w:bCs/>
          <w:color w:val="auto"/>
          <w:highlight w:val="none"/>
        </w:rPr>
        <w:t xml:space="preserve">（五）首次响应文件开启地点：</w:t>
      </w:r>
      <w:r/>
    </w:p>
    <w:p>
      <w:pPr>
        <w:pStyle w:val="972"/>
        <w:ind w:firstLine="480"/>
        <w:rPr>
          <w:rFonts w:eastAsia="宋体" w:cs="宋体"/>
          <w:color w:val="auto"/>
          <w:highlight w:val="none"/>
        </w:rPr>
      </w:pPr>
      <w:r>
        <w:rPr>
          <w:rFonts w:hint="eastAsia" w:eastAsia="宋体" w:cs="宋体"/>
          <w:color w:val="auto"/>
          <w:highlight w:val="none"/>
        </w:rPr>
        <w:t xml:space="preserve">“苏采云”系统（网址：http://jszfcg.jsczt.cn/）“开标大厅”或进入徐州政府采购网（网址：http://czj.xz.gov.cn/Home/HomeIndex）-业务工作-用户登录，点击“苏采云”进入系统“开标大厅”。</w:t>
      </w:r>
      <w:r/>
    </w:p>
    <w:p>
      <w:pPr>
        <w:pStyle w:val="972"/>
        <w:ind w:firstLine="480"/>
        <w:rPr>
          <w:rFonts w:eastAsia="宋体" w:cs="宋体"/>
          <w:color w:val="auto"/>
          <w:highlight w:val="none"/>
        </w:rPr>
      </w:pPr>
      <w:r>
        <w:rPr>
          <w:rFonts w:hint="eastAsia" w:eastAsia="宋体" w:cs="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2"/>
        <w:ind w:firstLine="480"/>
        <w:jc w:val="left"/>
        <w:shd w:val="clear" w:color="auto" w:fill="ffffff"/>
        <w:rPr>
          <w:rFonts w:eastAsia="宋体" w:cs="宋体"/>
          <w:color w:val="auto"/>
          <w:highlight w:val="none"/>
        </w:rPr>
        <w:outlineLvl w:val="0"/>
      </w:pPr>
      <w:r>
        <w:rPr>
          <w:rFonts w:hint="eastAsia" w:eastAsia="宋体" w:cs="宋体"/>
          <w:color w:val="auto"/>
          <w:highlight w:val="none"/>
        </w:rPr>
        <w:t xml:space="preserve">（七）不接受不按要求加盖公章（电子签章）的首次响应文件。电子签章相关要求见“苏采云”系统。</w:t>
      </w:r>
      <w:r/>
    </w:p>
    <w:p>
      <w:pPr>
        <w:pStyle w:val="972"/>
        <w:ind w:firstLine="480"/>
        <w:rPr>
          <w:rFonts w:eastAsia="宋体" w:cs="宋体"/>
          <w:color w:val="auto"/>
          <w:highlight w:val="none"/>
        </w:rPr>
      </w:pPr>
      <w:r>
        <w:rPr>
          <w:rFonts w:hint="eastAsia" w:eastAsia="宋体" w:cs="宋体"/>
          <w:bCs/>
          <w:color w:val="auto"/>
          <w:highlight w:val="none"/>
        </w:rPr>
        <w:t xml:space="preserve">（八）首次响应文件解密：到达开启时间，</w:t>
      </w:r>
      <w:r>
        <w:rPr>
          <w:rFonts w:hint="eastAsia" w:eastAsia="宋体" w:cs="宋体"/>
          <w:color w:val="auto"/>
          <w:highlight w:val="none"/>
        </w:rPr>
        <w:t xml:space="preserve">“苏采云”系统自动提取所有响应文件，供应商按采购文件规定方式按时在线解密。本项目采购文件规定的供应商按时在线解密方式：</w:t>
      </w:r>
      <w:r>
        <w:rPr>
          <w:rFonts w:hint="eastAsia" w:eastAsia="宋体" w:cs="宋体"/>
          <w:b/>
          <w:bCs/>
          <w:color w:val="auto"/>
          <w:highlight w:val="none"/>
        </w:rPr>
        <w:t xml:space="preserve">开启时间后30分钟内</w:t>
      </w:r>
      <w:r>
        <w:rPr>
          <w:rFonts w:hint="eastAsia" w:eastAsia="宋体" w:cs="宋体"/>
          <w:color w:val="auto"/>
          <w:highlight w:val="none"/>
        </w:rPr>
        <w:t xml:space="preserve">，通过“苏采云”系统（使用“CA数字证书”）解密。</w:t>
      </w:r>
      <w:r/>
    </w:p>
    <w:p>
      <w:pPr>
        <w:pStyle w:val="972"/>
        <w:ind w:firstLine="480"/>
        <w:rPr>
          <w:rFonts w:eastAsia="宋体" w:cs="宋体"/>
          <w:color w:val="auto"/>
          <w:highlight w:val="none"/>
        </w:rPr>
      </w:pPr>
      <w:r>
        <w:rPr>
          <w:rFonts w:hint="eastAsia" w:eastAsia="宋体" w:cs="宋体"/>
          <w:color w:val="auto"/>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eastAsia="宋体" w:cs="宋体"/>
          <w:color w:val="auto"/>
          <w:highlight w:val="none"/>
        </w:rPr>
        <w:t xml:space="preserve">http://jszfcg.jsczt.cn/</w:t>
      </w:r>
      <w:r>
        <w:rPr>
          <w:rFonts w:hint="eastAsia" w:eastAsia="宋体" w:cs="宋体"/>
          <w:color w:val="auto"/>
          <w:highlight w:val="none"/>
        </w:rPr>
        <w:fldChar w:fldCharType="end"/>
      </w:r>
      <w:r>
        <w:rPr>
          <w:rFonts w:hint="eastAsia" w:eastAsia="宋体" w:cs="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67"/>
        <w:spacing w:line="360" w:lineRule="auto"/>
        <w:rPr>
          <w:rFonts w:ascii="宋体" w:hAnsi="宋体" w:cs="宋体"/>
          <w:color w:val="auto"/>
          <w:sz w:val="84"/>
          <w:szCs w:val="84"/>
          <w:highlight w:val="none"/>
        </w:rPr>
      </w:pPr>
      <w:r>
        <w:rPr>
          <w:rFonts w:hint="eastAsia" w:ascii="宋体" w:hAnsi="宋体" w:cs="宋体"/>
          <w:color w:val="auto"/>
          <w:sz w:val="24"/>
          <w:highlight w:val="none"/>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72"/>
        <w:ind w:firstLine="480"/>
        <w:rPr>
          <w:rFonts w:eastAsia="宋体" w:cs="宋体"/>
          <w:b/>
          <w:bCs/>
          <w:color w:val="auto"/>
          <w:highlight w:val="none"/>
        </w:rPr>
      </w:pPr>
      <w:r>
        <w:rPr>
          <w:rFonts w:hint="eastAsia" w:eastAsia="宋体" w:cs="宋体"/>
          <w:b/>
          <w:bCs/>
          <w:color w:val="auto"/>
          <w:highlight w:val="none"/>
        </w:rPr>
        <w:t xml:space="preserve">请按照以下要求（包括但不限于以下要求）制作：</w:t>
      </w:r>
      <w:r/>
    </w:p>
    <w:p>
      <w:pPr>
        <w:pStyle w:val="972"/>
        <w:ind w:firstLine="425"/>
        <w:rPr>
          <w:rFonts w:eastAsia="宋体"/>
          <w:b/>
          <w:color w:val="auto"/>
          <w:highlight w:val="none"/>
        </w:rPr>
      </w:pPr>
      <w:r>
        <w:rPr>
          <w:rFonts w:eastAsia="宋体"/>
          <w:b/>
          <w:color w:val="auto"/>
          <w:highlight w:val="none"/>
        </w:rPr>
        <w:t xml:space="preserve">（一）基本目录</w:t>
      </w:r>
      <w:r/>
    </w:p>
    <w:p>
      <w:pPr>
        <w:pStyle w:val="972"/>
        <w:ind w:firstLine="480"/>
        <w:rPr>
          <w:rFonts w:eastAsia="宋体"/>
          <w:bCs/>
          <w:color w:val="auto"/>
          <w:highlight w:val="none"/>
        </w:rPr>
      </w:pPr>
      <w:r>
        <w:rPr>
          <w:rFonts w:eastAsia="宋体"/>
          <w:bCs/>
          <w:color w:val="auto"/>
          <w:highlight w:val="none"/>
        </w:rPr>
        <w:t xml:space="preserve">1、</w:t>
      </w:r>
      <w:r>
        <w:rPr>
          <w:rFonts w:eastAsia="宋体"/>
          <w:color w:val="auto"/>
          <w:highlight w:val="none"/>
        </w:rPr>
        <w:t xml:space="preserve">《磋商报价表》（加盖电子签章，格式见《磋商文件》附件。</w:t>
      </w:r>
      <w:r>
        <w:rPr>
          <w:rFonts w:eastAsia="宋体"/>
          <w:b/>
          <w:bCs w:val="0"/>
          <w:color w:val="auto"/>
          <w:highlight w:val="none"/>
        </w:rPr>
        <w:t xml:space="preserve">政府采购客户端工具输入报价自动生成</w:t>
      </w:r>
      <w:r>
        <w:rPr>
          <w:rFonts w:eastAsia="宋体"/>
          <w:bCs/>
          <w:color w:val="auto"/>
          <w:highlight w:val="none"/>
        </w:rPr>
        <w:t xml:space="preserve">）；</w:t>
      </w:r>
      <w:r/>
    </w:p>
    <w:p>
      <w:pPr>
        <w:pStyle w:val="1008"/>
        <w:ind w:firstLine="482"/>
        <w:spacing w:line="360" w:lineRule="auto"/>
        <w:rPr>
          <w:rFonts w:ascii="宋体" w:hAnsi="宋体" w:cs="宋体"/>
          <w:b/>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、供应商认为需要提供的其他资料的扫描件（如有）。</w:t>
      </w:r>
      <w:r/>
    </w:p>
    <w:p>
      <w:pPr>
        <w:pStyle w:val="1008"/>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（二）资格条件（</w:t>
      </w:r>
      <w:r>
        <w:rPr>
          <w:rFonts w:hint="eastAsia" w:ascii="宋体" w:hAnsi="宋体" w:cs="宋体"/>
          <w:b/>
          <w:color w:val="auto"/>
          <w:sz w:val="24"/>
          <w:highlight w:val="none"/>
        </w:rPr>
        <w:t xml:space="preserve">1-7必须提供，否则在评标审查时按照投标无效处理</w:t>
      </w:r>
      <w:r>
        <w:rPr>
          <w:rFonts w:hint="eastAsia" w:ascii="宋体" w:hAnsi="宋体" w:cs="宋体"/>
          <w:b/>
          <w:color w:val="auto"/>
          <w:sz w:val="24"/>
          <w:szCs w:val="24"/>
          <w:highlight w:val="none"/>
        </w:rPr>
        <w:t xml:space="preserve">）</w:t>
      </w:r>
      <w:r/>
    </w:p>
    <w:p>
      <w:pPr>
        <w:keepLines w:val="0"/>
        <w:keepNext w:val="0"/>
        <w:pageBreakBefore w:val="0"/>
        <w:spacing w:line="360" w:lineRule="auto"/>
        <w:rPr>
          <w:rFonts w:hint="eastAsia" w:ascii="宋体" w:hAnsi="宋体" w:eastAsia="宋体" w:cs="宋体"/>
          <w:bCs/>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0"/>
          <w:highlight w:val="none"/>
          <w:lang w:val="en-US" w:eastAsia="zh-CN" w:bidi="ar-SA"/>
        </w:rPr>
        <w:t xml:space="preserve"> </w:t>
      </w:r>
      <w:r>
        <w:rPr>
          <w:rFonts w:hint="eastAsia" w:ascii="宋体" w:hAnsi="宋体" w:eastAsia="宋体" w:cs="宋体"/>
          <w:b/>
          <w:bCs w:val="0"/>
          <w:color w:val="auto"/>
          <w:sz w:val="24"/>
          <w:szCs w:val="20"/>
          <w:highlight w:val="none"/>
          <w:lang w:val="en-US" w:eastAsia="zh-CN" w:bidi="ar-SA"/>
        </w:rPr>
        <w:t xml:space="preserve">   1、具有独立承担民事责任的能力</w:t>
      </w:r>
      <w:r>
        <w:rPr>
          <w:rFonts w:hint="eastAsia" w:ascii="宋体" w:hAnsi="宋体" w:eastAsia="宋体" w:cs="宋体"/>
          <w:bCs/>
          <w:color w:val="auto"/>
          <w:sz w:val="24"/>
          <w:szCs w:val="20"/>
          <w:highlight w:val="none"/>
          <w:lang w:val="en-US" w:eastAsia="zh-CN" w:bidi="ar-SA"/>
        </w:rPr>
        <w:t xml:space="preserve">，提供合法有效的法人的营业执照或事业法人证或其他组织应提供合法证明文件的原件扫描件(加盖电子签章)；</w:t>
      </w:r>
      <w:r/>
    </w:p>
    <w:p>
      <w:pPr>
        <w:pStyle w:val="1008"/>
        <w:ind w:right="-334" w:firstLine="482"/>
        <w:keepLines w:val="0"/>
        <w:keepNext w:val="0"/>
        <w:pageBreakBefore w:val="0"/>
        <w:spacing w:line="360" w:lineRule="auto"/>
        <w:rPr>
          <w:rFonts w:hint="eastAsia" w:ascii="宋体" w:hAnsi="宋体" w:eastAsia="宋体" w:cs="宋体"/>
          <w:b/>
          <w:bCs w:val="0"/>
          <w:color w:val="auto"/>
          <w:sz w:val="24"/>
          <w:szCs w:val="20"/>
          <w:highlight w:val="none"/>
          <w:lang w:val="en-US" w:eastAsia="zh-CN" w:bidi="ar-SA"/>
        </w:rPr>
      </w:pPr>
      <w:r>
        <w:rPr>
          <w:rFonts w:hint="eastAsia" w:ascii="宋体" w:hAnsi="宋体" w:eastAsia="宋体" w:cs="宋体"/>
          <w:b/>
          <w:bCs w:val="0"/>
          <w:color w:val="auto"/>
          <w:sz w:val="24"/>
          <w:szCs w:val="20"/>
          <w:highlight w:val="none"/>
          <w:lang w:val="en-US" w:eastAsia="zh-CN" w:bidi="ar-SA"/>
        </w:rPr>
        <w:t xml:space="preserve">2、具有良好的商业信誉和健全的财务会计制度，财务状况报告至少提供：</w:t>
      </w:r>
      <w:r/>
    </w:p>
    <w:p>
      <w:pPr>
        <w:pStyle w:val="972"/>
        <w:ind w:left="0" w:right="0" w:firstLine="482"/>
        <w:keepLines w:val="0"/>
        <w:keepNext w:val="0"/>
        <w:pageBreakBefore w:val="0"/>
        <w:spacing w:line="360" w:lineRule="auto"/>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t xml:space="preserve">供应商的“首次响应文件提交的截止时间”前6个月内任何1月（不含“首次响应文件提交的截止时间”当月）的资产负债表和利润表月报表的扫描件各1份；</w:t>
      </w:r>
      <w:r>
        <w:rPr>
          <w:rFonts w:hint="eastAsia" w:ascii="宋体" w:hAnsi="宋体" w:eastAsia="宋体" w:cs="宋体"/>
          <w:b w:val="0"/>
          <w:bCs/>
          <w:color w:val="auto"/>
          <w:sz w:val="24"/>
          <w:szCs w:val="24"/>
          <w:highlight w:val="none"/>
          <w:lang w:val="en-US" w:eastAsia="zh-CN" w:bidi="ar-SA"/>
        </w:rPr>
        <w:t xml:space="preserve">或提供合法有效的经第三方机构审计202</w:t>
      </w:r>
      <w:r>
        <w:rPr>
          <w:rFonts w:hint="eastAsia"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年度财务审计报告（应包括审计报告正文、资产负债表、现金流量表、利润表）。</w:t>
      </w:r>
      <w:r/>
    </w:p>
    <w:p>
      <w:pPr>
        <w:pStyle w:val="1008"/>
        <w:ind w:right="-334"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具有依法缴纳税收和社会保障资金的良好记录，至少提供：</w:t>
      </w:r>
      <w:r/>
    </w:p>
    <w:p>
      <w:pPr>
        <w:pStyle w:val="1008"/>
        <w:ind w:right="-334"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供应商的“首次响应文件提交的截止时间”前6个月内任何1月</w:t>
      </w:r>
      <w:r>
        <w:rPr>
          <w:rFonts w:hint="eastAsia" w:ascii="宋体" w:hAnsi="宋体" w:eastAsia="宋体" w:cs="宋体"/>
          <w:bCs/>
          <w:color w:val="auto"/>
          <w:sz w:val="24"/>
          <w:szCs w:val="20"/>
          <w:highlight w:val="none"/>
          <w:lang w:val="en-US" w:eastAsia="zh-CN" w:bidi="ar-SA"/>
        </w:rPr>
        <w:t xml:space="preserve">（不含“首次响应文件提交的截止时间”当月）</w:t>
      </w:r>
      <w:r>
        <w:rPr>
          <w:rFonts w:hint="eastAsia" w:ascii="宋体" w:hAnsi="宋体"/>
          <w:bCs/>
          <w:color w:val="auto"/>
          <w:sz w:val="24"/>
          <w:szCs w:val="24"/>
          <w:highlight w:val="none"/>
        </w:rPr>
        <w:t xml:space="preserve">的依法缴纳税收和社会保障资金的相关材料的扫描件（依法免税或不需要缴纳社会保障资金的供应商,应提供相应文件证明其依法免税或不需要缴纳社会保障资金)；</w:t>
      </w:r>
      <w:r/>
    </w:p>
    <w:p>
      <w:pPr>
        <w:pStyle w:val="1008"/>
        <w:ind w:right="-334"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4、</w:t>
      </w:r>
      <w:r>
        <w:rPr>
          <w:rFonts w:hint="eastAsia" w:ascii="宋体" w:hAnsi="宋体" w:cs="宋体"/>
          <w:b/>
          <w:bCs/>
          <w:color w:val="auto"/>
          <w:sz w:val="24"/>
          <w:szCs w:val="24"/>
          <w:highlight w:val="none"/>
        </w:rPr>
        <w:t xml:space="preserve">具备履行合同所必需的设备和专业技术能力的证明材料，</w:t>
      </w:r>
      <w:r>
        <w:rPr>
          <w:rFonts w:hint="eastAsia" w:ascii="宋体" w:hAnsi="宋体" w:cs="宋体"/>
          <w:color w:val="auto"/>
          <w:sz w:val="24"/>
          <w:szCs w:val="24"/>
          <w:highlight w:val="none"/>
        </w:rPr>
        <w:t xml:space="preserve">响应文件中提供《具备履行合同所必需的设备和专业技术能力的书面声明（附证明材料原件的扫描件）》（加盖电子签章，格式见《磋商文件》附件</w:t>
      </w:r>
      <w:r>
        <w:rPr>
          <w:rFonts w:hint="eastAsia" w:cs="宋体"/>
          <w:color w:val="auto"/>
          <w:sz w:val="24"/>
          <w:szCs w:val="24"/>
          <w:highlight w:val="none"/>
        </w:rPr>
        <w:t xml:space="preserve">）；</w:t>
      </w:r>
      <w:r/>
    </w:p>
    <w:p>
      <w:pPr>
        <w:pStyle w:val="1008"/>
        <w:ind w:right="-334" w:firstLine="482"/>
        <w:spacing w:line="360" w:lineRule="auto"/>
        <w:rPr>
          <w:rFonts w:ascii="宋体" w:hAnsi="宋体"/>
          <w:b/>
          <w:color w:val="auto"/>
          <w:sz w:val="24"/>
          <w:szCs w:val="24"/>
          <w:highlight w:val="none"/>
        </w:rPr>
      </w:pPr>
      <w:r>
        <w:rPr>
          <w:rFonts w:ascii="宋体" w:hAnsi="宋体"/>
          <w:b/>
          <w:color w:val="auto"/>
          <w:sz w:val="24"/>
          <w:szCs w:val="24"/>
          <w:highlight w:val="none"/>
        </w:rPr>
        <w:t xml:space="preserve">5、供应商参加政府采购活动前3年内在经营活动中没有重大违法记录的书面声明(格式见《磋商文件》附件)；</w:t>
      </w:r>
      <w:r/>
    </w:p>
    <w:p>
      <w:pPr>
        <w:ind w:firstLine="480"/>
        <w:jc w:val="left"/>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、本项目特定资格要求：提供以下资料的原件扫描件，加盖电子签章</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（1）供应商具有有效的</w:t>
      </w:r>
      <w:r>
        <w:rPr>
          <w:rFonts w:ascii="宋体" w:hAnsi="宋体" w:cs="宋体"/>
          <w:color w:val="auto"/>
          <w:sz w:val="24"/>
          <w:highlight w:val="none"/>
        </w:rPr>
        <w:t xml:space="preserve">市政公用工程施工总承包叁级（含）</w:t>
      </w:r>
      <w:r>
        <w:rPr>
          <w:rFonts w:hint="eastAsia" w:ascii="宋体" w:hAnsi="宋体" w:cs="宋体"/>
          <w:color w:val="auto"/>
          <w:sz w:val="24"/>
          <w:highlight w:val="none"/>
        </w:rPr>
        <w:t xml:space="preserve">及以上资质证书；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（2）供应商具有有效的《安全生产许可证》证书；</w:t>
      </w:r>
      <w:r/>
    </w:p>
    <w:p>
      <w:pPr>
        <w:ind w:firstLine="480"/>
        <w:jc w:val="left"/>
        <w:spacing w:line="360" w:lineRule="auto"/>
        <w:rPr>
          <w:color w:val="auto"/>
          <w:highlight w:val="none"/>
        </w:rPr>
      </w:pPr>
      <w:r>
        <w:rPr>
          <w:rFonts w:hint="eastAsia" w:ascii="宋体" w:hAnsi="宋体" w:cs="宋体"/>
          <w:color w:val="auto"/>
          <w:sz w:val="24"/>
          <w:highlight w:val="none"/>
        </w:rPr>
        <w:t xml:space="preserve">（3）拟选派项目负责人具备市政公用工程专业贰级（含）及以上注册建造师资质，同时具有有效的安全生产考核合格证书(B证)且无在建工程的承诺书（格式自拟）。</w:t>
      </w:r>
      <w:r/>
    </w:p>
    <w:p>
      <w:pPr>
        <w:pStyle w:val="1008"/>
        <w:ind w:right="-334"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本项目属于专门面向中小微企业采购的项目，供应商应为中小微企业、监狱企业、残疾人福利性单位。供应商为中小企业（含中型、小型、微型企业，下同）的</w:t>
      </w:r>
      <w:r>
        <w:rPr>
          <w:rFonts w:hint="eastAsia" w:ascii="宋体" w:hAnsi="宋体" w:cs="宋体"/>
          <w:color w:val="auto"/>
          <w:sz w:val="24"/>
          <w:szCs w:val="24"/>
          <w:highlight w:val="none"/>
        </w:rPr>
        <w:t xml:space="preserve">，</w:t>
      </w:r>
      <w:r>
        <w:rPr>
          <w:rFonts w:hint="eastAsia" w:ascii="宋体" w:hAnsi="宋体"/>
          <w:b/>
          <w:color w:val="auto"/>
          <w:sz w:val="24"/>
          <w:szCs w:val="24"/>
          <w:highlight w:val="none"/>
        </w:rPr>
        <w:t xml:space="preserve">提供《中小企业声明函》（加盖电子签章，填写完整，格式见本文件第七章《投标文件相关格式》，如不填写完整或未按要求填写的，视为无效）。《中小企业声明函》查询渠道用微信搜索“中小企业规模类型自测小程序”。</w:t>
      </w:r>
      <w:r/>
    </w:p>
    <w:p>
      <w:pPr>
        <w:ind w:firstLine="482"/>
        <w:jc w:val="left"/>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注：中小企业（含中型、小型、微型企业，下同），应当同时符合以下条件：</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① 符合中小企业划分标准；</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1008"/>
        <w:ind w:right="-334" w:firstLine="36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1008"/>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1008"/>
        <w:ind w:right="-334"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1、《磋商报价表》（加盖电子签章，格式见《磋商文件》附件。政府采购客户端工具输入报价自动生成）；</w:t>
      </w:r>
      <w:r/>
    </w:p>
    <w:p>
      <w:pPr>
        <w:pStyle w:val="1008"/>
        <w:ind w:right="-334"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2、《分项价格表》（加盖电子签章，格式见《磋商文件》附件）；</w:t>
      </w:r>
      <w:r/>
    </w:p>
    <w:p>
      <w:pPr>
        <w:pStyle w:val="1008"/>
        <w:ind w:right="-334"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3、《授权委托书》（加盖电子签章，格式见《磋商文件》附件）；</w:t>
      </w:r>
      <w:r/>
    </w:p>
    <w:p>
      <w:pPr>
        <w:pStyle w:val="1008"/>
        <w:ind w:right="-334"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4、《承诺书》（加盖电子签章，格式见《磋商文件》附件）；</w:t>
      </w:r>
      <w:r/>
    </w:p>
    <w:p>
      <w:pPr>
        <w:pStyle w:val="1008"/>
        <w:ind w:right="-334"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1008"/>
        <w:ind w:right="-334"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6、</w:t>
      </w:r>
      <w:r>
        <w:rPr>
          <w:rFonts w:hint="eastAsia" w:ascii="宋体" w:hAnsi="宋体"/>
          <w:b/>
          <w:bCs/>
          <w:color w:val="auto"/>
          <w:sz w:val="24"/>
          <w:szCs w:val="24"/>
          <w:highlight w:val="none"/>
        </w:rPr>
        <w:t xml:space="preserve">《</w:t>
      </w:r>
      <w:r>
        <w:rPr>
          <w:rFonts w:hint="eastAsia" w:ascii="宋体" w:hAnsi="宋体" w:cs="宋体"/>
          <w:b/>
          <w:bCs/>
          <w:color w:val="auto"/>
          <w:sz w:val="24"/>
          <w:highlight w:val="none"/>
        </w:rPr>
        <w:t xml:space="preserve">供应商信用承诺书</w:t>
      </w:r>
      <w:r>
        <w:rPr>
          <w:rFonts w:hint="eastAsia" w:ascii="宋体" w:hAnsi="宋体"/>
          <w:b/>
          <w:bCs/>
          <w:color w:val="auto"/>
          <w:sz w:val="24"/>
          <w:szCs w:val="24"/>
          <w:highlight w:val="none"/>
        </w:rPr>
        <w:t xml:space="preserve">》（加盖电子签章，格式见《磋商文件》附件）</w:t>
      </w:r>
      <w:r/>
    </w:p>
    <w:p>
      <w:pPr>
        <w:pStyle w:val="1009"/>
        <w:ind w:firstLine="482"/>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、《承包人主要施工管理人员表》（加盖电子签章，格式见《磋商文件》附件）；</w:t>
      </w:r>
      <w:r/>
    </w:p>
    <w:p>
      <w:pPr>
        <w:pStyle w:val="1008"/>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（四）综合评审评分项</w:t>
      </w:r>
      <w:r/>
    </w:p>
    <w:p>
      <w:pPr>
        <w:pStyle w:val="1008"/>
        <w:ind w:firstLine="480"/>
        <w:spacing w:line="360" w:lineRule="auto"/>
        <w:rPr>
          <w:rFonts w:ascii="宋体" w:hAnsi="宋体" w:cs="宋体"/>
          <w:color w:val="auto"/>
          <w:sz w:val="24"/>
          <w:szCs w:val="24"/>
          <w:highlight w:val="none"/>
        </w:rP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供应商业绩</w:t>
      </w:r>
      <w:r>
        <w:rPr>
          <w:rFonts w:hint="eastAsia" w:ascii="宋体" w:hAnsi="宋体" w:cs="宋体"/>
          <w:b/>
          <w:color w:val="auto"/>
          <w:sz w:val="24"/>
          <w:highlight w:val="none"/>
        </w:rPr>
        <w:t xml:space="preserve">及施工组织设计</w:t>
      </w:r>
      <w:r>
        <w:rPr>
          <w:rFonts w:ascii="宋体" w:hAnsi="宋体" w:cs="宋体"/>
          <w:b/>
          <w:color w:val="auto"/>
          <w:sz w:val="24"/>
          <w:highlight w:val="none"/>
        </w:rPr>
        <w:t xml:space="preserve">等评标需要材料（要求见《磋商文件》附件1、《评分细则》）；</w:t>
      </w:r>
      <w:r/>
    </w:p>
    <w:p>
      <w:pPr>
        <w:pStyle w:val="1008"/>
        <w:ind w:firstLine="482"/>
        <w:spacing w:line="360" w:lineRule="auto"/>
        <w:rPr>
          <w:color w:val="auto"/>
          <w:highlight w:val="none"/>
        </w:rPr>
      </w:pPr>
      <w:r>
        <w:rPr>
          <w:rFonts w:hint="eastAsia" w:ascii="宋体" w:hAnsi="宋体" w:cs="宋体"/>
          <w:b/>
          <w:bCs/>
          <w:color w:val="auto"/>
          <w:sz w:val="24"/>
          <w:szCs w:val="24"/>
          <w:highlight w:val="none"/>
        </w:rPr>
        <w:t xml:space="preserve">2、评分细则中评分得分需提供的相关证明文件原件扫描件或供应商认为需要提供的其他资料扫描件；</w:t>
      </w:r>
      <w:r/>
    </w:p>
    <w:p>
      <w:pPr>
        <w:pStyle w:val="972"/>
        <w:rPr>
          <w:rFonts w:eastAsia="宋体" w:cs="宋体"/>
          <w:b/>
          <w:color w:val="auto"/>
          <w:highlight w:val="none"/>
        </w:rPr>
      </w:pPr>
      <w:r>
        <w:rPr>
          <w:rFonts w:hint="eastAsia" w:eastAsia="宋体" w:cs="宋体"/>
          <w:b/>
          <w:color w:val="auto"/>
          <w:highlight w:val="none"/>
        </w:rPr>
        <w:t xml:space="preserve">（五）价格折扣文件格式</w:t>
      </w:r>
      <w:r/>
    </w:p>
    <w:p>
      <w:pPr>
        <w:pStyle w:val="972"/>
        <w:ind w:firstLine="482"/>
        <w:rPr>
          <w:rFonts w:eastAsia="宋体" w:cs="宋体"/>
          <w:color w:val="auto"/>
          <w:highlight w:val="none"/>
        </w:rPr>
      </w:pPr>
      <w:r>
        <w:rPr>
          <w:rFonts w:hint="eastAsia" w:eastAsia="宋体" w:cs="宋体"/>
          <w:b/>
          <w:color w:val="auto"/>
          <w:highlight w:val="none"/>
        </w:rPr>
        <w:t xml:space="preserve">1、企业报价折扣证明：无。</w:t>
      </w:r>
      <w:r/>
    </w:p>
    <w:p>
      <w:pPr>
        <w:pStyle w:val="972"/>
        <w:rPr>
          <w:rFonts w:eastAsia="宋体" w:cs="宋体"/>
          <w:b/>
          <w:bCs/>
          <w:color w:val="auto"/>
          <w:highlight w:val="none"/>
        </w:rPr>
      </w:pPr>
      <w:r>
        <w:rPr>
          <w:rFonts w:hint="eastAsia" w:eastAsia="宋体" w:cs="宋体"/>
          <w:b/>
          <w:bCs/>
          <w:color w:val="auto"/>
          <w:highlight w:val="none"/>
        </w:rPr>
        <w:t xml:space="preserve">（六）提交的首次响应文件的密封、签署、盖章要求：</w:t>
      </w:r>
      <w:r/>
    </w:p>
    <w:p>
      <w:pPr>
        <w:pStyle w:val="972"/>
        <w:ind w:firstLine="480"/>
        <w:rPr>
          <w:rFonts w:eastAsia="宋体" w:cs="宋体"/>
          <w:color w:val="auto"/>
          <w:highlight w:val="none"/>
        </w:rPr>
      </w:pPr>
      <w:r>
        <w:rPr>
          <w:rFonts w:hint="eastAsia" w:eastAsia="宋体" w:cs="宋体"/>
          <w:color w:val="auto"/>
          <w:highlight w:val="none"/>
        </w:rPr>
        <w:t xml:space="preserve">1、密封（加密）要求：</w:t>
      </w:r>
      <w:r/>
    </w:p>
    <w:p>
      <w:pPr>
        <w:pStyle w:val="972"/>
        <w:ind w:firstLine="480"/>
        <w:rPr>
          <w:rFonts w:eastAsia="宋体" w:cs="宋体"/>
          <w:color w:val="auto"/>
          <w:highlight w:val="none"/>
        </w:rPr>
      </w:pPr>
      <w:r>
        <w:rPr>
          <w:rFonts w:hint="eastAsia" w:eastAsia="宋体" w:cs="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2"/>
        <w:ind w:firstLine="480"/>
        <w:rPr>
          <w:rFonts w:eastAsia="宋体" w:cs="宋体"/>
          <w:color w:val="auto"/>
          <w:highlight w:val="none"/>
        </w:rPr>
      </w:pPr>
      <w:r>
        <w:rPr>
          <w:rFonts w:hint="eastAsia" w:eastAsia="宋体" w:cs="宋体"/>
          <w:color w:val="auto"/>
          <w:highlight w:val="none"/>
        </w:rPr>
        <w:t xml:space="preserve">2、签署要求：</w:t>
      </w:r>
      <w:r>
        <w:rPr>
          <w:rFonts w:hint="eastAsia" w:eastAsia="宋体" w:cs="宋体"/>
          <w:b/>
          <w:bCs/>
          <w:color w:val="auto"/>
          <w:highlight w:val="none"/>
        </w:rPr>
        <w:t xml:space="preserve">特别提醒：竞争性磋商文件中如需“被授权代表签字或盖章”，供应商可打印成文档，签字或盖章后再扫描上传，最后再电子签章。</w:t>
      </w:r>
      <w:r>
        <w:rPr>
          <w:rFonts w:hint="eastAsia" w:eastAsia="宋体" w:cs="宋体"/>
          <w:color w:val="auto"/>
          <w:highlight w:val="none"/>
        </w:rPr>
        <w:t xml:space="preserve">见《磋商文件》第九章附件中相关格式要求。</w:t>
      </w:r>
      <w:r/>
    </w:p>
    <w:p>
      <w:pPr>
        <w:pStyle w:val="972"/>
        <w:ind w:firstLine="480"/>
        <w:rPr>
          <w:rFonts w:eastAsia="宋体" w:cs="宋体"/>
          <w:color w:val="auto"/>
          <w:highlight w:val="none"/>
        </w:rPr>
      </w:pPr>
      <w:r>
        <w:rPr>
          <w:rFonts w:hint="eastAsia" w:eastAsia="宋体" w:cs="宋体"/>
          <w:color w:val="auto"/>
          <w:highlight w:val="none"/>
        </w:rPr>
        <w:t xml:space="preserve">3、盖章要求：见《磋商文件》第九章附件中相关格式要求。供应商须通过“苏采云”系统提供的政府采购客户端工具（使用“CA数字证书”）加盖电子签章。</w:t>
      </w:r>
      <w:r/>
    </w:p>
    <w:p>
      <w:pPr>
        <w:pStyle w:val="1142"/>
        <w:ind w:left="0" w:firstLine="482"/>
        <w:rPr>
          <w:b/>
          <w:bCs/>
          <w:color w:val="auto"/>
          <w:highlight w:val="none"/>
        </w:rPr>
      </w:pPr>
      <w:r>
        <w:rPr>
          <w:rFonts w:hint="eastAsia"/>
          <w:b/>
          <w:bCs/>
          <w:color w:val="auto"/>
          <w:highlight w:val="none"/>
        </w:rPr>
        <w:t xml:space="preserve">4、线下纸质投标文件：成交供应商领取成交通知书时须向代理机构提交纸质胶装投标文件一正二副和响应文件电子版1份（pdf和word各一份，载体为光盘或U盘），后期采购人如有需要成交供应商仍需免费提供。</w:t>
      </w:r>
      <w:r/>
    </w:p>
    <w:p>
      <w:pPr>
        <w:pStyle w:val="1141"/>
        <w:ind w:firstLine="0"/>
        <w:rPr>
          <w:color w:val="auto"/>
          <w:highlight w:val="none"/>
        </w:rPr>
      </w:pPr>
      <w:r>
        <w:rPr>
          <w:color w:val="auto"/>
          <w:highlight w:val="none"/>
        </w:rPr>
      </w:r>
      <w:r/>
    </w:p>
    <w:p>
      <w:pPr>
        <w:pStyle w:val="972"/>
        <w:rPr>
          <w:rFonts w:eastAsia="宋体" w:cs="宋体"/>
          <w:b/>
          <w:bCs/>
          <w:color w:val="auto"/>
          <w:highlight w:val="none"/>
        </w:rPr>
      </w:pPr>
      <w:r>
        <w:rPr>
          <w:rFonts w:hint="eastAsia" w:eastAsia="宋体" w:cs="宋体"/>
          <w:b/>
          <w:bCs/>
          <w:color w:val="auto"/>
          <w:highlight w:val="none"/>
        </w:rPr>
        <w:t xml:space="preserve">（七）通过“苏采云”系统提交政府采购客户端工具导出加密的响应文件（后缀名为zip）。响应文件不得超过150M！ </w:t>
      </w:r>
      <w:r/>
    </w:p>
    <w:p>
      <w:pPr>
        <w:pStyle w:val="972"/>
        <w:ind w:firstLine="497"/>
        <w:rPr>
          <w:rFonts w:eastAsia="宋体" w:cs="宋体"/>
          <w:color w:val="auto"/>
          <w:highlight w:val="none"/>
        </w:rPr>
      </w:pPr>
      <w:r>
        <w:rPr>
          <w:rFonts w:hint="eastAsia" w:eastAsia="宋体" w:cs="宋体"/>
          <w:color w:val="auto"/>
          <w:highlight w:val="none"/>
        </w:rPr>
        <w:t xml:space="preserve">注：</w:t>
      </w:r>
      <w:r/>
    </w:p>
    <w:p>
      <w:pPr>
        <w:pStyle w:val="972"/>
        <w:ind w:firstLine="497"/>
        <w:rPr>
          <w:rFonts w:eastAsia="宋体" w:cs="宋体"/>
          <w:color w:val="auto"/>
          <w:highlight w:val="none"/>
        </w:rPr>
      </w:pPr>
      <w:r>
        <w:rPr>
          <w:rFonts w:hint="eastAsia" w:eastAsia="宋体" w:cs="宋体"/>
          <w:color w:val="auto"/>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color w:val="auto"/>
          <w:sz w:val="24"/>
          <w:highlight w:val="none"/>
        </w:rPr>
        <w:outlineLvl w:val="2"/>
      </w:pPr>
      <w:r>
        <w:rPr>
          <w:rFonts w:hint="eastAsia" w:ascii="宋体" w:hAnsi="宋体" w:cs="宋体"/>
          <w:color w:val="auto"/>
          <w:sz w:val="24"/>
          <w:highlight w:val="none"/>
        </w:rPr>
        <w:t xml:space="preserve">2、采购人索取成交供应商的响应文件，须在双方签订政府采购合同后，由采购代理机构提供给采购人。</w:t>
      </w:r>
      <w:r/>
    </w:p>
    <w:p>
      <w:pPr>
        <w:jc w:val="center"/>
        <w:spacing w:line="360" w:lineRule="auto"/>
        <w:rPr>
          <w:rFonts w:ascii="宋体" w:hAnsi="宋体" w:cs="宋体"/>
          <w:color w:val="auto"/>
          <w:sz w:val="24"/>
          <w:highlight w:val="none"/>
        </w:rPr>
      </w:pPr>
      <w:r>
        <w:rPr>
          <w:rFonts w:hint="eastAsia" w:ascii="宋体" w:hAnsi="宋体" w:cs="宋体"/>
          <w:color w:val="auto"/>
          <w:sz w:val="28"/>
          <w:szCs w:val="28"/>
          <w:highlight w:val="none"/>
        </w:rPr>
        <w:t xml:space="preserve">第四章 磋商相关说明</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十四、磋商程序</w:t>
      </w:r>
      <w:r/>
    </w:p>
    <w:p>
      <w:pPr>
        <w:pStyle w:val="972"/>
        <w:rPr>
          <w:rFonts w:eastAsia="宋体" w:cs="宋体"/>
          <w:b/>
          <w:bCs/>
          <w:color w:val="auto"/>
          <w:highlight w:val="none"/>
        </w:rPr>
      </w:pPr>
      <w:r>
        <w:rPr>
          <w:rFonts w:hint="eastAsia" w:eastAsia="宋体" w:cs="宋体"/>
          <w:b/>
          <w:bCs/>
          <w:color w:val="auto"/>
          <w:highlight w:val="none"/>
        </w:rPr>
        <w:t xml:space="preserve">（一）磋商要求</w:t>
      </w:r>
      <w:r/>
    </w:p>
    <w:p>
      <w:pPr>
        <w:pStyle w:val="972"/>
        <w:ind w:firstLine="480"/>
        <w:rPr>
          <w:rFonts w:eastAsia="宋体" w:cs="宋体"/>
          <w:bCs/>
          <w:color w:val="auto"/>
          <w:highlight w:val="none"/>
        </w:rPr>
      </w:pPr>
      <w:r>
        <w:rPr>
          <w:rFonts w:hint="eastAsia" w:eastAsia="宋体" w:cs="宋体"/>
          <w:bCs/>
          <w:color w:val="auto"/>
          <w:highlight w:val="none"/>
        </w:rPr>
        <w:t xml:space="preserve">1、被邀请参与磋商的供应商需按本竞争性磋商文件要求的截止时间、方式（地点）提交首次响应文件，同时派人通过“苏采云”系统在“开标大厅”等待磋商。</w:t>
      </w:r>
      <w:r/>
    </w:p>
    <w:p>
      <w:pPr>
        <w:pStyle w:val="972"/>
        <w:ind w:firstLine="480"/>
        <w:rPr>
          <w:rFonts w:eastAsia="宋体" w:cs="宋体"/>
          <w:bCs/>
          <w:color w:val="auto"/>
          <w:highlight w:val="none"/>
        </w:rPr>
      </w:pPr>
      <w:r>
        <w:rPr>
          <w:rFonts w:hint="eastAsia" w:eastAsia="宋体" w:cs="宋体"/>
          <w:bCs/>
          <w:color w:val="auto"/>
          <w:highlight w:val="none"/>
        </w:rPr>
        <w:t xml:space="preserve">2、供应商可通过CA数字证书，在首次响应文件开启时间后</w:t>
      </w:r>
      <w:r>
        <w:rPr>
          <w:rFonts w:ascii="宋体" w:hAnsi="宋体" w:eastAsia="宋体" w:cs="宋体"/>
          <w:color w:val="auto"/>
          <w:sz w:val="24"/>
          <w:szCs w:val="24"/>
          <w:highlight w:val="none"/>
        </w:rPr>
        <w:t xml:space="preserve">30分钟内</w:t>
      </w:r>
      <w:r>
        <w:rPr>
          <w:rFonts w:hint="eastAsia" w:eastAsia="宋体" w:cs="宋体"/>
          <w:bCs/>
          <w:color w:val="auto"/>
          <w:highlight w:val="none"/>
        </w:rPr>
        <w:t xml:space="preserve">，使用CA数字证书在规定时间内解密各自响应文件。</w:t>
      </w:r>
      <w:r/>
    </w:p>
    <w:p>
      <w:pPr>
        <w:pStyle w:val="972"/>
        <w:ind w:firstLine="480"/>
        <w:rPr>
          <w:rFonts w:eastAsia="宋体" w:cs="宋体"/>
          <w:bCs/>
          <w:color w:val="auto"/>
          <w:highlight w:val="none"/>
        </w:rPr>
      </w:pPr>
      <w:r>
        <w:rPr>
          <w:rFonts w:hint="eastAsia" w:eastAsia="宋体" w:cs="宋体"/>
          <w:color w:val="auto"/>
          <w:highlight w:val="none"/>
        </w:rPr>
        <w:t xml:space="preserve">3、</w:t>
      </w:r>
      <w:r>
        <w:rPr>
          <w:rFonts w:hint="eastAsia" w:eastAsia="宋体" w:cs="宋体"/>
          <w:b/>
          <w:color w:val="auto"/>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972"/>
        <w:ind w:firstLine="480"/>
        <w:rPr>
          <w:rFonts w:eastAsia="宋体" w:cs="宋体"/>
          <w:color w:val="auto"/>
          <w:highlight w:val="none"/>
        </w:rPr>
      </w:pPr>
      <w:r>
        <w:rPr>
          <w:rFonts w:hint="eastAsia" w:eastAsia="宋体" w:cs="宋体"/>
          <w:color w:val="auto"/>
          <w:highlight w:val="none"/>
        </w:rPr>
        <w:t xml:space="preserve">4、磋商顺序按照电子标书解密先后时间进行，解密时间相同的，不分先后顺序。</w:t>
      </w:r>
      <w:r/>
    </w:p>
    <w:p>
      <w:pPr>
        <w:pStyle w:val="972"/>
        <w:ind w:firstLine="482"/>
        <w:rPr>
          <w:rFonts w:eastAsia="宋体" w:cs="宋体"/>
          <w:b/>
          <w:bCs/>
          <w:color w:val="auto"/>
          <w:szCs w:val="24"/>
          <w:highlight w:val="none"/>
        </w:rPr>
      </w:pPr>
      <w:r>
        <w:rPr>
          <w:rFonts w:hint="eastAsia" w:eastAsia="宋体" w:cs="宋体"/>
          <w:b/>
          <w:color w:val="auto"/>
          <w:szCs w:val="24"/>
          <w:highlight w:val="none"/>
        </w:rPr>
        <w:t xml:space="preserve">5、磋商方式：</w:t>
      </w:r>
      <w:r>
        <w:rPr>
          <w:rFonts w:hint="eastAsia" w:eastAsia="宋体" w:cs="宋体"/>
          <w:b/>
          <w:bCs/>
          <w:color w:val="auto"/>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eastAsia="宋体" w:cs="宋体"/>
          <w:b/>
          <w:color w:val="auto"/>
          <w:highlight w:val="none"/>
        </w:rPr>
        <w:t xml:space="preserve">（所有邀请等待时间2分钟，2分钟内所邀请供应商无响应，视同放弃磋商的权利，由解密顺序下一家进行磋商，不再后补）</w:t>
      </w:r>
      <w:r/>
    </w:p>
    <w:p>
      <w:pPr>
        <w:pStyle w:val="972"/>
        <w:ind w:firstLine="480"/>
        <w:rPr>
          <w:rFonts w:eastAsia="宋体" w:cs="宋体"/>
          <w:color w:val="auto"/>
          <w:highlight w:val="none"/>
        </w:rPr>
      </w:pPr>
      <w:r>
        <w:rPr>
          <w:rFonts w:hint="eastAsia" w:eastAsia="宋体" w:cs="宋体"/>
          <w:color w:val="auto"/>
          <w:highlight w:val="none"/>
        </w:rPr>
        <w:t xml:space="preserve">6.未在规定时间内进行答疑澄清的，视同放弃澄清。</w:t>
      </w:r>
      <w:r/>
    </w:p>
    <w:p>
      <w:pPr>
        <w:pStyle w:val="972"/>
        <w:ind w:firstLine="480"/>
        <w:rPr>
          <w:rFonts w:eastAsia="宋体" w:cs="宋体"/>
          <w:color w:val="auto"/>
          <w:highlight w:val="none"/>
        </w:rPr>
      </w:pPr>
      <w:r>
        <w:rPr>
          <w:rFonts w:hint="eastAsia" w:eastAsia="宋体" w:cs="宋体"/>
          <w:color w:val="auto"/>
          <w:highlight w:val="none"/>
        </w:rPr>
        <w:t xml:space="preserve">7.</w:t>
      </w:r>
      <w:r>
        <w:rPr>
          <w:rFonts w:hint="eastAsia" w:eastAsia="宋体" w:cs="宋体"/>
          <w:b/>
          <w:bCs/>
          <w:color w:val="auto"/>
          <w:highlight w:val="none"/>
        </w:rPr>
        <w:t xml:space="preserve">未在规定时间内进行报价的，视为响应无效</w:t>
      </w:r>
      <w:r>
        <w:rPr>
          <w:rFonts w:hint="eastAsia" w:eastAsia="宋体" w:cs="宋体"/>
          <w:color w:val="auto"/>
          <w:highlight w:val="none"/>
        </w:rPr>
        <w:t xml:space="preserve">。</w:t>
      </w:r>
      <w:r/>
    </w:p>
    <w:p>
      <w:pPr>
        <w:pStyle w:val="972"/>
        <w:ind w:firstLine="480"/>
        <w:rPr>
          <w:rFonts w:eastAsia="宋体" w:cs="宋体"/>
          <w:color w:val="auto"/>
          <w:highlight w:val="none"/>
        </w:rPr>
      </w:pPr>
      <w:r>
        <w:rPr>
          <w:rFonts w:hint="eastAsia" w:eastAsia="宋体" w:cs="宋体"/>
          <w:b/>
          <w:color w:val="auto"/>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pStyle w:val="972"/>
        <w:ind w:firstLine="480"/>
        <w:rPr>
          <w:rFonts w:eastAsia="宋体" w:cs="宋体"/>
          <w:color w:val="auto"/>
          <w:highlight w:val="none"/>
        </w:rPr>
      </w:pPr>
      <w:r>
        <w:rPr>
          <w:rFonts w:hint="eastAsia" w:eastAsia="宋体" w:cs="宋体"/>
          <w:color w:val="auto"/>
          <w:highlight w:val="none"/>
        </w:rPr>
        <w:t xml:space="preserve">8.被邀请参与磋商的供应商如未按上述磋商要求执行，视同放弃磋商的权利。</w:t>
      </w:r>
      <w:r/>
    </w:p>
    <w:p>
      <w:pPr>
        <w:pStyle w:val="972"/>
        <w:ind w:firstLine="480"/>
        <w:rPr>
          <w:rFonts w:eastAsia="宋体" w:cs="宋体"/>
          <w:b/>
          <w:bCs/>
          <w:color w:val="auto"/>
          <w:highlight w:val="none"/>
        </w:rPr>
      </w:pPr>
      <w:r>
        <w:rPr>
          <w:rFonts w:hint="eastAsia" w:eastAsia="宋体" w:cs="宋体"/>
          <w:b/>
          <w:bCs/>
          <w:color w:val="auto"/>
          <w:highlight w:val="none"/>
        </w:rPr>
        <w:t xml:space="preserve">9.本项目无效标书判定（磋商文件的实质性要求）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1、电子响应文件未按规定期限提交的；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2、电子响应文件未按磋商文件要求签章的；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3、供应商未在规定时间内解密电子响应文件的；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4、供应商的法定代表人授权代表，无有效的法定代表人授权委托书；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8、响应文件含有采购人不能接受的附加条件的；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11、响应文件中已标价工程量清单与磋商文件明确列出的不可竞争费用项目或费率或计算基础不一致的； </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12、响应文件的已标价工程量清单与磋商文件提供的工程量清单中的项目编码、</w:t>
      </w:r>
      <w:r>
        <w:rPr>
          <w:rFonts w:hint="eastAsia" w:ascii="宋体" w:hAnsi="宋体" w:eastAsia="宋体" w:cs="宋体"/>
          <w:b/>
          <w:bCs/>
          <w:color w:val="auto"/>
          <w:sz w:val="24"/>
          <w:highlight w:val="none"/>
        </w:rPr>
        <w:t xml:space="preserve">项目名称、项目特征、计量单位、工程量不一致的；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14、响应文件内容不全或不符合磋商文件中规定的其它实质性要求的；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15、供应商未在规定时间内进行二轮报价的；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16、法律法规和磋商文件规定的其它无效情形。</w:t>
      </w:r>
      <w:r/>
    </w:p>
    <w:p>
      <w:pPr>
        <w:pStyle w:val="972"/>
        <w:ind w:firstLine="240"/>
        <w:rPr>
          <w:rFonts w:eastAsia="宋体" w:cs="宋体"/>
          <w:color w:val="auto"/>
          <w:highlight w:val="none"/>
        </w:rPr>
      </w:pPr>
      <w:r>
        <w:rPr>
          <w:rFonts w:hint="eastAsia" w:eastAsia="宋体" w:cs="宋体"/>
          <w:color w:val="auto"/>
          <w:highlight w:val="none"/>
        </w:rPr>
        <w:t xml:space="preserve"> (二) 查询及使用供应商信用记录</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（1）“信用中国”网（www.creditchina.gov.cn）；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（2）“中国政府采购”网（www.ccgp.gov.cn）；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（3）“信用江苏”网（http://credit.jiangsu.gov.cn）；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（4）“信用中国（江苏徐州）”网（www.xuzhoucredit.gov.cn）；</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ind w:firstLine="480"/>
        <w:jc w:val="left"/>
        <w:spacing w:line="360" w:lineRule="auto"/>
        <w:widowControl/>
        <w:rPr>
          <w:rFonts w:ascii="宋体" w:hAnsi="宋体" w:cs="宋体"/>
          <w:color w:val="auto"/>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972"/>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pStyle w:val="972"/>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磋商小组在阅读完所有磋商供应商的响应文件后，集中与单一供应商代表分别就技术参数等技术问题及价格和售后服务等内容进行磋商。</w:t>
      </w:r>
      <w:r/>
    </w:p>
    <w:p>
      <w:pPr>
        <w:pStyle w:val="972"/>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972"/>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顺序推荐。</w:t>
      </w:r>
      <w:r/>
    </w:p>
    <w:p>
      <w:pPr>
        <w:pStyle w:val="972"/>
        <w:ind w:firstLine="480"/>
        <w:rPr>
          <w:rFonts w:hint="eastAsia" w:eastAsia="宋体" w:cs="宋体"/>
          <w:b/>
          <w:bCs/>
          <w:color w:val="auto"/>
          <w:highlight w:val="none"/>
        </w:rPr>
      </w:pPr>
      <w:r>
        <w:rPr>
          <w:rFonts w:hint="eastAsia" w:eastAsia="宋体" w:cs="宋体"/>
          <w:b/>
          <w:bCs/>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实施政府采购异常低价审查的有关要求:</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(1)评审过程中出现下列情形之一的，磋商小组应当启动异常低价投标(响应)审查程序:</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3.投标（响应）报价低于采购项目最高限价（未设定最高限价的采购项目，以采购项目预算金额作为最高限价）45%的，即投标（响应）报价&lt;采购项目最高限价×45%；</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4.评审（评标）委员会基于专业判断，认为供应商报价过低，有可能影响产品质量或者不能诚信履约的其他情形。</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相关法律法规对供应商报价有规定的，从其规定。</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27"/>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80"/>
        <w:ind w:left="2" w:right="29"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color w:val="auto"/>
          <w:sz w:val="24"/>
          <w:highlight w:val="none"/>
        </w:rPr>
      </w:pPr>
      <w:r>
        <w:rPr>
          <w:rFonts w:hint="eastAsia" w:ascii="宋体" w:hAnsi="宋体" w:cs="宋体"/>
          <w:color w:val="auto"/>
          <w:sz w:val="24"/>
          <w:highlight w:val="none"/>
        </w:rPr>
        <w:t xml:space="preserve">2、评审标准：详见《磋商文件》附件1、《评分细则》</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ascii="宋体" w:hAnsi="宋体" w:cs="宋体"/>
          <w:color w:val="auto"/>
          <w:sz w:val="24"/>
          <w:highlight w:val="none"/>
        </w:rPr>
      </w:pPr>
      <w:r>
        <w:rPr>
          <w:rFonts w:hint="eastAsia" w:ascii="宋体" w:hAnsi="宋体" w:cs="宋体"/>
          <w:color w:val="auto"/>
          <w:sz w:val="28"/>
          <w:szCs w:val="28"/>
          <w:highlight w:val="none"/>
        </w:rPr>
        <w:t xml:space="preserve">第五章 确定成交供应商及合同签订等</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b/>
          <w:bCs/>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auto"/>
          <w:highlight w:val="none"/>
        </w:rPr>
      </w:pPr>
      <w:r>
        <w:rPr>
          <w:rFonts w:hint="eastAsia" w:ascii="宋体" w:hAnsi="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二十一、成交供应商在收到成交通知书时，须向江苏骏通建设项目管理咨询有限公司提交《磋商报价表》（首次响应文件）和《分项价格表》（首次响应文件）的数据文件（WORD格式）。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二十二、</w:t>
      </w:r>
      <w:r>
        <w:rPr>
          <w:rFonts w:hint="eastAsia" w:ascii="宋体" w:hAnsi="宋体" w:cs="宋体"/>
          <w:bCs/>
          <w:color w:val="auto"/>
          <w:sz w:val="24"/>
          <w:highlight w:val="none"/>
        </w:rPr>
        <w:t xml:space="preserve">供应商应对响应文件的合法性、真实性负责。</w:t>
      </w:r>
      <w:r>
        <w:rPr>
          <w:rFonts w:hint="eastAsia" w:ascii="宋体" w:hAnsi="宋体" w:cs="宋体"/>
          <w:b/>
          <w:bCs/>
          <w:color w:val="auto"/>
          <w:sz w:val="24"/>
          <w:highlight w:val="none"/>
        </w:rPr>
        <w:t xml:space="preserve">签订合同前，成交供应商必须向采购人提交其响应文件中所有扫描件的原件，采购人核查无误后，签订合同。如中标人不能在采购人规定的时间内向采购人提供原件，将被采购人视为放弃中标资格。</w:t>
      </w:r>
      <w:r/>
    </w:p>
    <w:p>
      <w:pPr>
        <w:jc w:val="center"/>
        <w:spacing w:line="360" w:lineRule="auto"/>
        <w:widowControl/>
        <w:rPr>
          <w:rFonts w:ascii="宋体" w:hAnsi="宋体" w:cs="宋体"/>
          <w:color w:val="auto"/>
          <w:sz w:val="24"/>
          <w:highlight w:val="none"/>
        </w:rPr>
      </w:pPr>
      <w:r>
        <w:rPr>
          <w:rFonts w:hint="eastAsia" w:ascii="宋体" w:hAnsi="宋体" w:cs="宋体"/>
          <w:color w:val="auto"/>
          <w:sz w:val="28"/>
          <w:szCs w:val="28"/>
          <w:highlight w:val="none"/>
        </w:rPr>
        <w:t xml:space="preserve">第六章 磋商文件的澄清或者修改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二十三、《磋商文件》的澄清或者修改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第七章 询问和质疑</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二十四、询问和质疑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质疑接收人：李振     联系电话：18068721900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地址：徐州市泉山区软件园路同创新座A4号楼东侧三楼</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第八章 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本项目代理服务费由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向采购代理机构支付。标准见《招标代理服务费收取标准》(见附件)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3、本项目属于专门面向中小微企业采购的项目，供应商应为中小微企业、监狱企业、残疾人福利性单位。</w:t>
      </w:r>
      <w:r/>
    </w:p>
    <w:p>
      <w:pPr>
        <w:ind w:firstLine="480"/>
        <w:spacing w:line="360" w:lineRule="auto"/>
        <w:rPr>
          <w:color w:val="auto"/>
          <w:highlight w:val="none"/>
        </w:rPr>
      </w:pPr>
      <w:r>
        <w:rPr>
          <w:rFonts w:hint="eastAsia" w:ascii="宋体" w:hAnsi="宋体" w:cs="宋体"/>
          <w:color w:val="auto"/>
          <w:sz w:val="24"/>
          <w:highlight w:val="none"/>
        </w:rPr>
        <w:t xml:space="preserve">4、采购人确定的采购项目属性：工程。</w:t>
      </w:r>
      <w:r/>
    </w:p>
    <w:p>
      <w:pPr>
        <w:numPr>
          <w:ilvl w:val="0"/>
          <w:numId w:val="3"/>
        </w:num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徐州市机关事务管理局</w:t>
      </w:r>
      <w:r/>
    </w:p>
    <w:p>
      <w:pPr>
        <w:numPr>
          <w:ilvl w:val="0"/>
          <w:numId w:val="0"/>
        </w:numPr>
        <w:ind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徐州市新城区昆仑大道1号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联系人：胡彪</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联系电话：0516-80800822</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6、采购代理公司：江苏骏通建设项目管理咨询有限公司</w:t>
      </w:r>
      <w:r/>
    </w:p>
    <w:p>
      <w:pPr>
        <w:ind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地址：徐州市泉山区软件园路同创新座A4号楼东侧三楼</w:t>
      </w:r>
      <w:r/>
    </w:p>
    <w:p>
      <w:pPr>
        <w:ind w:firstLine="1024"/>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联系人：李振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联系电话：18068721900</w:t>
      </w:r>
      <w:r>
        <w:rPr>
          <w:rFonts w:hint="eastAsia" w:ascii="宋体" w:hAnsi="宋体" w:cs="宋体"/>
          <w:color w:val="auto"/>
          <w:sz w:val="28"/>
          <w:szCs w:val="28"/>
          <w:highlight w:val="none"/>
        </w:rPr>
        <w:br w:type="page" w:clear="all"/>
      </w:r>
      <w:r/>
    </w:p>
    <w:p>
      <w:pPr>
        <w:numPr>
          <w:ilvl w:val="0"/>
          <w:numId w:val="4"/>
        </w:num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pStyle w:val="1105"/>
        <w:jc w:val="center"/>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0" w:name="_Toc26435"/>
      <w:r>
        <w:rPr>
          <w:rFonts w:hint="eastAsia" w:cs="宋体"/>
          <w:b/>
          <w:color w:val="auto"/>
          <w:sz w:val="28"/>
          <w:szCs w:val="28"/>
          <w:highlight w:val="none"/>
        </w:rPr>
        <w:t xml:space="preserve">（本章仅提供响应文件中的部分文件格式，不应被理解为包含了响应文件所需的全部资料）</w:t>
      </w:r>
      <w:bookmarkEnd w:id="0"/>
      <w:r/>
      <w:r/>
    </w:p>
    <w:p>
      <w:pPr>
        <w:pStyle w:val="1032"/>
        <w:ind w:firstLine="0"/>
        <w:jc w:val="both"/>
        <w:rPr>
          <w:color w:val="auto"/>
          <w:highlight w:val="none"/>
        </w:rPr>
      </w:pPr>
      <w:r>
        <w:rPr>
          <w:color w:val="auto"/>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二十五、附件：（附后）</w:t>
      </w:r>
      <w:r/>
    </w:p>
    <w:p>
      <w:pPr>
        <w:spacing w:line="360" w:lineRule="auto"/>
        <w:rPr>
          <w:rFonts w:ascii="宋体" w:hAnsi="宋体" w:cs="宋体"/>
          <w:color w:val="auto"/>
          <w:sz w:val="24"/>
          <w:highlight w:val="none"/>
        </w:rPr>
      </w:pPr>
      <w:r/>
      <w:bookmarkStart w:id="1" w:name="_Hlk81899242"/>
      <w:r>
        <w:rPr>
          <w:rFonts w:hint="eastAsia" w:ascii="宋体" w:hAnsi="宋体" w:cs="宋体"/>
          <w:color w:val="auto"/>
          <w:sz w:val="24"/>
          <w:highlight w:val="none"/>
        </w:rPr>
        <w:t xml:space="preserve">1、《评分细则》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5、《偏离表》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供应商信用承诺书</w:t>
      </w:r>
      <w:r>
        <w:rPr>
          <w:rFonts w:hint="eastAsia" w:ascii="宋体" w:hAnsi="宋体" w:cs="宋体"/>
          <w:color w:val="auto"/>
          <w:sz w:val="24"/>
          <w:highlight w:val="none"/>
          <w:lang w:eastAsia="zh-CN"/>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承包人主要施工管理人员表</w:t>
      </w:r>
      <w:r>
        <w:rPr>
          <w:rFonts w:hint="eastAsia" w:ascii="宋体" w:hAnsi="宋体" w:cs="宋体"/>
          <w:color w:val="auto"/>
          <w:sz w:val="24"/>
          <w:highlight w:val="none"/>
          <w:lang w:eastAsia="zh-CN"/>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、《承诺书》</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、《中小企业声明函》及自测小程序</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、《具备履行合同所必需的设备和专业技术能力的书面声明》（附证明材料）</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、《供应商参加政府采购活动前3年内在经营活动中没有重大违法记录的书面声明》</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、《拟签订的合同文本》</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、《预付款保函支付条款模板》</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、《代理服务收费标准》</w:t>
      </w:r>
      <w:bookmarkEnd w:id="1"/>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numPr>
          <w:ilvl w:val="0"/>
          <w:numId w:val="5"/>
        </w:numPr>
        <w:jc w:val="center"/>
        <w:spacing w:line="250" w:lineRule="atLeast"/>
        <w:rPr>
          <w:rFonts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br w:type="page" w:clear="all"/>
      </w:r>
      <w:r>
        <w:rPr>
          <w:rFonts w:hint="eastAsia" w:ascii="宋体" w:hAnsi="宋体" w:eastAsia="宋体" w:cs="宋体"/>
          <w:b/>
          <w:bCs/>
          <w:color w:val="auto"/>
          <w:sz w:val="36"/>
          <w:szCs w:val="36"/>
          <w:highlight w:val="none"/>
        </w:rPr>
        <w:t xml:space="preserve"> 评分细则</w:t>
      </w:r>
      <w:r/>
    </w:p>
    <w:tbl>
      <w:tblPr>
        <w:tblStyle w:val="964"/>
        <w:tblpPr w:horzAnchor="page" w:tblpX="755" w:vertAnchor="text" w:tblpY="418" w:leftFromText="180" w:topFromText="0" w:rightFromText="180" w:bottomFromText="0"/>
        <w:tblW w:w="101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0"/>
        <w:gridCol w:w="1320"/>
        <w:gridCol w:w="7626"/>
      </w:tblGrid>
      <w:tr>
        <w:trPr>
          <w:trHeight w:val="369"/>
        </w:trPr>
        <w:tc>
          <w:tcPr>
            <w:tcBorders>
              <w:top w:val="single" w:color="auto" w:sz="4" w:space="0"/>
              <w:left w:val="single" w:color="auto" w:sz="4" w:space="0"/>
            </w:tcBorders>
            <w:tcW w:w="1160" w:type="dxa"/>
            <w:vAlign w:val="center"/>
            <w:textDirection w:val="lrTb"/>
            <w:noWrap w:val="false"/>
          </w:tcPr>
          <w:p>
            <w:pPr>
              <w:ind w:right="-146"/>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tcBorders>
              <w:top w:val="single" w:color="auto" w:sz="4" w:space="0"/>
              <w:left w:val="single" w:color="auto" w:sz="4" w:space="0"/>
            </w:tcBorders>
            <w:tcW w:w="1320" w:type="dxa"/>
            <w:vAlign w:val="center"/>
            <w:textDirection w:val="lrTb"/>
            <w:noWrap w:val="false"/>
          </w:tcPr>
          <w:p>
            <w:pPr>
              <w:ind w:right="-110"/>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4" w:space="0"/>
              <w:right w:val="single" w:color="auto" w:sz="4" w:space="0"/>
            </w:tcBorders>
            <w:tcW w:w="7626"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评分办法</w:t>
            </w:r>
            <w:r/>
          </w:p>
        </w:tc>
      </w:tr>
      <w:tr>
        <w:trPr>
          <w:cantSplit/>
          <w:trHeight w:val="878"/>
        </w:trPr>
        <w:tc>
          <w:tcPr>
            <w:tcBorders>
              <w:left w:val="single" w:color="auto" w:sz="4" w:space="0"/>
            </w:tcBorders>
            <w:tcW w:w="1160" w:type="dxa"/>
            <w:vAlign w:val="center"/>
            <w:textDirection w:val="lrTb"/>
            <w:noWrap w:val="false"/>
          </w:tcPr>
          <w:p>
            <w:pPr>
              <w:ind w:right="-14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eastAsia="zh-CN"/>
              </w:rPr>
              <w:t xml:space="preserve">部分</w:t>
            </w:r>
            <w:r/>
          </w:p>
          <w:p>
            <w:pPr>
              <w:ind w:right="-14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left w:val="single" w:color="auto" w:sz="4" w:space="0"/>
            </w:tcBorders>
            <w:tcW w:w="1320" w:type="dxa"/>
            <w:vAlign w:val="center"/>
            <w:textDirection w:val="lrTb"/>
            <w:noWrap w:val="false"/>
          </w:tcPr>
          <w:p>
            <w:pPr>
              <w:ind w:right="-110"/>
              <w:jc w:val="center"/>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eastAsia="zh-CN"/>
              </w:rPr>
              <w:t xml:space="preserve">分</w:t>
            </w:r>
            <w:r/>
          </w:p>
          <w:p>
            <w:pPr>
              <w:ind w:right="-110"/>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right w:val="single" w:color="auto" w:sz="4" w:space="0"/>
            </w:tcBorders>
            <w:tcW w:w="7626" w:type="dxa"/>
            <w:textDirection w:val="lrTb"/>
            <w:noWrap w:val="false"/>
          </w:tcPr>
          <w:p>
            <w:pPr>
              <w:pStyle w:val="1520"/>
              <w:ind w:firstLine="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的价格为磋商基准价，其价格分为满分。其他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的价格分统一按照下列公式计算：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结果计算小数点后保留两位。</w:t>
            </w:r>
            <w:r/>
          </w:p>
        </w:tc>
      </w:tr>
      <w:tr>
        <w:trPr>
          <w:cantSplit/>
          <w:trHeight w:val="1072"/>
        </w:trPr>
        <w:tc>
          <w:tcPr>
            <w:tcBorders>
              <w:left w:val="single" w:color="auto" w:sz="4" w:space="0"/>
            </w:tcBorders>
            <w:tcW w:w="1160" w:type="dxa"/>
            <w:vAlign w:val="center"/>
            <w:vMerge w:val="restart"/>
            <w:textDirection w:val="lrTb"/>
            <w:noWrap w:val="false"/>
          </w:tcPr>
          <w:p>
            <w:pPr>
              <w:ind w:right="-146"/>
              <w:jc w:val="center"/>
              <w:tabs>
                <w:tab w:val="left" w:pos="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商务部分</w:t>
            </w:r>
            <w:r/>
          </w:p>
          <w:p>
            <w:pPr>
              <w:ind w:right="-146"/>
              <w:jc w:val="center"/>
              <w:tabs>
                <w:tab w:val="left" w:pos="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left w:val="single" w:color="auto" w:sz="4" w:space="0"/>
            </w:tcBorders>
            <w:tcW w:w="1320" w:type="dxa"/>
            <w:vAlign w:val="center"/>
            <w:textDirection w:val="lrTb"/>
            <w:noWrap w:val="false"/>
          </w:tcPr>
          <w:p>
            <w:pPr>
              <w:ind w:right="-110"/>
              <w:jc w:val="center"/>
              <w:tabs>
                <w:tab w:val="left" w:pos="60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ind w:right="-110"/>
              <w:jc w:val="center"/>
              <w:tabs>
                <w:tab w:val="left" w:pos="60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right w:val="single" w:color="auto" w:sz="4" w:space="0"/>
            </w:tcBorders>
            <w:tcW w:w="7626" w:type="dxa"/>
            <w:vAlign w:val="center"/>
            <w:textDirection w:val="lrTb"/>
            <w:noWrap w:val="false"/>
          </w:tcPr>
          <w:p>
            <w:pPr>
              <w:pStyle w:val="1520"/>
              <w:ind w:firstLine="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日以来承担过</w:t>
            </w:r>
            <w:r>
              <w:rPr>
                <w:rFonts w:hint="eastAsia" w:ascii="宋体" w:hAnsi="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rPr>
              <w:t xml:space="preserve">类似工程的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分，最多得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520"/>
              <w:ind w:firstLine="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以中标（成交）通知书、施工合同及</w:t>
            </w:r>
            <w:r>
              <w:rPr>
                <w:rFonts w:hint="eastAsia" w:ascii="宋体" w:hAnsi="宋体" w:eastAsia="宋体" w:cs="宋体"/>
                <w:color w:val="auto"/>
                <w:sz w:val="24"/>
                <w:szCs w:val="24"/>
                <w:highlight w:val="none"/>
                <w:lang w:eastAsia="zh-CN"/>
              </w:rPr>
              <w:t xml:space="preserve">完工（或竣工）验收证明材料</w:t>
            </w:r>
            <w:r>
              <w:rPr>
                <w:rFonts w:hint="eastAsia" w:ascii="宋体" w:hAnsi="宋体" w:eastAsia="宋体" w:cs="宋体"/>
                <w:color w:val="auto"/>
                <w:sz w:val="24"/>
                <w:szCs w:val="24"/>
                <w:highlight w:val="none"/>
              </w:rPr>
              <w:t xml:space="preserve">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三者必须同时具备，时间以</w:t>
            </w:r>
            <w:r>
              <w:rPr>
                <w:rFonts w:hint="eastAsia" w:ascii="宋体" w:hAnsi="宋体" w:eastAsia="宋体" w:cs="宋体"/>
                <w:color w:val="auto"/>
                <w:sz w:val="24"/>
                <w:szCs w:val="24"/>
                <w:highlight w:val="none"/>
                <w:lang w:eastAsia="zh-CN"/>
              </w:rPr>
              <w:t xml:space="preserve">完工（或竣工）验收证明材料日期</w:t>
            </w:r>
            <w:r>
              <w:rPr>
                <w:rFonts w:hint="eastAsia" w:ascii="宋体" w:hAnsi="宋体" w:eastAsia="宋体" w:cs="宋体"/>
                <w:color w:val="auto"/>
                <w:sz w:val="24"/>
                <w:szCs w:val="24"/>
                <w:highlight w:val="none"/>
              </w:rPr>
              <w:t xml:space="preserve">为准。</w:t>
            </w:r>
            <w:r/>
          </w:p>
          <w:p>
            <w:pPr>
              <w:pStyle w:val="1520"/>
              <w:ind w:firstLine="0"/>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（响</w:t>
            </w:r>
            <w:r>
              <w:rPr>
                <w:rFonts w:hint="eastAsia" w:ascii="宋体" w:hAnsi="宋体" w:eastAsia="宋体" w:cs="宋体"/>
                <w:b/>
                <w:bCs/>
                <w:color w:val="auto"/>
                <w:sz w:val="24"/>
                <w:szCs w:val="24"/>
                <w:highlight w:val="none"/>
                <w:lang w:eastAsia="zh-CN"/>
              </w:rPr>
              <w:t xml:space="preserve">应</w:t>
            </w:r>
            <w:r>
              <w:rPr>
                <w:rFonts w:hint="eastAsia" w:ascii="宋体" w:hAnsi="宋体" w:eastAsia="宋体" w:cs="宋体"/>
                <w:b/>
                <w:bCs/>
                <w:color w:val="auto"/>
                <w:sz w:val="24"/>
                <w:szCs w:val="24"/>
                <w:highlight w:val="none"/>
                <w:lang w:val="en-US" w:eastAsia="zh-CN"/>
              </w:rPr>
              <w:t xml:space="preserve">文件中提供中标（成交）通知书、施工合同及完工（或竣工）验收证明材料原件扫描件并加盖供应商电子签章，否则不得分)</w:t>
            </w:r>
            <w:r/>
          </w:p>
        </w:tc>
      </w:tr>
      <w:tr>
        <w:trPr>
          <w:cantSplit/>
          <w:trHeight w:val="1072"/>
        </w:trPr>
        <w:tc>
          <w:tcPr>
            <w:tcBorders>
              <w:left w:val="single" w:color="auto" w:sz="4" w:space="0"/>
            </w:tcBorders>
            <w:tcW w:w="1160" w:type="dxa"/>
            <w:vAlign w:val="center"/>
            <w:vMerge w:val="continue"/>
            <w:textDirection w:val="lrTb"/>
            <w:noWrap w:val="false"/>
          </w:tcPr>
          <w:p>
            <w:pPr>
              <w:ind w:right="-146"/>
              <w:jc w:val="center"/>
              <w:tabs>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13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企业资信</w:t>
            </w:r>
            <w:r/>
          </w:p>
          <w:p>
            <w:pPr>
              <w:ind w:right="-110"/>
              <w:jc w:val="center"/>
              <w:tabs>
                <w:tab w:val="left" w:pos="600" w:leader="none"/>
                <w:tab w:val="left" w:pos="1080" w:leader="none"/>
              </w:tabs>
              <w:rPr>
                <w:rFonts w:hint="eastAsia" w:ascii="宋体" w:hAnsi="宋体" w:eastAsia="宋体" w:cs="宋体"/>
                <w:color w:val="auto"/>
                <w:sz w:val="24"/>
                <w:szCs w:val="24"/>
                <w:highlight w:val="none"/>
                <w:lang w:val="en-US" w:eastAsia="zh-CN"/>
              </w:rPr>
            </w:pPr>
            <w:r>
              <w:rPr>
                <w:rFonts w:ascii="宋体" w:hAnsi="宋体" w:eastAsia="宋体" w:cs="宋体"/>
                <w:color w:val="000000"/>
                <w:sz w:val="22"/>
              </w:rPr>
              <w:t xml:space="preserve">（3分）</w:t>
            </w:r>
            <w:r/>
          </w:p>
        </w:tc>
        <w:tc>
          <w:tcPr>
            <w:tcBorders>
              <w:right w:val="single" w:color="auto" w:sz="4" w:space="0"/>
            </w:tcBorders>
            <w:tcW w:w="7626" w:type="dxa"/>
            <w:vAlign w:val="center"/>
            <w:textDirection w:val="lrTb"/>
            <w:noWrap w:val="false"/>
          </w:tcPr>
          <w:p>
            <w:pPr>
              <w:pStyle w:val="1520"/>
              <w:widowControl/>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供应商同时具有有效期内的质量管理体系认证证书、环境管理体系认证证书、职业健康安全体系认证证书的得3分，每缺少其中一项证书扣1分，扣完为止。</w:t>
            </w:r>
            <w:r/>
          </w:p>
          <w:p>
            <w:pPr>
              <w:pStyle w:val="1520"/>
              <w:ind w:firstLine="0"/>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注：</w:t>
            </w:r>
            <w:r>
              <w:rPr>
                <w:rFonts w:hint="eastAsia" w:ascii="宋体" w:hAnsi="宋体" w:cs="宋体"/>
                <w:b/>
                <w:bCs/>
                <w:color w:val="auto"/>
                <w:sz w:val="24"/>
                <w:szCs w:val="24"/>
                <w:highlight w:val="none"/>
                <w:lang w:val="en-US" w:eastAsia="zh-CN"/>
              </w:rPr>
              <w:t xml:space="preserve">响应</w:t>
            </w:r>
            <w:r>
              <w:rPr>
                <w:rFonts w:hint="eastAsia" w:ascii="宋体" w:hAnsi="宋体" w:cs="宋体"/>
                <w:b/>
                <w:bCs/>
                <w:color w:val="auto"/>
                <w:sz w:val="24"/>
                <w:szCs w:val="24"/>
                <w:highlight w:val="none"/>
                <w:lang w:eastAsia="zh-CN"/>
              </w:rPr>
              <w:t xml:space="preserve">文件中证书原件扫描件并加盖电子签章</w:t>
            </w:r>
            <w:r>
              <w:rPr>
                <w:rFonts w:hint="eastAsia" w:ascii="宋体" w:hAnsi="宋体" w:eastAsia="宋体" w:cs="宋体"/>
                <w:b/>
                <w:bCs/>
                <w:color w:val="auto"/>
                <w:sz w:val="24"/>
                <w:szCs w:val="24"/>
                <w:highlight w:val="none"/>
              </w:rPr>
              <w:t xml:space="preserve">及国家市场监督管理总局全国认证认可信息公共服务平台(网址: http://cx.cnca.cn/CertECloud/result/skipResultList)查询证书状态为有效的截图证明材料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不提供或提供不全的不得分</w:t>
            </w:r>
            <w:r>
              <w:rPr>
                <w:rFonts w:hint="eastAsia" w:ascii="宋体" w:hAnsi="宋体" w:eastAsia="宋体" w:cs="宋体"/>
                <w:b/>
                <w:bCs/>
                <w:color w:val="auto"/>
                <w:sz w:val="24"/>
                <w:szCs w:val="24"/>
                <w:highlight w:val="none"/>
                <w:lang w:eastAsia="zh-CN"/>
              </w:rPr>
              <w:t xml:space="preserve">。</w:t>
            </w:r>
            <w:r/>
          </w:p>
        </w:tc>
      </w:tr>
      <w:tr>
        <w:trPr>
          <w:cantSplit/>
          <w:trHeight w:val="766"/>
        </w:trPr>
        <w:tc>
          <w:tcPr>
            <w:tcBorders>
              <w:left w:val="single" w:color="auto" w:sz="4" w:space="0"/>
            </w:tcBorders>
            <w:tcW w:w="1160" w:type="dxa"/>
            <w:vAlign w:val="center"/>
            <w:vMerge w:val="restart"/>
            <w:textDirection w:val="lrTb"/>
            <w:noWrap w:val="false"/>
          </w:tcPr>
          <w:p>
            <w:pPr>
              <w:ind w:right="-146"/>
              <w:jc w:val="cente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技术部分施工方案</w:t>
            </w:r>
            <w:r/>
          </w:p>
          <w:p>
            <w:pPr>
              <w:ind w:right="-146"/>
              <w:jc w:val="both"/>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分）</w:t>
            </w:r>
            <w:r/>
          </w:p>
        </w:tc>
        <w:tc>
          <w:tcPr>
            <w:tcBorders>
              <w:left w:val="single" w:color="auto" w:sz="4" w:space="0"/>
            </w:tcBorders>
            <w:tcW w:w="1320" w:type="dxa"/>
            <w:vAlign w:val="center"/>
            <w:textDirection w:val="lrTb"/>
            <w:noWrap w:val="false"/>
          </w:tcPr>
          <w:p>
            <w:pPr>
              <w:ind w:right="-110"/>
              <w:jc w:val="center"/>
              <w:keepLines w:val="0"/>
              <w:keepNext w:val="0"/>
              <w:pageBreakBefore w:val="0"/>
              <w:spacing w:line="240" w:lineRule="auto"/>
              <w:tabs>
                <w:tab w:val="left" w:pos="60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总体施工</w:t>
            </w:r>
            <w:r/>
          </w:p>
          <w:p>
            <w:pPr>
              <w:ind w:right="-110"/>
              <w:jc w:val="center"/>
              <w:keepLines w:val="0"/>
              <w:keepNext w:val="0"/>
              <w:pageBreakBefore w:val="0"/>
              <w:spacing w:line="240" w:lineRule="auto"/>
              <w:tabs>
                <w:tab w:val="left" w:pos="60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p>
          <w:p>
            <w:pPr>
              <w:ind w:right="-110"/>
              <w:jc w:val="center"/>
              <w:keepLines w:val="0"/>
              <w:keepNext w:val="0"/>
              <w:pageBreakBefore w:val="0"/>
              <w:spacing w:line="240" w:lineRule="auto"/>
              <w:tabs>
                <w:tab w:val="left" w:pos="60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right w:val="single" w:color="auto" w:sz="4" w:space="0"/>
            </w:tcBorders>
            <w:tcW w:w="7626"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根据供应商</w:t>
            </w:r>
            <w:r>
              <w:rPr>
                <w:rFonts w:hint="eastAsia" w:ascii="宋体" w:hAnsi="宋体" w:eastAsia="宋体" w:cs="宋体"/>
                <w:color w:val="auto"/>
                <w:sz w:val="24"/>
                <w:szCs w:val="24"/>
                <w:highlight w:val="none"/>
              </w:rPr>
              <w:t xml:space="preserve">提供的施工组织总体设想、</w:t>
            </w:r>
            <w:r>
              <w:rPr>
                <w:rFonts w:hint="eastAsia" w:ascii="宋体" w:hAnsi="宋体" w:eastAsia="宋体" w:cs="宋体"/>
                <w:color w:val="auto"/>
                <w:sz w:val="24"/>
                <w:szCs w:val="24"/>
                <w:highlight w:val="none"/>
                <w:lang w:val="en-US" w:eastAsia="zh-CN"/>
              </w:rPr>
              <w:t xml:space="preserve">针对重点部分施工方案及施工工艺方法等方面进行总体评价</w:t>
            </w:r>
            <w:r>
              <w:rPr>
                <w:rFonts w:hint="eastAsia" w:ascii="宋体" w:hAnsi="宋体" w:eastAsia="宋体" w:cs="宋体"/>
                <w:color w:val="auto"/>
                <w:sz w:val="24"/>
                <w:szCs w:val="24"/>
                <w:highlight w:val="none"/>
              </w:rPr>
              <w:t xml:space="preserve">。</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w:t>
            </w:r>
            <w:r/>
          </w:p>
        </w:tc>
      </w:tr>
      <w:tr>
        <w:trPr>
          <w:cantSplit/>
          <w:trHeight w:val="830"/>
        </w:trPr>
        <w:tc>
          <w:tcPr>
            <w:tcBorders>
              <w:left w:val="single" w:color="auto" w:sz="4" w:space="0"/>
            </w:tcBorders>
            <w:tcW w:w="1160" w:type="dxa"/>
            <w:vAlign w:val="center"/>
            <w:vMerge w:val="continue"/>
            <w:textDirection w:val="lrTb"/>
            <w:noWrap w:val="false"/>
          </w:tcPr>
          <w:p>
            <w:pPr>
              <w:ind w:right="-146"/>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1320" w:type="dxa"/>
            <w:vAlign w:val="center"/>
            <w:textDirection w:val="lrTb"/>
            <w:noWrap w:val="false"/>
          </w:tcPr>
          <w:p>
            <w:pPr>
              <w:ind w:right="-110"/>
              <w:jc w:val="center"/>
              <w:keepLines w:val="0"/>
              <w:keepNext w:val="0"/>
              <w:pageBreakBefore w:val="0"/>
              <w:spacing w:line="240" w:lineRule="auto"/>
              <w:tabs>
                <w:tab w:val="left" w:pos="60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进度及保证措施</w:t>
            </w:r>
            <w:r/>
          </w:p>
          <w:p>
            <w:pPr>
              <w:ind w:right="-110"/>
              <w:jc w:val="center"/>
              <w:keepLines w:val="0"/>
              <w:keepNext w:val="0"/>
              <w:pageBreakBefore w:val="0"/>
              <w:spacing w:line="240" w:lineRule="auto"/>
              <w:tabs>
                <w:tab w:val="left" w:pos="600" w:leader="none"/>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right w:val="single" w:color="auto" w:sz="4" w:space="0"/>
            </w:tcBorders>
            <w:tcW w:w="7626"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根据供应商提供的针对本项目工程特点、工程进度计划安排、计划开工竣工日期、关键工作计划及工期保证措施等方面进行总体评价。</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w:t>
            </w:r>
            <w:r/>
          </w:p>
        </w:tc>
      </w:tr>
      <w:tr>
        <w:trPr>
          <w:cantSplit/>
          <w:trHeight w:val="626"/>
        </w:trPr>
        <w:tc>
          <w:tcPr>
            <w:tcBorders>
              <w:left w:val="single" w:color="auto" w:sz="4" w:space="0"/>
            </w:tcBorders>
            <w:tcW w:w="1160" w:type="dxa"/>
            <w:vAlign w:val="center"/>
            <w:vMerge w:val="continue"/>
            <w:textDirection w:val="lrTb"/>
            <w:noWrap w:val="false"/>
          </w:tcPr>
          <w:p>
            <w:pPr>
              <w:ind w:right="-146"/>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1320" w:type="dxa"/>
            <w:vAlign w:val="center"/>
            <w:textDirection w:val="lrTb"/>
            <w:noWrap w:val="false"/>
          </w:tcPr>
          <w:p>
            <w:pPr>
              <w:ind w:right="-110"/>
              <w:jc w:val="center"/>
              <w:keepLines w:val="0"/>
              <w:keepNext w:val="0"/>
              <w:pageBreakBefore w:val="0"/>
              <w:spacing w:line="240" w:lineRule="auto"/>
              <w:tabs>
                <w:tab w:val="left" w:pos="60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安全文明施工及环境保护措施</w:t>
            </w:r>
            <w:r/>
          </w:p>
          <w:p>
            <w:pPr>
              <w:ind w:right="-110"/>
              <w:jc w:val="center"/>
              <w:keepLines w:val="0"/>
              <w:keepNext w:val="0"/>
              <w:pageBreakBefore w:val="0"/>
              <w:spacing w:line="240" w:lineRule="auto"/>
              <w:tabs>
                <w:tab w:val="left" w:pos="600" w:leader="none"/>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right w:val="single" w:color="auto" w:sz="4" w:space="0"/>
            </w:tcBorders>
            <w:tcW w:w="7626"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根据供应商提供的安全文明施工措施中安全生产管理措施、文明施工管理措施、环境保护措施等方面进行总体评价。</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w:t>
            </w:r>
            <w:r/>
          </w:p>
        </w:tc>
      </w:tr>
      <w:tr>
        <w:trPr>
          <w:cantSplit/>
          <w:trHeight w:val="626"/>
        </w:trPr>
        <w:tc>
          <w:tcPr>
            <w:tcBorders>
              <w:left w:val="single" w:color="auto" w:sz="4" w:space="0"/>
            </w:tcBorders>
            <w:tcW w:w="1160" w:type="dxa"/>
            <w:vAlign w:val="center"/>
            <w:vMerge w:val="continue"/>
            <w:textDirection w:val="lrTb"/>
            <w:noWrap w:val="false"/>
          </w:tcPr>
          <w:p>
            <w:pPr>
              <w:ind w:right="-146"/>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13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质量保证措施</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Borders>
              <w:right w:val="single" w:color="auto" w:sz="4" w:space="0"/>
            </w:tcBorders>
            <w:tcW w:w="7626"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根据供应商提供的质量保证措施，对施工质量管理规划及目标、施工质量保证措施及突发情况预防方式等方面进行总体评价。</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w:t>
            </w:r>
            <w:r/>
          </w:p>
        </w:tc>
      </w:tr>
      <w:tr>
        <w:trPr>
          <w:cantSplit/>
          <w:trHeight w:val="626"/>
        </w:trPr>
        <w:tc>
          <w:tcPr>
            <w:tcBorders>
              <w:left w:val="single" w:color="auto" w:sz="4" w:space="0"/>
            </w:tcBorders>
            <w:tcW w:w="1160" w:type="dxa"/>
            <w:vAlign w:val="center"/>
            <w:vMerge w:val="continue"/>
            <w:textDirection w:val="lrTb"/>
            <w:noWrap w:val="false"/>
          </w:tcPr>
          <w:p>
            <w:pPr>
              <w:ind w:right="-146"/>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1320" w:type="dxa"/>
            <w:vAlign w:val="center"/>
            <w:textDirection w:val="lrTb"/>
            <w:noWrap w:val="false"/>
          </w:tcPr>
          <w:p>
            <w:pPr>
              <w:ind w:right="-110"/>
              <w:jc w:val="center"/>
              <w:keepLines w:val="0"/>
              <w:keepNext w:val="0"/>
              <w:pageBreakBefore w:val="0"/>
              <w:spacing w:line="240" w:lineRule="auto"/>
              <w:tabs>
                <w:tab w:val="left" w:pos="600" w:leader="none"/>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劳动力、机械设备和材料投入计划</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right w:val="single" w:color="auto" w:sz="4" w:space="0"/>
            </w:tcBorders>
            <w:tcW w:w="7626" w:type="dxa"/>
            <w:vAlign w:val="center"/>
            <w:textDirection w:val="lrTb"/>
            <w:noWrap w:val="false"/>
          </w:tcPr>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根据供应商提供的劳动力、机械设备和材料投入计划进行总体评价。</w:t>
            </w:r>
            <w:r/>
          </w:p>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p>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可行性(2分)：符合实际切实可行得2分；较切实可行得1分；可行性欠缺得0.5分。</w:t>
            </w:r>
            <w:r/>
          </w:p>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针对性(2分)：针对性强得2分；针对性较强得1分；针对性不强得0.5分。</w:t>
            </w:r>
            <w:r/>
          </w:p>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w:t>
            </w:r>
            <w:r/>
          </w:p>
        </w:tc>
      </w:tr>
      <w:tr>
        <w:trPr>
          <w:cantSplit/>
          <w:trHeight w:val="1841"/>
        </w:trPr>
        <w:tc>
          <w:tcPr>
            <w:tcBorders>
              <w:left w:val="single" w:color="auto" w:sz="4" w:space="0"/>
            </w:tcBorders>
            <w:tcW w:w="1160" w:type="dxa"/>
            <w:vAlign w:val="center"/>
            <w:vMerge w:val="continue"/>
            <w:textDirection w:val="lrTb"/>
            <w:noWrap w:val="false"/>
          </w:tcPr>
          <w:p>
            <w:pPr>
              <w:ind w:right="-146"/>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1320" w:type="dxa"/>
            <w:vAlign w:val="center"/>
            <w:textDirection w:val="lrTb"/>
            <w:noWrap w:val="false"/>
          </w:tcPr>
          <w:p>
            <w:pPr>
              <w:ind w:right="-110"/>
              <w:jc w:val="center"/>
              <w:keepLines w:val="0"/>
              <w:keepNext w:val="0"/>
              <w:pageBreakBefore w:val="0"/>
              <w:spacing w:line="240" w:lineRule="auto"/>
              <w:tabs>
                <w:tab w:val="left" w:pos="60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人员配备、素质及管理经验</w:t>
            </w:r>
            <w:r/>
          </w:p>
          <w:p>
            <w:pPr>
              <w:ind w:right="-110"/>
              <w:jc w:val="center"/>
              <w:keepLines w:val="0"/>
              <w:keepNext w:val="0"/>
              <w:pageBreakBefore w:val="0"/>
              <w:spacing w:line="240" w:lineRule="auto"/>
              <w:tabs>
                <w:tab w:val="left" w:pos="600" w:leader="none"/>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right w:val="single" w:color="auto" w:sz="4" w:space="0"/>
            </w:tcBorders>
            <w:tcW w:w="7626" w:type="dxa"/>
            <w:vAlign w:val="center"/>
            <w:textDirection w:val="lrTb"/>
            <w:noWrap w:val="false"/>
          </w:tcPr>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根据供应商提供的项目管理班子的人员配备、素质及管理经验进行总体评价。</w:t>
            </w:r>
            <w:r/>
          </w:p>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可行性(2分)：符合实际切实可行得2分；较切实可行得1分；可行性欠缺得0.5分。</w:t>
            </w:r>
            <w:r/>
          </w:p>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针对性(2分)：针对性强得2分；针对性较强得1分；针对性不强得0.5分。</w:t>
            </w:r>
            <w:r/>
          </w:p>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w:t>
            </w:r>
            <w:r/>
          </w:p>
        </w:tc>
      </w:tr>
      <w:tr>
        <w:trPr>
          <w:cantSplit/>
          <w:trHeight w:val="996"/>
        </w:trPr>
        <w:tc>
          <w:tcPr>
            <w:tcBorders>
              <w:left w:val="single" w:color="auto" w:sz="4" w:space="0"/>
            </w:tcBorders>
            <w:tcW w:w="1160" w:type="dxa"/>
            <w:vAlign w:val="center"/>
            <w:vMerge w:val="restart"/>
            <w:textDirection w:val="lrTb"/>
            <w:noWrap w:val="false"/>
          </w:tcPr>
          <w:p>
            <w:pPr>
              <w:ind w:right="-146"/>
              <w:jc w:val="cente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技术部分服务方案</w:t>
            </w:r>
            <w:r/>
          </w:p>
          <w:p>
            <w:pPr>
              <w:ind w:right="-146"/>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left w:val="single" w:color="auto" w:sz="4" w:space="0"/>
            </w:tcBorders>
            <w:tcW w:w="1320" w:type="dxa"/>
            <w:vAlign w:val="center"/>
            <w:textDirection w:val="lrTb"/>
            <w:noWrap w:val="false"/>
          </w:tcPr>
          <w:p>
            <w:pPr>
              <w:pStyle w:val="1008"/>
              <w:ind w:right="-110"/>
              <w:jc w:val="center"/>
              <w:keepLines w:val="0"/>
              <w:keepNext w:val="0"/>
              <w:pageBreakBefore w:val="0"/>
              <w:spacing w:line="240" w:lineRule="auto"/>
              <w:widowControl/>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缺陷责任期内的服务方案</w:t>
            </w:r>
            <w:r/>
          </w:p>
          <w:p>
            <w:pPr>
              <w:pStyle w:val="1008"/>
              <w:ind w:right="-110"/>
              <w:jc w:val="center"/>
              <w:keepLines w:val="0"/>
              <w:keepNext w:val="0"/>
              <w:pageBreakBefore w:val="0"/>
              <w:spacing w:line="240" w:lineRule="auto"/>
              <w:widowControl/>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right w:val="single" w:color="auto" w:sz="4" w:space="0"/>
            </w:tcBorders>
            <w:tcW w:w="7626" w:type="dxa"/>
            <w:vAlign w:val="center"/>
            <w:textDirection w:val="lrTb"/>
            <w:noWrap w:val="false"/>
          </w:tcPr>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根据供应商提供的缺陷责任期内的服务方案内容进行总体评价。</w:t>
            </w:r>
            <w:r/>
          </w:p>
          <w:p>
            <w:pPr>
              <w:pStyle w:val="980"/>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全面性（2分）：全面具体详实得2分；不全面得1分。</w:t>
            </w:r>
            <w:r/>
          </w:p>
          <w:p>
            <w:pPr>
              <w:pStyle w:val="980"/>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可行性（2分）：符合实际切实可行得2分；可行性欠缺得1分。</w:t>
            </w:r>
            <w:r/>
          </w:p>
          <w:p>
            <w:pPr>
              <w:pStyle w:val="980"/>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针对性（2分）：针对性强得2分；针对性不强得1分。</w:t>
            </w:r>
            <w:r/>
          </w:p>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w:t>
            </w:r>
            <w:r/>
          </w:p>
        </w:tc>
      </w:tr>
      <w:tr>
        <w:trPr>
          <w:cantSplit/>
          <w:trHeight w:val="996"/>
        </w:trPr>
        <w:tc>
          <w:tcPr>
            <w:tcBorders>
              <w:left w:val="single" w:color="auto" w:sz="4" w:space="0"/>
            </w:tcBorders>
            <w:tcW w:w="1160" w:type="dxa"/>
            <w:vAlign w:val="center"/>
            <w:vMerge w:val="continue"/>
            <w:textDirection w:val="lrTb"/>
            <w:noWrap w:val="false"/>
          </w:tcPr>
          <w:p>
            <w:pPr>
              <w:ind w:right="-146"/>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1320" w:type="dxa"/>
            <w:vAlign w:val="center"/>
            <w:textDirection w:val="lrTb"/>
            <w:noWrap w:val="false"/>
          </w:tcPr>
          <w:p>
            <w:pPr>
              <w:pStyle w:val="1008"/>
              <w:ind w:right="-110"/>
              <w:jc w:val="center"/>
              <w:keepLines w:val="0"/>
              <w:keepNext w:val="0"/>
              <w:pageBreakBefore w:val="0"/>
              <w:spacing w:line="240" w:lineRule="auto"/>
              <w:widowControl/>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缺陷责任期外的服务方案</w:t>
            </w:r>
            <w:r/>
          </w:p>
          <w:p>
            <w:pPr>
              <w:pStyle w:val="1008"/>
              <w:ind w:right="-110"/>
              <w:jc w:val="center"/>
              <w:keepLines w:val="0"/>
              <w:keepNext w:val="0"/>
              <w:pageBreakBefore w:val="0"/>
              <w:spacing w:line="240" w:lineRule="auto"/>
              <w:widowControl/>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right w:val="single" w:color="auto" w:sz="4" w:space="0"/>
            </w:tcBorders>
            <w:tcW w:w="7626" w:type="dxa"/>
            <w:vAlign w:val="center"/>
            <w:textDirection w:val="lrTb"/>
            <w:noWrap w:val="false"/>
          </w:tcPr>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根据供应商提供的缺陷责任期外的服务方案内容进行总体评价。</w:t>
            </w:r>
            <w:r/>
          </w:p>
          <w:p>
            <w:pPr>
              <w:pStyle w:val="980"/>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全面性（2分）：全面具体详实得2分；不全面得1分。</w:t>
            </w:r>
            <w:r/>
          </w:p>
          <w:p>
            <w:pPr>
              <w:pStyle w:val="980"/>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可行性（2分）：符合实际切实可行得2分；可行性欠缺得1分。</w:t>
            </w:r>
            <w:r/>
          </w:p>
          <w:p>
            <w:pPr>
              <w:pStyle w:val="980"/>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针对性（2分）：针对性强得2分；针对性不强得1分。</w:t>
            </w:r>
            <w:r/>
          </w:p>
          <w:p>
            <w:pPr>
              <w:pStyle w:val="1520"/>
              <w:ind w:firstLine="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w:t>
            </w:r>
            <w:r/>
          </w:p>
        </w:tc>
      </w:tr>
    </w:tbl>
    <w:p>
      <w:pPr>
        <w:pStyle w:val="1008"/>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w:t>
      </w:r>
      <w:r/>
    </w:p>
    <w:p>
      <w:pPr>
        <w:pStyle w:val="1008"/>
        <w:contextualSpacing/>
        <w:jc w:val="left"/>
        <w:spacing w:line="312" w:lineRule="auto"/>
        <w:widowControl w:val="off"/>
        <w:rPr>
          <w:rFonts w:ascii="宋体" w:hAnsi="宋体" w:cs="宋体"/>
          <w:b/>
          <w:bCs/>
          <w:color w:val="auto"/>
          <w:sz w:val="36"/>
          <w:szCs w:val="36"/>
          <w:highlight w:val="none"/>
        </w:rPr>
      </w:pPr>
      <w:r>
        <w:rPr>
          <w:rFonts w:hint="eastAsia" w:ascii="宋体" w:hAnsi="宋体" w:cs="宋体"/>
          <w:color w:val="auto"/>
          <w:sz w:val="24"/>
          <w:szCs w:val="24"/>
          <w:highlight w:val="none"/>
        </w:rPr>
        <w:t xml:space="preserve">（供应商技术部分得分取所有评委的平均值，保留小数点后二位）</w:t>
      </w:r>
      <w:r>
        <w:rPr>
          <w:rFonts w:hint="eastAsia" w:ascii="宋体" w:hAnsi="宋体" w:cs="宋体"/>
          <w:b/>
          <w:bCs/>
          <w:color w:val="auto"/>
          <w:sz w:val="36"/>
          <w:szCs w:val="36"/>
          <w:highlight w:val="none"/>
        </w:rPr>
        <w:br w:type="page" w:clear="all"/>
      </w:r>
      <w:r/>
    </w:p>
    <w:p>
      <w:pPr>
        <w:numPr>
          <w:ilvl w:val="0"/>
          <w:numId w:val="6"/>
        </w:numPr>
        <w:jc w:val="center"/>
        <w:tabs>
          <w:tab w:val="left" w:pos="1703" w:leader="none"/>
        </w:tabs>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项目要求（采购需求）</w:t>
      </w:r>
      <w:r/>
    </w:p>
    <w:p>
      <w:pPr>
        <w:numPr>
          <w:ilvl w:val="0"/>
          <w:numId w:val="0"/>
        </w:numPr>
        <w:ind w:firstLine="482"/>
        <w:spacing w:before="240" w:after="240" w:line="5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一、</w:t>
      </w:r>
      <w:r>
        <w:rPr>
          <w:rFonts w:ascii="宋体" w:hAnsi="宋体" w:cs="宋体"/>
          <w:b/>
          <w:color w:val="auto"/>
          <w:sz w:val="24"/>
          <w:highlight w:val="none"/>
        </w:rPr>
        <w:t xml:space="preserve">本项目不接受超过</w:t>
      </w:r>
      <w:r>
        <w:rPr>
          <w:rFonts w:hint="eastAsia" w:ascii="宋体" w:hAnsi="宋体" w:cs="宋体"/>
          <w:b/>
          <w:color w:val="auto"/>
          <w:sz w:val="24"/>
          <w:highlight w:val="none"/>
          <w:u w:val="single"/>
          <w:lang w:val="en-US" w:eastAsia="zh-CN"/>
        </w:rPr>
        <w:t xml:space="preserve">213.27</w:t>
      </w:r>
      <w:r>
        <w:rPr>
          <w:rFonts w:ascii="宋体" w:hAnsi="宋体" w:cs="宋体"/>
          <w:b/>
          <w:color w:val="auto"/>
          <w:sz w:val="24"/>
          <w:highlight w:val="none"/>
          <w:u w:val="single"/>
        </w:rPr>
        <w:t xml:space="preserve">万元</w:t>
      </w:r>
      <w:r>
        <w:rPr>
          <w:rFonts w:ascii="宋体" w:hAnsi="宋体" w:cs="宋体"/>
          <w:b/>
          <w:color w:val="auto"/>
          <w:sz w:val="24"/>
          <w:highlight w:val="none"/>
        </w:rPr>
        <w:t xml:space="preserve">（人民币）的报价。报价包括完成本项目的全部费用。采购人不再支付报价以外的任何费用。超过最高限价</w:t>
      </w:r>
      <w:r>
        <w:rPr>
          <w:rFonts w:hint="eastAsia" w:ascii="宋体" w:hAnsi="宋体" w:cs="宋体"/>
          <w:b/>
          <w:color w:val="auto"/>
          <w:sz w:val="24"/>
          <w:highlight w:val="none"/>
          <w:u w:val="single"/>
          <w:lang w:val="en-US" w:eastAsia="zh-CN"/>
        </w:rPr>
        <w:t xml:space="preserve">        213.27</w:t>
      </w:r>
      <w:r>
        <w:rPr>
          <w:rFonts w:ascii="宋体" w:hAnsi="宋体" w:cs="宋体"/>
          <w:b/>
          <w:color w:val="auto"/>
          <w:sz w:val="24"/>
          <w:highlight w:val="none"/>
          <w:u w:val="single"/>
        </w:rPr>
        <w:t xml:space="preserve">万元</w:t>
      </w:r>
      <w:r>
        <w:rPr>
          <w:rFonts w:ascii="宋体" w:hAnsi="宋体" w:cs="宋体"/>
          <w:b/>
          <w:color w:val="auto"/>
          <w:sz w:val="24"/>
          <w:highlight w:val="none"/>
        </w:rPr>
        <w:t xml:space="preserve">（人民币）的为无效报价。</w:t>
      </w:r>
      <w:r/>
    </w:p>
    <w:p>
      <w:pPr>
        <w:ind w:firstLine="482"/>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二、项目概况：</w:t>
      </w:r>
      <w:r/>
    </w:p>
    <w:p>
      <w:pPr>
        <w:ind w:firstLine="464"/>
        <w:spacing w:line="500" w:lineRule="exact"/>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4"/>
          <w:highlight w:val="none"/>
          <w:u w:val="none"/>
        </w:rPr>
        <w:t xml:space="preserve">1、项目名称：</w:t>
      </w:r>
      <w:r>
        <w:rPr>
          <w:rFonts w:hint="eastAsia" w:ascii="宋体" w:hAnsi="宋体" w:cs="宋体"/>
          <w:color w:val="auto"/>
          <w:sz w:val="24"/>
          <w:highlight w:val="none"/>
          <w:u w:val="none"/>
          <w:lang w:eastAsia="zh-CN"/>
        </w:rPr>
        <w:t xml:space="preserve">市级机关破墙透绿改造工程</w:t>
      </w:r>
      <w:r>
        <w:rPr>
          <w:rFonts w:hint="eastAsia" w:ascii="宋体" w:hAnsi="宋体" w:cs="宋体"/>
          <w:color w:val="auto"/>
          <w:sz w:val="24"/>
          <w:highlight w:val="none"/>
          <w:u w:val="none"/>
        </w:rPr>
        <w:t xml:space="preserve">。</w:t>
      </w:r>
      <w:r/>
    </w:p>
    <w:p>
      <w:pPr>
        <w:ind w:firstLine="464"/>
        <w:spacing w:line="500" w:lineRule="exact"/>
        <w:rPr>
          <w:rFonts w:ascii="宋体" w:hAnsi="宋体" w:cs="宋体"/>
          <w:color w:val="auto"/>
          <w:sz w:val="24"/>
          <w:highlight w:val="none"/>
          <w:u w:val="none"/>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4"/>
          <w:highlight w:val="none"/>
          <w:u w:val="none"/>
        </w:rPr>
        <w:t xml:space="preserve">2、建设地点：</w:t>
      </w:r>
      <w:r>
        <w:rPr>
          <w:rFonts w:hint="eastAsia" w:ascii="宋体" w:hAnsi="宋体" w:eastAsia="宋体" w:cs="宋体"/>
          <w:color w:val="auto"/>
          <w:sz w:val="24"/>
          <w:szCs w:val="24"/>
          <w:highlight w:val="none"/>
          <w:lang w:val="en-US" w:eastAsia="zh-CN" w:bidi="ar-SA"/>
        </w:rPr>
        <w:t xml:space="preserve">江苏省徐州市大龙湖东侧汉兴路沿线市住建局、机关医院、资规局、应急管理局庭院及周边场地。</w:t>
      </w:r>
      <w:r/>
    </w:p>
    <w:p>
      <w:pPr>
        <w:ind w:firstLine="464"/>
        <w:spacing w:line="500" w:lineRule="exact"/>
        <w:rPr>
          <w:rFonts w:ascii="宋体" w:hAnsi="宋体" w:cs="宋体"/>
          <w:color w:val="auto"/>
          <w:spacing w:val="-4"/>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none"/>
        </w:rPr>
        <w:t xml:space="preserve">3、建设规模：拆除单位围墙</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围栏壁垒，优化绿地空同布局，完善绿道园路，增加停车区域，把单位庭院绿地向社会和公众开放，同时深化规范化管理和配套服务优化提升</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切实实现</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绿地共享、绿道共享、设施共享、停车共享”，让更多的绿地资源走进群众生活</w:t>
      </w:r>
      <w:r>
        <w:rPr>
          <w:rFonts w:hint="eastAsia" w:ascii="宋体" w:hAnsi="宋体" w:cs="宋体"/>
          <w:color w:val="auto"/>
          <w:sz w:val="24"/>
          <w:highlight w:val="none"/>
          <w:u w:val="none"/>
          <w:lang w:eastAsia="zh-CN"/>
        </w:rPr>
        <w:t xml:space="preserve">，</w:t>
      </w:r>
      <w:r>
        <w:rPr>
          <w:rFonts w:hint="eastAsia" w:ascii="宋体" w:hAnsi="宋体" w:cs="宋体"/>
          <w:color w:val="auto"/>
          <w:spacing w:val="-4"/>
          <w:sz w:val="24"/>
          <w:highlight w:val="none"/>
          <w:u w:val="none"/>
        </w:rPr>
        <w:t xml:space="preserve">具体详见工程量清单及施工图所含全部内容。</w:t>
      </w:r>
      <w:r/>
    </w:p>
    <w:p>
      <w:pPr>
        <w:ind w:firstLine="0"/>
        <w:spacing w:line="500" w:lineRule="exact"/>
        <w:rPr>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none"/>
          <w:lang w:val="en-US" w:eastAsia="zh-CN"/>
        </w:rPr>
        <w:t xml:space="preserve">    </w:t>
      </w:r>
      <w:r>
        <w:rPr>
          <w:rFonts w:ascii="宋体" w:hAnsi="宋体" w:cs="宋体"/>
          <w:color w:val="auto"/>
          <w:spacing w:val="-4"/>
          <w:sz w:val="24"/>
          <w:highlight w:val="none"/>
          <w:u w:val="none"/>
        </w:rPr>
        <w:t xml:space="preserve">4、工期要求：</w:t>
      </w:r>
      <w:r>
        <w:rPr>
          <w:rFonts w:hint="eastAsia" w:ascii="宋体" w:hAnsi="宋体" w:cs="宋体"/>
          <w:b/>
          <w:color w:val="auto"/>
          <w:spacing w:val="-4"/>
          <w:sz w:val="24"/>
          <w:highlight w:val="none"/>
          <w:u w:val="none"/>
          <w:lang w:val="en-US" w:eastAsia="zh-CN"/>
        </w:rPr>
        <w:t xml:space="preserve">45</w:t>
      </w:r>
      <w:r>
        <w:rPr>
          <w:rFonts w:ascii="宋体" w:hAnsi="宋体" w:cs="宋体"/>
          <w:b/>
          <w:color w:val="auto"/>
          <w:spacing w:val="-4"/>
          <w:sz w:val="24"/>
          <w:highlight w:val="none"/>
          <w:u w:val="none"/>
        </w:rPr>
        <w:t xml:space="preserve">日历天</w:t>
      </w:r>
      <w:r>
        <w:rPr>
          <w:rFonts w:ascii="宋体" w:hAnsi="宋体" w:cs="宋体"/>
          <w:color w:val="auto"/>
          <w:spacing w:val="-4"/>
          <w:sz w:val="24"/>
          <w:highlight w:val="none"/>
          <w:u w:val="none"/>
        </w:rPr>
        <w:t xml:space="preserve">。</w:t>
      </w:r>
      <w:r/>
    </w:p>
    <w:p>
      <w:pPr>
        <w:ind w:firstLine="464"/>
        <w:spacing w:line="500" w:lineRule="exact"/>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4"/>
          <w:highlight w:val="none"/>
          <w:u w:val="none"/>
        </w:rPr>
        <w:t xml:space="preserve">5、其他:本招标工程共分一个标段。</w:t>
      </w:r>
      <w:r/>
    </w:p>
    <w:p>
      <w:pPr>
        <w:ind w:firstLine="464"/>
        <w:spacing w:line="500" w:lineRule="exact"/>
        <w:rPr>
          <w:rFonts w:hint="eastAsia" w:ascii="宋体" w:hAnsi="宋体" w:cs="宋体"/>
          <w:color w:val="auto"/>
          <w:spacing w:val="-4"/>
          <w:sz w:val="24"/>
          <w:highlight w:val="none"/>
          <w:u w:val="none"/>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4"/>
          <w:highlight w:val="none"/>
          <w:u w:val="none"/>
        </w:rPr>
        <w:t xml:space="preserve">6、质量标准：</w:t>
      </w:r>
      <w:r>
        <w:rPr>
          <w:rFonts w:hint="eastAsia" w:ascii="宋体" w:hAnsi="宋体" w:cs="宋体"/>
          <w:color w:val="auto"/>
          <w:spacing w:val="-4"/>
          <w:sz w:val="24"/>
          <w:highlight w:val="none"/>
          <w:u w:val="none"/>
        </w:rPr>
        <w:t xml:space="preserve">合格（符合国家标准及行业要求，满足采购人需求），通过相关部门验收；</w:t>
      </w:r>
      <w:r/>
    </w:p>
    <w:p>
      <w:pPr>
        <w:ind w:firstLine="464"/>
        <w:spacing w:line="500" w:lineRule="exact"/>
        <w:rPr>
          <w:rFonts w:ascii="宋体" w:hAnsi="宋体" w:cs="宋体"/>
          <w:color w:val="auto"/>
          <w:spacing w:val="-4"/>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4"/>
          <w:sz w:val="24"/>
          <w:highlight w:val="none"/>
          <w:u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 </w:t>
      </w:r>
      <w:r/>
    </w:p>
    <w:p>
      <w:pPr>
        <w:ind w:firstLine="464"/>
        <w:spacing w:line="500" w:lineRule="exact"/>
        <w:rPr>
          <w:rFonts w:ascii="宋体" w:hAnsi="宋体" w:cs="宋体"/>
          <w:color w:val="auto"/>
          <w:spacing w:val="-4"/>
          <w:sz w:val="24"/>
          <w:highlight w:val="none"/>
          <w:u w:val="none"/>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4"/>
          <w:highlight w:val="none"/>
          <w:u w:val="none"/>
        </w:rPr>
        <w:t xml:space="preserve">7、招标范围：</w:t>
      </w:r>
      <w:r>
        <w:rPr>
          <w:rFonts w:hint="eastAsia" w:ascii="宋体" w:hAnsi="宋体" w:cs="宋体"/>
          <w:color w:val="auto"/>
          <w:spacing w:val="-4"/>
          <w:sz w:val="24"/>
          <w:highlight w:val="none"/>
          <w:u w:val="none"/>
          <w:lang w:eastAsia="zh-CN"/>
        </w:rPr>
        <w:t xml:space="preserve">市级机关破墙透绿改造工程，</w:t>
      </w:r>
      <w:r>
        <w:rPr>
          <w:rFonts w:hint="eastAsia" w:ascii="宋体" w:hAnsi="宋体" w:cs="宋体"/>
          <w:color w:val="auto"/>
          <w:spacing w:val="-4"/>
          <w:sz w:val="24"/>
          <w:highlight w:val="none"/>
          <w:u w:val="none"/>
        </w:rPr>
        <w:t xml:space="preserve">具体详见工程量清单及施工图所含全部内容。</w:t>
      </w:r>
      <w:r/>
    </w:p>
    <w:p>
      <w:pPr>
        <w:ind w:firstLine="464"/>
        <w:spacing w:line="500" w:lineRule="exact"/>
        <w:rPr>
          <w:rFonts w:ascii="宋体" w:hAnsi="宋体" w:cs="宋体"/>
          <w:color w:val="auto"/>
          <w:spacing w:val="-4"/>
          <w:sz w:val="24"/>
          <w:highlight w:val="none"/>
          <w:u w:val="none"/>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4"/>
          <w:highlight w:val="none"/>
          <w:u w:val="none"/>
        </w:rPr>
        <w:t xml:space="preserve">8、主要建筑材料供货方式：</w:t>
      </w:r>
      <w:r/>
    </w:p>
    <w:p>
      <w:pPr>
        <w:ind w:firstLine="422"/>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本工程无发包方供材料，材料均由承包方根据材料汇总表自行采购，其采购、运输、检验、保管等费用由承包方负责。材料进场须由发包方进行验收。</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9、现场勘察：投标人自行踏勘。</w:t>
      </w:r>
      <w:r/>
    </w:p>
    <w:p>
      <w:pPr>
        <w:ind w:firstLine="482"/>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10、采用的技术规范：执行国家、江苏省及徐州市颁发的现行行业规范、相关标准及相关文件。</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w:t>
      </w:r>
      <w:r>
        <w:rPr>
          <w:rFonts w:ascii="宋体" w:hAnsi="宋体" w:cs="宋体"/>
          <w:color w:val="auto"/>
          <w:sz w:val="24"/>
          <w:highlight w:val="none"/>
        </w:rPr>
        <w:t xml:space="preserve">、施工现场造成的人员伤害等各种损失由成交供应商负责。</w:t>
      </w:r>
      <w:r/>
    </w:p>
    <w:p>
      <w:pPr>
        <w:ind w:firstLine="422"/>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三、《已标价的工程量清单》要求</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（一）工程量清单：详见本项目磋商文件附件《工程量清单》。</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（二）《已标价的工程量清单》报价要求</w:t>
      </w:r>
      <w:r/>
    </w:p>
    <w:p>
      <w:pPr>
        <w:ind w:firstLine="480"/>
        <w:spacing w:line="500" w:lineRule="exac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1、报价内容</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 响应报价应包括磋商文件中所确定的范围内工程量清单以及施工图中所含的全部内容，以及为完成上述内容所需的全部费用。</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highlight w:val="none"/>
          <w:lang w:eastAsia="zh-CN"/>
        </w:rPr>
        <w:t xml:space="preserve">分部分</w:t>
      </w:r>
      <w:r>
        <w:rPr>
          <w:rFonts w:hint="eastAsia" w:ascii="宋体" w:hAnsi="宋体" w:cs="宋体"/>
          <w:color w:val="auto"/>
          <w:sz w:val="24"/>
          <w:highlight w:val="none"/>
        </w:rPr>
        <w:t xml:space="preserve">项内容及数量，否则视为不响应磋商文件。</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 供应商应按采购人提供的工程量清单填报价格。填写的项目名称、项目特征、计量单位、工程量必须与采购人提供的一致。</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 技术参数、项目实施方案所描述的技术措施所发生的费用，视为已体现在供应商报价的非实体性消耗所发生的费用中。</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 垃圾外运，在报价中综合考虑。</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1.11地方关系协调费供应商自行考虑，就此项招标人不支付任何费用。</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1.12施工时需做好防护措施保证周边安全，因中标人保障不利对招标人或第三方造成损失的，赔偿责任全部由中标人承担，若因此会增加费用，控制价不计取，供应商自行考虑在报价中，结算时不予调整。</w:t>
      </w:r>
      <w:r>
        <w:rPr>
          <w:rFonts w:hint="eastAsia" w:ascii="宋体" w:hAnsi="宋体" w:cs="宋体"/>
          <w:color w:val="auto"/>
          <w:sz w:val="24"/>
          <w:highlight w:val="none"/>
        </w:rPr>
        <w:br/>
      </w:r>
      <w:r>
        <w:rPr>
          <w:rFonts w:hint="eastAsia" w:ascii="宋体" w:hAnsi="宋体" w:cs="宋体"/>
          <w:color w:val="auto"/>
          <w:sz w:val="24"/>
          <w:highlight w:val="none"/>
        </w:rPr>
        <w:t xml:space="preserve">    1.13</w:t>
      </w:r>
      <w:r>
        <w:rPr>
          <w:rFonts w:hint="eastAsia" w:ascii="宋体" w:hAnsi="宋体" w:cs="宋体"/>
          <w:color w:val="auto"/>
          <w:sz w:val="24"/>
          <w:highlight w:val="none"/>
          <w:lang w:val="en-US" w:eastAsia="zh-CN"/>
        </w:rPr>
        <w:t xml:space="preserve">本工程</w:t>
      </w:r>
      <w:r>
        <w:rPr>
          <w:rFonts w:hint="eastAsia" w:ascii="宋体" w:hAnsi="宋体" w:cs="宋体"/>
          <w:color w:val="auto"/>
          <w:sz w:val="24"/>
          <w:highlight w:val="none"/>
        </w:rPr>
        <w:t xml:space="preserve">绿化养护期</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个月，</w:t>
      </w:r>
      <w:r>
        <w:rPr>
          <w:rFonts w:hint="eastAsia" w:ascii="宋体" w:hAnsi="宋体" w:cs="宋体"/>
          <w:color w:val="auto"/>
          <w:sz w:val="24"/>
          <w:highlight w:val="none"/>
          <w:lang w:val="en-US" w:eastAsia="zh-CN"/>
        </w:rPr>
        <w:t xml:space="preserve">一级乙类养护，</w:t>
      </w:r>
      <w:r>
        <w:rPr>
          <w:rFonts w:hint="eastAsia" w:ascii="宋体" w:hAnsi="宋体" w:cs="宋体"/>
          <w:color w:val="auto"/>
          <w:sz w:val="24"/>
          <w:highlight w:val="none"/>
        </w:rPr>
        <w:t xml:space="preserve">绿化成活率：乔木95%以上，其余苗木90%以上。</w:t>
      </w:r>
      <w:r/>
    </w:p>
    <w:p>
      <w:pPr>
        <w:ind w:firstLine="480"/>
        <w:spacing w:line="500" w:lineRule="exac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2、报价方式</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2.1本工程采用固定单价合同（除另有规定外）。供应商应充分考虑施工期间各类建材的市场风险，并计入总报价，供应商在计算报价时应考虑一定的风险系数。</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2.2材料风险约定：</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①对于法律、法规、规章或有关政策出台导致工程税金、规费等发生变化的，应按照有关规定执行。</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500" w:lineRule="exac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3、报价的计价方法</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500" w:lineRule="exac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4、报价编制依据及要求：</w:t>
      </w:r>
      <w:r/>
    </w:p>
    <w:p>
      <w:pPr>
        <w:ind w:firstLine="480"/>
        <w:spacing w:line="5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4.1</w:t>
      </w:r>
      <w:r>
        <w:rPr>
          <w:rFonts w:hint="eastAsia" w:ascii="宋体" w:hAnsi="宋体" w:eastAsia="宋体" w:cs="宋体"/>
          <w:color w:val="auto"/>
          <w:sz w:val="24"/>
          <w:highlight w:val="none"/>
        </w:rPr>
        <w:t xml:space="preserve">、编制依据： </w:t>
      </w:r>
      <w:r/>
    </w:p>
    <w:p>
      <w:p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（1）本工程执行现行国家标准《建设工程工程量清单计价标准》(GB/T50500-2024)、《房屋建筑与装饰工程工程量计算标准》（GB∕T5085</w:t>
      </w:r>
      <w:r>
        <w:rPr>
          <w:rFonts w:hint="eastAsia" w:ascii="宋体" w:hAnsi="宋体" w:cs="宋体"/>
          <w:color w:val="auto"/>
          <w:sz w:val="24"/>
          <w:highlight w:val="none"/>
          <w:lang w:val="en-US" w:eastAsia="zh-CN"/>
        </w:rPr>
        <w:t xml:space="preserve">4-2024）、《市政工程工程量计算标准》（GB/T50857-2024）、《园林绿化工程工程量计算标准》（GB/T50858-2024）、《通用安装工程工程量计算标准》（GB∕T50856-2024）、《江苏省建筑与装饰工程消耗量》(2026)、《江苏省市政工程消耗量》(2026)、《江苏省通用安装工程消耗量》(2026)、《江苏省仿古建筑与园林工程计价表》(2007版)、《江苏修缮建筑定额》（2009）、《江苏省建设工程费用参考》（2026）、《江苏省建设工程施工机具台班费用编制参考表》（2026）等；</w:t>
      </w:r>
      <w:r/>
    </w:p>
    <w:p>
      <w:p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（2）《江苏省工程造价咨询业务指导规程》2021；</w:t>
      </w:r>
      <w:r/>
    </w:p>
    <w:p>
      <w:p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（3）国家相关的法律法规；</w:t>
      </w:r>
      <w:r/>
    </w:p>
    <w:p>
      <w:p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（4）人工费按苏建函价（2026）27号文计取；</w:t>
      </w:r>
      <w:r/>
    </w:p>
    <w:p>
      <w:p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（5）材料费按《徐州市2026年6月份主要建筑材料市场信息价》计取；投标人根据市场行情考虑风险后自主报价；</w:t>
      </w:r>
      <w:r/>
    </w:p>
    <w:p>
      <w:pPr>
        <w:ind w:firstLine="480"/>
        <w:spacing w:line="5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rPr>
        <w:t xml:space="preserve">费率计取方法：</w:t>
      </w:r>
      <w:r/>
    </w:p>
    <w:p>
      <w:pPr>
        <w:numPr>
          <w:ilvl w:val="0"/>
          <w:numId w:val="7"/>
        </w:num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安全生产：土建工程按(分部分项合计+单价措施项目合计-除税工程设备费)X3.8%计取；市政工程按(分部分项合计+单价措施项目合计-除税工程设备费)X1.9%计取；园林工程按(分部分项合计+单价措施项目合计-除税工程设备费)X0.9%计取;拆除工程按(分部分项合计+单价措施项目合计-除税工程设备费)X3.8%计取；安装工程按(分部分项合计+单价措施项目合计-除税工程设备费)X2.9%计取；</w:t>
      </w:r>
      <w:r/>
    </w:p>
    <w:p>
      <w:p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文明施工：土建工程按(分部分项合计+单价措施项目合计-除税工程设备费)X0.6%计取;市政工程按(分部分项合计+单价措施项目合计-除税工程设备费)X0.9%计取;园林工程按(分部分项合计+单价措施项目合计-除税工程设备费)X0.4%计取;拆除工程按(分部分项合计+单价措施项目合计-除税工程设备费)X0.6%计取；安装工程按(分部分项合计+单价措施项目合计-除税工程设备费)X0.5%计取；</w:t>
      </w:r>
      <w:r/>
    </w:p>
    <w:p>
      <w:p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环境保护：土建工程按(分部分项合计+单价措施项目合计-除税工程设备费)X0.3%计取;市政工程按(分部分项合计+单价措施项目合计-除税工程设备费)X1%计取;园林工程按(分部分项合计+单价措施项目合计-除税工程设备费)X0.5%计取;拆除工程按(分部分项合计+单价措施项目合计-除税工程设备费)X0.3%计取；安装工程按(分部分项合计+单价措施项目合计-除税工程设备费)X0.2%计取；</w:t>
      </w:r>
      <w:r/>
    </w:p>
    <w:p>
      <w:p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临时设施：土建工程按(分部分项合计+单价措施项目合计-除税工程设备费)X1%计取;市政工程按(分部分项合计+单价措施项目合计-除税工程设备费)X1.1%计取;园林工程按(分部分项合计+单价措施项目合计-除税工程设备费)X0.3%计取；拆除工程按(分部分项合计+单价措施项目合计-除税工程设备费)X0.7%计取；安装工程按(分部分项合计+单价措施项目合计-除税工程设备费)X0.6%计取；</w:t>
      </w:r>
      <w:r/>
    </w:p>
    <w:p>
      <w:p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建筑工人实名制：土建工程按(分部分项合计+单价措施项目合计-除税工程设备费)X0.045%计取;市政工程按(分部分项合计+单价措施项目合计-除税工程设备费)X0.027%计取;园林工程按(分部分项合计+单价措施项目合计-除税工程设备费)X0.036%计取;拆除工程按(分部分项合计+单价措施项目合计-除税工程设备费)X0.045%计取；安装工程按(分部分项合计+单价措施项目合计-除税工程设备费)X0.027%计取；</w:t>
      </w:r>
      <w:r/>
    </w:p>
    <w:p>
      <w:pPr>
        <w:ind w:firstLine="480"/>
        <w:spacing w:line="500" w:lineRule="exac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4、管理费及利润均按低值计入；</w:t>
      </w:r>
      <w:r/>
    </w:p>
    <w:p>
      <w:pPr>
        <w:ind w:firstLine="480"/>
        <w:spacing w:line="500" w:lineRule="exac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5、税金按9%计取。</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投标文件要求</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4.</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.1首次响应文件中提供《已标价的工程量清单》文件。</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4.</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.2 按照《工程量清单》编制《已标价的工程量清单》。</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供应商必须说明其是否响应采购文件中提出的全部服务内容与要求，如果其中某些条款不响应时，应在文件中逐条列出，未列出的视同响应。</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5、项目相关要求：</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5.1供应商报价时需考虑完成本项目内容所涉及的人工费、材料费、机械费、税费、验收等相关的一切费用。</w:t>
      </w:r>
      <w:r/>
    </w:p>
    <w:p>
      <w:pPr>
        <w:ind w:firstLine="48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5.2供应商应根据本项目实际情况，合理配置人员，除项目经理外，安全员、质检员、施工员、预算员、材料员等人员应经验丰富，确保项目顺利实施。</w:t>
      </w:r>
      <w:r/>
    </w:p>
    <w:p>
      <w:pPr>
        <w:ind w:firstLine="480"/>
        <w:spacing w:line="50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5.3供应商对项目现场和周围环境进行实地踏勘，合理编制本项目施工方案。 </w:t>
      </w:r>
      <w:r/>
    </w:p>
    <w:p>
      <w:pPr>
        <w:ind w:firstLine="422"/>
        <w:spacing w:line="500" w:lineRule="exac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四、低于成本报价：</w:t>
      </w:r>
      <w:r/>
    </w:p>
    <w:p>
      <w:pPr>
        <w:ind w:firstLine="480"/>
        <w:spacing w:line="500" w:lineRule="exact"/>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ind w:firstLine="480"/>
        <w:spacing w:line="500" w:lineRule="exact"/>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1127"/>
        <w:ind w:firstLine="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、服务要求： </w:t>
      </w:r>
      <w:r/>
    </w:p>
    <w:p>
      <w:pPr>
        <w:pStyle w:val="1127"/>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质保及售后服务：质保</w:t>
      </w:r>
      <w:r>
        <w:rPr>
          <w:rFonts w:hint="eastAsia" w:ascii="宋体" w:hAnsi="宋体" w:eastAsia="宋体" w:cs="宋体"/>
          <w:bCs/>
          <w:color w:val="auto"/>
          <w:sz w:val="24"/>
          <w:szCs w:val="24"/>
          <w:highlight w:val="none"/>
          <w:lang w:eastAsia="zh-CN"/>
        </w:rPr>
        <w:t xml:space="preserve">责任</w:t>
      </w:r>
      <w:r>
        <w:rPr>
          <w:rFonts w:hint="eastAsia" w:ascii="宋体" w:hAnsi="宋体" w:eastAsia="宋体" w:cs="宋体"/>
          <w:bCs/>
          <w:color w:val="auto"/>
          <w:sz w:val="24"/>
          <w:szCs w:val="24"/>
          <w:highlight w:val="none"/>
        </w:rPr>
        <w:t xml:space="preserve">详见</w:t>
      </w:r>
      <w:r>
        <w:rPr>
          <w:rFonts w:hint="eastAsia" w:ascii="宋体" w:hAnsi="宋体" w:eastAsia="宋体" w:cs="宋体"/>
          <w:bCs/>
          <w:color w:val="auto"/>
          <w:sz w:val="24"/>
          <w:szCs w:val="24"/>
          <w:highlight w:val="none"/>
          <w:lang w:eastAsia="zh-CN"/>
        </w:rPr>
        <w:t xml:space="preserve">《施工合同》及</w:t>
      </w:r>
      <w:r>
        <w:rPr>
          <w:rFonts w:hint="eastAsia" w:ascii="宋体" w:hAnsi="宋体" w:eastAsia="宋体" w:cs="宋体"/>
          <w:bCs/>
          <w:color w:val="auto"/>
          <w:sz w:val="24"/>
          <w:szCs w:val="24"/>
          <w:highlight w:val="none"/>
        </w:rPr>
        <w:t xml:space="preserve">《工程质量保修书》，质保期外工程质量出现问题，中标人应主动提供维修方案。 </w:t>
      </w:r>
      <w:r/>
    </w:p>
    <w:p>
      <w:pPr>
        <w:pStyle w:val="1127"/>
        <w:ind w:firstLine="480"/>
        <w:spacing w:before="240" w:after="240" w:line="360" w:lineRule="auto"/>
        <w:rPr>
          <w:rFonts w:ascii="宋体" w:hAnsi="宋体" w:cs="宋体"/>
          <w:b/>
          <w:bCs/>
          <w:color w:val="auto"/>
          <w:sz w:val="36"/>
          <w:highlight w:val="none"/>
        </w:rPr>
        <w:pBdr>
          <w:top w:val="none" w:color="000000" w:sz="0" w:space="0"/>
          <w:left w:val="none" w:color="000000" w:sz="0" w:space="0"/>
          <w:right w:val="none" w:color="000000" w:sz="0" w:space="0"/>
        </w:pBd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、其他要求：见《竞争性磋商文件》附件：《</w:t>
      </w:r>
      <w:r>
        <w:rPr>
          <w:rFonts w:hint="eastAsia" w:ascii="宋体" w:hAnsi="宋体" w:eastAsia="宋体" w:cs="宋体"/>
          <w:b/>
          <w:color w:val="auto"/>
          <w:sz w:val="24"/>
          <w:szCs w:val="24"/>
          <w:highlight w:val="none"/>
          <w:lang w:eastAsia="zh-CN"/>
        </w:rPr>
        <w:t xml:space="preserve">拟签订的</w:t>
      </w:r>
      <w:r>
        <w:rPr>
          <w:rFonts w:hint="eastAsia" w:ascii="宋体" w:hAnsi="宋体" w:eastAsia="宋体" w:cs="宋体"/>
          <w:b/>
          <w:color w:val="auto"/>
          <w:sz w:val="24"/>
          <w:szCs w:val="24"/>
          <w:highlight w:val="none"/>
        </w:rPr>
        <w:t xml:space="preserve">合同</w:t>
      </w:r>
      <w:r>
        <w:rPr>
          <w:rFonts w:hint="eastAsia" w:ascii="宋体" w:hAnsi="宋体" w:eastAsia="宋体" w:cs="宋体"/>
          <w:b/>
          <w:color w:val="auto"/>
          <w:sz w:val="24"/>
          <w:szCs w:val="24"/>
          <w:highlight w:val="none"/>
          <w:lang w:eastAsia="zh-CN"/>
        </w:rPr>
        <w:t xml:space="preserve">文本</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eastAsia="zh-CN"/>
        </w:rPr>
        <w:t xml:space="preserve">。</w:t>
      </w:r>
      <w:r>
        <w:rPr>
          <w:rFonts w:hint="eastAsia" w:ascii="宋体" w:hAnsi="宋体" w:cs="宋体"/>
          <w:b/>
          <w:bCs/>
          <w:color w:val="auto"/>
          <w:sz w:val="24"/>
          <w:highlight w:val="none"/>
        </w:rPr>
        <w:br w:type="page" w:clear="all"/>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36"/>
          <w:highlight w:val="none"/>
        </w:rPr>
        <w:t xml:space="preserve">3、磋商报价表</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JSZC-320300-JTGS-C2026-0036</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highlight w:val="none"/>
        </w:rPr>
        <w:t xml:space="preserve">货币单位：人民币元</w:t>
      </w:r>
      <w:r/>
    </w:p>
    <w:tbl>
      <w:tblPr>
        <w:tblStyle w:val="964"/>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562"/>
        <w:gridCol w:w="1945"/>
        <w:gridCol w:w="1916"/>
        <w:gridCol w:w="2103"/>
      </w:tblGrid>
      <w:tr>
        <w:trPr>
          <w:tblCellSpacing w:w="0" w:type="dxa"/>
          <w:trHeight w:val="1107"/>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731" w:type="dxa"/>
            <w:vAlign w:val="center"/>
            <w:textDirection w:val="lrTb"/>
            <w:noWrap w:val="false"/>
          </w:tcPr>
          <w:p>
            <w:pPr>
              <w:pStyle w:val="980"/>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100" w:type="dxa"/>
            <w:vAlign w:val="center"/>
            <w:textDirection w:val="lrTb"/>
            <w:noWrap w:val="false"/>
          </w:tcPr>
          <w:p>
            <w:pPr>
              <w:pStyle w:val="980"/>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44" w:type="dxa"/>
            <w:vAlign w:val="center"/>
            <w:textDirection w:val="lrTb"/>
            <w:noWrap w:val="false"/>
          </w:tcPr>
          <w:p>
            <w:pPr>
              <w:pStyle w:val="980"/>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225" w:type="dxa"/>
            <w:vAlign w:val="center"/>
            <w:textDirection w:val="lrTb"/>
            <w:noWrap w:val="false"/>
          </w:tcPr>
          <w:p>
            <w:pPr>
              <w:pStyle w:val="980"/>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工期（天）</w:t>
            </w:r>
            <w:r/>
          </w:p>
        </w:tc>
      </w:tr>
      <w:tr>
        <w:trPr>
          <w:tblCellSpacing w:w="0" w:type="dxa"/>
          <w:trHeight w:val="1096"/>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731" w:type="dxa"/>
            <w:vAlign w:val="center"/>
            <w:textDirection w:val="lrTb"/>
            <w:noWrap w:val="false"/>
          </w:tcPr>
          <w:p>
            <w:pPr>
              <w:pStyle w:val="980"/>
              <w:ind w:right="-57"/>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市级机关破墙透绿改造工程</w:t>
            </w:r>
            <w:r>
              <w:rPr>
                <w:rFonts w:ascii="宋体" w:hAnsi="宋体" w:cs="宋体"/>
                <w:color w:val="auto"/>
                <w:sz w:val="24"/>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100" w:type="dxa"/>
            <w:vAlign w:val="center"/>
            <w:textDirection w:val="lrTb"/>
            <w:noWrap w:val="false"/>
          </w:tcPr>
          <w:p>
            <w:pPr>
              <w:pStyle w:val="980"/>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详见响应文件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44" w:type="dxa"/>
            <w:vAlign w:val="center"/>
            <w:textDirection w:val="lrTb"/>
            <w:noWrap w:val="false"/>
          </w:tcPr>
          <w:p>
            <w:pPr>
              <w:pStyle w:val="980"/>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225" w:type="dxa"/>
            <w:vAlign w:val="center"/>
            <w:textDirection w:val="lrTb"/>
            <w:noWrap w:val="false"/>
          </w:tcPr>
          <w:p>
            <w:pPr>
              <w:pStyle w:val="980"/>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133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731" w:type="dxa"/>
            <w:vAlign w:val="center"/>
            <w:textDirection w:val="lrTb"/>
            <w:noWrap w:val="false"/>
          </w:tcPr>
          <w:p>
            <w:pPr>
              <w:pStyle w:val="980"/>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6369" w:type="dxa"/>
            <w:vAlign w:val="center"/>
            <w:textDirection w:val="lrTb"/>
            <w:noWrap w:val="false"/>
          </w:tcPr>
          <w:p>
            <w:pPr>
              <w:pStyle w:val="980"/>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pStyle w:val="1008"/>
        <w:spacing w:line="360" w:lineRule="auto"/>
        <w:widowControl w:val="off"/>
        <w:rPr>
          <w:rFonts w:ascii="宋体" w:hAnsi="宋体"/>
          <w:color w:val="auto"/>
          <w:sz w:val="24"/>
          <w:highlight w:val="none"/>
        </w:rPr>
      </w:pPr>
      <w:r>
        <w:rPr>
          <w:rFonts w:ascii="宋体" w:hAnsi="宋体"/>
          <w:color w:val="auto"/>
          <w:sz w:val="24"/>
          <w:highlight w:val="none"/>
        </w:rPr>
      </w:r>
      <w:r/>
    </w:p>
    <w:p>
      <w:pPr>
        <w:pStyle w:val="1008"/>
        <w:ind w:firstLine="480"/>
        <w:jc w:val="left"/>
        <w:spacing w:line="440" w:lineRule="exact"/>
        <w:widowControl w:val="off"/>
        <w:rPr>
          <w:rStyle w:val="1519"/>
          <w:rFonts w:hint="eastAsia" w:ascii="宋体" w:hAnsi="宋体" w:eastAsia="宋体" w:cs="宋体"/>
          <w:color w:val="auto"/>
          <w:sz w:val="24"/>
          <w:highlight w:val="none"/>
        </w:rPr>
      </w:pPr>
      <w:r>
        <w:rPr>
          <w:rStyle w:val="1519"/>
          <w:rFonts w:hint="eastAsia" w:ascii="宋体" w:hAnsi="宋体" w:eastAsia="宋体" w:cs="宋体"/>
          <w:color w:val="auto"/>
          <w:sz w:val="24"/>
          <w:highlight w:val="none"/>
        </w:rPr>
        <w:t xml:space="preserve">供应商承诺：本报价（总价）为供应商本企业提供的</w:t>
      </w:r>
      <w:r>
        <w:rPr>
          <w:rStyle w:val="1519"/>
          <w:rFonts w:hint="eastAsia" w:ascii="宋体" w:hAnsi="宋体" w:eastAsia="宋体" w:cs="宋体"/>
          <w:color w:val="auto"/>
          <w:sz w:val="24"/>
          <w:highlight w:val="none"/>
          <w:lang w:val="en-US" w:eastAsia="zh-CN"/>
        </w:rPr>
        <w:t xml:space="preserve">施工</w:t>
      </w:r>
      <w:r>
        <w:rPr>
          <w:rStyle w:val="1519"/>
          <w:rFonts w:hint="eastAsia" w:ascii="宋体" w:hAnsi="宋体" w:eastAsia="宋体" w:cs="宋体"/>
          <w:color w:val="auto"/>
          <w:sz w:val="24"/>
          <w:highlight w:val="none"/>
        </w:rPr>
        <w:t xml:space="preserve">。</w:t>
      </w:r>
      <w:r/>
    </w:p>
    <w:p>
      <w:pPr>
        <w:pStyle w:val="980"/>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98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pStyle w:val="980"/>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1、报价包括磋商文件所确定的招标范围内工程量清单及所含施工图的全部内容，以及为完成上述内容所需的全部费用，采购人不再支付报价以外的任何费用。。</w:t>
      </w:r>
      <w:r/>
    </w:p>
    <w:p>
      <w:pPr>
        <w:pStyle w:val="980"/>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pStyle w:val="980"/>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pStyle w:val="980"/>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pStyle w:val="98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98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98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right="29"/>
        <w:spacing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4、</w:t>
      </w:r>
      <w:bookmarkStart w:id="2" w:name="_Hlk81985238"/>
      <w:r>
        <w:rPr>
          <w:rFonts w:hint="eastAsia" w:ascii="宋体" w:hAnsi="宋体" w:cs="宋体"/>
          <w:b/>
          <w:bCs/>
          <w:color w:val="auto"/>
          <w:sz w:val="36"/>
          <w:highlight w:val="none"/>
        </w:rPr>
        <w:t xml:space="preserve">分项价格表</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JSZC-320300-JTGS-C2026-0036</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市级机关破墙透绿改造工程</w:t>
      </w:r>
      <w:r/>
    </w:p>
    <w:p>
      <w:pPr>
        <w:spacing w:line="276" w:lineRule="auto"/>
        <w:rPr>
          <w:rFonts w:ascii="宋体" w:hAnsi="宋体" w:cs="宋体"/>
          <w:color w:val="auto"/>
          <w:sz w:val="24"/>
          <w:highlight w:val="none"/>
        </w:rPr>
      </w:pPr>
      <w:r>
        <w:rPr>
          <w:rFonts w:ascii="宋体" w:hAnsi="宋体" w:cs="宋体"/>
          <w:color w:val="auto"/>
          <w:sz w:val="24"/>
          <w:highlight w:val="none"/>
        </w:rPr>
      </w:r>
      <w:r/>
    </w:p>
    <w:p>
      <w:pPr>
        <w:pStyle w:val="1010"/>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sz w:val="24"/>
          <w:highlight w:val="none"/>
        </w:rPr>
      </w:pPr>
      <w:r>
        <w:rPr>
          <w:rFonts w:hint="eastAsia" w:ascii="仿宋" w:hAnsi="仿宋" w:eastAsia="仿宋" w:cs="仿宋"/>
          <w:color w:val="auto"/>
          <w:sz w:val="24"/>
          <w:highlight w:val="none"/>
        </w:rPr>
        <w:t xml:space="preserve">【</w:t>
      </w:r>
      <w:r>
        <w:rPr>
          <w:rFonts w:hint="eastAsia" w:ascii="宋体" w:hAnsi="宋体" w:cs="宋体"/>
          <w:color w:val="auto"/>
          <w:sz w:val="24"/>
          <w:highlight w:val="none"/>
        </w:rPr>
        <w:t xml:space="preserve">根据《工程量清单》进行编制</w:t>
      </w:r>
      <w:r>
        <w:rPr>
          <w:rFonts w:hint="eastAsia" w:ascii="仿宋" w:hAnsi="仿宋" w:eastAsia="仿宋" w:cs="仿宋"/>
          <w:color w:val="auto"/>
          <w:sz w:val="24"/>
          <w:highlight w:val="none"/>
        </w:rPr>
        <w:t xml:space="preserve">】</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2.享受政府采购支持政策的残疾人福利性单位应满足的条件以《关于促进残疾人就业政府采购政策的通知》（财库〔2017〕141号）的规定为准。</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3．供应商为“小型”或“微型”或“监狱企业”、“残疾人福利性单位”的，须算出“小型和微型和监狱企业和残疾人福利性单位” 总价合计”。</w:t>
      </w:r>
      <w:r/>
    </w:p>
    <w:p>
      <w:pPr>
        <w:pStyle w:val="9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注：</w:t>
      </w:r>
      <w:bookmarkEnd w:id="2"/>
      <w:r>
        <w:rPr>
          <w:rFonts w:hint="eastAsia" w:ascii="宋体" w:hAnsi="宋体" w:eastAsia="宋体" w:cs="宋体"/>
          <w:color w:val="auto"/>
          <w:sz w:val="24"/>
          <w:szCs w:val="24"/>
          <w:highlight w:val="none"/>
          <w:lang w:val="en-US" w:eastAsia="zh-CN" w:bidi="ar-SA"/>
        </w:rPr>
        <w:t xml:space="preserve">1、如果按单价计算的结果与总价不一致，以总价为准。</w:t>
      </w:r>
      <w:r/>
    </w:p>
    <w:p>
      <w:pPr>
        <w:pStyle w:val="980"/>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2、如果不提供《分项价格表》将视为没有实质性响应。</w:t>
      </w:r>
      <w:r/>
    </w:p>
    <w:p>
      <w:pPr>
        <w:pStyle w:val="980"/>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3、响应供应商对以上数据的真实性负责。</w:t>
      </w:r>
      <w:r/>
    </w:p>
    <w:p>
      <w:pPr>
        <w:jc w:val="left"/>
        <w:spacing w:line="360" w:lineRule="auto"/>
        <w:rPr>
          <w:rFonts w:ascii="宋体" w:hAnsi="宋体" w:cs="宋体"/>
          <w:b/>
          <w:bCs/>
          <w:color w:val="auto"/>
          <w:sz w:val="36"/>
          <w:szCs w:val="36"/>
          <w:highlight w:val="none"/>
        </w:rPr>
      </w:pPr>
      <w:r>
        <w:rPr>
          <w:rFonts w:hint="eastAsia" w:ascii="宋体" w:hAnsi="宋体" w:eastAsia="宋体" w:cs="宋体"/>
          <w:b/>
          <w:bCs/>
          <w:color w:val="auto"/>
          <w:sz w:val="24"/>
          <w:szCs w:val="24"/>
          <w:highlight w:val="none"/>
          <w:lang w:val="en-US" w:eastAsia="zh-CN" w:bidi="ar-SA"/>
        </w:rPr>
        <w:t xml:space="preserve">采购人或采购代理机构有权将以上内容进行公示。</w:t>
      </w:r>
      <w:r>
        <w:rPr>
          <w:rFonts w:hint="eastAsia" w:ascii="宋体" w:hAnsi="宋体" w:cs="宋体"/>
          <w:b/>
          <w:bCs/>
          <w:color w:val="auto"/>
          <w:sz w:val="36"/>
          <w:highlight w:val="none"/>
        </w:rPr>
        <w:br w:type="page" w:clear="all"/>
      </w:r>
      <w:r/>
    </w:p>
    <w:p>
      <w:pPr>
        <w:jc w:val="left"/>
        <w:spacing w:line="360" w:lineRule="auto"/>
        <w:rPr>
          <w:rFonts w:ascii="宋体" w:hAnsi="宋体" w:cs="宋体"/>
          <w:b/>
          <w:bCs/>
          <w:color w:val="auto"/>
          <w:sz w:val="36"/>
          <w:szCs w:val="36"/>
          <w:highlight w:val="none"/>
        </w:rPr>
      </w:pPr>
      <w:r>
        <w:rPr>
          <w:rFonts w:hint="eastAsia" w:ascii="宋体" w:hAnsi="宋体" w:cs="宋体"/>
          <w:b/>
          <w:bCs/>
          <w:color w:val="auto"/>
          <w:sz w:val="36"/>
          <w:highlight w:val="none"/>
        </w:rPr>
        <w:t xml:space="preserve">                 5、</w:t>
      </w:r>
      <w:bookmarkStart w:id="3" w:name="_Hlk81985343"/>
      <w:r>
        <w:rPr>
          <w:rFonts w:hint="eastAsia" w:ascii="宋体" w:hAnsi="宋体" w:cs="宋体"/>
          <w:b/>
          <w:bCs/>
          <w:color w:val="auto"/>
          <w:sz w:val="36"/>
          <w:highlight w:val="none"/>
        </w:rPr>
        <w:t xml:space="preserve">偏离表</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项目编号：</w:t>
      </w:r>
      <w:r>
        <w:rPr>
          <w:rFonts w:hint="eastAsia" w:ascii="宋体" w:hAnsi="宋体" w:cs="宋体"/>
          <w:color w:val="auto"/>
          <w:sz w:val="24"/>
          <w:highlight w:val="none"/>
          <w:lang w:eastAsia="zh-CN"/>
        </w:rPr>
        <w:t xml:space="preserve">JSZC-320300-JTGS-C2026-0036</w:t>
      </w:r>
      <w:r/>
    </w:p>
    <w:p>
      <w:pPr>
        <w:pStyle w:val="1134"/>
        <w:spacing w:before="0" w:after="0"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项目名称：</w:t>
      </w:r>
      <w:r>
        <w:rPr>
          <w:rFonts w:hint="eastAsia" w:ascii="宋体" w:hAnsi="宋体" w:eastAsia="宋体" w:cs="宋体"/>
          <w:b w:val="0"/>
          <w:bCs w:val="0"/>
          <w:color w:val="auto"/>
          <w:sz w:val="24"/>
          <w:szCs w:val="24"/>
          <w:highlight w:val="none"/>
          <w:lang w:eastAsia="zh-CN"/>
        </w:rPr>
        <w:t xml:space="preserve">市级机关破墙透绿改造工程</w:t>
      </w:r>
      <w:r/>
    </w:p>
    <w:p>
      <w:pPr>
        <w:pStyle w:val="1008"/>
        <w:rPr>
          <w:color w:val="auto"/>
          <w:highlight w:val="none"/>
        </w:rPr>
      </w:pPr>
      <w:r>
        <w:rPr>
          <w:color w:val="auto"/>
          <w:highlight w:val="none"/>
        </w:rPr>
      </w:r>
      <w:r/>
    </w:p>
    <w:tbl>
      <w:tblPr>
        <w:tblStyle w:val="96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74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368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51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23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77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368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51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7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8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368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51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7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8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368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51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7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8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368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51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7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8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368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51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7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8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368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51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7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8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368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51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7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8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368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51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7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color w:val="auto"/>
          <w:sz w:val="24"/>
          <w:highlight w:val="none"/>
          <w:u w:val="single"/>
        </w:rPr>
      </w:pPr>
      <w:r>
        <w:rPr>
          <w:rFonts w:ascii="宋体" w:hAnsi="宋体" w:cs="宋体"/>
          <w:color w:val="auto"/>
          <w:sz w:val="24"/>
          <w:highlight w:val="none"/>
          <w:u w:val="singl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注：1、如果不提供此表将视为没有实质性响应。</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供应商（电子签章）：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w:t>
      </w:r>
      <w:r/>
    </w:p>
    <w:p>
      <w:pPr>
        <w:ind w:right="29" w:firstLine="28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w:t>
      </w:r>
      <w:bookmarkEnd w:id="3"/>
      <w:r/>
      <w:r/>
    </w:p>
    <w:p>
      <w:pPr>
        <w:jc w:val="center"/>
        <w:spacing w:before="240" w:after="240" w:line="85"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6、供应商信用承诺书</w:t>
      </w:r>
      <w:r/>
    </w:p>
    <w:p>
      <w:pPr>
        <w:ind w:left="718" w:hanging="2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187" w:hanging="142"/>
        <w:jc w:val="lef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为维护公开、公平、公正的政府采购市场秩序，树立诚实守信的供应商形象，本单位在</w:t>
      </w:r>
      <w:r>
        <w:rPr>
          <w:rFonts w:ascii="宋体" w:hAnsi="宋体" w:cs="宋体"/>
          <w:color w:val="auto"/>
          <w:sz w:val="24"/>
          <w:highlight w:val="none"/>
          <w:u w:val="single"/>
        </w:rPr>
        <w:t xml:space="preserve">      </w:t>
      </w:r>
      <w:r>
        <w:rPr>
          <w:rFonts w:ascii="宋体" w:hAnsi="宋体" w:cs="宋体"/>
          <w:color w:val="auto"/>
          <w:sz w:val="24"/>
          <w:highlight w:val="none"/>
        </w:rPr>
        <w:t xml:space="preserve">项目（项目编号：</w:t>
      </w:r>
      <w:r>
        <w:rPr>
          <w:rFonts w:ascii="宋体" w:hAnsi="宋体" w:cs="宋体"/>
          <w:color w:val="auto"/>
          <w:sz w:val="24"/>
          <w:highlight w:val="none"/>
          <w:u w:val="single"/>
        </w:rPr>
        <w:t xml:space="preserve">           </w:t>
      </w:r>
      <w:r>
        <w:rPr>
          <w:rFonts w:ascii="宋体" w:hAnsi="宋体" w:cs="宋体"/>
          <w:color w:val="auto"/>
          <w:sz w:val="24"/>
          <w:highlight w:val="none"/>
        </w:rPr>
        <w:t xml:space="preserve"> )采购过程中自愿作出以下承诺：  </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1、本单位在该项目采购过程中秉承诚实守信、合法经营的原则开展工作，严格遵守《中华人民共和国政府采购法》等国家法律、法规和规章的规定，自觉接受相关部门和社会公众的监督。</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3、不与采购人或采购代理机构或政府采购评审专家或其他供应商或其他政府采购相关人员恶意串通，不向以上相关人员行贿或者提供不正当利益。</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4、中标、成交通知书发出后，无正当理由不拒绝与采购人签订政府采购合同。</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5、中标、成交通知书发出后，按照采购文件确定的事项，在规定的时间内与采购人签订采购合同，不向采购人提出不合理的要求作为签订合同的条件。</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6、不将政府采购合同转包，或者采购人允许采用分包方式履行合同的，不将合同的主体和关键部分分包给其他供应商。</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7、不提供假冒伪劣产品，不存在偷工减料情形，严格履行合同义务。</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8、不擅自变更、中止或者终止政府采购合同。</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9、不采用捏造事实、提供虚假材料或者以非法手段取得证明材料等方式进行虚假、恶意质疑和投诉。</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10、自觉接受有关部门依法实施的监督检查，在监督检查中提供真实有效的情况。</w:t>
      </w:r>
      <w:r>
        <w:rPr>
          <w:color w:val="auto"/>
          <w:highlight w:val="none"/>
        </w:rPr>
      </w:r>
      <w:r/>
    </w:p>
    <w:p>
      <w:pPr>
        <w:ind w:right="29" w:firstLine="43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承诺单位（电子签章）：</w:t>
      </w:r>
      <w:r/>
    </w:p>
    <w:p>
      <w:pPr>
        <w:ind w:right="29" w:firstLine="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法定代表人(负责人)或授权代表（签字或盖章）：  </w:t>
      </w:r>
      <w:r/>
    </w:p>
    <w:p>
      <w:pPr>
        <w:ind w:right="29" w:firstLine="43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年月日</w:t>
      </w:r>
      <w:r/>
    </w:p>
    <w:p>
      <w:pPr>
        <w:jc w:val="center"/>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、承包人主要施工管理人员表</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项目编号：</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 </w:t>
      </w:r>
      <w:r/>
    </w:p>
    <w:tbl>
      <w:tblPr>
        <w:tblStyle w:val="10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2"/>
        <w:gridCol w:w="1625"/>
        <w:gridCol w:w="1625"/>
        <w:gridCol w:w="1625"/>
        <w:gridCol w:w="1669"/>
      </w:tblGrid>
      <w:tr>
        <w:trPr>
          <w:trHeight w:val="476"/>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名    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职务</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主要资历、经验及承</w:t>
            </w:r>
            <w:r/>
          </w:p>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担过的项目</w:t>
            </w:r>
            <w:r/>
          </w:p>
        </w:tc>
      </w:tr>
      <w:tr>
        <w:trPr>
          <w:trHeight w:val="476"/>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46"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一、总部人员</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项目主管</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46"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二、现场人员</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ind w:right="29"/>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right="29" w:firstLine="43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供应商（电子签章）：</w:t>
      </w:r>
      <w:r/>
    </w:p>
    <w:p>
      <w:pPr>
        <w:ind w:right="29" w:firstLine="43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法定代表人(负责人)或授权代表（签字或盖章）：  </w:t>
      </w:r>
      <w:r/>
    </w:p>
    <w:p>
      <w:pPr>
        <w:ind w:right="29" w:firstLine="43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日期：年月日</w:t>
      </w:r>
      <w:r/>
    </w:p>
    <w:p>
      <w:pPr>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注：1、如果不提供此表将视为没有实质性响应。</w:t>
      </w:r>
      <w:r/>
    </w:p>
    <w:p>
      <w:pPr>
        <w:numPr>
          <w:ilvl w:val="0"/>
          <w:numId w:val="6"/>
        </w:numPr>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响应供应商对以上数据的真实性负责。采购人或采购代理机构有权将以上内容进行公示。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8</w:t>
      </w:r>
      <w:r>
        <w:rPr>
          <w:rFonts w:hint="eastAsia" w:ascii="宋体" w:hAnsi="宋体" w:eastAsia="宋体" w:cs="宋体"/>
          <w:b/>
          <w:bCs/>
          <w:color w:val="auto"/>
          <w:sz w:val="36"/>
          <w:highlight w:val="none"/>
        </w:rPr>
        <w:t xml:space="preserve">、授权委托书</w:t>
      </w:r>
      <w:r/>
    </w:p>
    <w:p>
      <w:pPr>
        <w:pStyle w:val="999"/>
        <w:ind w:left="0" w:right="0"/>
        <w:jc w:val="center"/>
        <w:keepLines w:val="0"/>
        <w:keepNext w:val="0"/>
        <w:spacing w:before="260" w:beforeAutospacing="0" w:after="260" w:afterAutospacing="0" w:line="415" w:lineRule="auto"/>
        <w:widowControl w:val="off"/>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法定代表人身份证明（如法定代表人参加时提供）</w:t>
      </w:r>
      <w:r/>
    </w:p>
    <w:p>
      <w:pPr>
        <w:pStyle w:val="999"/>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投标人名称：</w:t>
      </w:r>
      <w:r>
        <w:rPr>
          <w:rFonts w:hint="default"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 </w:t>
      </w:r>
      <w:r/>
    </w:p>
    <w:p>
      <w:pPr>
        <w:pStyle w:val="999"/>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姓名：</w:t>
      </w:r>
      <w:r>
        <w:rPr>
          <w:rFonts w:hint="default"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 xml:space="preserve">性别：</w:t>
      </w:r>
      <w:r>
        <w:rPr>
          <w:rFonts w:hint="default"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年龄：</w:t>
      </w:r>
      <w:r>
        <w:rPr>
          <w:rFonts w:hint="default"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职务：</w:t>
      </w:r>
      <w:r>
        <w:rPr>
          <w:rFonts w:hint="default"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   </w:t>
      </w:r>
      <w:r/>
    </w:p>
    <w:p>
      <w:pPr>
        <w:pStyle w:val="999"/>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系</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（投标人名称）的法定代表人。</w:t>
      </w:r>
      <w:r/>
    </w:p>
    <w:p>
      <w:pPr>
        <w:pStyle w:val="999"/>
        <w:ind w:left="0" w:firstLine="1689"/>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p>
      <w:pPr>
        <w:pStyle w:val="999"/>
        <w:ind w:left="0" w:firstLine="1689"/>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特此证明。</w:t>
      </w:r>
      <w:r/>
    </w:p>
    <w:p>
      <w:pPr>
        <w:pStyle w:val="999"/>
        <w:ind w:left="0" w:firstLine="1689"/>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999"/>
        <w:ind w:left="0" w:firstLine="480"/>
        <w:jc w:val="right"/>
        <w:keepLines w:val="0"/>
        <w:keepNext w:val="0"/>
        <w:spacing w:before="0" w:beforeAutospacing="0" w:after="0" w:afterAutospacing="0" w:line="48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（盖电子签章）</w:t>
      </w:r>
      <w:r/>
    </w:p>
    <w:p>
      <w:pPr>
        <w:pStyle w:val="999"/>
        <w:ind w:left="0" w:firstLine="480"/>
        <w:jc w:val="right"/>
        <w:keepLines w:val="0"/>
        <w:keepNext w:val="0"/>
        <w:spacing w:before="0" w:beforeAutospacing="0" w:after="0" w:afterAutospacing="0" w:line="48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   年  月  日</w:t>
      </w:r>
      <w:r/>
    </w:p>
    <w:p>
      <w:pPr>
        <w:pStyle w:val="999"/>
        <w:ind w:left="0" w:firstLine="1478"/>
        <w:jc w:val="right"/>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999"/>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附：</w:t>
      </w:r>
      <w:r/>
    </w:p>
    <w:tbl>
      <w:tblPr>
        <w:tblStyle w:val="964"/>
        <w:tblW w:w="0" w:type="auto"/>
        <w:tblCellSpacing w:w="0" w:type="dxa"/>
        <w:tblInd w:w="5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34"/>
      </w:tblGrid>
      <w:tr>
        <w:trPr>
          <w:tblCellSpacing w:w="0" w:type="dxa"/>
          <w:trHeight w:val="2473"/>
        </w:trPr>
        <w:tc>
          <w:tcPr>
            <w:shd w:val="clear" w:color="auto" w:fill="auto"/>
            <w:tcBorders>
              <w:top w:val="single" w:color="000000" w:sz="4" w:space="0"/>
              <w:left w:val="single" w:color="000000" w:sz="4" w:space="0"/>
              <w:bottom w:val="single" w:color="000000" w:sz="4" w:space="0"/>
              <w:right w:val="single" w:color="000000" w:sz="4" w:space="0"/>
            </w:tcBorders>
            <w:tcW w:w="7934" w:type="dxa"/>
            <w:vAlign w:val="center"/>
            <w:textDirection w:val="lrTb"/>
            <w:noWrap w:val="false"/>
          </w:tcPr>
          <w:p>
            <w:pPr>
              <w:pStyle w:val="999"/>
              <w:ind w:left="0" w:firstLine="950"/>
              <w:jc w:val="center"/>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999"/>
              <w:ind w:left="0" w:firstLine="2042"/>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(法定代表人身份证扫描件附后)</w:t>
            </w:r>
            <w:r/>
          </w:p>
          <w:p>
            <w:pPr>
              <w:pStyle w:val="999"/>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tc>
      </w:tr>
    </w:tbl>
    <w:p>
      <w:pPr>
        <w:pStyle w:val="999"/>
        <w:ind w:left="0" w:firstLine="1478"/>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999"/>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84"/>
        <w:rPr>
          <w:rFonts w:ascii="宋体" w:hAnsi="宋体" w:cs="宋体"/>
          <w:color w:val="auto"/>
          <w:sz w:val="28"/>
          <w:szCs w:val="28"/>
          <w:highlight w:val="none"/>
        </w:rPr>
      </w:pPr>
      <w:r>
        <w:rPr>
          <w:rFonts w:ascii="宋体" w:hAnsi="宋体" w:cs="宋体"/>
          <w:color w:val="auto"/>
          <w:sz w:val="28"/>
          <w:szCs w:val="28"/>
          <w:highlight w:val="none"/>
        </w:rPr>
      </w:r>
      <w:r/>
    </w:p>
    <w:p>
      <w:pPr>
        <w:pStyle w:val="999"/>
        <w:ind w:left="0" w:right="0"/>
        <w:jc w:val="center"/>
        <w:keepLines w:val="0"/>
        <w:keepNext w:val="0"/>
        <w:spacing w:before="260" w:beforeAutospacing="0" w:after="260" w:afterAutospacing="0" w:line="415" w:lineRule="auto"/>
        <w:widowControl w:val="off"/>
        <w:rPr>
          <w:rFonts w:ascii="宋体" w:hAnsi="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法定代表人授权委托书（如授权委托人参加时提供）</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委托人：</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职务：</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统一社会信用代码：</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受托人：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性别：男（女）</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年龄：  岁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民族：   族</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职务：</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身份证号：</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兹委托（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ind w:firstLine="63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特此授权委托。</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委托人（电子签章）：</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法定代表人（签字或盖章）： </w:t>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受托人（签字或盖章）：</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pStyle w:val="984"/>
        <w:ind w:left="0" w:firstLine="602"/>
        <w:rPr>
          <w:rFonts w:ascii="宋体" w:hAnsi="宋体" w:cs="宋体"/>
          <w:color w:val="auto"/>
          <w:sz w:val="24"/>
          <w:szCs w:val="24"/>
          <w:highlight w:val="none"/>
        </w:rPr>
      </w:pPr>
      <w:r>
        <w:rPr>
          <w:rFonts w:hint="eastAsia" w:ascii="宋体" w:hAnsi="宋体" w:cs="宋体"/>
          <w:b/>
          <w:bCs/>
          <w:color w:val="auto"/>
          <w:sz w:val="24"/>
          <w:szCs w:val="24"/>
          <w:highlight w:val="none"/>
        </w:rPr>
        <w:t xml:space="preserve">受托人联系方式：      邮箱：</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right="600" w:firstLine="615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年 月 日 </w:t>
      </w:r>
      <w:r/>
    </w:p>
    <w:p>
      <w:pPr>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(受托人身份证扫描件附后)</w:t>
      </w:r>
      <w:r/>
    </w:p>
    <w:p>
      <w:pPr>
        <w:ind w:firstLine="600"/>
        <w:jc w:val="cente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bCs/>
          <w:color w:val="auto"/>
          <w:sz w:val="28"/>
          <w:szCs w:val="28"/>
          <w:highlight w:val="none"/>
        </w:rPr>
      </w:r>
      <w:r/>
    </w:p>
    <w:p>
      <w:pPr>
        <w:jc w:val="center"/>
        <w:rPr>
          <w:rFonts w:ascii="宋体" w:hAnsi="宋体" w:cs="宋体"/>
          <w:b/>
          <w:color w:val="auto"/>
          <w:sz w:val="36"/>
          <w:highlight w:val="none"/>
        </w:rPr>
      </w:pPr>
      <w:r>
        <w:rPr>
          <w:rFonts w:hint="eastAsia" w:ascii="宋体" w:hAnsi="宋体" w:cs="宋体"/>
          <w:b/>
          <w:color w:val="auto"/>
          <w:sz w:val="36"/>
          <w:highlight w:val="none"/>
          <w:lang w:val="en-US" w:eastAsia="zh-CN"/>
        </w:rPr>
        <w:t xml:space="preserve">9</w:t>
      </w:r>
      <w:r>
        <w:rPr>
          <w:rFonts w:hint="eastAsia" w:ascii="宋体" w:hAnsi="宋体" w:cs="宋体"/>
          <w:b/>
          <w:color w:val="auto"/>
          <w:sz w:val="36"/>
          <w:highlight w:val="none"/>
        </w:rPr>
        <w:t xml:space="preserve">、承诺书</w:t>
      </w:r>
      <w:r/>
    </w:p>
    <w:p>
      <w:pPr>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江苏骏通建设项目管理咨询有限公司</w:t>
      </w:r>
      <w:r>
        <w:rPr>
          <w:rFonts w:hint="eastAsia" w:ascii="宋体" w:hAnsi="宋体" w:cs="宋体"/>
          <w:color w:val="auto"/>
          <w:sz w:val="24"/>
          <w:szCs w:val="24"/>
          <w:highlight w:val="none"/>
        </w:rPr>
        <w:t xml:space="preserve">：</w:t>
      </w:r>
      <w:r/>
    </w:p>
    <w:p>
      <w:pPr>
        <w:pStyle w:val="1310"/>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JSZC-320300-JTGS-C2026-0036</w:t>
      </w:r>
      <w:r>
        <w:rPr>
          <w:rFonts w:hint="eastAsia" w:ascii="宋体" w:hAnsi="宋体" w:cs="宋体"/>
          <w:color w:val="auto"/>
          <w:sz w:val="24"/>
          <w:szCs w:val="24"/>
          <w:highlight w:val="none"/>
        </w:rPr>
        <w:t xml:space="preserve">）要求，本供应商正式提交以下首次响应文件。</w:t>
      </w:r>
      <w:r/>
    </w:p>
    <w:p>
      <w:pPr>
        <w:pStyle w:val="1310"/>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（1）承诺书； </w:t>
      </w:r>
      <w:r/>
    </w:p>
    <w:p>
      <w:pPr>
        <w:pStyle w:val="1310"/>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310"/>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310"/>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310"/>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310"/>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供应商兹宣布同意如下： </w:t>
      </w:r>
      <w:r/>
    </w:p>
    <w:p>
      <w:pPr>
        <w:pStyle w:val="1310"/>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310"/>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二、保证所提供的响应文件及所有材料的真实、合法、有效，并对其负责。</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四、所供货物保证符合国家有关产品质量、性能和安全标准，无权利瑕疵。</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五、报价有效期为30个工作日。</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六、同意向贵方提供贵方可能要求的与本次磋商采购有关的任何证据或资料。</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七、完全理解贵方不一定要接受最低的报价或收到的任何报价。</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八、采购人或采购代理机构有权将我单位本项目的《磋商报价表》和《分项价格表》予以公示，公示的方式由江苏骏通建设项目管理咨询有限公司确定。</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12"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192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供应商（电子签章）：</w:t>
      </w:r>
      <w:r/>
    </w:p>
    <w:p>
      <w:pPr>
        <w:ind w:firstLine="192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法定代表人（负责人)或授权代表（签字或盖章）：  </w:t>
      </w:r>
      <w:r/>
    </w:p>
    <w:p>
      <w:pPr>
        <w:ind w:firstLine="192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192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移动电话：</w:t>
      </w:r>
      <w:r/>
    </w:p>
    <w:p>
      <w:pPr>
        <w:ind w:firstLine="1920"/>
        <w:jc w:val="left"/>
        <w:spacing w:line="312" w:lineRule="auto"/>
        <w:rPr>
          <w:rFonts w:ascii="宋体" w:hAnsi="宋体" w:cs="宋体"/>
          <w:b/>
          <w:color w:val="auto"/>
          <w:sz w:val="36"/>
          <w:szCs w:val="36"/>
          <w:highlight w:val="none"/>
        </w:rPr>
      </w:pPr>
      <w:r>
        <w:rPr>
          <w:rFonts w:hint="eastAsia" w:ascii="宋体" w:hAnsi="宋体" w:cs="宋体"/>
          <w:color w:val="auto"/>
          <w:sz w:val="24"/>
          <w:szCs w:val="24"/>
          <w:highlight w:val="none"/>
        </w:rPr>
        <w:t xml:space="preserve">日期：</w:t>
      </w:r>
      <w:r>
        <w:rPr>
          <w:rFonts w:hint="eastAsia" w:ascii="宋体" w:hAnsi="宋体" w:cs="宋体"/>
          <w:b/>
          <w:bCs/>
          <w:color w:val="auto"/>
          <w:sz w:val="28"/>
          <w:highlight w:val="none"/>
        </w:rPr>
        <w:br w:type="page" w:clear="all"/>
      </w:r>
      <w:r/>
    </w:p>
    <w:p>
      <w:pPr>
        <w:jc w:val="center"/>
        <w:rPr>
          <w:rFonts w:ascii="宋体" w:hAnsi="宋体" w:cs="宋体"/>
          <w:b/>
          <w:color w:val="auto"/>
          <w:sz w:val="36"/>
          <w:highlight w:val="none"/>
        </w:rPr>
      </w:pPr>
      <w:r>
        <w:rPr>
          <w:rFonts w:hint="eastAsia" w:ascii="宋体" w:hAnsi="宋体" w:cs="宋体"/>
          <w:b/>
          <w:color w:val="auto"/>
          <w:sz w:val="36"/>
          <w:highlight w:val="none"/>
        </w:rPr>
        <w:t xml:space="preserve">1</w:t>
      </w:r>
      <w:r>
        <w:rPr>
          <w:rFonts w:hint="eastAsia" w:ascii="宋体" w:hAnsi="宋体" w:cs="宋体"/>
          <w:b/>
          <w:color w:val="auto"/>
          <w:sz w:val="36"/>
          <w:highlight w:val="none"/>
          <w:lang w:val="en-US" w:eastAsia="zh-CN"/>
        </w:rPr>
        <w:t xml:space="preserve">0</w:t>
      </w:r>
      <w:r>
        <w:rPr>
          <w:rFonts w:hint="eastAsia" w:ascii="宋体" w:hAnsi="宋体" w:cs="宋体"/>
          <w:b/>
          <w:color w:val="auto"/>
          <w:sz w:val="36"/>
          <w:highlight w:val="none"/>
        </w:rPr>
        <w:t xml:space="preserve">、</w:t>
      </w:r>
      <w:bookmarkStart w:id="4" w:name="_Hlk81985284"/>
      <w:r>
        <w:rPr>
          <w:rFonts w:hint="eastAsia" w:ascii="宋体" w:hAnsi="宋体" w:cs="宋体"/>
          <w:b/>
          <w:color w:val="auto"/>
          <w:sz w:val="36"/>
          <w:highlight w:val="none"/>
        </w:rPr>
        <w:t xml:space="preserve">中小企业声明函</w:t>
      </w:r>
      <w:bookmarkEnd w:id="4"/>
      <w:r/>
      <w:r/>
    </w:p>
    <w:p>
      <w:pPr>
        <w:ind w:firstLine="50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50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行业；承建（承接）企业为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67"/>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pStyle w:val="1067"/>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企业名称（电子签章）：</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 </w:t>
      </w:r>
      <w:r/>
    </w:p>
    <w:p>
      <w:pPr>
        <w:ind w:right="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日  期：  年  月  日</w:t>
      </w:r>
      <w:r/>
    </w:p>
    <w:p>
      <w:pPr>
        <w:rPr>
          <w:rFonts w:ascii="宋体" w:hAnsi="宋体" w:cs="宋体"/>
          <w:color w:val="auto"/>
          <w:sz w:val="36"/>
          <w:szCs w:val="36"/>
          <w:highlight w:val="none"/>
        </w:rPr>
      </w:pPr>
      <w:r>
        <w:rPr>
          <w:rFonts w:ascii="宋体" w:hAnsi="宋体" w:cs="宋体"/>
          <w:color w:val="auto"/>
          <w:sz w:val="36"/>
          <w:szCs w:val="36"/>
          <w:highlight w:val="none"/>
        </w:rPr>
      </w:r>
      <w:r/>
    </w:p>
    <w:p>
      <w:pPr>
        <w:ind w:firstLine="525"/>
        <w:jc w:val="left"/>
        <w:spacing w:before="100" w:beforeAutospacing="1" w:after="100" w:afterAutospacing="1" w:line="450" w:lineRule="atLeast"/>
        <w:widowControl/>
        <w:rPr>
          <w:rFonts w:ascii="宋体" w:hAnsi="宋体" w:cs="宋体"/>
          <w:color w:val="auto"/>
          <w:szCs w:val="21"/>
          <w:highlight w:val="none"/>
        </w:rPr>
      </w:pPr>
      <w:r>
        <w:rPr>
          <w:rFonts w:hint="eastAsia" w:ascii="宋体" w:hAnsi="宋体" w:cs="宋体"/>
          <w:color w:val="auto"/>
          <w:sz w:val="24"/>
          <w:highlight w:val="none"/>
        </w:rPr>
        <w:t xml:space="preserve">注：本项目采购的服务属于</w:t>
      </w:r>
      <w:r>
        <w:rPr>
          <w:rFonts w:hint="eastAsia" w:ascii="宋体" w:hAnsi="宋体" w:cs="宋体"/>
          <w:color w:val="auto"/>
          <w:sz w:val="24"/>
          <w:highlight w:val="none"/>
          <w:u w:val="single"/>
        </w:rPr>
        <w:t xml:space="preserve"> 建筑业</w:t>
      </w:r>
      <w:r>
        <w:rPr>
          <w:rFonts w:hint="eastAsia" w:ascii="宋体" w:hAnsi="宋体" w:cs="宋体"/>
          <w:color w:val="auto"/>
          <w:sz w:val="24"/>
          <w:highlight w:val="none"/>
        </w:rPr>
        <w:t xml:space="preserve">。 </w:t>
      </w:r>
      <w:r/>
    </w:p>
    <w:p>
      <w:pPr>
        <w:spacing w:line="380" w:lineRule="exact"/>
        <w:rPr>
          <w:rFonts w:ascii="宋体" w:hAnsi="宋体" w:cs="宋体"/>
          <w:color w:val="auto"/>
          <w:szCs w:val="21"/>
          <w:highlight w:val="none"/>
        </w:rPr>
      </w:pPr>
      <w:r>
        <w:rPr>
          <w:rFonts w:ascii="宋体" w:hAnsi="宋体" w:cs="宋体"/>
          <w:color w:val="auto"/>
          <w:szCs w:val="21"/>
          <w:highlight w:val="none"/>
        </w:rPr>
      </w:r>
      <w:r/>
    </w:p>
    <w:p>
      <w:pPr>
        <w:ind w:firstLine="482"/>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注：本项目采购项目属性为：</w:t>
      </w:r>
      <w:r>
        <w:rPr>
          <w:rFonts w:hint="eastAsia" w:ascii="宋体" w:hAnsi="宋体" w:eastAsia="宋体" w:cs="宋体"/>
          <w:b/>
          <w:color w:val="auto"/>
          <w:sz w:val="24"/>
          <w:szCs w:val="20"/>
          <w:highlight w:val="none"/>
          <w:u w:val="single"/>
        </w:rPr>
        <w:t xml:space="preserve">建筑业</w:t>
      </w:r>
      <w:r>
        <w:rPr>
          <w:rFonts w:hint="eastAsia" w:ascii="宋体" w:hAnsi="宋体" w:eastAsia="宋体" w:cs="宋体"/>
          <w:b/>
          <w:color w:val="auto"/>
          <w:sz w:val="24"/>
          <w:szCs w:val="20"/>
          <w:highlight w:val="none"/>
        </w:rPr>
        <w:t xml:space="preserve">。</w:t>
      </w:r>
      <w:r/>
    </w:p>
    <w:p>
      <w:pPr>
        <w:pStyle w:val="984"/>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备注：从业人员、营业收入、资产总额填报上一年度数据，无上一年度数据的新成立企业可不填报。</w:t>
      </w:r>
      <w:r/>
    </w:p>
    <w:p>
      <w:pPr>
        <w:pStyle w:val="1010"/>
        <w:rPr>
          <w:color w:val="auto"/>
          <w:highlight w:val="none"/>
        </w:rPr>
      </w:pPr>
      <w:r>
        <w:rPr>
          <w:color w:val="auto"/>
          <w:highlight w:val="none"/>
        </w:rPr>
      </w:r>
      <w:r/>
    </w:p>
    <w:p>
      <w:pPr>
        <w:pStyle w:val="1010"/>
        <w:rPr>
          <w:color w:val="auto"/>
          <w:highlight w:val="none"/>
        </w:rPr>
      </w:pPr>
      <w:r>
        <w:rPr>
          <w:color w:val="auto"/>
          <w:highlight w:val="none"/>
        </w:rPr>
      </w:r>
      <w:r/>
    </w:p>
    <w:p>
      <w:pPr>
        <w:pStyle w:val="1010"/>
        <w:rPr>
          <w:color w:val="auto"/>
          <w:highlight w:val="none"/>
        </w:rPr>
      </w:pPr>
      <w:r>
        <w:rPr>
          <w:color w:val="auto"/>
          <w:highlight w:val="none"/>
        </w:rPr>
      </w:r>
      <w:r/>
    </w:p>
    <w:p>
      <w:pPr>
        <w:pStyle w:val="1010"/>
        <w:rPr>
          <w:color w:val="auto"/>
          <w:highlight w:val="none"/>
        </w:rPr>
      </w:pPr>
      <w:r>
        <w:rPr>
          <w:color w:val="auto"/>
          <w:highlight w:val="none"/>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1915160</wp:posOffset>
                </wp:positionH>
                <wp:positionV relativeFrom="paragraph">
                  <wp:posOffset>600075</wp:posOffset>
                </wp:positionV>
                <wp:extent cx="2304415" cy="4580890"/>
                <wp:effectExtent l="0" t="0" r="12065" b="6350"/>
                <wp:wrapNone/>
                <wp:docPr id="9" name="图片 1"/>
                <wp:cNvGraphicFramePr/>
                <a:graphic xmlns:a="http://schemas.openxmlformats.org/drawingml/2006/main">
                  <a:graphicData uri="http://schemas.openxmlformats.org/drawingml/2006/picture">
                    <pic:pic xmlns:pic="http://schemas.openxmlformats.org/drawingml/2006/picture">
                      <pic:nvPicPr>
                        <pic:cNvPr id="18" name="图片 1"/>
                        <pic:cNvPicPr/>
                        <pic:nvPr/>
                      </pic:nvPicPr>
                      <pic:blipFill>
                        <a:blip r:embed="rId24"/>
                        <a:stretch/>
                      </pic:blipFill>
                      <pic:spPr bwMode="auto">
                        <a:xfrm>
                          <a:off x="0" y="0"/>
                          <a:ext cx="2304415" cy="458089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50.8pt;mso-position-horizontal:absolute;mso-position-vertical-relative:text;margin-top:47.2pt;mso-position-vertical:absolute;width:181.4pt;height:360.7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b/>
          <w:bCs/>
          <w:color w:val="auto"/>
          <w:sz w:val="24"/>
          <w:szCs w:val="24"/>
          <w:highlight w:val="none"/>
          <w:lang w:val="en-US" w:eastAsia="zh-CN"/>
        </w:rPr>
        <w:t xml:space="preserve">《中小企业声明函》查询渠道用微信搜索“中小企业规模类型自测小程序”</w:t>
      </w:r>
      <w:r/>
    </w:p>
    <w:p>
      <w:pPr>
        <w:pStyle w:val="969"/>
        <w:ind w:firstLine="480"/>
        <w:rPr>
          <w:rFonts w:hint="eastAsia"/>
          <w:color w:val="auto"/>
          <w:highlight w:val="none"/>
          <w:lang w:val="en-US" w:eastAsia="zh-CN"/>
        </w:rPr>
      </w:pPr>
      <w:r>
        <w:rPr>
          <w:rFonts w:hint="eastAsia"/>
          <w:color w:val="auto"/>
          <w:highlight w:val="none"/>
          <w:lang w:val="en-US" w:eastAsia="zh-CN"/>
        </w:rPr>
      </w:r>
      <w:r/>
    </w:p>
    <w:p>
      <w:pPr>
        <w:pStyle w:val="975"/>
        <w:rPr>
          <w:rFonts w:hint="eastAsia"/>
          <w:color w:val="auto"/>
          <w:highlight w:val="none"/>
          <w:lang w:val="en-US" w:eastAsia="zh-CN"/>
        </w:rPr>
        <w:sectPr>
          <w:footerReference w:type="default" r:id="rId15"/>
          <w:footerReference w:type="first" r:id="rId16"/>
          <w:footnotePr/>
          <w:endnotePr/>
          <w:type w:val="nextPage"/>
          <w:pgSz w:w="11906" w:h="16838" w:orient="portrait"/>
          <w:pgMar w:top="1361" w:right="1417" w:bottom="1361" w:left="1417" w:header="851" w:footer="992" w:gutter="0"/>
          <w:pgNumType w:start="1"/>
          <w:cols w:num="1" w:sep="0" w:space="1701" w:equalWidth="1"/>
          <w:docGrid w:linePitch="360"/>
          <w:titlePg/>
        </w:sectPr>
      </w:pPr>
      <w:r>
        <w:rPr>
          <w:rFonts w:hint="eastAsia"/>
          <w:color w:val="auto"/>
          <w:highlight w:val="none"/>
          <w:lang w:val="en-US" w:eastAsia="zh-CN"/>
        </w:rPr>
      </w:r>
      <w:r/>
    </w:p>
    <w:p>
      <w:pPr>
        <w:pStyle w:val="1010"/>
        <w:ind w:left="0" w:firstLine="0"/>
        <w:rPr>
          <w:color w:val="auto"/>
          <w:highlight w:val="none"/>
        </w:rPr>
      </w:pPr>
      <w:r>
        <w:rPr>
          <w:color w:val="auto"/>
          <w:highlight w:val="none"/>
        </w:rPr>
      </w:r>
      <w:r/>
    </w:p>
    <w:p>
      <w:pPr>
        <w:jc w:val="center"/>
        <w:rPr>
          <w:rFonts w:ascii="宋体" w:hAnsi="宋体" w:cs="宋体"/>
          <w:b/>
          <w:bCs/>
          <w:color w:val="auto"/>
          <w:sz w:val="36"/>
          <w:szCs w:val="36"/>
          <w:highlight w:val="none"/>
        </w:rPr>
        <w:outlineLvl w:val="1"/>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rPr>
        <w:t xml:space="preserve">、具备履行合同所必需的设备和专业技术能力的书面声明（附证明材料）格式</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供应商对声明的真实性负责。如有虚假，将依法承担相应责任。</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供应商郑重声明：供应商具备履行合同（项目名称：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所必需的设备和专业技术能力，具体为：</w:t>
      </w:r>
      <w:r/>
    </w:p>
    <w:p>
      <w:pPr>
        <w:pStyle w:val="1008"/>
        <w:ind w:firstLine="972"/>
        <w:jc w:val="left"/>
        <w:spacing w:line="400" w:lineRule="exact"/>
        <w:widowControl w:val="off"/>
        <w:rPr>
          <w:rStyle w:val="1500"/>
          <w:rFonts w:ascii="宋体" w:hAnsi="宋体"/>
          <w:color w:val="auto"/>
          <w:sz w:val="24"/>
          <w:highlight w:val="none"/>
        </w:rPr>
      </w:pPr>
      <w:r>
        <w:rPr>
          <w:rStyle w:val="1500"/>
          <w:rFonts w:ascii="宋体" w:hAnsi="宋体"/>
          <w:color w:val="auto"/>
          <w:sz w:val="24"/>
          <w:highlight w:val="none"/>
        </w:rPr>
        <w:t xml:space="preserve">设备：</w:t>
      </w:r>
      <w:r/>
    </w:p>
    <w:p>
      <w:pPr>
        <w:pStyle w:val="1008"/>
        <w:ind w:firstLine="972"/>
        <w:jc w:val="left"/>
        <w:spacing w:line="400" w:lineRule="exact"/>
        <w:widowControl w:val="off"/>
        <w:rPr>
          <w:rStyle w:val="1500"/>
          <w:rFonts w:ascii="宋体" w:hAnsi="宋体"/>
          <w:color w:val="auto"/>
          <w:sz w:val="24"/>
          <w:highlight w:val="none"/>
        </w:rPr>
      </w:pPr>
      <w:r>
        <w:rPr>
          <w:rStyle w:val="1500"/>
          <w:rFonts w:ascii="宋体" w:hAnsi="宋体"/>
          <w:color w:val="auto"/>
          <w:sz w:val="24"/>
          <w:highlight w:val="none"/>
        </w:rPr>
        <w:t xml:space="preserve">1、                           （证明材料复印件附后）</w:t>
      </w:r>
      <w:r/>
    </w:p>
    <w:p>
      <w:pPr>
        <w:pStyle w:val="1008"/>
        <w:ind w:firstLine="972"/>
        <w:jc w:val="left"/>
        <w:spacing w:line="400" w:lineRule="exact"/>
        <w:widowControl w:val="off"/>
        <w:rPr>
          <w:rStyle w:val="1500"/>
          <w:rFonts w:ascii="宋体" w:hAnsi="宋体"/>
          <w:color w:val="auto"/>
          <w:sz w:val="24"/>
          <w:highlight w:val="none"/>
        </w:rPr>
      </w:pPr>
      <w:r>
        <w:rPr>
          <w:rStyle w:val="1500"/>
          <w:rFonts w:ascii="宋体" w:hAnsi="宋体"/>
          <w:color w:val="auto"/>
          <w:sz w:val="24"/>
          <w:highlight w:val="none"/>
        </w:rPr>
        <w:t xml:space="preserve">2、                           （证明材料复印件附后）</w:t>
      </w:r>
      <w:r/>
    </w:p>
    <w:p>
      <w:pPr>
        <w:pStyle w:val="1008"/>
        <w:ind w:firstLine="972"/>
        <w:jc w:val="left"/>
        <w:spacing w:line="400" w:lineRule="exact"/>
        <w:widowControl w:val="off"/>
        <w:rPr>
          <w:rStyle w:val="1500"/>
          <w:rFonts w:ascii="宋体" w:hAnsi="宋体"/>
          <w:color w:val="auto"/>
          <w:sz w:val="24"/>
          <w:highlight w:val="none"/>
        </w:rPr>
      </w:pPr>
      <w:r>
        <w:rPr>
          <w:rStyle w:val="1500"/>
          <w:rFonts w:ascii="宋体" w:hAnsi="宋体"/>
          <w:color w:val="auto"/>
          <w:sz w:val="24"/>
          <w:highlight w:val="none"/>
        </w:rPr>
        <w:t xml:space="preserve">3、                           （证明材料复印件附后）</w:t>
      </w:r>
      <w:r/>
    </w:p>
    <w:p>
      <w:pPr>
        <w:pStyle w:val="1008"/>
        <w:ind w:firstLine="972"/>
        <w:jc w:val="left"/>
        <w:spacing w:line="400" w:lineRule="exact"/>
        <w:widowControl w:val="off"/>
        <w:rPr>
          <w:rStyle w:val="1500"/>
          <w:rFonts w:ascii="宋体" w:hAnsi="宋体"/>
          <w:color w:val="auto"/>
          <w:sz w:val="24"/>
          <w:highlight w:val="none"/>
        </w:rPr>
      </w:pPr>
      <w:r>
        <w:rPr>
          <w:rStyle w:val="1500"/>
          <w:rFonts w:ascii="宋体" w:hAnsi="宋体"/>
          <w:color w:val="auto"/>
          <w:sz w:val="24"/>
          <w:highlight w:val="none"/>
        </w:rPr>
        <w:t xml:space="preserve">…………</w:t>
      </w:r>
      <w:r/>
    </w:p>
    <w:p>
      <w:pPr>
        <w:pStyle w:val="1008"/>
        <w:ind w:firstLine="972"/>
        <w:jc w:val="left"/>
        <w:spacing w:line="400" w:lineRule="exact"/>
        <w:widowControl w:val="off"/>
        <w:rPr>
          <w:rStyle w:val="1500"/>
          <w:rFonts w:ascii="宋体" w:hAnsi="宋体"/>
          <w:color w:val="auto"/>
          <w:sz w:val="24"/>
          <w:highlight w:val="none"/>
        </w:rPr>
      </w:pPr>
      <w:r>
        <w:rPr>
          <w:rStyle w:val="1500"/>
          <w:rFonts w:ascii="宋体" w:hAnsi="宋体"/>
          <w:color w:val="auto"/>
          <w:sz w:val="24"/>
          <w:highlight w:val="none"/>
        </w:rPr>
        <w:t xml:space="preserve">专业技术能力：</w:t>
      </w:r>
      <w:r/>
    </w:p>
    <w:p>
      <w:pPr>
        <w:pStyle w:val="1008"/>
        <w:ind w:firstLine="972"/>
        <w:jc w:val="left"/>
        <w:spacing w:line="400" w:lineRule="exact"/>
        <w:widowControl w:val="off"/>
        <w:rPr>
          <w:rStyle w:val="1500"/>
          <w:rFonts w:ascii="宋体" w:hAnsi="宋体"/>
          <w:color w:val="auto"/>
          <w:sz w:val="24"/>
          <w:highlight w:val="none"/>
        </w:rPr>
      </w:pPr>
      <w:r>
        <w:rPr>
          <w:rStyle w:val="1500"/>
          <w:rFonts w:ascii="宋体" w:hAnsi="宋体"/>
          <w:color w:val="auto"/>
          <w:sz w:val="24"/>
          <w:highlight w:val="none"/>
        </w:rPr>
        <w:t xml:space="preserve">1、                           （证明材料复印件附后）</w:t>
      </w:r>
      <w:r/>
    </w:p>
    <w:p>
      <w:pPr>
        <w:pStyle w:val="1008"/>
        <w:ind w:firstLine="972"/>
        <w:jc w:val="left"/>
        <w:spacing w:line="400" w:lineRule="exact"/>
        <w:widowControl w:val="off"/>
        <w:rPr>
          <w:rStyle w:val="1500"/>
          <w:rFonts w:ascii="宋体" w:hAnsi="宋体"/>
          <w:color w:val="auto"/>
          <w:sz w:val="24"/>
          <w:highlight w:val="none"/>
        </w:rPr>
      </w:pPr>
      <w:r>
        <w:rPr>
          <w:rStyle w:val="1500"/>
          <w:rFonts w:ascii="宋体" w:hAnsi="宋体"/>
          <w:color w:val="auto"/>
          <w:sz w:val="24"/>
          <w:highlight w:val="none"/>
        </w:rPr>
        <w:t xml:space="preserve">2、                           （证明材料复印件附后）</w:t>
      </w:r>
      <w:r/>
    </w:p>
    <w:p>
      <w:pPr>
        <w:pStyle w:val="1008"/>
        <w:ind w:firstLine="972"/>
        <w:jc w:val="left"/>
        <w:spacing w:line="400" w:lineRule="exact"/>
        <w:widowControl w:val="off"/>
        <w:rPr>
          <w:rStyle w:val="1500"/>
          <w:rFonts w:ascii="宋体" w:hAnsi="宋体"/>
          <w:color w:val="auto"/>
          <w:sz w:val="24"/>
          <w:highlight w:val="none"/>
        </w:rPr>
      </w:pPr>
      <w:r>
        <w:rPr>
          <w:rStyle w:val="1500"/>
          <w:rFonts w:ascii="宋体" w:hAnsi="宋体"/>
          <w:color w:val="auto"/>
          <w:sz w:val="24"/>
          <w:highlight w:val="none"/>
        </w:rPr>
        <w:t xml:space="preserve">3、                           （证明材料复印件附后）</w:t>
      </w:r>
      <w:r/>
    </w:p>
    <w:p>
      <w:pPr>
        <w:pStyle w:val="1008"/>
        <w:ind w:firstLine="972"/>
        <w:jc w:val="left"/>
        <w:spacing w:line="400" w:lineRule="exact"/>
        <w:widowControl w:val="off"/>
        <w:rPr>
          <w:rStyle w:val="1500"/>
          <w:rFonts w:ascii="宋体" w:hAnsi="宋体"/>
          <w:color w:val="auto"/>
          <w:sz w:val="24"/>
          <w:highlight w:val="none"/>
        </w:rPr>
      </w:pPr>
      <w:r>
        <w:rPr>
          <w:rStyle w:val="1500"/>
          <w:rFonts w:ascii="宋体" w:hAnsi="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 特此声明。</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rPr>
          <w:rFonts w:ascii="仿宋_GB2312" w:hAnsi="仿宋_GB2312" w:eastAsia="仿宋_GB2312"/>
          <w:color w:val="auto"/>
          <w:sz w:val="24"/>
          <w:highlight w:val="none"/>
        </w:rPr>
      </w:pPr>
      <w:r>
        <w:rPr>
          <w:rFonts w:ascii="仿宋_GB2312" w:hAnsi="仿宋_GB2312" w:eastAsia="仿宋_GB2312"/>
          <w:color w:val="auto"/>
          <w:sz w:val="24"/>
          <w:highlight w:val="none"/>
        </w:rPr>
      </w:r>
      <w:r/>
    </w:p>
    <w:p>
      <w:pPr>
        <w:ind w:firstLine="482"/>
        <w:jc w:val="left"/>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3182"/>
        <w:rPr>
          <w:rFonts w:ascii="宋体" w:hAnsi="宋体" w:cs="宋体"/>
          <w:color w:val="auto"/>
          <w:sz w:val="24"/>
          <w:highlight w:val="none"/>
        </w:rPr>
      </w:pPr>
      <w:r>
        <w:rPr>
          <w:rFonts w:hint="eastAsia" w:ascii="宋体" w:hAnsi="宋体" w:cs="宋体"/>
          <w:color w:val="auto"/>
          <w:sz w:val="24"/>
          <w:highlight w:val="none"/>
        </w:rPr>
        <w:t xml:space="preserve">企业名称（电子签章）：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jc w:val="center"/>
        <w:rPr>
          <w:rFonts w:ascii="宋体" w:hAnsi="宋体" w:cs="宋体"/>
          <w:color w:val="auto"/>
          <w:sz w:val="36"/>
          <w:szCs w:val="36"/>
          <w:highlight w:val="none"/>
        </w:rPr>
      </w:pPr>
      <w:r>
        <w:rPr>
          <w:rFonts w:hint="eastAsia" w:ascii="宋体" w:hAnsi="宋体" w:cs="宋体"/>
          <w:color w:val="auto"/>
          <w:sz w:val="24"/>
          <w:highlight w:val="none"/>
        </w:rPr>
        <w:t xml:space="preserve">日期： 年  月  日</w:t>
      </w:r>
      <w:r/>
    </w:p>
    <w:p>
      <w:pPr>
        <w:jc w:val="center"/>
        <w:rPr>
          <w:rFonts w:ascii="宋体" w:hAnsi="宋体" w:cs="宋体"/>
          <w:b/>
          <w:color w:val="auto"/>
          <w:sz w:val="36"/>
          <w:highlight w:val="none"/>
        </w:rPr>
      </w:pPr>
      <w:r>
        <w:rPr>
          <w:rFonts w:hint="eastAsia" w:ascii="宋体" w:hAnsi="宋体" w:cs="宋体"/>
          <w:color w:val="auto"/>
          <w:sz w:val="36"/>
          <w:szCs w:val="36"/>
          <w:highlight w:val="none"/>
        </w:rPr>
        <w:br w:type="page" w:clear="all"/>
      </w:r>
      <w:r>
        <w:rPr>
          <w:rFonts w:hint="eastAsia" w:ascii="宋体" w:hAnsi="宋体" w:cs="宋体"/>
          <w:b/>
          <w:color w:val="auto"/>
          <w:sz w:val="36"/>
          <w:highlight w:val="none"/>
        </w:rPr>
        <w:t xml:space="preserve">1</w:t>
      </w:r>
      <w:r>
        <w:rPr>
          <w:rFonts w:hint="eastAsia" w:ascii="宋体" w:hAnsi="宋体" w:cs="宋体"/>
          <w:b/>
          <w:color w:val="auto"/>
          <w:sz w:val="36"/>
          <w:highlight w:val="none"/>
          <w:lang w:val="en-US" w:eastAsia="zh-CN"/>
        </w:rPr>
        <w:t xml:space="preserve">2</w:t>
      </w:r>
      <w:r>
        <w:rPr>
          <w:rFonts w:hint="eastAsia" w:ascii="宋体" w:hAnsi="宋体" w:cs="宋体"/>
          <w:b/>
          <w:color w:val="auto"/>
          <w:sz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市级机关破墙透绿改造工程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JSZC-320300-JTGS-C2026-0036</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ascii="宋体" w:hAnsi="宋体" w:cs="宋体"/>
          <w:color w:val="auto"/>
          <w:sz w:val="24"/>
          <w:highlight w:val="none"/>
        </w:rPr>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日期：</w:t>
      </w:r>
      <w:r/>
    </w:p>
    <w:p>
      <w:pPr>
        <w:pStyle w:val="1105"/>
        <w:ind w:left="239" w:firstLine="2640"/>
        <w:spacing w:before="0" w:beforeAutospacing="0" w:after="0" w:afterAutospacing="0" w:line="360" w:lineRule="auto"/>
        <w:rPr>
          <w:rFonts w:cs="宋体"/>
          <w:color w:val="auto"/>
          <w:highlight w:val="none"/>
        </w:rPr>
      </w:pPr>
      <w:r>
        <w:rPr>
          <w:rFonts w:cs="宋体"/>
          <w:color w:val="auto"/>
          <w:highlight w:val="none"/>
        </w:rPr>
      </w:r>
      <w:r/>
    </w:p>
    <w:p>
      <w:pPr>
        <w:pStyle w:val="1105"/>
        <w:ind w:left="239" w:firstLine="2640"/>
        <w:rPr>
          <w:rFonts w:cs="宋体"/>
          <w:color w:val="auto"/>
          <w:highlight w:val="none"/>
        </w:rPr>
      </w:pPr>
      <w:r>
        <w:rPr>
          <w:rFonts w:cs="宋体"/>
          <w:color w:val="auto"/>
          <w:highlight w:val="none"/>
        </w:rPr>
      </w:r>
      <w:r/>
    </w:p>
    <w:p>
      <w:pPr>
        <w:pStyle w:val="1105"/>
        <w:ind w:left="239" w:firstLine="2640"/>
        <w:rPr>
          <w:rFonts w:cs="宋体"/>
          <w:color w:val="auto"/>
          <w:highlight w:val="none"/>
        </w:rPr>
      </w:pPr>
      <w:r>
        <w:rPr>
          <w:rFonts w:cs="宋体"/>
          <w:color w:val="auto"/>
          <w:highlight w:val="none"/>
        </w:rPr>
      </w:r>
      <w:r/>
    </w:p>
    <w:p>
      <w:pPr>
        <w:pStyle w:val="1105"/>
        <w:ind w:left="239" w:firstLine="2640"/>
        <w:rPr>
          <w:rFonts w:cs="宋体"/>
          <w:color w:val="auto"/>
          <w:highlight w:val="none"/>
        </w:rPr>
      </w:pPr>
      <w:r>
        <w:rPr>
          <w:rFonts w:cs="宋体"/>
          <w:color w:val="auto"/>
          <w:highlight w:val="none"/>
        </w:rPr>
      </w:r>
      <w:r/>
    </w:p>
    <w:p>
      <w:pPr>
        <w:pStyle w:val="1105"/>
        <w:ind w:left="239" w:firstLine="2640"/>
        <w:rPr>
          <w:rFonts w:cs="宋体"/>
          <w:color w:val="auto"/>
          <w:highlight w:val="none"/>
        </w:rPr>
      </w:pPr>
      <w:r>
        <w:rPr>
          <w:rFonts w:cs="宋体"/>
          <w:color w:val="auto"/>
          <w:highlight w:val="none"/>
        </w:rPr>
      </w:r>
      <w:r/>
    </w:p>
    <w:p>
      <w:pPr>
        <w:pStyle w:val="1105"/>
        <w:ind w:left="239" w:firstLine="2640"/>
        <w:rPr>
          <w:rFonts w:cs="宋体"/>
          <w:color w:val="auto"/>
          <w:highlight w:val="none"/>
        </w:rPr>
      </w:pPr>
      <w:r>
        <w:rPr>
          <w:rFonts w:cs="宋体"/>
          <w:color w:val="auto"/>
          <w:highlight w:val="none"/>
        </w:rPr>
      </w:r>
      <w:r/>
    </w:p>
    <w:p>
      <w:pPr>
        <w:jc w:val="center"/>
        <w:rPr>
          <w:rFonts w:ascii="宋体" w:hAnsi="宋体" w:cs="宋体"/>
          <w:color w:val="auto"/>
          <w:sz w:val="36"/>
          <w:szCs w:val="36"/>
          <w:highlight w:val="none"/>
        </w:rPr>
        <w:sectPr>
          <w:footerReference w:type="default" r:id="rId17"/>
          <w:footerReference w:type="first" r:id="rId18"/>
          <w:footnotePr/>
          <w:endnotePr/>
          <w:type w:val="nextPage"/>
          <w:pgSz w:w="11906" w:h="16838" w:orient="portrait"/>
          <w:pgMar w:top="1440" w:right="1440" w:bottom="1440" w:left="1440" w:header="851" w:footer="992" w:gutter="0"/>
          <w:cols w:num="1" w:sep="0" w:space="1701" w:equalWidth="1"/>
          <w:docGrid w:linePitch="360"/>
          <w:titlePg/>
        </w:sectPr>
      </w:pPr>
      <w:r>
        <w:rPr>
          <w:rFonts w:ascii="宋体" w:hAnsi="宋体" w:cs="宋体"/>
          <w:color w:val="auto"/>
          <w:sz w:val="36"/>
          <w:szCs w:val="36"/>
          <w:highlight w:val="none"/>
        </w:rPr>
      </w:r>
      <w:r/>
    </w:p>
    <w:p>
      <w:pPr>
        <w:jc w:val="center"/>
        <w:rPr>
          <w:rFonts w:hint="eastAsia" w:ascii="宋体" w:hAnsi="宋体" w:eastAsia="宋体" w:cs="宋体"/>
          <w:b/>
          <w:color w:val="auto"/>
          <w:sz w:val="36"/>
          <w:highlight w:val="none"/>
        </w:rPr>
      </w:pPr>
      <w:r/>
      <w:bookmarkStart w:id="5" w:name="OLE_LINK13"/>
      <w:r/>
      <w:bookmarkStart w:id="6" w:name="OLE_LINK14"/>
      <w:r>
        <w:rPr>
          <w:rFonts w:hint="eastAsia" w:ascii="宋体" w:hAnsi="宋体" w:eastAsia="宋体" w:cs="宋体"/>
          <w:b/>
          <w:color w:val="auto"/>
          <w:sz w:val="36"/>
          <w:highlight w:val="none"/>
        </w:rPr>
        <w:t xml:space="preserve">1</w:t>
      </w:r>
      <w:r>
        <w:rPr>
          <w:rFonts w:hint="eastAsia" w:ascii="宋体" w:hAnsi="宋体" w:cs="宋体"/>
          <w:b/>
          <w:color w:val="auto"/>
          <w:sz w:val="36"/>
          <w:highlight w:val="none"/>
          <w:lang w:val="en-US" w:eastAsia="zh-CN"/>
        </w:rPr>
        <w:t xml:space="preserve">3</w:t>
      </w:r>
      <w:r>
        <w:rPr>
          <w:rFonts w:hint="eastAsia" w:ascii="宋体" w:hAnsi="宋体" w:eastAsia="宋体" w:cs="宋体"/>
          <w:b/>
          <w:color w:val="auto"/>
          <w:sz w:val="36"/>
          <w:highlight w:val="none"/>
        </w:rPr>
        <w:t xml:space="preserve">、</w:t>
      </w:r>
      <w:bookmarkStart w:id="7" w:name="_Hlk81985305"/>
      <w:r>
        <w:rPr>
          <w:rFonts w:hint="eastAsia" w:ascii="宋体" w:hAnsi="宋体" w:eastAsia="宋体" w:cs="宋体"/>
          <w:b/>
          <w:color w:val="auto"/>
          <w:sz w:val="36"/>
          <w:highlight w:val="none"/>
        </w:rPr>
        <w:t xml:space="preserve">残疾人福利性单位声明函</w:t>
      </w:r>
      <w:bookmarkEnd w:id="5"/>
      <w:r/>
      <w:bookmarkEnd w:id="6"/>
      <w:r/>
      <w:r/>
    </w:p>
    <w:p>
      <w:pPr>
        <w:pStyle w:val="1008"/>
        <w:jc w:val="center"/>
        <w:spacing w:line="0" w:lineRule="atLeast"/>
        <w:rPr>
          <w:rFonts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JSZC-320300-JTGS-C2026-0036</w:t>
      </w:r>
      <w:r/>
    </w:p>
    <w:p>
      <w:pPr>
        <w:ind w:firstLine="504"/>
        <w:spacing w:line="52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2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right="1560" w:firstLine="504"/>
        <w:jc w:val="center"/>
        <w:spacing w:line="520"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单位名称（电子签章）：</w:t>
      </w:r>
      <w:r/>
    </w:p>
    <w:p>
      <w:pPr>
        <w:pStyle w:val="1010"/>
        <w:ind w:firstLine="0"/>
        <w:rPr>
          <w:color w:val="auto"/>
          <w:highlight w:val="none"/>
        </w:rPr>
      </w:pPr>
      <w:r>
        <w:rPr>
          <w:rFonts w:hint="eastAsia" w:ascii="宋体" w:hAnsi="宋体" w:cs="宋体"/>
          <w:color w:val="auto"/>
          <w:highlight w:val="none"/>
        </w:rPr>
        <w:t xml:space="preserve"> 法定代表人（负责人)或授权代表（签字或盖章）：</w:t>
      </w:r>
      <w:r/>
    </w:p>
    <w:p>
      <w:pPr>
        <w:ind w:right="1560" w:firstLine="504"/>
        <w:jc w:val="center"/>
        <w:spacing w:line="520"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ascii="宋体" w:hAnsi="宋体" w:cs="宋体"/>
          <w:color w:val="auto"/>
          <w:sz w:val="24"/>
          <w:highlight w:val="none"/>
        </w:rPr>
      </w:pPr>
      <w:r>
        <w:rPr>
          <w:rFonts w:ascii="宋体" w:hAnsi="宋体" w:cs="宋体"/>
          <w:color w:val="auto"/>
          <w:sz w:val="24"/>
          <w:highlight w:val="none"/>
        </w:rPr>
      </w:r>
      <w:r/>
    </w:p>
    <w:p>
      <w:pPr>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7"/>
      <w:r/>
      <w:r/>
    </w:p>
    <w:p>
      <w:pPr>
        <w:ind w:firstLine="600"/>
        <w:jc w:val="left"/>
        <w:widowControl/>
        <w:rPr>
          <w:rFonts w:ascii="宋体" w:hAnsi="宋体" w:cs="宋体"/>
          <w:color w:val="auto"/>
          <w:sz w:val="30"/>
          <w:szCs w:val="30"/>
          <w:highlight w:val="none"/>
        </w:rPr>
      </w:pPr>
      <w:r>
        <w:rPr>
          <w:rFonts w:ascii="宋体" w:hAnsi="宋体" w:cs="宋体"/>
          <w:color w:val="auto"/>
          <w:sz w:val="30"/>
          <w:szCs w:val="30"/>
          <w:highlight w:val="none"/>
        </w:rPr>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both"/>
        <w:spacing w:line="360" w:lineRule="auto"/>
        <w:rPr>
          <w:rFonts w:ascii="宋体" w:hAnsi="宋体" w:cs="宋体"/>
          <w:b/>
          <w:bCs/>
          <w:color w:val="auto"/>
          <w:sz w:val="36"/>
          <w:szCs w:val="36"/>
          <w:highlight w:val="none"/>
        </w:rPr>
      </w:pPr>
      <w:r>
        <w:rPr>
          <w:rFonts w:ascii="宋体" w:hAnsi="宋体" w:cs="宋体"/>
          <w:b/>
          <w:bCs/>
          <w:color w:val="auto"/>
          <w:sz w:val="36"/>
          <w:highlight w:val="none"/>
        </w:rPr>
      </w:r>
      <w:r>
        <w:rPr>
          <w:rFonts w:ascii="宋体" w:hAnsi="宋体" w:cs="宋体"/>
          <w:b/>
          <w:bCs/>
          <w:color w:val="auto"/>
          <w:sz w:val="36"/>
          <w:highlight w:val="none"/>
        </w:rPr>
      </w:r>
      <w:r/>
    </w:p>
    <w:p>
      <w:pPr>
        <w:jc w:val="both"/>
        <w:spacing w:line="360" w:lineRule="auto"/>
        <w:rPr>
          <w:rFonts w:ascii="宋体" w:hAnsi="宋体" w:cs="宋体"/>
          <w:b/>
          <w:bCs/>
          <w:color w:val="auto"/>
          <w:sz w:val="36"/>
          <w:szCs w:val="36"/>
          <w:highlight w:val="none"/>
        </w:rPr>
      </w:pPr>
      <w:r>
        <w:rPr>
          <w:rFonts w:ascii="宋体" w:hAnsi="宋体" w:cs="宋体"/>
          <w:b/>
          <w:bCs/>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1</w:t>
      </w:r>
      <w:r>
        <w:rPr>
          <w:rFonts w:hint="eastAsia" w:ascii="宋体" w:hAnsi="宋体" w:cs="宋体"/>
          <w:b/>
          <w:color w:val="auto"/>
          <w:sz w:val="36"/>
          <w:highlight w:val="none"/>
          <w:lang w:val="en-US" w:eastAsia="zh-CN"/>
        </w:rPr>
        <w:t xml:space="preserve">4</w:t>
      </w:r>
      <w:r>
        <w:rPr>
          <w:rFonts w:hint="eastAsia" w:ascii="宋体" w:hAnsi="宋体" w:eastAsia="宋体" w:cs="宋体"/>
          <w:b/>
          <w:color w:val="auto"/>
          <w:sz w:val="36"/>
          <w:highlight w:val="none"/>
        </w:rPr>
        <w:t xml:space="preserve">、《拟签订的合同文本》</w:t>
      </w:r>
      <w:r/>
    </w:p>
    <w:p>
      <w:pPr>
        <w:ind w:firstLine="482"/>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（以采购人与成交供应商最终签订版本为准）</w:t>
      </w:r>
      <w:r/>
    </w:p>
    <w:p>
      <w:pPr>
        <w:pStyle w:val="9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市级机关破墙透绿改造工程</w:t>
      </w:r>
      <w:r/>
    </w:p>
    <w:p>
      <w:pPr>
        <w:pStyle w:val="9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JSZC-320300-JTGS-C2026-0036</w:t>
      </w:r>
      <w:r/>
    </w:p>
    <w:p>
      <w:pPr>
        <w:pStyle w:val="1131"/>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3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3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74"/>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政府采购合同</w:t>
      </w:r>
      <w:r/>
    </w:p>
    <w:p>
      <w:pPr>
        <w:pStyle w:val="152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52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0"/>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徐州市机关事务管理局</w:t>
      </w:r>
      <w:r/>
    </w:p>
    <w:p>
      <w:pPr>
        <w:pStyle w:val="980"/>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pStyle w:val="980"/>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11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9"/>
        <w:ind w:left="0" w:firstLine="480"/>
        <w:jc w:val="both"/>
        <w:keepLines w:val="0"/>
        <w:keepNext w:val="0"/>
        <w:spacing w:before="0" w:beforeAutospacing="0" w:after="0" w:afterAutospacing="0" w:line="360"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999"/>
        <w:ind w:left="0" w:firstLine="643"/>
        <w:jc w:val="both"/>
        <w:keepLines w:val="0"/>
        <w:keepNext w:val="0"/>
        <w:spacing w:before="0" w:beforeAutospacing="0" w:after="0" w:afterAutospacing="0" w:line="360" w:lineRule="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auto"/>
          <w:sz w:val="24"/>
          <w:highlight w:val="none"/>
        </w:rPr>
        <w:t xml:space="preserve"> </w:t>
      </w:r>
      <w:r/>
    </w:p>
    <w:p>
      <w:pPr>
        <w:pStyle w:val="999"/>
        <w:ind w:left="0" w:firstLine="643"/>
        <w:jc w:val="both"/>
        <w:keepLines w:val="0"/>
        <w:keepNext w:val="0"/>
        <w:spacing w:before="0" w:beforeAutospacing="0" w:after="0" w:afterAutospacing="0" w:line="360" w:lineRule="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highlight w:val="none"/>
        </w:rPr>
      </w:r>
      <w:r/>
    </w:p>
    <w:p>
      <w:pPr>
        <w:pStyle w:val="999"/>
        <w:ind w:left="0" w:firstLine="643"/>
        <w:jc w:val="both"/>
        <w:keepLines w:val="0"/>
        <w:keepNext w:val="0"/>
        <w:spacing w:before="0" w:beforeAutospacing="0" w:after="0" w:afterAutospacing="0" w:line="360" w:lineRule="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highlight w:val="none"/>
        </w:rPr>
      </w:r>
      <w:r/>
    </w:p>
    <w:p>
      <w:pPr>
        <w:pStyle w:val="999"/>
        <w:ind w:left="0" w:firstLine="0"/>
        <w:jc w:val="both"/>
        <w:keepLines w:val="0"/>
        <w:keepNext w:val="0"/>
        <w:spacing w:before="0" w:beforeAutospacing="0" w:after="0" w:afterAutospacing="0" w:line="360" w:lineRule="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highlight w:val="none"/>
        </w:rPr>
      </w:r>
      <w:r/>
    </w:p>
    <w:sdt>
      <w:sdtPr>
        <w15:appearance w15:val="boundingBox"/>
        <w:id w:val="170148508"/>
        <w:rPr>
          <w:rFonts w:hint="eastAsia" w:ascii="宋体" w:hAnsi="宋体" w:cs="宋体"/>
          <w:b/>
          <w:color w:val="auto"/>
          <w:sz w:val="44"/>
          <w:szCs w:val="44"/>
          <w:highlight w:val="none"/>
        </w:rPr>
      </w:sdtPr>
      <w:sdtContent>
        <w:p>
          <w:pPr>
            <w:jc w:val="center"/>
            <w:spacing w:after="312" w:line="440" w:lineRule="exact"/>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录</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"_Toc2143857470" </w:instrText>
          </w:r>
          <w:r>
            <w:rPr>
              <w:rFonts w:hint="eastAsia" w:ascii="宋体" w:hAnsi="宋体" w:cs="宋体"/>
              <w:color w:val="auto"/>
              <w:sz w:val="24"/>
              <w:szCs w:val="24"/>
              <w:highlight w:val="none"/>
            </w:rPr>
            <w:fldChar w:fldCharType="separate"/>
          </w:r>
          <w:sdt>
            <w:sdtPr>
              <w15:appearance w15:val="boundingBox"/>
              <w:id w:val="600225795"/>
              <w:placeholder>
                <w:docPart w:val="{2e6f3fb1-2890-45a5-96b1-549d9253665a}"/>
              </w:placeholder>
              <w:rPr>
                <w:rFonts w:hint="eastAsia" w:ascii="宋体" w:hAnsi="宋体" w:cs="宋体"/>
                <w:color w:val="auto"/>
                <w:sz w:val="24"/>
                <w:szCs w:val="24"/>
                <w:highlight w:val="none"/>
              </w:rPr>
            </w:sdtPr>
            <w:sdtContent>
              <w:r>
                <w:rPr>
                  <w:rFonts w:hint="eastAsia" w:ascii="宋体" w:hAnsi="宋体" w:cs="宋体"/>
                  <w:color w:val="auto"/>
                  <w:sz w:val="24"/>
                  <w:szCs w:val="24"/>
                  <w:highlight w:val="none"/>
                </w:rPr>
                <w:t xml:space="preserve">第一部分 合同协议书</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一、工程概况</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二、合同工期</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三、质量标准</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2</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四、签约合同价与合同价格形式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2</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五、承包人项目负责人</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六、预付款</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七、绿化种植及养护要求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八、其他要求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九、合同文件构成</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十、承诺</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4</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十一、词语含义</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4</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十二、签订时间</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5</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十三、签订地点</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5</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十四、补充协议</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5</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十五、合同生效</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5</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十六、合同份数</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5</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"_Toc725136582" </w:instrText>
          </w:r>
          <w:r>
            <w:rPr>
              <w:rFonts w:hint="eastAsia" w:ascii="宋体" w:hAnsi="宋体" w:cs="宋体"/>
              <w:color w:val="auto"/>
              <w:sz w:val="24"/>
              <w:szCs w:val="24"/>
              <w:highlight w:val="none"/>
            </w:rPr>
            <w:fldChar w:fldCharType="separate"/>
          </w:r>
          <w:sdt>
            <w:sdtPr>
              <w15:appearance w15:val="boundingBox"/>
              <w:id w:val="904068454"/>
              <w:placeholder>
                <w:docPart w:val="{559612e1-e74c-47de-82e1-1eccc9e63e91}"/>
              </w:placeholder>
              <w:rPr>
                <w:rFonts w:hint="eastAsia" w:ascii="宋体" w:hAnsi="宋体" w:cs="宋体"/>
                <w:b/>
                <w:bCs/>
                <w:color w:val="auto"/>
                <w:sz w:val="24"/>
                <w:szCs w:val="24"/>
                <w:highlight w:val="none"/>
              </w:rPr>
            </w:sdtPr>
            <w:sdtContent>
              <w:r>
                <w:rPr>
                  <w:rFonts w:hint="eastAsia" w:ascii="宋体" w:hAnsi="宋体" w:cs="宋体"/>
                  <w:color w:val="auto"/>
                  <w:sz w:val="24"/>
                  <w:szCs w:val="24"/>
                  <w:highlight w:val="none"/>
                </w:rPr>
                <w:t xml:space="preserve">第二部分 通用合同条款</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fldChar w:fldCharType="end"/>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"_Toc538026417" </w:instrText>
          </w:r>
          <w:r>
            <w:rPr>
              <w:rFonts w:hint="eastAsia" w:ascii="宋体" w:hAnsi="宋体" w:cs="宋体"/>
              <w:color w:val="auto"/>
              <w:sz w:val="24"/>
              <w:szCs w:val="24"/>
              <w:highlight w:val="none"/>
            </w:rPr>
            <w:fldChar w:fldCharType="separate"/>
          </w:r>
          <w:sdt>
            <w:sdtPr>
              <w15:appearance w15:val="boundingBox"/>
              <w:id w:val="80183589"/>
              <w:placeholder>
                <w:docPart w:val="{79d9b778-edd0-47e6-a047-168c590887a5}"/>
              </w:placeholder>
              <w:rPr>
                <w:rFonts w:hint="eastAsia" w:ascii="宋体" w:hAnsi="宋体" w:cs="宋体"/>
                <w:b/>
                <w:bCs/>
                <w:color w:val="auto"/>
                <w:sz w:val="24"/>
                <w:szCs w:val="24"/>
                <w:highlight w:val="none"/>
              </w:rPr>
            </w:sdtPr>
            <w:sdtContent>
              <w:r>
                <w:rPr>
                  <w:rFonts w:hint="eastAsia" w:ascii="宋体" w:hAnsi="宋体" w:cs="宋体"/>
                  <w:color w:val="auto"/>
                  <w:sz w:val="24"/>
                  <w:szCs w:val="24"/>
                  <w:highlight w:val="none"/>
                </w:rPr>
                <w:t xml:space="preserve">第三部分 专用合同条款</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fldChar w:fldCharType="end"/>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 一般约定</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8</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2. 发包人</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13</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3. 承包人</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15</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4. 监理人</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18</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5. 工程质量</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19</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6. 安全文明施工与环境保护</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19</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7. 工期和进度</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20</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8. 材料与设备</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23</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9. 试验与检验</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24</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10. 变更</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24</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11. 价格调整</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25</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12. 合同价格、计量与支付</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26</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13. 验收和工程试车</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30</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14. 竣工结算</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31</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15. 缺陷责任期与保修</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33</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16. 违约</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34</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17. 不可抗力</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36</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18. 保险</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36</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20. 争议解决</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37</w:t>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"_Toc372503870" </w:instrText>
          </w:r>
          <w:r>
            <w:rPr>
              <w:rFonts w:hint="eastAsia" w:ascii="宋体" w:hAnsi="宋体" w:cs="宋体"/>
              <w:color w:val="auto"/>
              <w:sz w:val="24"/>
              <w:szCs w:val="24"/>
              <w:highlight w:val="none"/>
            </w:rPr>
            <w:fldChar w:fldCharType="separate"/>
          </w:r>
          <w:sdt>
            <w:sdtPr>
              <w15:appearance w15:val="boundingBox"/>
              <w:id w:val="1354460164"/>
              <w:placeholder>
                <w:docPart w:val="{2a617686-b00f-43cf-ac3e-e5e428a53734}"/>
              </w:placeholder>
              <w:rPr>
                <w:rFonts w:hint="eastAsia" w:ascii="宋体" w:hAnsi="宋体" w:cs="宋体"/>
                <w:b/>
                <w:bCs/>
                <w:color w:val="auto"/>
                <w:sz w:val="24"/>
                <w:szCs w:val="24"/>
                <w:highlight w:val="none"/>
              </w:rPr>
            </w:sdtPr>
            <w:sdtContent>
              <w:r>
                <w:rPr>
                  <w:rFonts w:hint="eastAsia" w:ascii="宋体" w:hAnsi="宋体" w:cs="宋体"/>
                  <w:color w:val="auto"/>
                  <w:sz w:val="24"/>
                  <w:szCs w:val="24"/>
                  <w:highlight w:val="none"/>
                </w:rPr>
                <w:t xml:space="preserve">附件1：</w:t>
              </w:r>
              <w:r>
                <w:rPr>
                  <w:rFonts w:hint="eastAsia" w:ascii="宋体" w:hAnsi="宋体" w:cs="宋体"/>
                  <w:bCs/>
                  <w:color w:val="auto"/>
                  <w:sz w:val="24"/>
                  <w:szCs w:val="24"/>
                  <w:highlight w:val="none"/>
                </w:rPr>
                <w:t xml:space="preserve">承包人承揽工程项目一览表</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39</w:t>
          </w:r>
          <w:r>
            <w:rPr>
              <w:rFonts w:hint="eastAsia" w:ascii="宋体" w:hAnsi="宋体" w:cs="宋体"/>
              <w:color w:val="auto"/>
              <w:sz w:val="24"/>
              <w:szCs w:val="24"/>
              <w:highlight w:val="none"/>
            </w:rPr>
            <w:fldChar w:fldCharType="end"/>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"_Toc87754172" </w:instrText>
          </w:r>
          <w:r>
            <w:rPr>
              <w:rFonts w:hint="eastAsia" w:ascii="宋体" w:hAnsi="宋体" w:cs="宋体"/>
              <w:color w:val="auto"/>
              <w:sz w:val="24"/>
              <w:szCs w:val="24"/>
              <w:highlight w:val="none"/>
            </w:rPr>
            <w:fldChar w:fldCharType="separate"/>
          </w:r>
          <w:sdt>
            <w:sdtPr>
              <w15:appearance w15:val="boundingBox"/>
              <w:id w:val="1952818109"/>
              <w:placeholder>
                <w:docPart w:val="{12c76f02-6807-4dd0-9327-6612a7432028}"/>
              </w:placeholder>
              <w:rPr>
                <w:rFonts w:hint="eastAsia" w:ascii="宋体" w:hAnsi="宋体" w:cs="宋体"/>
                <w:b/>
                <w:bCs/>
                <w:color w:val="auto"/>
                <w:sz w:val="24"/>
                <w:szCs w:val="24"/>
                <w:highlight w:val="none"/>
              </w:rPr>
            </w:sdtPr>
            <w:sdtContent>
              <w:r>
                <w:rPr>
                  <w:rFonts w:hint="eastAsia" w:ascii="宋体" w:hAnsi="宋体" w:cs="宋体"/>
                  <w:color w:val="auto"/>
                  <w:sz w:val="24"/>
                  <w:szCs w:val="24"/>
                  <w:highlight w:val="none"/>
                </w:rPr>
                <w:t xml:space="preserve">附件2：</w:t>
              </w:r>
              <w:r>
                <w:rPr>
                  <w:rFonts w:hint="eastAsia" w:ascii="宋体" w:hAnsi="宋体" w:cs="宋体"/>
                  <w:bCs/>
                  <w:color w:val="auto"/>
                  <w:sz w:val="24"/>
                  <w:szCs w:val="24"/>
                  <w:highlight w:val="none"/>
                </w:rPr>
                <w:t xml:space="preserve">现状树木一览表</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40</w:t>
          </w:r>
          <w:r>
            <w:rPr>
              <w:rFonts w:hint="eastAsia" w:ascii="宋体" w:hAnsi="宋体" w:cs="宋体"/>
              <w:color w:val="auto"/>
              <w:sz w:val="24"/>
              <w:szCs w:val="24"/>
              <w:highlight w:val="none"/>
            </w:rPr>
            <w:fldChar w:fldCharType="end"/>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"_Toc935379669" </w:instrText>
          </w:r>
          <w:r>
            <w:rPr>
              <w:rFonts w:hint="eastAsia" w:ascii="宋体" w:hAnsi="宋体" w:cs="宋体"/>
              <w:color w:val="auto"/>
              <w:sz w:val="24"/>
              <w:szCs w:val="24"/>
              <w:highlight w:val="none"/>
            </w:rPr>
            <w:fldChar w:fldCharType="separate"/>
          </w:r>
          <w:sdt>
            <w:sdtPr>
              <w15:appearance w15:val="boundingBox"/>
              <w:id w:val="491533342"/>
              <w:placeholder>
                <w:docPart w:val="{9fc497c5-1342-4b47-abe4-012ed0ead5b0}"/>
              </w:placeholder>
              <w:rPr>
                <w:rFonts w:hint="eastAsia" w:ascii="宋体" w:hAnsi="宋体" w:cs="宋体"/>
                <w:b/>
                <w:bCs/>
                <w:color w:val="auto"/>
                <w:sz w:val="24"/>
                <w:szCs w:val="24"/>
                <w:highlight w:val="none"/>
              </w:rPr>
            </w:sdtPr>
            <w:sdtContent>
              <w:r>
                <w:rPr>
                  <w:rFonts w:hint="eastAsia" w:ascii="宋体" w:hAnsi="宋体" w:cs="宋体"/>
                  <w:color w:val="auto"/>
                  <w:sz w:val="24"/>
                  <w:szCs w:val="24"/>
                  <w:highlight w:val="none"/>
                </w:rPr>
                <w:t xml:space="preserve">附件3：</w:t>
              </w:r>
              <w:r>
                <w:rPr>
                  <w:rFonts w:hint="eastAsia" w:ascii="宋体" w:hAnsi="宋体" w:cs="宋体"/>
                  <w:bCs/>
                  <w:color w:val="auto"/>
                  <w:sz w:val="24"/>
                  <w:szCs w:val="24"/>
                  <w:highlight w:val="none"/>
                </w:rPr>
                <w:t xml:space="preserve">暂估价一览表</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41</w:t>
          </w:r>
          <w:r>
            <w:rPr>
              <w:rFonts w:hint="eastAsia" w:ascii="宋体" w:hAnsi="宋体" w:cs="宋体"/>
              <w:color w:val="auto"/>
              <w:sz w:val="24"/>
              <w:szCs w:val="24"/>
              <w:highlight w:val="none"/>
            </w:rPr>
            <w:fldChar w:fldCharType="end"/>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"_Toc245732170" </w:instrText>
          </w:r>
          <w:r>
            <w:rPr>
              <w:rFonts w:hint="eastAsia" w:ascii="宋体" w:hAnsi="宋体" w:cs="宋体"/>
              <w:color w:val="auto"/>
              <w:sz w:val="24"/>
              <w:szCs w:val="24"/>
              <w:highlight w:val="none"/>
            </w:rPr>
            <w:fldChar w:fldCharType="separate"/>
          </w:r>
          <w:sdt>
            <w:sdtPr>
              <w15:appearance w15:val="boundingBox"/>
              <w:id w:val="-1102578387"/>
              <w:placeholder>
                <w:docPart w:val="{fa9290b1-8259-4453-8b63-d98d392da19d}"/>
              </w:placeholder>
              <w:rPr>
                <w:rFonts w:hint="eastAsia" w:ascii="宋体" w:hAnsi="宋体" w:cs="宋体"/>
                <w:b/>
                <w:bCs/>
                <w:color w:val="auto"/>
                <w:sz w:val="24"/>
                <w:szCs w:val="24"/>
                <w:highlight w:val="none"/>
              </w:rPr>
            </w:sdtPr>
            <w:sdtContent>
              <w:r>
                <w:rPr>
                  <w:rFonts w:hint="eastAsia" w:ascii="宋体" w:hAnsi="宋体" w:cs="宋体"/>
                  <w:color w:val="auto"/>
                  <w:sz w:val="24"/>
                  <w:szCs w:val="24"/>
                  <w:highlight w:val="none"/>
                </w:rPr>
                <w:t xml:space="preserve">附件4：</w:t>
              </w:r>
              <w:r>
                <w:rPr>
                  <w:rFonts w:hint="eastAsia" w:ascii="宋体" w:hAnsi="宋体" w:cs="宋体"/>
                  <w:bCs/>
                  <w:color w:val="auto"/>
                  <w:sz w:val="24"/>
                  <w:szCs w:val="24"/>
                  <w:highlight w:val="none"/>
                </w:rPr>
                <w:t xml:space="preserve">发包人供应材料设备一览表</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42</w:t>
          </w:r>
          <w:r>
            <w:rPr>
              <w:rFonts w:hint="eastAsia" w:ascii="宋体" w:hAnsi="宋体" w:cs="宋体"/>
              <w:color w:val="auto"/>
              <w:sz w:val="24"/>
              <w:szCs w:val="24"/>
              <w:highlight w:val="none"/>
            </w:rPr>
            <w:fldChar w:fldCharType="end"/>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"_Toc1053508749" </w:instrText>
          </w:r>
          <w:r>
            <w:rPr>
              <w:rFonts w:hint="eastAsia" w:ascii="宋体" w:hAnsi="宋体" w:cs="宋体"/>
              <w:color w:val="auto"/>
              <w:sz w:val="24"/>
              <w:szCs w:val="24"/>
              <w:highlight w:val="none"/>
            </w:rPr>
            <w:fldChar w:fldCharType="separate"/>
          </w:r>
          <w:sdt>
            <w:sdtPr>
              <w15:appearance w15:val="boundingBox"/>
              <w:id w:val="215099506"/>
              <w:placeholder>
                <w:docPart w:val="{758d6a54-5d9e-4d92-a4ee-bde62a5ed673}"/>
              </w:placeholder>
              <w:rPr>
                <w:rFonts w:hint="eastAsia" w:ascii="宋体" w:hAnsi="宋体" w:cs="宋体"/>
                <w:b/>
                <w:bCs/>
                <w:color w:val="auto"/>
                <w:sz w:val="24"/>
                <w:szCs w:val="24"/>
                <w:highlight w:val="none"/>
              </w:rPr>
            </w:sdtPr>
            <w:sdtContent>
              <w:r>
                <w:rPr>
                  <w:rFonts w:hint="eastAsia" w:ascii="宋体" w:hAnsi="宋体" w:cs="宋体"/>
                  <w:color w:val="auto"/>
                  <w:sz w:val="24"/>
                  <w:szCs w:val="24"/>
                  <w:highlight w:val="none"/>
                </w:rPr>
                <w:t xml:space="preserve">附件5：</w:t>
              </w:r>
              <w:r>
                <w:rPr>
                  <w:rFonts w:hint="eastAsia" w:ascii="宋体" w:hAnsi="宋体" w:cs="宋体"/>
                  <w:bCs/>
                  <w:color w:val="auto"/>
                  <w:sz w:val="24"/>
                  <w:szCs w:val="24"/>
                  <w:highlight w:val="none"/>
                </w:rPr>
                <w:t xml:space="preserve">发包人供应苗木一览表</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43</w:t>
          </w:r>
          <w:r>
            <w:rPr>
              <w:rFonts w:hint="eastAsia" w:ascii="宋体" w:hAnsi="宋体" w:cs="宋体"/>
              <w:color w:val="auto"/>
              <w:sz w:val="24"/>
              <w:szCs w:val="24"/>
              <w:highlight w:val="none"/>
            </w:rPr>
            <w:fldChar w:fldCharType="end"/>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"_Toc1357349786" </w:instrText>
          </w:r>
          <w:r>
            <w:rPr>
              <w:rFonts w:hint="eastAsia" w:ascii="宋体" w:hAnsi="宋体" w:cs="宋体"/>
              <w:color w:val="auto"/>
              <w:sz w:val="24"/>
              <w:szCs w:val="24"/>
              <w:highlight w:val="none"/>
            </w:rPr>
            <w:fldChar w:fldCharType="separate"/>
          </w:r>
          <w:sdt>
            <w:sdtPr>
              <w15:appearance w15:val="boundingBox"/>
              <w:id w:val="-277260403"/>
              <w:placeholder>
                <w:docPart w:val="{c83b2cc6-8401-4bfd-b179-a6d836802db3}"/>
              </w:placeholder>
              <w:rPr>
                <w:rFonts w:hint="eastAsia" w:ascii="宋体" w:hAnsi="宋体" w:cs="宋体"/>
                <w:b/>
                <w:bCs/>
                <w:color w:val="auto"/>
                <w:sz w:val="24"/>
                <w:szCs w:val="24"/>
                <w:highlight w:val="none"/>
              </w:rPr>
            </w:sdtPr>
            <w:sdtContent>
              <w:r>
                <w:rPr>
                  <w:rFonts w:hint="eastAsia" w:ascii="宋体" w:hAnsi="宋体" w:cs="宋体"/>
                  <w:color w:val="auto"/>
                  <w:sz w:val="24"/>
                  <w:szCs w:val="24"/>
                  <w:highlight w:val="none"/>
                </w:rPr>
                <w:t xml:space="preserve">附件6: </w:t>
              </w:r>
              <w:r>
                <w:rPr>
                  <w:rFonts w:hint="eastAsia" w:ascii="宋体" w:hAnsi="宋体" w:cs="宋体"/>
                  <w:bCs/>
                  <w:color w:val="auto"/>
                  <w:sz w:val="24"/>
                  <w:szCs w:val="24"/>
                  <w:highlight w:val="none"/>
                </w:rPr>
                <w:t xml:space="preserve">绿化养护责任书</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44</w:t>
          </w:r>
          <w:r>
            <w:rPr>
              <w:rFonts w:hint="eastAsia" w:ascii="宋体" w:hAnsi="宋体" w:cs="宋体"/>
              <w:color w:val="auto"/>
              <w:sz w:val="24"/>
              <w:szCs w:val="24"/>
              <w:highlight w:val="none"/>
            </w:rPr>
            <w:fldChar w:fldCharType="end"/>
          </w:r>
          <w:r/>
        </w:p>
        <w:p>
          <w:pPr>
            <w:pStyle w:val="1522"/>
            <w:spacing w:line="440" w:lineRule="exact"/>
            <w:tabs>
              <w:tab w:val="right" w:pos="8618"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"_Toc774953693" </w:instrText>
          </w:r>
          <w:r>
            <w:rPr>
              <w:rFonts w:hint="eastAsia" w:ascii="宋体" w:hAnsi="宋体" w:cs="宋体"/>
              <w:color w:val="auto"/>
              <w:sz w:val="24"/>
              <w:szCs w:val="24"/>
              <w:highlight w:val="none"/>
            </w:rPr>
            <w:fldChar w:fldCharType="separate"/>
          </w:r>
          <w:sdt>
            <w:sdtPr>
              <w15:appearance w15:val="boundingBox"/>
              <w:id w:val="108785380"/>
              <w:placeholder>
                <w:docPart w:val="{900fca85-b0f3-41d1-991e-8d1a7f5ed185}"/>
              </w:placeholder>
              <w:rPr>
                <w:rFonts w:hint="eastAsia" w:ascii="宋体" w:hAnsi="宋体" w:cs="宋体"/>
                <w:b/>
                <w:bCs/>
                <w:color w:val="auto"/>
                <w:sz w:val="24"/>
                <w:szCs w:val="24"/>
                <w:highlight w:val="none"/>
              </w:rPr>
            </w:sdtPr>
            <w:sdtContent>
              <w:r>
                <w:rPr>
                  <w:rFonts w:hint="eastAsia" w:ascii="宋体" w:hAnsi="宋体" w:cs="宋体"/>
                  <w:color w:val="auto"/>
                  <w:sz w:val="24"/>
                  <w:szCs w:val="24"/>
                  <w:highlight w:val="none"/>
                </w:rPr>
                <w:t xml:space="preserve">附件7: </w:t>
              </w:r>
              <w:r>
                <w:rPr>
                  <w:rFonts w:hint="eastAsia" w:ascii="宋体" w:hAnsi="宋体" w:cs="宋体"/>
                  <w:bCs/>
                  <w:color w:val="auto"/>
                  <w:sz w:val="24"/>
                  <w:szCs w:val="24"/>
                  <w:highlight w:val="none"/>
                </w:rPr>
                <w:t xml:space="preserve">工程质量保修书</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47</w:t>
          </w:r>
          <w:r>
            <w:rPr>
              <w:rFonts w:hint="eastAsia" w:ascii="宋体" w:hAnsi="宋体" w:cs="宋体"/>
              <w:color w:val="auto"/>
              <w:sz w:val="24"/>
              <w:szCs w:val="24"/>
              <w:highlight w:val="none"/>
            </w:rPr>
            <w:fldChar w:fldCharType="end"/>
          </w:r>
          <w:r/>
        </w:p>
        <w:p>
          <w:pPr>
            <w:pStyle w:val="1522"/>
            <w:spacing w:line="440" w:lineRule="exact"/>
            <w:tabs>
              <w:tab w:val="right" w:pos="8618" w:leader="dot"/>
            </w:tabs>
            <w:rPr>
              <w:rFonts w:ascii="宋体" w:hAnsi="宋体" w:cs="宋体"/>
              <w:b w:val="0"/>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"_Toc362478915" </w:instrText>
          </w:r>
          <w:r>
            <w:rPr>
              <w:rFonts w:hint="eastAsia" w:ascii="宋体" w:hAnsi="宋体" w:cs="宋体"/>
              <w:color w:val="auto"/>
              <w:sz w:val="24"/>
              <w:szCs w:val="24"/>
              <w:highlight w:val="none"/>
            </w:rPr>
            <w:fldChar w:fldCharType="separate"/>
          </w:r>
          <w:sdt>
            <w:sdtPr>
              <w15:appearance w15:val="boundingBox"/>
              <w:id w:val="211169249"/>
              <w:placeholder>
                <w:docPart w:val="{b968330b-6902-48be-a40e-907b2a17cc64}"/>
              </w:placeholder>
              <w:rPr>
                <w:rFonts w:hint="eastAsia" w:ascii="宋体" w:hAnsi="宋体" w:cs="宋体"/>
                <w:b/>
                <w:bCs/>
                <w:color w:val="auto"/>
                <w:sz w:val="24"/>
                <w:szCs w:val="24"/>
                <w:highlight w:val="none"/>
              </w:rPr>
            </w:sdtPr>
            <w:sdtContent>
              <w:r>
                <w:rPr>
                  <w:rFonts w:hint="eastAsia" w:ascii="宋体" w:hAnsi="宋体" w:cs="宋体"/>
                  <w:color w:val="auto"/>
                  <w:sz w:val="24"/>
                  <w:szCs w:val="24"/>
                  <w:highlight w:val="none"/>
                </w:rPr>
                <w:t xml:space="preserve">附件8：</w:t>
              </w:r>
              <w:r>
                <w:rPr>
                  <w:rFonts w:hint="eastAsia" w:ascii="宋体" w:hAnsi="宋体" w:cs="宋体"/>
                  <w:bCs/>
                  <w:color w:val="auto"/>
                  <w:sz w:val="24"/>
                  <w:szCs w:val="24"/>
                  <w:highlight w:val="none"/>
                </w:rPr>
                <w:t xml:space="preserve">廉政建设责任书</w:t>
              </w:r>
            </w:sdtContent>
          </w:sdt>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rPr>
            <w:fldChar w:fldCharType="end"/>
          </w:r>
          <w:r/>
        </w:p>
      </w:sdtContent>
    </w:sdt>
    <w:p>
      <w:pPr>
        <w:spacing w:line="440" w:lineRule="exact"/>
        <w:rPr>
          <w:rFonts w:ascii="宋体" w:hAnsi="宋体" w:cs="宋体"/>
          <w:color w:val="auto"/>
          <w:highlight w:val="none"/>
        </w:rPr>
      </w:pPr>
      <w:r>
        <w:rPr>
          <w:rFonts w:ascii="宋体" w:hAnsi="宋体" w:cs="宋体"/>
          <w:color w:val="auto"/>
          <w:highlight w:val="none"/>
        </w:rPr>
      </w:r>
      <w:r/>
    </w:p>
    <w:p>
      <w:pPr>
        <w:pStyle w:val="1001"/>
        <w:rPr>
          <w:rFonts w:ascii="宋体" w:hAnsi="宋体" w:cs="宋体"/>
          <w:color w:val="auto"/>
          <w:highlight w:val="none"/>
        </w:rPr>
      </w:pPr>
      <w:r>
        <w:rPr>
          <w:rFonts w:ascii="宋体" w:hAnsi="宋体" w:cs="宋体"/>
          <w:color w:val="auto"/>
          <w:highlight w:val="none"/>
        </w:rPr>
      </w:r>
      <w:r/>
    </w:p>
    <w:p>
      <w:pPr>
        <w:pStyle w:val="1002"/>
        <w:rPr>
          <w:rFonts w:ascii="宋体" w:hAnsi="宋体" w:cs="宋体"/>
          <w:color w:val="auto"/>
          <w:highlight w:val="none"/>
        </w:rPr>
      </w:pPr>
      <w:r>
        <w:rPr>
          <w:rFonts w:ascii="宋体" w:hAnsi="宋体" w:cs="宋体"/>
          <w:color w:val="auto"/>
          <w:highlight w:val="none"/>
        </w:rPr>
      </w:r>
      <w:r/>
    </w:p>
    <w:p>
      <w:pPr>
        <w:pStyle w:val="1002"/>
        <w:rPr>
          <w:rFonts w:ascii="宋体" w:hAnsi="宋体" w:cs="宋体"/>
          <w:color w:val="auto"/>
          <w:highlight w:val="none"/>
        </w:rPr>
      </w:pPr>
      <w:r>
        <w:rPr>
          <w:rFonts w:ascii="宋体" w:hAnsi="宋体" w:cs="宋体"/>
          <w:color w:val="auto"/>
          <w:highlight w:val="none"/>
        </w:rPr>
      </w:r>
      <w:r/>
    </w:p>
    <w:p>
      <w:pPr>
        <w:pStyle w:val="1002"/>
        <w:rPr>
          <w:rFonts w:ascii="宋体" w:hAnsi="宋体" w:cs="宋体"/>
          <w:color w:val="auto"/>
          <w:highlight w:val="none"/>
        </w:rPr>
      </w:pPr>
      <w:r>
        <w:rPr>
          <w:rFonts w:ascii="宋体" w:hAnsi="宋体" w:cs="宋体"/>
          <w:color w:val="auto"/>
          <w:highlight w:val="none"/>
        </w:rPr>
      </w:r>
      <w:r/>
    </w:p>
    <w:p>
      <w:pPr>
        <w:pStyle w:val="1002"/>
        <w:rPr>
          <w:rFonts w:ascii="宋体" w:hAnsi="宋体" w:cs="宋体"/>
          <w:color w:val="auto"/>
          <w:highlight w:val="none"/>
        </w:rPr>
      </w:pPr>
      <w:r>
        <w:rPr>
          <w:rFonts w:ascii="宋体" w:hAnsi="宋体" w:cs="宋体"/>
          <w:color w:val="auto"/>
          <w:highlight w:val="none"/>
        </w:rPr>
      </w:r>
      <w:r/>
    </w:p>
    <w:p>
      <w:pPr>
        <w:pStyle w:val="1002"/>
        <w:rPr>
          <w:rFonts w:ascii="宋体" w:hAnsi="宋体" w:cs="宋体"/>
          <w:color w:val="auto"/>
          <w:highlight w:val="none"/>
        </w:rPr>
      </w:pPr>
      <w:r>
        <w:rPr>
          <w:rFonts w:ascii="宋体" w:hAnsi="宋体" w:cs="宋体"/>
          <w:color w:val="auto"/>
          <w:highlight w:val="none"/>
        </w:rPr>
      </w:r>
      <w:r/>
    </w:p>
    <w:p>
      <w:pPr>
        <w:pStyle w:val="1002"/>
        <w:ind w:firstLine="0"/>
        <w:rPr>
          <w:rFonts w:ascii="宋体" w:hAnsi="宋体" w:cs="宋体"/>
          <w:color w:val="auto"/>
          <w:highlight w:val="none"/>
        </w:rPr>
      </w:pPr>
      <w:r>
        <w:rPr>
          <w:rFonts w:ascii="宋体" w:hAnsi="宋体" w:cs="宋体"/>
          <w:color w:val="auto"/>
          <w:highlight w:val="none"/>
        </w:rPr>
      </w:r>
      <w:r/>
    </w:p>
    <w:p>
      <w:pPr>
        <w:pStyle w:val="954"/>
        <w:jc w:val="center"/>
        <w:spacing w:before="260" w:after="260" w:line="440" w:lineRule="exact"/>
        <w:rPr>
          <w:rFonts w:ascii="宋体" w:hAnsi="宋体" w:cs="宋体"/>
          <w:b w:val="0"/>
          <w:color w:val="auto"/>
          <w:sz w:val="36"/>
          <w:szCs w:val="36"/>
          <w:highlight w:val="none"/>
        </w:rPr>
      </w:pPr>
      <w:r>
        <w:rPr>
          <w:rFonts w:hint="eastAsia" w:ascii="宋体" w:hAnsi="宋体" w:cs="宋体"/>
          <w:b w:val="0"/>
          <w:color w:val="auto"/>
          <w:highlight w:val="none"/>
        </w:rPr>
        <w:t xml:space="preserve"> </w:t>
      </w:r>
      <w:bookmarkStart w:id="8" w:name="_Toc509499434"/>
      <w:r/>
      <w:bookmarkStart w:id="9" w:name="_Toc2128344692"/>
      <w:r/>
      <w:bookmarkStart w:id="10" w:name="_Toc2143857470"/>
      <w:r>
        <w:rPr>
          <w:rFonts w:hint="eastAsia" w:ascii="宋体" w:hAnsi="宋体" w:cs="宋体"/>
          <w:b w:val="0"/>
          <w:color w:val="auto"/>
          <w:sz w:val="36"/>
          <w:szCs w:val="36"/>
          <w:highlight w:val="none"/>
        </w:rPr>
        <w:t xml:space="preserve">第一部分 合同协议书</w:t>
      </w:r>
      <w:bookmarkEnd w:id="8"/>
      <w:r/>
      <w:bookmarkEnd w:id="9"/>
      <w:r/>
      <w:bookmarkEnd w:id="10"/>
      <w:r/>
      <w:r/>
    </w:p>
    <w:p>
      <w:pPr>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发包人（全称）：</w:t>
      </w:r>
      <w:r>
        <w:rPr>
          <w:rFonts w:hint="eastAsia" w:ascii="宋体" w:hAnsi="宋体" w:cs="宋体"/>
          <w:b/>
          <w:color w:val="auto"/>
          <w:sz w:val="24"/>
          <w:szCs w:val="24"/>
          <w:highlight w:val="none"/>
          <w:u w:val="single"/>
          <w:lang w:val="en-US" w:eastAsia="zh-CN" w:bidi="ar-SA"/>
        </w:rPr>
        <w:t xml:space="preserve">徐州市机关事务管理局</w:t>
      </w:r>
      <w:r>
        <w:rPr>
          <w:rFonts w:hint="eastAsia" w:ascii="宋体" w:hAnsi="宋体" w:cs="宋体"/>
          <w:bCs/>
          <w:color w:val="auto"/>
          <w:sz w:val="24"/>
          <w:szCs w:val="24"/>
          <w:highlight w:val="none"/>
          <w:u w:val="single"/>
        </w:rPr>
        <w:t xml:space="preserve">                                    </w:t>
      </w:r>
      <w:r/>
    </w:p>
    <w:p>
      <w:pPr>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承包人（全称）：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根据《中华人民共和国民法典》《中华人民共和国建筑法》及有关法律法规规定，遵循平等、自愿、公平、绿色和诚实信用的原则，双方就</w:t>
      </w:r>
      <w:r>
        <w:rPr>
          <w:rFonts w:hint="eastAsia" w:ascii="宋体" w:hAnsi="宋体" w:cs="宋体"/>
          <w:bCs/>
          <w:color w:val="auto"/>
          <w:sz w:val="24"/>
          <w:szCs w:val="24"/>
          <w:highlight w:val="none"/>
          <w:u w:val="single"/>
          <w:lang w:val="en-US" w:eastAsia="zh-CN"/>
        </w:rPr>
        <w:t xml:space="preserve"> </w:t>
      </w:r>
      <w:r>
        <w:rPr>
          <w:rFonts w:hint="eastAsia" w:ascii="宋体" w:hAnsi="宋体" w:cs="宋体"/>
          <w:b/>
          <w:color w:val="auto"/>
          <w:sz w:val="24"/>
          <w:szCs w:val="24"/>
          <w:highlight w:val="none"/>
          <w:u w:val="single"/>
          <w:lang w:eastAsia="zh-CN"/>
        </w:rPr>
        <w:t xml:space="preserve">市级机关破墙透绿改造工程</w:t>
      </w:r>
      <w:r>
        <w:rPr>
          <w:rFonts w:hint="eastAsia" w:ascii="宋体" w:hAnsi="宋体" w:cs="宋体"/>
          <w:b/>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工程施工及有关事项协商一致，共同达成如下协议：</w:t>
      </w:r>
      <w:r/>
    </w:p>
    <w:p>
      <w:pPr>
        <w:pStyle w:val="955"/>
        <w:spacing w:before="0" w:after="0"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11" w:name="_Toc1433341455"/>
      <w:r/>
      <w:bookmarkStart w:id="12" w:name="_Toc445784615"/>
      <w:r>
        <w:rPr>
          <w:rFonts w:hint="eastAsia" w:ascii="宋体" w:hAnsi="宋体" w:cs="宋体"/>
          <w:b w:val="0"/>
          <w:color w:val="auto"/>
          <w:sz w:val="24"/>
          <w:szCs w:val="24"/>
          <w:highlight w:val="none"/>
        </w:rPr>
        <w:t xml:space="preserve">一、工程概况</w:t>
      </w:r>
      <w:bookmarkEnd w:id="11"/>
      <w:r/>
      <w:bookmarkEnd w:id="12"/>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1.工程名称：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市级机关破墙透绿改造工程</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2.工程地点：</w:t>
      </w:r>
      <w:r>
        <w:rPr>
          <w:rFonts w:hint="eastAsia" w:ascii="宋体" w:hAnsi="宋体" w:cs="宋体"/>
          <w:bCs/>
          <w:color w:val="auto"/>
          <w:sz w:val="24"/>
          <w:szCs w:val="24"/>
          <w:highlight w:val="none"/>
          <w:u w:val="single"/>
        </w:rPr>
        <w:t xml:space="preserve"> 江苏省徐州市大龙湖东侧汉兴路沿线市住建局、机关医院、资规局、应急管理局庭院及周边场地。</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3.工程立项批准文号： </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4.资金来源：</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财政拨款</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5.工程规模：</w:t>
      </w:r>
      <w:r>
        <w:rPr>
          <w:rFonts w:hint="eastAsia" w:ascii="宋体" w:hAnsi="宋体" w:cs="宋体"/>
          <w:b w:val="0"/>
          <w:bCs/>
          <w:color w:val="auto"/>
          <w:sz w:val="24"/>
          <w:szCs w:val="24"/>
          <w:highlight w:val="none"/>
          <w:u w:val="single"/>
          <w:lang w:eastAsia="zh-CN"/>
        </w:rPr>
        <w:t xml:space="preserve">市级机关破墙透绿改造工程，</w:t>
      </w:r>
      <w:r>
        <w:rPr>
          <w:rFonts w:hint="eastAsia" w:ascii="宋体" w:hAnsi="宋体" w:cs="宋体"/>
          <w:b w:val="0"/>
          <w:bCs/>
          <w:color w:val="auto"/>
          <w:spacing w:val="-4"/>
          <w:sz w:val="24"/>
          <w:highlight w:val="none"/>
          <w:u w:val="single"/>
        </w:rPr>
        <w:t xml:space="preserve">工程量清单及施工图所含全部内容</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rPr>
        <w:t xml:space="preserve">。</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群体工程应附《承包人承揽工程项目一览表》（附件1）。</w:t>
      </w:r>
      <w:r/>
    </w:p>
    <w:p>
      <w:pPr>
        <w:numPr>
          <w:ilvl w:val="0"/>
          <w:numId w:val="8"/>
        </w:numPr>
        <w:ind w:firstLine="480"/>
        <w:jc w:val="left"/>
        <w:spacing w:line="440" w:lineRule="exact"/>
        <w:rPr>
          <w:rFonts w:hint="eastAsia" w:ascii="宋体" w:hAnsi="宋体" w:cs="宋体"/>
          <w:color w:val="auto"/>
          <w:sz w:val="24"/>
          <w:szCs w:val="24"/>
          <w:highlight w:val="none"/>
          <w:u w:val="single"/>
          <w:lang w:val="en-US" w:eastAsia="zh-CN"/>
        </w:rPr>
      </w:pPr>
      <w:r>
        <w:rPr>
          <w:rFonts w:hint="eastAsia" w:ascii="宋体" w:hAnsi="宋体" w:cs="宋体"/>
          <w:bCs/>
          <w:color w:val="auto"/>
          <w:sz w:val="24"/>
          <w:szCs w:val="24"/>
          <w:highlight w:val="none"/>
        </w:rPr>
        <w:t xml:space="preserve">工程承包范围：</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p>
    <w:p>
      <w:pPr>
        <w:numPr>
          <w:ilvl w:val="-1"/>
          <w:numId w:val="0"/>
        </w:numPr>
        <w:ind w:firstLine="480"/>
        <w:jc w:val="left"/>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eastAsia="zh-CN"/>
        </w:rPr>
        <w:t xml:space="preserve">市级机关破墙透绿改造工程，</w:t>
      </w:r>
      <w:r>
        <w:rPr>
          <w:rFonts w:hint="eastAsia" w:ascii="宋体" w:hAnsi="宋体" w:cs="宋体"/>
          <w:b w:val="0"/>
          <w:bCs/>
          <w:color w:val="auto"/>
          <w:spacing w:val="-4"/>
          <w:sz w:val="24"/>
          <w:highlight w:val="none"/>
          <w:u w:val="single"/>
        </w:rPr>
        <w:t xml:space="preserve">工程量清单及施工图所含全部内容</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w:t>
      </w:r>
      <w:r/>
    </w:p>
    <w:p>
      <w:pPr>
        <w:pStyle w:val="955"/>
        <w:ind w:firstLine="480"/>
        <w:spacing w:before="0" w:after="0" w:line="440" w:lineRule="exact"/>
        <w:rPr>
          <w:rFonts w:ascii="宋体" w:hAnsi="宋体" w:cs="宋体"/>
          <w:b w:val="0"/>
          <w:color w:val="auto"/>
          <w:sz w:val="24"/>
          <w:szCs w:val="24"/>
          <w:highlight w:val="none"/>
        </w:rPr>
      </w:pPr>
      <w:r/>
      <w:bookmarkStart w:id="13" w:name="_Toc1515347488"/>
      <w:r/>
      <w:bookmarkStart w:id="14" w:name="_Toc712002224"/>
      <w:r>
        <w:rPr>
          <w:rFonts w:hint="eastAsia" w:ascii="宋体" w:hAnsi="宋体" w:cs="宋体"/>
          <w:b w:val="0"/>
          <w:color w:val="auto"/>
          <w:sz w:val="24"/>
          <w:szCs w:val="24"/>
          <w:highlight w:val="none"/>
        </w:rPr>
        <w:t xml:space="preserve">二、合同工期</w:t>
      </w:r>
      <w:bookmarkEnd w:id="13"/>
      <w:r/>
      <w:bookmarkEnd w:id="14"/>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计划开工日期：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2026</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计划竣工日期：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2026</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工期总日历天数：</w:t>
      </w:r>
      <w:r>
        <w:rPr>
          <w:rFonts w:hint="eastAsia" w:ascii="宋体" w:hAnsi="宋体" w:cs="宋体"/>
          <w:bCs/>
          <w:color w:val="auto"/>
          <w:sz w:val="24"/>
          <w:szCs w:val="24"/>
          <w:highlight w:val="none"/>
          <w:u w:val="single"/>
          <w:lang w:val="en-US" w:eastAsia="zh-CN"/>
        </w:rPr>
        <w:t xml:space="preserve"> 45 </w:t>
      </w:r>
      <w:r>
        <w:rPr>
          <w:rFonts w:hint="eastAsia" w:ascii="宋体" w:hAnsi="宋体" w:cs="宋体"/>
          <w:bCs/>
          <w:color w:val="auto"/>
          <w:sz w:val="24"/>
          <w:szCs w:val="24"/>
          <w:highlight w:val="none"/>
        </w:rPr>
        <w:t xml:space="preserve"> 天，阶段性工期：             。</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工期总日历天数与根据前述计划开竣工日期计算的工期天数不一致的，以工期总日历天数为准。</w:t>
      </w:r>
      <w:r/>
    </w:p>
    <w:p>
      <w:pPr>
        <w:pStyle w:val="955"/>
        <w:ind w:firstLine="480"/>
        <w:spacing w:before="0" w:after="0" w:line="440" w:lineRule="exact"/>
        <w:rPr>
          <w:rFonts w:ascii="宋体" w:hAnsi="宋体" w:cs="宋体"/>
          <w:b w:val="0"/>
          <w:color w:val="auto"/>
          <w:sz w:val="24"/>
          <w:szCs w:val="24"/>
          <w:highlight w:val="none"/>
        </w:rPr>
      </w:pPr>
      <w:r/>
      <w:bookmarkStart w:id="15" w:name="_Toc1520902222"/>
      <w:r/>
      <w:bookmarkStart w:id="16" w:name="_Toc385210886"/>
      <w:r>
        <w:rPr>
          <w:rFonts w:hint="eastAsia" w:ascii="宋体" w:hAnsi="宋体" w:cs="宋体"/>
          <w:b w:val="0"/>
          <w:color w:val="auto"/>
          <w:sz w:val="24"/>
          <w:szCs w:val="24"/>
          <w:highlight w:val="none"/>
        </w:rPr>
        <w:t xml:space="preserve">三、质量标准</w:t>
      </w:r>
      <w:bookmarkEnd w:id="15"/>
      <w:r/>
      <w:bookmarkEnd w:id="16"/>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工程质量</w:t>
      </w:r>
      <w:r>
        <w:rPr>
          <w:rFonts w:hint="eastAsia" w:ascii="宋体" w:hAnsi="宋体" w:cs="宋体"/>
          <w:b/>
          <w:color w:val="auto"/>
          <w:sz w:val="24"/>
          <w:szCs w:val="24"/>
          <w:highlight w:val="none"/>
          <w:u w:val="single"/>
        </w:rPr>
        <w:t xml:space="preserve">同时达到</w:t>
      </w:r>
      <w:r>
        <w:rPr>
          <w:rFonts w:hint="eastAsia" w:ascii="宋体" w:hAnsi="宋体" w:cs="宋体"/>
          <w:b/>
          <w:color w:val="auto"/>
          <w:sz w:val="24"/>
          <w:szCs w:val="24"/>
          <w:highlight w:val="none"/>
          <w:u w:val="single"/>
        </w:rPr>
        <w:t xml:space="preserve">设计要求及相应国家规范、标准所规定的质量</w:t>
      </w:r>
      <w:r>
        <w:rPr>
          <w:rFonts w:hint="eastAsia" w:ascii="宋体" w:hAnsi="宋体" w:cs="宋体"/>
          <w:b/>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none"/>
        </w:rPr>
        <w:t xml:space="preserve">标准</w:t>
      </w:r>
      <w:r>
        <w:rPr>
          <w:rFonts w:hint="eastAsia" w:ascii="宋体" w:hAnsi="宋体" w:cs="宋体"/>
          <w:bCs/>
          <w:color w:val="auto"/>
          <w:sz w:val="24"/>
          <w:szCs w:val="24"/>
          <w:highlight w:val="none"/>
        </w:rPr>
        <w:t xml:space="preserve">；</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园林绿化养护质量符合</w:t>
      </w:r>
      <w:r>
        <w:rPr>
          <w:rFonts w:ascii="Wingdings" w:hAnsi="Wingdings" w:eastAsia="Wingdings" w:cs="Wingdings"/>
          <w:bCs/>
          <w:color w:val="auto"/>
          <w:sz w:val="24"/>
          <w:szCs w:val="24"/>
          <w:highlight w:val="none"/>
        </w:rPr>
        <w:t xml:space="preserve">¨</w:t>
      </w:r>
      <w:r>
        <w:rPr>
          <w:rFonts w:hint="eastAsia" w:ascii="宋体" w:hAnsi="宋体" w:cs="宋体"/>
          <w:bCs/>
          <w:color w:val="auto"/>
          <w:sz w:val="24"/>
          <w:szCs w:val="24"/>
          <w:highlight w:val="none"/>
        </w:rPr>
        <w:t xml:space="preserve">《园林绿化养护标准》（CJJ/T287）或</w:t>
      </w:r>
      <w:r>
        <w:rPr>
          <w:rFonts w:ascii="Wingdings" w:hAnsi="Wingdings" w:eastAsia="Wingdings" w:cs="Wingdings"/>
          <w:bCs/>
          <w:color w:val="auto"/>
          <w:sz w:val="24"/>
          <w:szCs w:val="24"/>
          <w:highlight w:val="none"/>
        </w:rPr>
        <w:t xml:space="preserve">þ</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（地方标准）中</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一</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级</w:t>
      </w:r>
      <w:r>
        <w:rPr>
          <w:rFonts w:hint="eastAsia" w:ascii="宋体" w:hAnsi="宋体" w:cs="宋体"/>
          <w:bCs/>
          <w:color w:val="auto"/>
          <w:sz w:val="24"/>
          <w:szCs w:val="24"/>
          <w:highlight w:val="none"/>
          <w:lang w:val="en-US" w:eastAsia="zh-CN"/>
        </w:rPr>
        <w:t xml:space="preserve">乙类</w:t>
      </w:r>
      <w:r>
        <w:rPr>
          <w:rFonts w:hint="eastAsia" w:ascii="宋体" w:hAnsi="宋体" w:cs="宋体"/>
          <w:bCs/>
          <w:color w:val="auto"/>
          <w:sz w:val="24"/>
          <w:szCs w:val="24"/>
          <w:highlight w:val="none"/>
        </w:rPr>
        <w:t xml:space="preserve">标准。  </w:t>
      </w:r>
      <w:r/>
    </w:p>
    <w:p>
      <w:pPr>
        <w:pStyle w:val="955"/>
        <w:ind w:firstLine="480"/>
        <w:spacing w:before="0" w:after="0" w:line="440" w:lineRule="exact"/>
        <w:rPr>
          <w:rFonts w:ascii="宋体" w:hAnsi="宋体" w:cs="宋体"/>
          <w:b w:val="0"/>
          <w:color w:val="auto"/>
          <w:sz w:val="24"/>
          <w:szCs w:val="24"/>
          <w:highlight w:val="none"/>
        </w:rPr>
      </w:pPr>
      <w:r/>
      <w:bookmarkStart w:id="17" w:name="_Toc1032760150"/>
      <w:r/>
      <w:bookmarkStart w:id="18" w:name="_Toc204832942"/>
      <w:r>
        <w:rPr>
          <w:rFonts w:hint="eastAsia" w:ascii="宋体" w:hAnsi="宋体" w:cs="宋体"/>
          <w:b w:val="0"/>
          <w:color w:val="auto"/>
          <w:sz w:val="24"/>
          <w:szCs w:val="24"/>
          <w:highlight w:val="none"/>
        </w:rPr>
        <w:t xml:space="preserve">四、签约合同价与合同价格形式</w:t>
      </w:r>
      <w:bookmarkEnd w:id="17"/>
      <w:r/>
      <w:bookmarkEnd w:id="18"/>
      <w:r>
        <w:rPr>
          <w:rFonts w:hint="eastAsia" w:ascii="宋体" w:hAnsi="宋体" w:cs="宋体"/>
          <w:b w:val="0"/>
          <w:color w:val="auto"/>
          <w:sz w:val="24"/>
          <w:szCs w:val="24"/>
          <w:highlight w:val="none"/>
        </w:rPr>
        <w:tab/>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1.签约合同价（不含税）为：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人民币（大写）</w:t>
      </w:r>
      <w:r>
        <w:rPr>
          <w:rFonts w:hint="eastAsia" w:ascii="宋体" w:hAnsi="宋体" w:cs="宋体"/>
          <w:bCs/>
          <w:color w:val="auto"/>
          <w:sz w:val="24"/>
          <w:szCs w:val="24"/>
          <w:highlight w:val="none"/>
          <w:u w:val="none"/>
          <w:lang w:val="en-US" w:eastAsia="zh-CN"/>
        </w:rPr>
        <w:t xml:space="preserve">                                          </w:t>
      </w:r>
      <w:r>
        <w:rPr>
          <w:rFonts w:hint="eastAsia" w:ascii="宋体" w:hAnsi="宋体" w:cs="宋体"/>
          <w:bCs/>
          <w:color w:val="auto"/>
          <w:sz w:val="24"/>
          <w:szCs w:val="24"/>
          <w:highlight w:val="none"/>
        </w:rPr>
        <w:t xml:space="preserve">；</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税率：</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含税金额：人民币（大写）</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其中：</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（1）安全文明施工费（不含税）：</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人民币（大写）</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（2）暂估价金额（不含税）：</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人民币（大写）</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元)；</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（3）暂列金额（含税）：</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人民币（大写）</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元)；</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（4）农民工工伤保险（含税）：</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人民币（大写）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        元)。</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2.合同价格形式：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80"/>
        <w:spacing w:line="440" w:lineRule="exact"/>
        <w:rPr>
          <w:rFonts w:ascii="宋体" w:hAnsi="宋体" w:cs="宋体"/>
          <w:bCs/>
          <w:color w:val="auto"/>
          <w:sz w:val="24"/>
          <w:szCs w:val="24"/>
          <w:highlight w:val="none"/>
        </w:rPr>
        <w:outlineLvl w:val="1"/>
      </w:pPr>
      <w:r/>
      <w:bookmarkStart w:id="19" w:name="_Toc578358000"/>
      <w:r/>
      <w:bookmarkStart w:id="20" w:name="_Toc1266145827"/>
      <w:r>
        <w:rPr>
          <w:rFonts w:hint="eastAsia" w:ascii="宋体" w:hAnsi="宋体" w:cs="宋体"/>
          <w:bCs/>
          <w:color w:val="auto"/>
          <w:sz w:val="24"/>
          <w:szCs w:val="24"/>
          <w:highlight w:val="none"/>
        </w:rPr>
        <w:t xml:space="preserve">五、承包人项目负责人</w:t>
      </w:r>
      <w:bookmarkEnd w:id="19"/>
      <w:r/>
      <w:bookmarkEnd w:id="20"/>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姓名：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；身份证号：</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440" w:lineRule="exact"/>
        <w:rPr>
          <w:rFonts w:ascii="宋体" w:hAnsi="宋体" w:cs="宋体"/>
          <w:bCs/>
          <w:color w:val="auto"/>
          <w:sz w:val="24"/>
          <w:szCs w:val="24"/>
          <w:highlight w:val="none"/>
        </w:rPr>
        <w:outlineLvl w:val="1"/>
      </w:pPr>
      <w:r/>
      <w:bookmarkStart w:id="21" w:name="_Toc565350378"/>
      <w:r/>
      <w:bookmarkStart w:id="22" w:name="_Toc1315372893"/>
      <w:r>
        <w:rPr>
          <w:rFonts w:hint="eastAsia" w:ascii="宋体" w:hAnsi="宋体" w:cs="宋体"/>
          <w:bCs/>
          <w:color w:val="auto"/>
          <w:sz w:val="24"/>
          <w:szCs w:val="24"/>
          <w:highlight w:val="none"/>
        </w:rPr>
        <w:t xml:space="preserve">六、预付款</w:t>
      </w:r>
      <w:bookmarkEnd w:id="21"/>
      <w:r/>
      <w:bookmarkEnd w:id="22"/>
      <w:r/>
      <w:r/>
    </w:p>
    <w:p>
      <w:pPr>
        <w:ind w:left="279" w:firstLine="24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预付款：发包人在合同签订后，</w:t>
      </w:r>
      <w:r>
        <w:rPr>
          <w:rFonts w:hint="eastAsia" w:ascii="宋体" w:hAnsi="宋体" w:cs="宋体"/>
          <w:bCs/>
          <w:color w:val="auto"/>
          <w:sz w:val="24"/>
          <w:szCs w:val="24"/>
          <w:highlight w:val="none"/>
          <w:u w:val="single"/>
        </w:rPr>
        <w:t xml:space="preserve"> / </w:t>
      </w:r>
      <w:r>
        <w:rPr>
          <w:rFonts w:hint="eastAsia" w:ascii="宋体" w:hAnsi="宋体" w:cs="宋体"/>
          <w:bCs/>
          <w:color w:val="auto"/>
          <w:sz w:val="24"/>
          <w:szCs w:val="24"/>
          <w:highlight w:val="none"/>
        </w:rPr>
        <w:t xml:space="preserve">个工作日内支付合同价的</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%作为工程预付款（</w:t>
      </w:r>
      <w:r>
        <w:rPr>
          <w:rFonts w:hint="eastAsia" w:ascii="宋体" w:hAnsi="宋体" w:cs="宋体"/>
          <w:b/>
          <w:color w:val="auto"/>
          <w:sz w:val="24"/>
          <w:szCs w:val="24"/>
          <w:highlight w:val="none"/>
        </w:rPr>
        <w:t xml:space="preserve">按照徐州市重点工程付款程序</w:t>
      </w:r>
      <w:r>
        <w:rPr>
          <w:rFonts w:hint="eastAsia" w:ascii="宋体" w:hAnsi="宋体" w:cs="宋体"/>
          <w:bCs/>
          <w:color w:val="auto"/>
          <w:sz w:val="24"/>
          <w:szCs w:val="24"/>
          <w:highlight w:val="none"/>
        </w:rPr>
        <w:t xml:space="preserve">）。</w:t>
      </w:r>
      <w:r/>
    </w:p>
    <w:p>
      <w:pPr>
        <w:ind w:firstLine="480"/>
        <w:jc w:val="left"/>
        <w:spacing w:line="440" w:lineRule="exact"/>
        <w:rPr>
          <w:rFonts w:ascii="宋体" w:hAnsi="宋体" w:cs="宋体"/>
          <w:bCs/>
          <w:color w:val="auto"/>
          <w:sz w:val="24"/>
          <w:szCs w:val="24"/>
          <w:highlight w:val="none"/>
        </w:rPr>
        <w:outlineLvl w:val="1"/>
      </w:pPr>
      <w:r/>
      <w:bookmarkStart w:id="23" w:name="_Toc1430992058"/>
      <w:r/>
      <w:bookmarkStart w:id="24" w:name="_Toc1555190768"/>
      <w:r>
        <w:rPr>
          <w:rFonts w:hint="eastAsia" w:ascii="宋体" w:hAnsi="宋体" w:cs="宋体"/>
          <w:bCs/>
          <w:color w:val="auto"/>
          <w:sz w:val="24"/>
          <w:szCs w:val="24"/>
          <w:highlight w:val="none"/>
        </w:rPr>
        <w:t xml:space="preserve">七、绿化种植及养护要求</w:t>
      </w:r>
      <w:bookmarkEnd w:id="23"/>
      <w:r/>
      <w:bookmarkEnd w:id="24"/>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1.在施工过程及绿化养护期内植物死亡，须按原设计品种和规格更换，更换费用由承包人承担。</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2.竣工验收时苗木成活率约定（乔木、灌木、地被、草坪等）：</w:t>
      </w:r>
      <w:r/>
    </w:p>
    <w:p>
      <w:pPr>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u w:val="single"/>
        </w:rPr>
        <w:t xml:space="preserve">      见补充条款              。</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3.养护期满移交时苗木成活率约定（乔木、灌木、地被、草坪等）：</w:t>
      </w:r>
      <w:r>
        <w:rPr>
          <w:rFonts w:hint="eastAsia" w:ascii="宋体" w:hAnsi="宋体" w:cs="宋体"/>
          <w:bCs/>
          <w:color w:val="auto"/>
          <w:sz w:val="24"/>
          <w:szCs w:val="24"/>
          <w:highlight w:val="none"/>
          <w:u w:val="single"/>
        </w:rPr>
        <w:t xml:space="preserve">        见补充条款         。</w:t>
      </w:r>
      <w:r/>
    </w:p>
    <w:p>
      <w:pPr>
        <w:ind w:firstLine="480"/>
        <w:jc w:val="left"/>
        <w:spacing w:line="440" w:lineRule="exact"/>
        <w:rPr>
          <w:rFonts w:ascii="宋体" w:hAnsi="宋体" w:cs="宋体"/>
          <w:bCs/>
          <w:color w:val="auto"/>
          <w:sz w:val="24"/>
          <w:szCs w:val="24"/>
          <w:highlight w:val="none"/>
          <w:u w:val="single"/>
        </w:rPr>
        <w:outlineLvl w:val="1"/>
      </w:pPr>
      <w:r/>
      <w:bookmarkStart w:id="25" w:name="_Toc1430684837"/>
      <w:r/>
      <w:bookmarkStart w:id="26" w:name="_Toc367134989"/>
      <w:r>
        <w:rPr>
          <w:rFonts w:hint="eastAsia" w:ascii="宋体" w:hAnsi="宋体" w:cs="宋体"/>
          <w:bCs/>
          <w:color w:val="auto"/>
          <w:sz w:val="24"/>
          <w:szCs w:val="24"/>
          <w:highlight w:val="none"/>
        </w:rPr>
        <w:t xml:space="preserve">八、其他要求：</w:t>
      </w:r>
      <w:bookmarkEnd w:id="25"/>
      <w:r/>
      <w:bookmarkEnd w:id="26"/>
      <w:r>
        <w:rPr>
          <w:rFonts w:hint="eastAsia" w:ascii="宋体" w:hAnsi="宋体" w:cs="宋体"/>
          <w:bCs/>
          <w:color w:val="auto"/>
          <w:sz w:val="24"/>
          <w:szCs w:val="24"/>
          <w:highlight w:val="none"/>
          <w:u w:val="single"/>
        </w:rPr>
        <w:t xml:space="preserve">              /                   </w:t>
      </w:r>
      <w:bookmarkStart w:id="27" w:name="_Toc1140298820"/>
      <w:r/>
      <w:bookmarkStart w:id="28" w:name="_Toc1394911462"/>
      <w:r>
        <w:rPr>
          <w:rFonts w:hint="eastAsia" w:ascii="宋体" w:hAnsi="宋体" w:cs="宋体"/>
          <w:bCs/>
          <w:color w:val="auto"/>
          <w:sz w:val="24"/>
          <w:szCs w:val="24"/>
          <w:highlight w:val="none"/>
        </w:rPr>
        <w:t xml:space="preserve">。</w:t>
      </w:r>
      <w:bookmarkEnd w:id="27"/>
      <w:r/>
      <w:bookmarkEnd w:id="28"/>
      <w:r/>
      <w:r/>
    </w:p>
    <w:p>
      <w:pPr>
        <w:ind w:firstLine="480"/>
        <w:jc w:val="left"/>
        <w:spacing w:line="440" w:lineRule="exact"/>
        <w:rPr>
          <w:rFonts w:ascii="宋体" w:hAnsi="宋体" w:cs="宋体"/>
          <w:bCs/>
          <w:color w:val="auto"/>
          <w:sz w:val="24"/>
          <w:szCs w:val="24"/>
          <w:highlight w:val="none"/>
        </w:rPr>
        <w:outlineLvl w:val="1"/>
      </w:pPr>
      <w:r/>
      <w:bookmarkStart w:id="29" w:name="_Toc184090255"/>
      <w:r/>
      <w:bookmarkStart w:id="30" w:name="_Toc1318737122"/>
      <w:r>
        <w:rPr>
          <w:rFonts w:hint="eastAsia" w:ascii="宋体" w:hAnsi="宋体" w:cs="宋体"/>
          <w:bCs/>
          <w:color w:val="auto"/>
          <w:sz w:val="24"/>
          <w:szCs w:val="24"/>
          <w:highlight w:val="none"/>
        </w:rPr>
        <w:t xml:space="preserve">九、合同文件构成</w:t>
      </w:r>
      <w:bookmarkEnd w:id="29"/>
      <w:r/>
      <w:bookmarkEnd w:id="30"/>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本协议书与下列文件一起构成合同文件：</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（1）中标通知书（如果有）；（2）投标函及其附录（如果有）；（3）专用合同条款及其附件；（4）通用合同条款；（5）技术标准和要求；（6）图纸；（7）已标价工程量清单或预算书；（8）其他合同文件。</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在合同订立及履行过程中形成的与合同有关的文件均构成合同文件组成部分。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440" w:lineRule="exact"/>
        <w:rPr>
          <w:rFonts w:ascii="宋体" w:hAnsi="宋体" w:cs="宋体"/>
          <w:bCs/>
          <w:color w:val="auto"/>
          <w:sz w:val="24"/>
          <w:szCs w:val="24"/>
          <w:highlight w:val="none"/>
        </w:rPr>
        <w:outlineLvl w:val="1"/>
      </w:pPr>
      <w:r/>
      <w:bookmarkStart w:id="31" w:name="_Toc410640064"/>
      <w:r/>
      <w:bookmarkStart w:id="32" w:name="_Toc1718441829"/>
      <w:r>
        <w:rPr>
          <w:rFonts w:hint="eastAsia" w:ascii="宋体" w:hAnsi="宋体" w:cs="宋体"/>
          <w:bCs/>
          <w:color w:val="auto"/>
          <w:sz w:val="24"/>
          <w:szCs w:val="24"/>
          <w:highlight w:val="none"/>
        </w:rPr>
        <w:t xml:space="preserve">十、承诺</w:t>
      </w:r>
      <w:bookmarkEnd w:id="31"/>
      <w:r/>
      <w:bookmarkEnd w:id="32"/>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发包人承诺按照法律法规规定履行项目审批手续、筹集工程建设资金并按照合同约定的期限和方式支付合同价款，及时足额支付人工费用至农民工工资专用账户，并加强对施工总承包单位按时及时足额支付农民工工资的监督。</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承包人承诺按照法律法规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spacing w:line="440" w:lineRule="exact"/>
        <w:rPr>
          <w:rFonts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    </w:t>
      </w:r>
      <w:bookmarkStart w:id="33" w:name="_Toc1094819545"/>
      <w:r/>
      <w:bookmarkStart w:id="34" w:name="_Toc1209713496"/>
      <w:r>
        <w:rPr>
          <w:rFonts w:hint="eastAsia" w:ascii="宋体" w:hAnsi="宋体" w:cs="宋体"/>
          <w:bCs/>
          <w:color w:val="auto"/>
          <w:sz w:val="24"/>
          <w:szCs w:val="24"/>
          <w:highlight w:val="none"/>
        </w:rPr>
        <w:t xml:space="preserve">十一、词语含义</w:t>
      </w:r>
      <w:bookmarkEnd w:id="33"/>
      <w:r/>
      <w:bookmarkEnd w:id="34"/>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本协议书中词语含义与通用合同条款、专用合同条款中赋予的含义相同。</w:t>
      </w:r>
      <w:r/>
    </w:p>
    <w:p>
      <w:pPr>
        <w:pStyle w:val="955"/>
        <w:spacing w:before="0" w:after="0"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35" w:name="_Toc1302915076"/>
      <w:r/>
      <w:bookmarkStart w:id="36" w:name="_Toc1843922025"/>
      <w:r>
        <w:rPr>
          <w:rFonts w:hint="eastAsia" w:ascii="宋体" w:hAnsi="宋体" w:cs="宋体"/>
          <w:b w:val="0"/>
          <w:color w:val="auto"/>
          <w:sz w:val="24"/>
          <w:szCs w:val="24"/>
          <w:highlight w:val="none"/>
        </w:rPr>
        <w:t xml:space="preserve">十二、签订时间</w:t>
      </w:r>
      <w:bookmarkEnd w:id="35"/>
      <w:r/>
      <w:bookmarkEnd w:id="36"/>
      <w:r/>
      <w:r/>
    </w:p>
    <w:p>
      <w:pPr>
        <w:ind w:firstLine="480"/>
        <w:keepLines/>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本合同于</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日签订。</w:t>
      </w:r>
      <w:r/>
    </w:p>
    <w:p>
      <w:pPr>
        <w:pStyle w:val="955"/>
        <w:spacing w:before="0" w:after="0"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37" w:name="_Toc251726425"/>
      <w:r/>
      <w:bookmarkStart w:id="38" w:name="_Toc441671965"/>
      <w:r>
        <w:rPr>
          <w:rFonts w:hint="eastAsia" w:ascii="宋体" w:hAnsi="宋体" w:cs="宋体"/>
          <w:b w:val="0"/>
          <w:color w:val="auto"/>
          <w:sz w:val="24"/>
          <w:szCs w:val="24"/>
          <w:highlight w:val="none"/>
        </w:rPr>
        <w:t xml:space="preserve">十三、签订地点</w:t>
      </w:r>
      <w:bookmarkEnd w:id="37"/>
      <w:r/>
      <w:bookmarkEnd w:id="38"/>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本合同在</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签订。</w:t>
      </w:r>
      <w:r/>
    </w:p>
    <w:p>
      <w:pPr>
        <w:pStyle w:val="955"/>
        <w:spacing w:before="0" w:after="0"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39" w:name="_Toc1799890158"/>
      <w:r/>
      <w:bookmarkStart w:id="40" w:name="_Toc1858176615"/>
      <w:r>
        <w:rPr>
          <w:rFonts w:hint="eastAsia" w:ascii="宋体" w:hAnsi="宋体" w:cs="宋体"/>
          <w:b w:val="0"/>
          <w:color w:val="auto"/>
          <w:sz w:val="24"/>
          <w:szCs w:val="24"/>
          <w:highlight w:val="none"/>
        </w:rPr>
        <w:t xml:space="preserve">十四、补充协议</w:t>
      </w:r>
      <w:bookmarkEnd w:id="39"/>
      <w:r/>
      <w:bookmarkEnd w:id="40"/>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合同未尽事宜，合同当事人另行签订补充协议，补充协议是合同的组成部分。</w:t>
      </w:r>
      <w:r/>
    </w:p>
    <w:p>
      <w:pPr>
        <w:pStyle w:val="955"/>
        <w:spacing w:before="0" w:after="0"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41" w:name="_Toc1600665821"/>
      <w:r/>
      <w:bookmarkStart w:id="42" w:name="_Toc111240637"/>
      <w:r>
        <w:rPr>
          <w:rFonts w:hint="eastAsia" w:ascii="宋体" w:hAnsi="宋体" w:cs="宋体"/>
          <w:b w:val="0"/>
          <w:color w:val="auto"/>
          <w:sz w:val="24"/>
          <w:szCs w:val="24"/>
          <w:highlight w:val="none"/>
        </w:rPr>
        <w:t xml:space="preserve">十五、合同生效</w:t>
      </w:r>
      <w:bookmarkEnd w:id="41"/>
      <w:r/>
      <w:bookmarkEnd w:id="42"/>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本合同自</w:t>
      </w:r>
      <w:r>
        <w:rPr>
          <w:rFonts w:hint="eastAsia" w:ascii="宋体" w:hAnsi="宋体" w:cs="宋体"/>
          <w:bCs/>
          <w:color w:val="auto"/>
          <w:sz w:val="24"/>
          <w:szCs w:val="24"/>
          <w:highlight w:val="none"/>
          <w:u w:val="single"/>
        </w:rPr>
        <w:t xml:space="preserve">    签订之日起                         </w:t>
      </w:r>
      <w:r>
        <w:rPr>
          <w:rFonts w:hint="eastAsia" w:ascii="宋体" w:hAnsi="宋体" w:cs="宋体"/>
          <w:bCs/>
          <w:color w:val="auto"/>
          <w:sz w:val="24"/>
          <w:szCs w:val="24"/>
          <w:highlight w:val="none"/>
        </w:rPr>
        <w:t xml:space="preserve">生效。</w:t>
      </w:r>
      <w:r/>
    </w:p>
    <w:p>
      <w:pPr>
        <w:pStyle w:val="955"/>
        <w:spacing w:before="0" w:after="0"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43" w:name="_Toc273056816"/>
      <w:r/>
      <w:bookmarkStart w:id="44" w:name="_Toc118154563"/>
      <w:r>
        <w:rPr>
          <w:rFonts w:hint="eastAsia" w:ascii="宋体" w:hAnsi="宋体" w:cs="宋体"/>
          <w:b w:val="0"/>
          <w:color w:val="auto"/>
          <w:sz w:val="24"/>
          <w:szCs w:val="24"/>
          <w:highlight w:val="none"/>
        </w:rPr>
        <w:t xml:space="preserve">十六、合同份数</w:t>
      </w:r>
      <w:bookmarkEnd w:id="43"/>
      <w:r/>
      <w:bookmarkEnd w:id="44"/>
      <w:r/>
      <w:r/>
    </w:p>
    <w:p>
      <w:pPr>
        <w:ind w:firstLine="480"/>
        <w:spacing w:line="44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本合同一式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陆</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份，均具有同等法律效力，发包人执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份，承包人执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w:t>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001"/>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2"/>
        <w:spacing w:line="440" w:lineRule="exact"/>
        <w:rPr>
          <w:rFonts w:hint="eastAsia" w:cs="宋体"/>
          <w:color w:val="auto"/>
          <w:sz w:val="24"/>
          <w:szCs w:val="24"/>
          <w:highlight w:val="none"/>
        </w:rPr>
      </w:pPr>
      <w:r>
        <w:rPr>
          <w:rFonts w:hint="eastAsia" w:cs="宋体"/>
          <w:color w:val="auto"/>
          <w:sz w:val="24"/>
          <w:szCs w:val="24"/>
          <w:highlight w:val="none"/>
        </w:rPr>
      </w:r>
      <w:r/>
    </w:p>
    <w:p>
      <w:pPr>
        <w:pStyle w:val="1002"/>
        <w:spacing w:line="440" w:lineRule="exact"/>
        <w:rPr>
          <w:rFonts w:hint="eastAsia" w:cs="宋体"/>
          <w:color w:val="auto"/>
          <w:sz w:val="24"/>
          <w:szCs w:val="24"/>
          <w:highlight w:val="none"/>
        </w:rPr>
      </w:pPr>
      <w:r>
        <w:rPr>
          <w:rFonts w:hint="eastAsia" w:cs="宋体"/>
          <w:color w:val="auto"/>
          <w:sz w:val="24"/>
          <w:szCs w:val="24"/>
          <w:highlight w:val="none"/>
        </w:rPr>
      </w:r>
      <w:r/>
    </w:p>
    <w:p>
      <w:pPr>
        <w:spacing w:line="440" w:lineRule="exact"/>
        <w:rPr>
          <w:rFonts w:ascii="宋体" w:hAnsi="宋体" w:cs="宋体"/>
          <w:color w:val="auto"/>
          <w:sz w:val="24"/>
          <w:szCs w:val="24"/>
          <w:highlight w:val="none"/>
        </w:rPr>
      </w:pPr>
      <w:r/>
      <w:bookmarkStart w:id="45" w:name="_Toc16153"/>
      <w:r/>
      <w:bookmarkStart w:id="46" w:name="_Toc10868"/>
      <w:r/>
      <w:bookmarkStart w:id="47" w:name="_Toc12223"/>
      <w:r/>
      <w:bookmarkStart w:id="48" w:name="_Toc26547"/>
      <w:r>
        <w:rPr>
          <w:rFonts w:hint="eastAsia" w:ascii="宋体" w:hAnsi="宋体" w:cs="宋体"/>
          <w:color w:val="auto"/>
          <w:sz w:val="24"/>
          <w:szCs w:val="24"/>
          <w:highlight w:val="none"/>
        </w:rPr>
        <w:t xml:space="preserve">发包人：（公章）                         承包人：（公章）</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（签字）                                 （签字）</w:t>
      </w:r>
      <w:r/>
    </w:p>
    <w:p>
      <w:pPr>
        <w:spacing w:line="440" w:lineRule="exact"/>
        <w:tabs>
          <w:tab w:val="left" w:pos="441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社会统一信用代码：</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社会统一信用代码：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left="5040" w:hanging="576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          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               邮政编码：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left="5250" w:hanging="60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开户银行：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开户银行：</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pStyle w:val="955"/>
        <w:spacing w:line="440" w:lineRule="exact"/>
        <w:rPr>
          <w:rFonts w:ascii="宋体" w:hAnsi="宋体" w:cs="宋体"/>
          <w:b w:val="0"/>
          <w:bCs w:val="0"/>
          <w:color w:val="auto"/>
          <w:sz w:val="24"/>
          <w:szCs w:val="24"/>
          <w:highlight w:val="none"/>
        </w:rPr>
        <w:sectPr>
          <w:headerReference w:type="default" r:id="rId12"/>
          <w:footerReference w:type="default" r:id="rId19"/>
          <w:footnotePr/>
          <w:endnotePr/>
          <w:type w:val="nextPage"/>
          <w:pgSz w:w="11906" w:h="16838" w:orient="portrait"/>
          <w:pgMar w:top="2098" w:right="1757" w:bottom="1984" w:left="1757" w:header="851" w:footer="1417" w:gutter="0"/>
          <w:cols w:num="1" w:sep="0" w:space="0" w:equalWidth="1"/>
          <w:docGrid w:linePitch="360"/>
        </w:sectPr>
      </w:pPr>
      <w:r>
        <w:rPr>
          <w:rFonts w:hint="eastAsia" w:ascii="宋体" w:hAnsi="宋体" w:cs="宋体"/>
          <w:b w:val="0"/>
          <w:bCs w:val="0"/>
          <w:color w:val="auto"/>
          <w:sz w:val="24"/>
          <w:szCs w:val="24"/>
          <w:highlight w:val="none"/>
        </w:rPr>
        <w:t xml:space="preserve">账  号：</w:t>
      </w:r>
      <w:r>
        <w:rPr>
          <w:rFonts w:hint="eastAsia" w:ascii="宋体" w:hAnsi="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 xml:space="preserve">   </w:t>
      </w:r>
      <w:r>
        <w:rPr>
          <w:rFonts w:ascii="宋体" w:hAnsi="宋体" w:cs="宋体"/>
          <w:b w:val="0"/>
          <w:bCs w:val="0"/>
          <w:color w:val="auto"/>
          <w:sz w:val="24"/>
          <w:szCs w:val="24"/>
          <w:highlight w:val="none"/>
        </w:rPr>
        <w:t xml:space="preserve">           </w:t>
      </w:r>
      <w:r>
        <w:rPr>
          <w:rFonts w:hint="eastAsia" w:ascii="宋体" w:hAnsi="宋体" w:cs="宋体"/>
          <w:b w:val="0"/>
          <w:bCs w:val="0"/>
          <w:color w:val="auto"/>
          <w:sz w:val="24"/>
          <w:szCs w:val="24"/>
          <w:highlight w:val="none"/>
        </w:rPr>
        <w:t xml:space="preserve">账  号：</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p>
    <w:p>
      <w:pPr>
        <w:pStyle w:val="954"/>
        <w:jc w:val="center"/>
        <w:spacing w:before="260" w:after="260" w:line="440" w:lineRule="exact"/>
        <w:rPr>
          <w:rFonts w:ascii="宋体" w:hAnsi="宋体" w:cs="宋体"/>
          <w:b w:val="0"/>
          <w:color w:val="auto"/>
          <w:sz w:val="24"/>
          <w:szCs w:val="24"/>
          <w:highlight w:val="none"/>
        </w:rPr>
      </w:pPr>
      <w:r/>
      <w:bookmarkStart w:id="49" w:name="_Toc1772115747"/>
      <w:r/>
      <w:bookmarkStart w:id="50" w:name="_Toc725136582"/>
      <w:r/>
      <w:bookmarkStart w:id="51" w:name="_Toc1081549402"/>
      <w:r>
        <w:rPr>
          <w:rFonts w:hint="eastAsia" w:ascii="宋体" w:hAnsi="宋体" w:cs="宋体"/>
          <w:b w:val="0"/>
          <w:color w:val="auto"/>
          <w:sz w:val="24"/>
          <w:szCs w:val="24"/>
          <w:highlight w:val="none"/>
        </w:rPr>
        <w:t xml:space="preserve">第二部分 通用合同条款</w:t>
      </w:r>
      <w:bookmarkEnd w:id="49"/>
      <w:r/>
      <w:bookmarkEnd w:id="50"/>
      <w:r/>
      <w:bookmarkEnd w:id="51"/>
      <w:r/>
      <w:r/>
    </w:p>
    <w:p>
      <w:pPr>
        <w:ind w:firstLine="480"/>
        <w:jc w:val="left"/>
        <w:spacing w:line="440" w:lineRule="exact"/>
        <w:rPr>
          <w:rFonts w:ascii="宋体" w:hAnsi="宋体" w:cs="宋体"/>
          <w:color w:val="auto"/>
          <w:sz w:val="24"/>
          <w:szCs w:val="24"/>
          <w:highlight w:val="none"/>
        </w:rPr>
        <w:sectPr>
          <w:footnotePr/>
          <w:endnotePr/>
          <w:type w:val="nextPage"/>
          <w:pgSz w:w="11906" w:h="16838" w:orient="portrait"/>
          <w:pgMar w:top="2098" w:right="1701" w:bottom="1984" w:left="1701" w:header="851" w:footer="1417" w:gutter="0"/>
          <w:cols w:num="1" w:sep="0" w:space="0" w:equalWidth="1"/>
          <w:docGrid w:linePitch="360"/>
        </w:sectPr>
      </w:pPr>
      <w:r>
        <w:rPr>
          <w:rFonts w:hint="eastAsia" w:ascii="宋体" w:hAnsi="宋体" w:cs="宋体"/>
          <w:color w:val="auto"/>
          <w:sz w:val="24"/>
          <w:szCs w:val="24"/>
          <w:highlight w:val="none"/>
        </w:rPr>
        <w:t xml:space="preserve">通用合同条款共计20条，采用《建设工程施工合同（示范文本）》（GF-2017-0201）的“通用合同条款”。</w:t>
      </w:r>
      <w:bookmarkEnd w:id="45"/>
      <w:r/>
      <w:bookmarkEnd w:id="46"/>
      <w:r/>
      <w:bookmarkEnd w:id="47"/>
      <w:r/>
      <w:bookmarkEnd w:id="48"/>
      <w:r/>
      <w:r/>
    </w:p>
    <w:p>
      <w:pPr>
        <w:pStyle w:val="954"/>
        <w:jc w:val="center"/>
        <w:spacing w:before="0" w:after="260" w:line="440" w:lineRule="exact"/>
        <w:rPr>
          <w:rFonts w:ascii="宋体" w:hAnsi="宋体" w:cs="宋体"/>
          <w:b w:val="0"/>
          <w:color w:val="auto"/>
          <w:sz w:val="24"/>
          <w:szCs w:val="24"/>
          <w:highlight w:val="none"/>
        </w:rPr>
      </w:pPr>
      <w:r/>
      <w:bookmarkStart w:id="52" w:name="_Toc538026417"/>
      <w:r/>
      <w:bookmarkStart w:id="53" w:name="_Toc25120"/>
      <w:r/>
      <w:bookmarkStart w:id="54" w:name="_Toc13192"/>
      <w:r/>
      <w:bookmarkStart w:id="55" w:name="_Toc1439523315"/>
      <w:r/>
      <w:bookmarkStart w:id="56" w:name="_Toc1254421522"/>
      <w:r/>
      <w:bookmarkStart w:id="57" w:name="_Toc20668"/>
      <w:r/>
      <w:bookmarkStart w:id="58" w:name="_Toc24563"/>
      <w:r>
        <w:rPr>
          <w:rFonts w:hint="eastAsia" w:ascii="宋体" w:hAnsi="宋体" w:cs="宋体"/>
          <w:b w:val="0"/>
          <w:color w:val="auto"/>
          <w:sz w:val="24"/>
          <w:szCs w:val="24"/>
          <w:highlight w:val="none"/>
        </w:rPr>
        <w:t xml:space="preserve">第三部分 专用合同条款</w:t>
      </w:r>
      <w:bookmarkEnd w:id="52"/>
      <w:r/>
      <w:bookmarkEnd w:id="53"/>
      <w:r/>
      <w:bookmarkEnd w:id="54"/>
      <w:r/>
      <w:bookmarkEnd w:id="55"/>
      <w:r/>
      <w:bookmarkEnd w:id="56"/>
      <w:r/>
      <w:bookmarkEnd w:id="57"/>
      <w:r/>
      <w:bookmarkEnd w:id="58"/>
      <w:r/>
      <w:r/>
    </w:p>
    <w:p>
      <w:pPr>
        <w:pStyle w:val="955"/>
        <w:spacing w:line="440" w:lineRule="exact"/>
        <w:rPr>
          <w:rFonts w:ascii="宋体" w:hAnsi="宋体" w:cs="宋体"/>
          <w:b w:val="0"/>
          <w:color w:val="auto"/>
          <w:sz w:val="24"/>
          <w:szCs w:val="24"/>
          <w:highlight w:val="none"/>
        </w:rPr>
      </w:pPr>
      <w:r/>
      <w:bookmarkStart w:id="59" w:name="_Toc1281606529"/>
      <w:r/>
      <w:bookmarkStart w:id="60" w:name="_Toc1742251250"/>
      <w:r>
        <w:rPr>
          <w:rFonts w:hint="eastAsia" w:ascii="宋体" w:hAnsi="宋体" w:cs="宋体"/>
          <w:b w:val="0"/>
          <w:color w:val="auto"/>
          <w:sz w:val="24"/>
          <w:szCs w:val="24"/>
          <w:highlight w:val="none"/>
        </w:rPr>
        <w:t xml:space="preserve">1</w:t>
      </w:r>
      <w:bookmarkStart w:id="61" w:name="_Toc296944495"/>
      <w:r/>
      <w:bookmarkStart w:id="62" w:name="_Toc296347155"/>
      <w:r/>
      <w:bookmarkStart w:id="63" w:name="_Toc297048342"/>
      <w:r/>
      <w:bookmarkStart w:id="64" w:name="_Toc292559361"/>
      <w:r/>
      <w:bookmarkStart w:id="65" w:name="_Toc292559866"/>
      <w:r/>
      <w:bookmarkStart w:id="66" w:name="_Toc297120456"/>
      <w:r/>
      <w:bookmarkStart w:id="67" w:name="_Toc296890984"/>
      <w:r/>
      <w:bookmarkStart w:id="68" w:name="_Toc296503156"/>
      <w:r/>
      <w:bookmarkStart w:id="69" w:name="_Toc296891196"/>
      <w:r/>
      <w:bookmarkStart w:id="70" w:name="_Toc296346657"/>
      <w:r>
        <w:rPr>
          <w:rFonts w:hint="eastAsia" w:ascii="宋体" w:hAnsi="宋体" w:cs="宋体"/>
          <w:b w:val="0"/>
          <w:color w:val="auto"/>
          <w:sz w:val="24"/>
          <w:szCs w:val="24"/>
          <w:highlight w:val="none"/>
        </w:rPr>
        <w:t xml:space="preserve">. 一般约定</w:t>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ind w:firstLine="480"/>
        <w:spacing w:line="440" w:lineRule="exact"/>
        <w:rPr>
          <w:rFonts w:ascii="宋体" w:hAnsi="宋体" w:cs="宋体"/>
          <w:color w:val="auto"/>
          <w:sz w:val="24"/>
          <w:szCs w:val="24"/>
          <w:highlight w:val="none"/>
        </w:rPr>
        <w:outlineLvl w:val="2"/>
      </w:pPr>
      <w:r/>
      <w:bookmarkStart w:id="71" w:name="_Toc1772939203"/>
      <w:r/>
      <w:bookmarkStart w:id="72" w:name="_Toc276302670"/>
      <w:r/>
      <w:bookmarkStart w:id="73" w:name="_Toc28755"/>
      <w:r>
        <w:rPr>
          <w:rFonts w:hint="eastAsia" w:ascii="宋体" w:hAnsi="宋体" w:cs="宋体"/>
          <w:color w:val="auto"/>
          <w:sz w:val="24"/>
          <w:szCs w:val="24"/>
          <w:highlight w:val="none"/>
        </w:rPr>
        <w:t xml:space="preserve">1.1 词语定义</w:t>
      </w:r>
      <w:bookmarkEnd w:id="71"/>
      <w:r/>
      <w:bookmarkEnd w:id="72"/>
      <w:r/>
      <w:bookmarkEnd w:id="73"/>
      <w:r/>
      <w:r/>
    </w:p>
    <w:p>
      <w:pPr>
        <w:ind w:firstLine="480"/>
        <w:spacing w:after="120" w:line="440" w:lineRule="exact"/>
        <w:rPr>
          <w:rFonts w:ascii="宋体" w:hAnsi="宋体" w:cs="宋体"/>
          <w:color w:val="auto"/>
          <w:sz w:val="24"/>
          <w:szCs w:val="24"/>
          <w:highlight w:val="none"/>
        </w:rPr>
      </w:pPr>
      <w:r/>
      <w:bookmarkStart w:id="74" w:name="_Toc27949"/>
      <w:r/>
      <w:bookmarkStart w:id="75" w:name="_Toc29853"/>
      <w:r/>
      <w:bookmarkStart w:id="76" w:name="_Toc2479"/>
      <w:r>
        <w:rPr>
          <w:rFonts w:hint="eastAsia" w:ascii="宋体" w:hAnsi="宋体" w:cs="宋体"/>
          <w:color w:val="auto"/>
          <w:sz w:val="24"/>
          <w:szCs w:val="24"/>
          <w:highlight w:val="none"/>
        </w:rPr>
        <w:t xml:space="preserve">本款修改1.1.2.4、1.1.2.5，补充1.1.3.11、</w:t>
      </w:r>
      <w:r>
        <w:rPr>
          <w:rFonts w:hint="eastAsia" w:ascii="宋体" w:hAnsi="宋体" w:cs="宋体"/>
          <w:color w:val="auto"/>
          <w:sz w:val="24"/>
          <w:szCs w:val="24"/>
          <w:highlight w:val="none"/>
        </w:rPr>
        <w:t xml:space="preserve">1.1.3.12、1.1.3.13</w:t>
      </w:r>
      <w:r>
        <w:rPr>
          <w:rFonts w:hint="eastAsia" w:ascii="宋体" w:hAnsi="宋体" w:cs="宋体"/>
          <w:color w:val="auto"/>
          <w:sz w:val="24"/>
          <w:szCs w:val="24"/>
          <w:highlight w:val="none"/>
        </w:rPr>
        <w:t xml:space="preserve">、1.1.4.8。</w:t>
      </w:r>
      <w:bookmarkEnd w:id="74"/>
      <w:r/>
      <w:bookmarkEnd w:id="75"/>
      <w:r/>
      <w:bookmarkEnd w:id="76"/>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1.1.1合同</w:t>
      </w:r>
      <w:r/>
    </w:p>
    <w:p>
      <w:pPr>
        <w:ind w:left="559"/>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1.1.1.1 其他合同文件包括：</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履行合同过程中双方书面确认的会议纪要、签证、设计变更等资料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1.1.2.1 监理人和总监理工程师：</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总监理工程师姓名：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总监理工程师执业资格证书号：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1.1.2.3 设计人和设计项目负责人：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项目负责人姓名：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工程和设备</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1.1.3.1 作为施工现场组成部分的其他场所包括：</w:t>
      </w:r>
      <w:r>
        <w:rPr>
          <w:rFonts w:hint="eastAsia" w:ascii="宋体" w:hAnsi="宋体" w:cs="宋体"/>
          <w:color w:val="auto"/>
          <w:sz w:val="24"/>
          <w:szCs w:val="24"/>
          <w:highlight w:val="none"/>
          <w:u w:val="single"/>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1.1.3.2 永久占地包括：</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1.1.3.3 临时占地包括：</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.1.3.4 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1.1.3.5 绿化工程：是指树木、花卉、草坪、地被植物等的种植工程。</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1.1.3.6 绿化养护：是指对绿地内植物采取的整形修剪、松土除草、灌溉与排水、施肥、有害生物防治、改植与补植、绿地防护（如防台风、防寒）等技术措施。</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日期和期限</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1.1.4.1 绿化养护期：是指承包人按照合同约定进行绿化养护的期限，从工程竣工验收合格之日起计算。绿化养护期最长不得超过24个月。</w:t>
      </w:r>
      <w:r/>
    </w:p>
    <w:p>
      <w:pPr>
        <w:ind w:firstLine="480"/>
        <w:spacing w:line="440" w:lineRule="exact"/>
        <w:rPr>
          <w:rFonts w:ascii="宋体" w:hAnsi="宋体" w:cs="宋体"/>
          <w:color w:val="auto"/>
          <w:sz w:val="24"/>
          <w:szCs w:val="24"/>
          <w:highlight w:val="none"/>
        </w:rPr>
        <w:outlineLvl w:val="2"/>
      </w:pPr>
      <w:r/>
      <w:bookmarkStart w:id="77" w:name="_Toc859792571"/>
      <w:r/>
      <w:bookmarkStart w:id="78" w:name="_Toc857078921"/>
      <w:r/>
      <w:bookmarkStart w:id="79" w:name="_Toc28173"/>
      <w:r>
        <w:rPr>
          <w:rFonts w:hint="eastAsia" w:ascii="宋体" w:hAnsi="宋体" w:cs="宋体"/>
          <w:color w:val="auto"/>
          <w:sz w:val="24"/>
          <w:szCs w:val="24"/>
          <w:highlight w:val="none"/>
        </w:rPr>
        <w:t xml:space="preserve">1.2 法律</w:t>
      </w:r>
      <w:bookmarkEnd w:id="77"/>
      <w:r/>
      <w:bookmarkEnd w:id="78"/>
      <w:r/>
      <w:bookmarkEnd w:id="79"/>
      <w:r>
        <w:rPr>
          <w:rFonts w:hint="eastAsia" w:ascii="宋体" w:hAnsi="宋体" w:cs="宋体"/>
          <w:color w:val="auto"/>
          <w:sz w:val="24"/>
          <w:szCs w:val="24"/>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适用于合同的其他规范性文件：</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执行国家和地方现行标准、规范的相关规定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outlineLvl w:val="2"/>
      </w:pPr>
      <w:r/>
      <w:bookmarkStart w:id="80" w:name="_Toc20831"/>
      <w:r/>
      <w:bookmarkStart w:id="81" w:name="_Toc1028117936"/>
      <w:r/>
      <w:bookmarkStart w:id="82" w:name="_Toc1984547573"/>
      <w:r>
        <w:rPr>
          <w:rFonts w:hint="eastAsia" w:ascii="宋体" w:hAnsi="宋体" w:cs="宋体"/>
          <w:color w:val="auto"/>
          <w:sz w:val="24"/>
          <w:szCs w:val="24"/>
          <w:highlight w:val="none"/>
        </w:rPr>
        <w:t xml:space="preserve">1.3 标准和规范</w:t>
      </w:r>
      <w:bookmarkEnd w:id="80"/>
      <w:r/>
      <w:bookmarkEnd w:id="81"/>
      <w:r/>
      <w:bookmarkEnd w:id="82"/>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本款修改1.4.1、1.4.2。</w:t>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1.3.1适用于工程的标准规范包括：</w:t>
      </w:r>
      <w:r/>
    </w:p>
    <w:p>
      <w:pPr>
        <w:ind w:left="596"/>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园林绿化工程施工及验收规范（CJJ82）；</w:t>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园林绿化养护标准（CJJ/T287）；</w:t>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建设工程工程量清单计价规范（GB50500）；</w:t>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园林绿化工程工程量计算规范（GB50858）；</w:t>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与园林绿化行业相关的行业标准、地方标准：</w:t>
      </w:r>
      <w:r>
        <w:rPr>
          <w:rFonts w:hint="eastAsia" w:ascii="宋体" w:hAnsi="宋体" w:cs="宋体"/>
          <w:color w:val="auto"/>
          <w:sz w:val="24"/>
          <w:szCs w:val="24"/>
          <w:highlight w:val="none"/>
          <w:u w:val="single"/>
        </w:rPr>
        <w:t xml:space="preserve">     /         。</w:t>
      </w:r>
      <w:r/>
    </w:p>
    <w:p>
      <w:pPr>
        <w:ind w:left="596"/>
        <w:spacing w:line="440" w:lineRule="exact"/>
        <w:rPr>
          <w:rFonts w:ascii="宋体" w:hAnsi="宋体" w:cs="宋体"/>
          <w:color w:val="auto"/>
          <w:sz w:val="24"/>
          <w:szCs w:val="24"/>
          <w:highlight w:val="none"/>
        </w:rPr>
      </w:pPr>
      <w:r/>
      <w:bookmarkStart w:id="83" w:name="_Toc1033"/>
      <w:r/>
      <w:bookmarkStart w:id="84" w:name="_Toc29821"/>
      <w:r/>
      <w:bookmarkStart w:id="85" w:name="_Toc2729"/>
      <w:r>
        <w:rPr>
          <w:rFonts w:hint="eastAsia" w:ascii="宋体" w:hAnsi="宋体" w:cs="宋体"/>
          <w:color w:val="auto"/>
          <w:sz w:val="24"/>
          <w:szCs w:val="24"/>
          <w:highlight w:val="none"/>
        </w:rPr>
        <w:t xml:space="preserve">1.3.2 发包人提供国外标准、规范的名称：</w:t>
      </w:r>
      <w:bookmarkEnd w:id="83"/>
      <w:r/>
      <w:bookmarkEnd w:id="84"/>
      <w:r/>
      <w:bookmarkEnd w:id="85"/>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发包人提供国外标准、规范的份数：</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596"/>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1.3.3 发包人对工程的技术标准和功能要求的特殊要求：</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符合有关行业主管部门和业主的要求</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w:t>
      </w:r>
      <w:r/>
    </w:p>
    <w:p>
      <w:pPr>
        <w:ind w:firstLine="480"/>
        <w:spacing w:line="440" w:lineRule="exact"/>
        <w:rPr>
          <w:rFonts w:ascii="宋体" w:hAnsi="宋体" w:cs="宋体"/>
          <w:color w:val="auto"/>
          <w:sz w:val="24"/>
          <w:szCs w:val="24"/>
          <w:highlight w:val="none"/>
        </w:rPr>
        <w:outlineLvl w:val="2"/>
      </w:pPr>
      <w:r/>
      <w:bookmarkStart w:id="86" w:name="_Toc659781100"/>
      <w:r/>
      <w:bookmarkStart w:id="87" w:name="_Toc21978"/>
      <w:r/>
      <w:bookmarkStart w:id="88" w:name="_Toc498019564"/>
      <w:r>
        <w:rPr>
          <w:rFonts w:hint="eastAsia" w:ascii="宋体" w:hAnsi="宋体" w:cs="宋体"/>
          <w:color w:val="auto"/>
          <w:sz w:val="24"/>
          <w:szCs w:val="24"/>
          <w:highlight w:val="none"/>
        </w:rPr>
        <w:t xml:space="preserve">1.4 合同文件的优先顺序</w:t>
      </w:r>
      <w:bookmarkEnd w:id="86"/>
      <w:r/>
      <w:bookmarkEnd w:id="87"/>
      <w:r/>
      <w:bookmarkEnd w:id="88"/>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(1)本合同协议书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(2)本合同专用条款</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(3)本合同通用条款</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(4)中标通知书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(5)投标书及其附件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(6)标准、规范及有关技术文件（含招标文件）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(7)图纸</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已标价</w:t>
      </w:r>
      <w:r>
        <w:rPr>
          <w:rFonts w:hint="eastAsia" w:ascii="宋体" w:hAnsi="宋体" w:cs="宋体"/>
          <w:color w:val="auto"/>
          <w:sz w:val="24"/>
          <w:szCs w:val="24"/>
          <w:highlight w:val="none"/>
        </w:rPr>
        <w:t xml:space="preserve">工程量清单或预算书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上述各项合同文件包括合同当事人就该项合同文件所作出的补充和修改，属于同一类内容的文件，应以最新签署的为准。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440" w:lineRule="exact"/>
        <w:rPr>
          <w:rFonts w:ascii="宋体" w:hAnsi="宋体" w:cs="宋体"/>
          <w:color w:val="auto"/>
          <w:sz w:val="24"/>
          <w:szCs w:val="24"/>
          <w:highlight w:val="none"/>
        </w:rPr>
        <w:outlineLvl w:val="2"/>
      </w:pPr>
      <w:r/>
      <w:bookmarkStart w:id="89" w:name="_Toc1984271900"/>
      <w:r/>
      <w:bookmarkStart w:id="90" w:name="_Toc1088158122"/>
      <w:r/>
      <w:bookmarkStart w:id="91" w:name="_Toc12618"/>
      <w:r>
        <w:rPr>
          <w:rFonts w:hint="eastAsia" w:ascii="宋体" w:hAnsi="宋体" w:cs="宋体"/>
          <w:color w:val="auto"/>
          <w:sz w:val="24"/>
          <w:szCs w:val="24"/>
          <w:highlight w:val="none"/>
        </w:rPr>
        <w:t xml:space="preserve">1.5 图纸和承包人文件</w:t>
      </w:r>
      <w:bookmarkEnd w:id="89"/>
      <w:r/>
      <w:bookmarkEnd w:id="90"/>
      <w:r/>
      <w:bookmarkEnd w:id="91"/>
      <w:r>
        <w:rPr>
          <w:rFonts w:hint="eastAsia" w:ascii="宋体" w:hAnsi="宋体" w:cs="宋体"/>
          <w:color w:val="auto"/>
          <w:sz w:val="24"/>
          <w:szCs w:val="24"/>
          <w:highlight w:val="none"/>
        </w:rPr>
        <w:tab/>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1.5.1 图纸的提供</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发包人向承包人提供图纸的期限：</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开工前一周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b/>
          <w:bCs/>
          <w:color w:val="auto"/>
          <w:sz w:val="24"/>
          <w:szCs w:val="24"/>
          <w:highlight w:val="none"/>
          <w:u w:val="single"/>
        </w:rPr>
      </w:pPr>
      <w:r>
        <w:rPr>
          <w:rFonts w:hint="eastAsia" w:ascii="宋体" w:hAnsi="宋体" w:cs="宋体"/>
          <w:color w:val="auto"/>
          <w:sz w:val="24"/>
          <w:szCs w:val="24"/>
          <w:highlight w:val="none"/>
        </w:rPr>
        <w:t xml:space="preserve">发包人向承包人提供图纸的数量：</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 xml:space="preserve">贰</w:t>
      </w:r>
      <w:r>
        <w:rPr>
          <w:rFonts w:hint="eastAsia" w:ascii="宋体" w:hAnsi="宋体" w:cs="宋体"/>
          <w:b/>
          <w:bCs/>
          <w:color w:val="auto"/>
          <w:sz w:val="24"/>
          <w:szCs w:val="24"/>
          <w:highlight w:val="none"/>
          <w:u w:val="single"/>
        </w:rPr>
        <w:t xml:space="preserve">套</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firstLine="480"/>
        <w:spacing w:line="440" w:lineRule="exact"/>
        <w:rPr>
          <w:rFonts w:ascii="宋体" w:hAnsi="宋体" w:cs="宋体"/>
          <w:b/>
          <w:bCs/>
          <w:color w:val="auto"/>
          <w:sz w:val="24"/>
          <w:szCs w:val="24"/>
          <w:highlight w:val="none"/>
          <w:u w:val="single"/>
        </w:rPr>
      </w:pPr>
      <w:r>
        <w:rPr>
          <w:rFonts w:hint="eastAsia" w:ascii="宋体" w:hAnsi="宋体" w:cs="宋体"/>
          <w:color w:val="auto"/>
          <w:sz w:val="24"/>
          <w:szCs w:val="24"/>
          <w:highlight w:val="none"/>
        </w:rPr>
        <w:t xml:space="preserve">发包人向承包人提供图纸的内容：</w:t>
      </w:r>
      <w:r>
        <w:rPr>
          <w:rFonts w:hint="eastAsia" w:ascii="宋体" w:hAnsi="宋体" w:cs="宋体"/>
          <w:b/>
          <w:bCs/>
          <w:color w:val="auto"/>
          <w:sz w:val="24"/>
          <w:szCs w:val="24"/>
          <w:highlight w:val="none"/>
          <w:u w:val="single"/>
        </w:rPr>
        <w:t xml:space="preserve">全套施工图纸（发包人不提供所配套的有关图集。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收到设计文件和图纸后，要根据技术标准、设计规范、标准设计图、通用图和有关规定，对设计文件和图纸认真审查。当图纸设计与工程量清单不一致或发现其他问题，投标人必须及时以书面形式报告发包人，经发包人审批后执行。否则，因设计文件、工程量清单及图纸差错造成的损失，由承包人承担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承包人文件</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需要由承包人提供的文件，包括：：</w:t>
      </w:r>
      <w:r>
        <w:rPr>
          <w:rFonts w:hint="eastAsia" w:ascii="宋体" w:hAnsi="宋体" w:cs="宋体"/>
          <w:color w:val="auto"/>
          <w:sz w:val="24"/>
          <w:szCs w:val="24"/>
          <w:highlight w:val="none"/>
          <w:u w:val="single"/>
        </w:rPr>
        <w:t xml:space="preserve">①按GB/T50502、本合同第二部分 通用合同条款7.1和7.2编制施工组织设计、施工措施计划、施工方案报监理人审核和发包人确认；</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②由承包人办理的许可和批准的办理结果书面报送监理人审核和发包人确认、留存； </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③拟制施工人员名册（动态），并与为其办理工伤保险的有效证明一起报送监理人审核和发包人确认；</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⑤特殊工种作业人员资格证明报送监理人审核和发包人确认；</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⑥项目负责人的姓名、职称、项目负责人的编号、联系方式、授权范围等事项，和与承包人之间的正式聘用劳动合同、承包人为其缴纳社会保险的有效证明，一起报送监理人审核和发包人确认；</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⑦工程质量管理体系及措施文件、质量检查制度、质量控制文件，报送监理人审核和发包人确认；</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⑧工程安全管理体系及措施文件、安全检查制度、安全控制文件，报送监理人审核和发包人确认；</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⑨发包人管理需要的其他文件</w:t>
      </w:r>
      <w:r>
        <w:rPr>
          <w:rFonts w:hint="eastAsia" w:ascii="宋体" w:hAnsi="宋体" w:cs="宋体"/>
          <w:color w:val="auto"/>
          <w:sz w:val="24"/>
          <w:szCs w:val="24"/>
          <w:highlight w:val="none"/>
          <w:u w:val="single"/>
        </w:rPr>
        <w:t xml:space="preserve">。</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⑩上述文件如发包人因管理需增加时，承包人有义务按发包人提出的形式、格式、数量、时间等要求提供。</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⑪承包人未在规定时间内提交上述文件，视为违约并按伍佰元/次扣违约金。</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承包人提供的文件的期限为：</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合同签字后7日内</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承包人提供的文件的数量为：</w:t>
      </w:r>
      <w:r>
        <w:rPr>
          <w:rFonts w:hint="eastAsia" w:ascii="宋体" w:hAnsi="宋体" w:cs="宋体"/>
          <w:b/>
          <w:bCs/>
          <w:color w:val="auto"/>
          <w:sz w:val="24"/>
          <w:szCs w:val="24"/>
          <w:highlight w:val="none"/>
          <w:u w:val="single"/>
        </w:rPr>
        <w:t xml:space="preserve">纸质版伍套，电子版一套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承包人提供的文件的形式为：</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 纸质版，电子版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发包人审批承包人文件的期限：</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 7个工作日内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现场图纸准备</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关于现场图纸准备的约定：</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执行通用条款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outlineLvl w:val="2"/>
      </w:pPr>
      <w:r/>
      <w:bookmarkStart w:id="92" w:name="_Toc13200089"/>
      <w:r/>
      <w:bookmarkStart w:id="93" w:name="_Toc280711937"/>
      <w:r/>
      <w:bookmarkStart w:id="94" w:name="_Toc18371"/>
      <w:r>
        <w:rPr>
          <w:rFonts w:hint="eastAsia" w:ascii="宋体" w:hAnsi="宋体" w:cs="宋体"/>
          <w:color w:val="auto"/>
          <w:sz w:val="24"/>
          <w:szCs w:val="24"/>
          <w:highlight w:val="none"/>
        </w:rPr>
        <w:t xml:space="preserve">1.6 联络</w:t>
      </w:r>
      <w:bookmarkEnd w:id="92"/>
      <w:r/>
      <w:bookmarkEnd w:id="93"/>
      <w:r/>
      <w:bookmarkEnd w:id="9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发包人和承包人应当在</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五</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天内将与合同有关的通知、批准、证明、证书、指示、指令、要求、请求、同意、意见、确定和决定等书面函件送达对方当事人。</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发包人接收文件的地点：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工程项目部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发包人指定的接收人为：</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发包人代表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工程项目部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承包人指定的接收人为：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项目负责人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工程项目部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监理人指定的接收人为：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总监理工程师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outlineLvl w:val="2"/>
      </w:pPr>
      <w:r/>
      <w:bookmarkStart w:id="95" w:name="_Toc8108"/>
      <w:r/>
      <w:bookmarkStart w:id="96" w:name="_Toc1289155066"/>
      <w:r/>
      <w:bookmarkStart w:id="97" w:name="_Toc1023515055"/>
      <w:r>
        <w:rPr>
          <w:rFonts w:hint="eastAsia" w:ascii="宋体" w:hAnsi="宋体" w:cs="宋体"/>
          <w:color w:val="auto"/>
          <w:sz w:val="24"/>
          <w:szCs w:val="24"/>
          <w:highlight w:val="none"/>
        </w:rPr>
        <w:t xml:space="preserve">1.7 交通运输</w:t>
      </w:r>
      <w:bookmarkEnd w:id="95"/>
      <w:r/>
      <w:bookmarkEnd w:id="96"/>
      <w:r/>
      <w:bookmarkEnd w:id="97"/>
      <w:r/>
      <w:r/>
    </w:p>
    <w:p>
      <w:pPr>
        <w:ind w:firstLine="480"/>
        <w:spacing w:line="440" w:lineRule="exact"/>
        <w:rPr>
          <w:rFonts w:ascii="宋体" w:hAnsi="宋体" w:cs="宋体"/>
          <w:color w:val="auto"/>
          <w:sz w:val="24"/>
          <w:szCs w:val="24"/>
          <w:highlight w:val="none"/>
        </w:rPr>
      </w:pPr>
      <w:r/>
      <w:bookmarkStart w:id="98" w:name="_Toc8013"/>
      <w:r/>
      <w:bookmarkStart w:id="99" w:name="_Toc9787"/>
      <w:r/>
      <w:bookmarkStart w:id="100" w:name="_Toc17087"/>
      <w:r>
        <w:rPr>
          <w:rFonts w:hint="eastAsia" w:ascii="宋体" w:hAnsi="宋体" w:cs="宋体"/>
          <w:color w:val="auto"/>
          <w:sz w:val="24"/>
          <w:szCs w:val="24"/>
          <w:highlight w:val="none"/>
        </w:rPr>
        <w:t xml:space="preserve">1</w:t>
      </w:r>
      <w:bookmarkStart w:id="101" w:name="_Toc318581155"/>
      <w:r/>
      <w:bookmarkStart w:id="102" w:name="_Toc300934943"/>
      <w:r/>
      <w:bookmarkStart w:id="103" w:name="_Toc304295521"/>
      <w:r/>
      <w:bookmarkStart w:id="104" w:name="_Toc303539100"/>
      <w:r/>
      <w:bookmarkStart w:id="105" w:name="_Toc312677986"/>
      <w:r>
        <w:rPr>
          <w:rFonts w:hint="eastAsia" w:ascii="宋体" w:hAnsi="宋体" w:cs="宋体"/>
          <w:color w:val="auto"/>
          <w:sz w:val="24"/>
          <w:szCs w:val="24"/>
          <w:highlight w:val="none"/>
        </w:rPr>
        <w:t xml:space="preserve">.7.1 出入现场的权利</w:t>
      </w:r>
      <w:bookmarkEnd w:id="98"/>
      <w:r/>
      <w:bookmarkEnd w:id="99"/>
      <w:r/>
      <w:bookmarkEnd w:id="100"/>
      <w:r/>
      <w:r/>
    </w:p>
    <w:p>
      <w:pPr>
        <w:ind w:left="596"/>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关于出入现场的权利的约定：</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 </w:t>
      </w:r>
      <w:r>
        <w:rPr>
          <w:rFonts w:hint="eastAsia" w:ascii="宋体" w:hAnsi="宋体" w:cs="宋体"/>
          <w:b/>
          <w:bCs/>
          <w:color w:val="auto"/>
          <w:sz w:val="24"/>
          <w:szCs w:val="24"/>
          <w:highlight w:val="none"/>
        </w:rPr>
        <w:t xml:space="preserve">。</w:t>
      </w:r>
      <w:bookmarkEnd w:id="101"/>
      <w:r/>
      <w:bookmarkEnd w:id="102"/>
      <w:r/>
      <w:bookmarkEnd w:id="103"/>
      <w:r/>
      <w:bookmarkEnd w:id="104"/>
      <w:r/>
      <w:bookmarkEnd w:id="105"/>
      <w:r/>
      <w:r/>
    </w:p>
    <w:p>
      <w:pPr>
        <w:ind w:firstLine="480"/>
        <w:jc w:val="left"/>
        <w:spacing w:line="440" w:lineRule="exact"/>
        <w:rPr>
          <w:rFonts w:ascii="宋体" w:hAnsi="宋体" w:cs="宋体"/>
          <w:color w:val="auto"/>
          <w:sz w:val="24"/>
          <w:szCs w:val="24"/>
          <w:highlight w:val="none"/>
        </w:rPr>
      </w:pPr>
      <w:r/>
      <w:bookmarkStart w:id="106" w:name="_Toc30188"/>
      <w:r/>
      <w:bookmarkStart w:id="107" w:name="_Toc4066"/>
      <w:r/>
      <w:bookmarkStart w:id="108" w:name="_Toc3062"/>
      <w:r>
        <w:rPr>
          <w:rFonts w:hint="eastAsia" w:ascii="宋体" w:hAnsi="宋体" w:cs="宋体"/>
          <w:color w:val="auto"/>
          <w:sz w:val="24"/>
          <w:szCs w:val="24"/>
          <w:highlight w:val="none"/>
        </w:rPr>
        <w:t xml:space="preserve">1</w:t>
      </w:r>
      <w:bookmarkStart w:id="109" w:name="_Toc318581156"/>
      <w:r/>
      <w:bookmarkStart w:id="110" w:name="_Toc303539101"/>
      <w:r/>
      <w:bookmarkStart w:id="111" w:name="_Toc304295522"/>
      <w:r/>
      <w:bookmarkStart w:id="112" w:name="_Toc300934944"/>
      <w:r/>
      <w:bookmarkStart w:id="113" w:name="_Toc312677987"/>
      <w:r>
        <w:rPr>
          <w:rFonts w:hint="eastAsia" w:ascii="宋体" w:hAnsi="宋体" w:cs="宋体"/>
          <w:color w:val="auto"/>
          <w:sz w:val="24"/>
          <w:szCs w:val="24"/>
          <w:highlight w:val="none"/>
        </w:rPr>
        <w:t xml:space="preserve">.7.2 场内交通</w:t>
      </w:r>
      <w:bookmarkEnd w:id="106"/>
      <w:r/>
      <w:bookmarkEnd w:id="107"/>
      <w:r/>
      <w:bookmarkEnd w:id="108"/>
      <w:r/>
      <w:r/>
    </w:p>
    <w:p>
      <w:pPr>
        <w:ind w:firstLine="480"/>
        <w:jc w:val="left"/>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关于场外交通和场内交通的边界的约定：</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以现场实际施工条件为准 </w:t>
      </w:r>
      <w:r>
        <w:rPr>
          <w:rFonts w:hint="eastAsia" w:ascii="宋体" w:hAnsi="宋体" w:cs="宋体"/>
          <w:b/>
          <w:bCs/>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关于发包人向承包人免费提供满足工程施工需要的场内道路和交通设施的约定：</w:t>
      </w:r>
      <w:r>
        <w:rPr>
          <w:rFonts w:hint="eastAsia" w:ascii="宋体" w:hAnsi="宋体" w:cs="宋体"/>
          <w:b/>
          <w:bCs/>
          <w:color w:val="auto"/>
          <w:sz w:val="24"/>
          <w:szCs w:val="24"/>
          <w:highlight w:val="none"/>
          <w:u w:val="single"/>
        </w:rPr>
        <w:t xml:space="preserve">不提供，由承包人自费修建。</w:t>
      </w:r>
      <w:bookmarkEnd w:id="109"/>
      <w:r/>
      <w:bookmarkEnd w:id="110"/>
      <w:r/>
      <w:bookmarkEnd w:id="111"/>
      <w:r/>
      <w:bookmarkEnd w:id="112"/>
      <w:r/>
      <w:bookmarkEnd w:id="113"/>
      <w:r>
        <w:rPr>
          <w:rFonts w:hint="eastAsia" w:ascii="宋体" w:hAnsi="宋体" w:cs="宋体"/>
          <w:color w:val="auto"/>
          <w:sz w:val="24"/>
          <w:szCs w:val="24"/>
          <w:highlight w:val="none"/>
        </w:rPr>
        <w:t xml:space="preserve">  </w:t>
      </w:r>
      <w:bookmarkStart w:id="114" w:name="_Toc318581157"/>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1.7.3 超大件和超重件的运输</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运输超大件或超重件所需的道路和桥梁临时加固改造费用和其他有关费用由</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承包人</w:t>
      </w:r>
      <w:r>
        <w:rPr>
          <w:rFonts w:hint="eastAsia" w:ascii="宋体" w:hAnsi="宋体" w:cs="宋体"/>
          <w:color w:val="auto"/>
          <w:sz w:val="24"/>
          <w:szCs w:val="24"/>
          <w:highlight w:val="none"/>
        </w:rPr>
        <w:t xml:space="preserve">承担。</w:t>
      </w:r>
      <w:bookmarkEnd w:id="114"/>
      <w:r/>
      <w:r/>
    </w:p>
    <w:p>
      <w:pPr>
        <w:ind w:firstLine="480"/>
        <w:spacing w:line="440" w:lineRule="exact"/>
        <w:rPr>
          <w:rFonts w:ascii="宋体" w:hAnsi="宋体" w:cs="宋体"/>
          <w:color w:val="auto"/>
          <w:sz w:val="24"/>
          <w:szCs w:val="24"/>
          <w:highlight w:val="none"/>
        </w:rPr>
        <w:outlineLvl w:val="2"/>
      </w:pPr>
      <w:r/>
      <w:bookmarkStart w:id="115" w:name="_Toc869890155"/>
      <w:r/>
      <w:bookmarkStart w:id="116" w:name="_Toc1760605217"/>
      <w:r/>
      <w:bookmarkStart w:id="117" w:name="_Toc17638"/>
      <w:r>
        <w:rPr>
          <w:rFonts w:hint="eastAsia" w:ascii="宋体" w:hAnsi="宋体" w:cs="宋体"/>
          <w:color w:val="auto"/>
          <w:sz w:val="24"/>
          <w:szCs w:val="24"/>
          <w:highlight w:val="none"/>
        </w:rPr>
        <w:t xml:space="preserve">1.8 知识产权</w:t>
      </w:r>
      <w:bookmarkEnd w:id="115"/>
      <w:r/>
      <w:bookmarkEnd w:id="116"/>
      <w:r/>
      <w:bookmarkEnd w:id="117"/>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关于发包人提供的上述文件的使用限制的要求：</w:t>
      </w:r>
      <w:r>
        <w:rPr>
          <w:rFonts w:hint="eastAsia" w:ascii="宋体" w:hAnsi="宋体" w:cs="宋体"/>
          <w:b/>
          <w:color w:val="auto"/>
          <w:sz w:val="24"/>
          <w:szCs w:val="24"/>
          <w:highlight w:val="none"/>
          <w:u w:val="single"/>
        </w:rPr>
        <w:t xml:space="preserve">执行通用条款</w:t>
      </w:r>
      <w:r>
        <w:rPr>
          <w:rFonts w:hint="eastAsia" w:ascii="宋体" w:hAnsi="宋体" w:cs="宋体"/>
          <w:color w:val="auto"/>
          <w:sz w:val="24"/>
          <w:szCs w:val="24"/>
          <w:highlight w:val="none"/>
        </w:rPr>
        <w:t xml:space="preserve">。</w:t>
      </w:r>
      <w:r/>
    </w:p>
    <w:p>
      <w:pPr>
        <w:ind w:left="596" w:firstLine="0"/>
        <w:spacing w:line="440" w:lineRule="exact"/>
        <w:rPr>
          <w:rFonts w:ascii="宋体" w:hAnsi="宋体" w:cs="宋体"/>
          <w:color w:val="auto"/>
          <w:sz w:val="24"/>
          <w:szCs w:val="24"/>
          <w:highlight w:val="none"/>
        </w:rPr>
      </w:pPr>
      <w:r/>
      <w:bookmarkStart w:id="118" w:name="_Toc14488"/>
      <w:r/>
      <w:bookmarkStart w:id="119" w:name="_Toc11158"/>
      <w:r/>
      <w:bookmarkStart w:id="120" w:name="_Toc29973"/>
      <w:r>
        <w:rPr>
          <w:rFonts w:hint="eastAsia" w:ascii="宋体" w:hAnsi="宋体" w:cs="宋体"/>
          <w:color w:val="auto"/>
          <w:sz w:val="24"/>
          <w:szCs w:val="24"/>
          <w:highlight w:val="none"/>
        </w:rPr>
        <w:t xml:space="preserve">1.8.2 关于承包人为实施工程所编制文件的著作权的归属</w:t>
      </w:r>
      <w:bookmarkEnd w:id="118"/>
      <w:r/>
      <w:bookmarkEnd w:id="119"/>
      <w:r/>
      <w:bookmarkEnd w:id="120"/>
      <w:r>
        <w:rPr>
          <w:rFonts w:hint="eastAsia" w:ascii="宋体" w:hAnsi="宋体" w:cs="宋体"/>
          <w:color w:val="auto"/>
          <w:sz w:val="24"/>
          <w:szCs w:val="24"/>
          <w:highlight w:val="none"/>
          <w:lang w:eastAsia="zh-CN"/>
        </w:rPr>
        <w:t xml:space="preserve">：</w:t>
      </w:r>
      <w:r>
        <w:rPr>
          <w:rFonts w:hint="eastAsia" w:ascii="宋体" w:hAnsi="宋体" w:cs="宋体"/>
          <w:b/>
          <w:color w:val="auto"/>
          <w:sz w:val="24"/>
          <w:szCs w:val="24"/>
          <w:highlight w:val="none"/>
          <w:u w:val="single"/>
        </w:rPr>
        <w:t xml:space="preserve">执行通用条款</w:t>
      </w:r>
      <w:r>
        <w:rPr>
          <w:rFonts w:hint="eastAsia" w:ascii="宋体" w:hAnsi="宋体" w:cs="宋体"/>
          <w:color w:val="auto"/>
          <w:sz w:val="24"/>
          <w:szCs w:val="24"/>
          <w:highlight w:val="none"/>
        </w:rPr>
        <w:t xml:space="preserve">。</w:t>
      </w:r>
      <w:r/>
    </w:p>
    <w:p>
      <w:pPr>
        <w:ind w:left="55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关于承包人提供的上述文件的使用限制的要求:</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bookmarkStart w:id="121" w:name="_Toc22809"/>
      <w:r/>
      <w:bookmarkStart w:id="122" w:name="_Toc4666"/>
      <w:r/>
      <w:bookmarkStart w:id="123" w:name="_Toc13562"/>
      <w:r>
        <w:rPr>
          <w:rFonts w:hint="eastAsia" w:ascii="宋体" w:hAnsi="宋体" w:cs="宋体"/>
          <w:color w:val="auto"/>
          <w:sz w:val="24"/>
          <w:szCs w:val="24"/>
          <w:highlight w:val="none"/>
        </w:rPr>
        <w:t xml:space="preserve">1.8.3 承包人在施工过程中所采用的专利、专有技术、技术秘密的使用费的承担方式：</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121"/>
      <w:r/>
      <w:bookmarkEnd w:id="122"/>
      <w:r/>
      <w:bookmarkEnd w:id="123"/>
      <w:r/>
      <w:bookmarkStart w:id="124" w:name="_Toc448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 工程量清单错误的修正</w:t>
      </w:r>
      <w:bookmarkEnd w:id="12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本款修改为：</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承包人应在合同签订后对发包人提供的工程量清单、图纸和现场进行核查和踏察，如发现差异，应在</w:t>
      </w:r>
      <w:r>
        <w:rPr>
          <w:rFonts w:hint="eastAsia" w:ascii="宋体" w:hAnsi="宋体" w:cs="宋体"/>
          <w:color w:val="auto"/>
          <w:sz w:val="24"/>
          <w:szCs w:val="24"/>
          <w:highlight w:val="none"/>
          <w:u w:val="single"/>
        </w:rPr>
        <w:t xml:space="preserve">  10  </w:t>
      </w:r>
      <w:r>
        <w:rPr>
          <w:rFonts w:hint="eastAsia" w:ascii="宋体" w:hAnsi="宋体" w:cs="宋体"/>
          <w:color w:val="auto"/>
          <w:sz w:val="24"/>
          <w:szCs w:val="24"/>
          <w:highlight w:val="none"/>
        </w:rPr>
        <w:t xml:space="preserve">天内以书面形式向发包人提出；有下列情形之一时，发包人应予以修正，并相应调整合同价格：</w:t>
      </w:r>
      <w:r/>
    </w:p>
    <w:p>
      <w:pPr>
        <w:ind w:firstLine="480"/>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出现工程量清单错误时，是否调整合同价格：</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执行本工程招标文件</w:t>
      </w:r>
      <w:r>
        <w:rPr>
          <w:rFonts w:hint="eastAsia" w:ascii="宋体" w:hAnsi="宋体" w:cs="宋体"/>
          <w:b/>
          <w:bCs/>
          <w:color w:val="auto"/>
          <w:sz w:val="24"/>
          <w:szCs w:val="24"/>
          <w:highlight w:val="none"/>
        </w:rPr>
        <w:t xml:space="preserve">。</w:t>
      </w:r>
      <w:r/>
    </w:p>
    <w:p>
      <w:pPr>
        <w:ind w:firstLine="480"/>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允许调整合同价格的工程量偏差范围：</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执行本工程招标文件 </w:t>
      </w:r>
      <w:r>
        <w:rPr>
          <w:rFonts w:hint="eastAsia" w:ascii="宋体" w:hAnsi="宋体" w:cs="宋体"/>
          <w:b/>
          <w:bCs/>
          <w:color w:val="auto"/>
          <w:sz w:val="24"/>
          <w:szCs w:val="24"/>
          <w:highlight w:val="none"/>
        </w:rPr>
        <w:t xml:space="preserve">。</w:t>
      </w:r>
      <w:r/>
    </w:p>
    <w:p>
      <w:pPr>
        <w:pStyle w:val="955"/>
        <w:spacing w:line="440" w:lineRule="exact"/>
        <w:rPr>
          <w:rFonts w:ascii="宋体" w:hAnsi="宋体" w:cs="宋体"/>
          <w:b w:val="0"/>
          <w:color w:val="auto"/>
          <w:sz w:val="24"/>
          <w:szCs w:val="24"/>
          <w:highlight w:val="none"/>
        </w:rPr>
      </w:pPr>
      <w:r/>
      <w:bookmarkStart w:id="125" w:name="_Toc125523837"/>
      <w:r/>
      <w:bookmarkStart w:id="126" w:name="_Toc2049858434"/>
      <w:r>
        <w:rPr>
          <w:rFonts w:hint="eastAsia" w:ascii="宋体" w:hAnsi="宋体" w:cs="宋体"/>
          <w:b w:val="0"/>
          <w:color w:val="auto"/>
          <w:sz w:val="24"/>
          <w:szCs w:val="24"/>
          <w:highlight w:val="none"/>
        </w:rPr>
        <w:t xml:space="preserve">2</w:t>
      </w:r>
      <w:bookmarkStart w:id="127" w:name="_Toc296944496"/>
      <w:r/>
      <w:bookmarkStart w:id="128" w:name="_Toc296891197"/>
      <w:r/>
      <w:bookmarkStart w:id="129" w:name="_Toc297120457"/>
      <w:r/>
      <w:bookmarkStart w:id="130" w:name="_Toc292559362"/>
      <w:r/>
      <w:bookmarkStart w:id="131" w:name="_Toc296890985"/>
      <w:r/>
      <w:bookmarkStart w:id="132" w:name="_Toc296347156"/>
      <w:r/>
      <w:bookmarkStart w:id="133" w:name="_Toc296346658"/>
      <w:r/>
      <w:bookmarkStart w:id="134" w:name="_Toc297048343"/>
      <w:r/>
      <w:bookmarkStart w:id="135" w:name="_Toc292559867"/>
      <w:r/>
      <w:bookmarkStart w:id="136" w:name="_Toc296503157"/>
      <w:r>
        <w:rPr>
          <w:rFonts w:hint="eastAsia" w:ascii="宋体" w:hAnsi="宋体" w:cs="宋体"/>
          <w:b w:val="0"/>
          <w:color w:val="auto"/>
          <w:sz w:val="24"/>
          <w:szCs w:val="24"/>
          <w:highlight w:val="none"/>
        </w:rPr>
        <w:t xml:space="preserve">. 发包人</w:t>
      </w:r>
      <w:bookmarkEnd w:id="125"/>
      <w:r/>
      <w:bookmarkEnd w:id="126"/>
      <w:r/>
      <w:r/>
    </w:p>
    <w:p>
      <w:pPr>
        <w:ind w:firstLine="480"/>
        <w:spacing w:line="440" w:lineRule="exact"/>
        <w:rPr>
          <w:rFonts w:ascii="宋体" w:hAnsi="宋体" w:cs="宋体"/>
          <w:color w:val="auto"/>
          <w:sz w:val="24"/>
          <w:szCs w:val="24"/>
          <w:highlight w:val="none"/>
        </w:rPr>
        <w:outlineLvl w:val="2"/>
      </w:pPr>
      <w:r/>
      <w:bookmarkStart w:id="137" w:name="_Toc493482386"/>
      <w:r/>
      <w:bookmarkStart w:id="138" w:name="_Toc351203510"/>
      <w:r/>
      <w:bookmarkStart w:id="139" w:name="_Toc29214"/>
      <w:r/>
      <w:bookmarkStart w:id="140" w:name="_Toc1613310203"/>
      <w:r>
        <w:rPr>
          <w:rFonts w:hint="eastAsia" w:ascii="宋体" w:hAnsi="宋体" w:cs="宋体"/>
          <w:color w:val="auto"/>
          <w:sz w:val="24"/>
          <w:szCs w:val="24"/>
          <w:highlight w:val="none"/>
        </w:rPr>
        <w:t xml:space="preserve">2.1 许可或批准</w:t>
      </w:r>
      <w:bookmarkEnd w:id="137"/>
      <w:r/>
      <w:bookmarkEnd w:id="138"/>
      <w:r/>
      <w:bookmarkEnd w:id="139"/>
      <w:r/>
      <w:bookmarkEnd w:id="140"/>
      <w:r/>
      <w:r/>
    </w:p>
    <w:p>
      <w:pPr>
        <w:ind w:firstLine="480"/>
        <w:spacing w:line="440" w:lineRule="exact"/>
        <w:rPr>
          <w:rFonts w:ascii="宋体" w:hAnsi="宋体" w:cs="宋体"/>
          <w:color w:val="auto"/>
          <w:sz w:val="24"/>
          <w:szCs w:val="24"/>
          <w:highlight w:val="none"/>
        </w:rPr>
        <w:outlineLvl w:val="2"/>
      </w:pPr>
      <w:r/>
      <w:bookmarkStart w:id="141" w:name="_Toc122621003"/>
      <w:r/>
      <w:bookmarkStart w:id="142" w:name="_Toc850751199"/>
      <w:r>
        <w:rPr>
          <w:rFonts w:hint="eastAsia" w:ascii="宋体" w:hAnsi="宋体" w:cs="宋体"/>
          <w:color w:val="auto"/>
          <w:sz w:val="24"/>
          <w:szCs w:val="24"/>
          <w:highlight w:val="none"/>
        </w:rPr>
        <w:t xml:space="preserve">本款补充2.1.1、2.4.3。</w:t>
      </w:r>
      <w:bookmarkEnd w:id="141"/>
      <w:r/>
      <w:bookmarkEnd w:id="142"/>
      <w:r/>
      <w:r/>
    </w:p>
    <w:p>
      <w:pPr>
        <w:ind w:firstLine="480"/>
        <w:spacing w:before="120"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根据相关规定提供园林绿化施工所需的许可或批准。</w:t>
      </w:r>
      <w:bookmarkEnd w:id="127"/>
      <w:r/>
      <w:bookmarkEnd w:id="128"/>
      <w:r/>
      <w:bookmarkEnd w:id="129"/>
      <w:r/>
      <w:bookmarkEnd w:id="130"/>
      <w:r/>
      <w:bookmarkEnd w:id="131"/>
      <w:r/>
      <w:bookmarkEnd w:id="132"/>
      <w:r/>
      <w:bookmarkEnd w:id="133"/>
      <w:r/>
      <w:bookmarkEnd w:id="134"/>
      <w:r/>
      <w:bookmarkEnd w:id="135"/>
      <w:r/>
      <w:bookmarkEnd w:id="136"/>
      <w:r/>
      <w:bookmarkStart w:id="143" w:name="_Toc17753"/>
      <w:r/>
      <w:r/>
    </w:p>
    <w:p>
      <w:pPr>
        <w:ind w:firstLine="480"/>
        <w:spacing w:line="440" w:lineRule="exact"/>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2.2 发包人代表</w:t>
      </w:r>
      <w:bookmarkEnd w:id="143"/>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发包人代表：</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rPr>
          <w:rFonts w:ascii="宋体" w:hAnsi="宋体" w:cs="宋体"/>
          <w:b/>
          <w:bCs/>
          <w:color w:val="auto"/>
          <w:sz w:val="24"/>
          <w:szCs w:val="24"/>
          <w:highlight w:val="none"/>
          <w:u w:val="single"/>
        </w:rPr>
      </w:pPr>
      <w:r>
        <w:rPr>
          <w:rFonts w:hint="eastAsia" w:ascii="宋体" w:hAnsi="宋体" w:cs="宋体"/>
          <w:color w:val="auto"/>
          <w:sz w:val="24"/>
          <w:szCs w:val="24"/>
          <w:highlight w:val="none"/>
        </w:rPr>
        <w:t xml:space="preserve">发包人对发包人代表的授权范围如下：</w:t>
      </w:r>
      <w:r>
        <w:rPr>
          <w:rFonts w:hint="eastAsia" w:ascii="宋体" w:hAnsi="宋体" w:cs="宋体"/>
          <w:b/>
          <w:bCs/>
          <w:color w:val="auto"/>
          <w:sz w:val="24"/>
          <w:szCs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需要取得发包人批准才能行使的职权：</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u w:val="single"/>
        </w:rPr>
        <w:t xml:space="preserve">批准改变工程质量验收的标准；批准延长工期；批准涉及到对合同总价有影响的变更或指示；批准工程索赔；批准施工程序的重大变更；批准重要部位的设计变更；确定工程变更估价。</w:t>
      </w:r>
      <w:r/>
    </w:p>
    <w:p>
      <w:pPr>
        <w:ind w:firstLine="480"/>
        <w:spacing w:line="440" w:lineRule="exact"/>
        <w:rPr>
          <w:rFonts w:ascii="宋体" w:hAnsi="宋体" w:cs="宋体"/>
          <w:color w:val="auto"/>
          <w:sz w:val="24"/>
          <w:szCs w:val="24"/>
          <w:highlight w:val="none"/>
        </w:rPr>
        <w:outlineLvl w:val="2"/>
      </w:pPr>
      <w:r/>
      <w:bookmarkStart w:id="144" w:name="_Toc571308452"/>
      <w:r/>
      <w:bookmarkStart w:id="145" w:name="_Toc1335716241"/>
      <w:r/>
      <w:bookmarkStart w:id="146" w:name="_Toc26646"/>
      <w:r>
        <w:rPr>
          <w:rFonts w:hint="eastAsia" w:ascii="宋体" w:hAnsi="宋体" w:cs="宋体"/>
          <w:color w:val="auto"/>
          <w:sz w:val="24"/>
          <w:szCs w:val="24"/>
          <w:highlight w:val="none"/>
        </w:rPr>
        <w:t xml:space="preserve">2.3 施工现场、施工条件和基础资料的提供</w:t>
      </w:r>
      <w:bookmarkEnd w:id="144"/>
      <w:r/>
      <w:bookmarkEnd w:id="145"/>
      <w:r/>
      <w:bookmarkEnd w:id="146"/>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提供施工现场</w:t>
      </w:r>
      <w:r/>
    </w:p>
    <w:p>
      <w:pPr>
        <w:ind w:firstLine="480"/>
        <w:jc w:val="left"/>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关于发包人移交施工现场的期限要求：</w:t>
      </w:r>
      <w:r>
        <w:rPr>
          <w:rFonts w:hint="eastAsia" w:ascii="宋体" w:hAnsi="宋体" w:cs="宋体"/>
          <w:b/>
          <w:bCs/>
          <w:color w:val="auto"/>
          <w:sz w:val="24"/>
          <w:szCs w:val="24"/>
          <w:highlight w:val="none"/>
          <w:u w:val="single"/>
        </w:rPr>
        <w:t xml:space="preserve">开工通知载明的开工日期7日前</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提供施工条件</w:t>
      </w:r>
      <w:r/>
    </w:p>
    <w:p>
      <w:pPr>
        <w:pStyle w:val="1321"/>
        <w:ind w:left="0" w:right="-35"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关于发包人应负责提供施工所需要的条件，包括：</w:t>
      </w:r>
      <w:r>
        <w:rPr>
          <w:rFonts w:hint="eastAsia" w:ascii="宋体" w:hAnsi="宋体" w:cs="宋体"/>
          <w:color w:val="auto"/>
          <w:sz w:val="24"/>
          <w:szCs w:val="24"/>
          <w:highlight w:val="none"/>
          <w:u w:val="single"/>
        </w:rPr>
        <w:t xml:space="preserve">关于发包人应负责提供施工所需要的条件，包括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由承包人直接缴纳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由承包人直接缴纳。</w:t>
      </w:r>
      <w:r/>
    </w:p>
    <w:p>
      <w:pPr>
        <w:ind w:firstLine="480"/>
        <w:spacing w:line="440" w:lineRule="exact"/>
        <w:rPr>
          <w:rFonts w:ascii="宋体" w:hAnsi="宋体" w:cs="宋体"/>
          <w:color w:val="auto"/>
          <w:sz w:val="24"/>
          <w:szCs w:val="24"/>
          <w:highlight w:val="none"/>
        </w:rPr>
        <w:outlineLvl w:val="2"/>
      </w:pPr>
      <w:r/>
      <w:bookmarkStart w:id="147" w:name="_Toc9218"/>
      <w:r/>
      <w:bookmarkStart w:id="148" w:name="_Toc1205484610"/>
      <w:r/>
      <w:bookmarkStart w:id="149" w:name="_Toc981174043"/>
      <w:r>
        <w:rPr>
          <w:rFonts w:hint="eastAsia" w:ascii="宋体" w:hAnsi="宋体" w:cs="宋体"/>
          <w:color w:val="auto"/>
          <w:sz w:val="24"/>
          <w:szCs w:val="24"/>
          <w:highlight w:val="none"/>
        </w:rPr>
        <w:t xml:space="preserve">2.4 资金来源证明及支付担保</w:t>
      </w:r>
      <w:bookmarkEnd w:id="147"/>
      <w:r/>
      <w:bookmarkEnd w:id="148"/>
      <w:r/>
      <w:bookmarkEnd w:id="149"/>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本款修改为：</w:t>
      </w:r>
      <w:r/>
    </w:p>
    <w:p>
      <w:pPr>
        <w:ind w:left="596"/>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发包人提供资金来源证明的期限要求：</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600"/>
        <w:keepLines/>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发包人提供支付担保期限及方式：发包人应在签订合同后</w:t>
      </w:r>
      <w:r>
        <w:rPr>
          <w:rFonts w:hint="eastAsia" w:ascii="宋体" w:hAnsi="宋体" w:cs="宋体"/>
          <w:color w:val="auto"/>
          <w:sz w:val="24"/>
          <w:szCs w:val="24"/>
          <w:highlight w:val="none"/>
          <w:u w:val="single"/>
        </w:rPr>
        <w:t xml:space="preserve">  </w:t>
      </w:r>
      <w:r/>
    </w:p>
    <w:p>
      <w:pPr>
        <w:keepLines/>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天内，向承包人提供</w:t>
      </w:r>
      <w:r>
        <w:rPr>
          <w:rFonts w:hint="eastAsia" w:ascii="宋体" w:hAnsi="宋体" w:cs="宋体"/>
          <w:color w:val="auto"/>
          <w:sz w:val="24"/>
          <w:szCs w:val="24"/>
          <w:highlight w:val="none"/>
        </w:rPr>
        <w:t xml:space="preserve">工程款</w:t>
      </w:r>
      <w:r>
        <w:rPr>
          <w:rFonts w:hint="eastAsia" w:ascii="宋体" w:hAnsi="宋体" w:cs="宋体"/>
          <w:color w:val="auto"/>
          <w:sz w:val="24"/>
          <w:szCs w:val="24"/>
          <w:highlight w:val="none"/>
        </w:rPr>
        <w:t xml:space="preserve">支付担保，</w:t>
      </w:r>
      <w:r>
        <w:rPr>
          <w:rFonts w:hint="eastAsia" w:ascii="宋体" w:hAnsi="宋体" w:cs="宋体"/>
          <w:color w:val="auto"/>
          <w:sz w:val="24"/>
          <w:szCs w:val="24"/>
          <w:highlight w:val="none"/>
        </w:rPr>
        <w:t xml:space="preserve">确保农民工工资按时足额支付</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发包人提供支付担保的形式：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，担保有效期至工程款拨付完成为止（不含质量保证金）。</w:t>
      </w:r>
      <w:r/>
    </w:p>
    <w:p>
      <w:pPr>
        <w:pStyle w:val="955"/>
        <w:spacing w:line="440" w:lineRule="exact"/>
        <w:rPr>
          <w:rFonts w:ascii="宋体" w:hAnsi="宋体" w:cs="宋体"/>
          <w:b w:val="0"/>
          <w:color w:val="auto"/>
          <w:sz w:val="24"/>
          <w:szCs w:val="24"/>
          <w:highlight w:val="none"/>
        </w:rPr>
      </w:pPr>
      <w:r/>
      <w:bookmarkStart w:id="150" w:name="_Toc507831889"/>
      <w:r/>
      <w:bookmarkStart w:id="151" w:name="_Toc224169773"/>
      <w:r>
        <w:rPr>
          <w:rFonts w:hint="eastAsia" w:ascii="宋体" w:hAnsi="宋体" w:cs="宋体"/>
          <w:b w:val="0"/>
          <w:color w:val="auto"/>
          <w:sz w:val="24"/>
          <w:szCs w:val="24"/>
          <w:highlight w:val="none"/>
        </w:rPr>
        <w:t xml:space="preserve">3</w:t>
      </w:r>
      <w:bookmarkStart w:id="152" w:name="_Toc296890986"/>
      <w:r/>
      <w:bookmarkStart w:id="153" w:name="_Toc296347157"/>
      <w:r/>
      <w:bookmarkStart w:id="154" w:name="_Toc296944497"/>
      <w:r/>
      <w:bookmarkStart w:id="155" w:name="_Toc296346659"/>
      <w:r/>
      <w:bookmarkStart w:id="156" w:name="_Toc292559363"/>
      <w:r/>
      <w:bookmarkStart w:id="157" w:name="_Toc292559868"/>
      <w:r/>
      <w:bookmarkStart w:id="158" w:name="_Toc297120458"/>
      <w:r/>
      <w:bookmarkStart w:id="159" w:name="_Toc297048344"/>
      <w:r/>
      <w:bookmarkStart w:id="160" w:name="_Toc296503158"/>
      <w:r/>
      <w:bookmarkStart w:id="161" w:name="_Toc296891198"/>
      <w:r>
        <w:rPr>
          <w:rFonts w:hint="eastAsia" w:ascii="宋体" w:hAnsi="宋体" w:cs="宋体"/>
          <w:b w:val="0"/>
          <w:color w:val="auto"/>
          <w:sz w:val="24"/>
          <w:szCs w:val="24"/>
          <w:highlight w:val="none"/>
        </w:rPr>
        <w:t xml:space="preserve">. 承包人</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80"/>
        <w:spacing w:line="440" w:lineRule="exact"/>
        <w:rPr>
          <w:rFonts w:ascii="宋体" w:hAnsi="宋体" w:cs="宋体"/>
          <w:color w:val="auto"/>
          <w:sz w:val="24"/>
          <w:szCs w:val="24"/>
          <w:highlight w:val="none"/>
        </w:rPr>
        <w:outlineLvl w:val="2"/>
      </w:pPr>
      <w:r/>
      <w:bookmarkStart w:id="162" w:name="_Toc1540549183"/>
      <w:r/>
      <w:bookmarkStart w:id="163" w:name="_Toc19452"/>
      <w:r/>
      <w:bookmarkStart w:id="164" w:name="_Toc1604068603"/>
      <w:r>
        <w:rPr>
          <w:rFonts w:hint="eastAsia" w:ascii="宋体" w:hAnsi="宋体" w:cs="宋体"/>
          <w:color w:val="auto"/>
          <w:sz w:val="24"/>
          <w:szCs w:val="24"/>
          <w:highlight w:val="none"/>
        </w:rPr>
        <w:t xml:space="preserve">3.1 承包人的一般义务</w:t>
      </w:r>
      <w:bookmarkEnd w:id="162"/>
      <w:r/>
      <w:bookmarkEnd w:id="163"/>
      <w:r/>
      <w:bookmarkEnd w:id="164"/>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3.1.1</w:t>
      </w:r>
      <w:r>
        <w:rPr>
          <w:rFonts w:hint="eastAsia" w:ascii="宋体" w:hAnsi="宋体" w:cs="宋体"/>
          <w:bCs/>
          <w:color w:val="auto"/>
          <w:sz w:val="24"/>
          <w:szCs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如有损失，应承担相应的损失。</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3.1.2</w:t>
      </w:r>
      <w:r>
        <w:rPr>
          <w:rFonts w:hint="eastAsia" w:ascii="宋体" w:hAnsi="宋体" w:cs="宋体"/>
          <w:bCs/>
          <w:color w:val="auto"/>
          <w:sz w:val="24"/>
          <w:szCs w:val="24"/>
          <w:highlight w:val="none"/>
          <w:u w:val="single"/>
        </w:rPr>
        <w:t xml:space="preserve">施工过程中的排污、环卫、市容、城建、城管、治安、人口管理等相关手续由承包人按规定负责办理，对临近居民和行人的影响由承包人负责处理并承担相应费用。 </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3.1.3</w:t>
      </w:r>
      <w:r>
        <w:rPr>
          <w:rFonts w:hint="eastAsia" w:ascii="宋体" w:hAnsi="宋体" w:cs="宋体"/>
          <w:bCs/>
          <w:color w:val="auto"/>
          <w:sz w:val="24"/>
          <w:szCs w:val="24"/>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 </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3.1.4</w:t>
      </w:r>
      <w:r>
        <w:rPr>
          <w:rFonts w:hint="eastAsia" w:ascii="宋体" w:hAnsi="宋体" w:cs="宋体"/>
          <w:bCs/>
          <w:color w:val="auto"/>
          <w:sz w:val="24"/>
          <w:szCs w:val="24"/>
          <w:highlight w:val="none"/>
          <w:u w:val="single"/>
        </w:rPr>
        <w:t xml:space="preserve">承包人按相关规定做好施工场地周围地下管线和邻近建筑物的保护。</w:t>
      </w:r>
      <w:r/>
    </w:p>
    <w:p>
      <w:pPr>
        <w:ind w:firstLine="480"/>
        <w:spacing w:line="440" w:lineRule="exac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u w:val="none"/>
        </w:rPr>
        <w:t xml:space="preserve">3.1.5</w:t>
      </w:r>
      <w:r>
        <w:rPr>
          <w:rFonts w:hint="eastAsia" w:ascii="宋体" w:hAnsi="宋体" w:cs="宋体"/>
          <w:bCs/>
          <w:color w:val="auto"/>
          <w:sz w:val="24"/>
          <w:szCs w:val="24"/>
          <w:highlight w:val="none"/>
          <w:u w:val="single"/>
        </w:rPr>
        <w:t xml:space="preserve">符合徐州市有关部门规定的标准化施工现场要求，同时应满足市政、市容等相关主管部门的有关规定、施工工地控制扬尘污染等安全文明施工措施。不符合要求者，承包人应承担500-5000元/次的违约金。承包人因违反规定所造成的损失和处罚由承包人承担。承包人负责交工后一周内彻底清洁完毕撤离现场。</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承包人必须对工程现场施工人员全部实行实名制考勤管理，签订劳动合同，设立工资存储专户，按照工程进度和工人实名制登记信息，按月及时足额由银行代发工资。</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3.1.6承包人提交的竣工资料的内容：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80"/>
        <w:jc w:val="left"/>
        <w:spacing w:line="440" w:lineRule="exact"/>
        <w:rPr>
          <w:rFonts w:ascii="宋体" w:hAnsi="宋体" w:cs="宋体"/>
          <w:b/>
          <w:color w:val="auto"/>
          <w:sz w:val="24"/>
          <w:szCs w:val="24"/>
          <w:highlight w:val="none"/>
          <w:u w:val="single"/>
        </w:rPr>
      </w:pPr>
      <w:r>
        <w:rPr>
          <w:rFonts w:hint="eastAsia" w:ascii="宋体" w:hAnsi="宋体" w:cs="宋体"/>
          <w:bCs/>
          <w:color w:val="auto"/>
          <w:sz w:val="24"/>
          <w:szCs w:val="24"/>
          <w:highlight w:val="none"/>
        </w:rPr>
        <w:t xml:space="preserve">承包人需要提交的竣工资料套数：</w:t>
      </w:r>
      <w:r>
        <w:rPr>
          <w:rFonts w:hint="eastAsia" w:ascii="宋体" w:hAnsi="宋体" w:cs="宋体"/>
          <w:b/>
          <w:color w:val="auto"/>
          <w:sz w:val="24"/>
          <w:szCs w:val="24"/>
          <w:highlight w:val="none"/>
          <w:u w:val="single"/>
        </w:rPr>
        <w:t xml:space="preserve">  ①满足行政主管部门要求；②向发包人提交盖承包人公章和工程竣工资料专用章的纸质版资料三套、电子文档资料一套；③承包人自留一套 。</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承包人提交的竣工资料的费用承担：</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由承包人承担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承包人提交的竣工资料移交时间：</w:t>
      </w:r>
      <w:r>
        <w:rPr>
          <w:rFonts w:hint="eastAsia" w:ascii="宋体" w:hAnsi="宋体" w:cs="宋体"/>
          <w:bCs/>
          <w:color w:val="auto"/>
          <w:sz w:val="24"/>
          <w:szCs w:val="24"/>
          <w:highlight w:val="none"/>
          <w:u w:val="single"/>
        </w:rPr>
        <w:t xml:space="preserve">  竣工验收后14天内 </w:t>
      </w:r>
      <w:r>
        <w:rPr>
          <w:rFonts w:hint="eastAsia" w:ascii="宋体" w:hAnsi="宋体" w:cs="宋体"/>
          <w:bCs/>
          <w:color w:val="auto"/>
          <w:sz w:val="24"/>
          <w:szCs w:val="24"/>
          <w:highlight w:val="none"/>
        </w:rPr>
        <w:t xml:space="preserve">。</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承包人提交的竣工资料形式要求：</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立卷、装订成册的</w:t>
      </w:r>
      <w:r>
        <w:rPr>
          <w:rFonts w:hint="eastAsia" w:ascii="宋体" w:hAnsi="宋体" w:cs="宋体"/>
          <w:bCs/>
          <w:color w:val="auto"/>
          <w:sz w:val="24"/>
          <w:szCs w:val="24"/>
          <w:highlight w:val="none"/>
          <w:u w:val="single"/>
        </w:rPr>
        <w:t xml:space="preserve">纸制质及电子稿    </w:t>
      </w:r>
      <w:r>
        <w:rPr>
          <w:rFonts w:hint="eastAsia" w:ascii="宋体" w:hAnsi="宋体" w:cs="宋体"/>
          <w:bCs/>
          <w:color w:val="auto"/>
          <w:sz w:val="24"/>
          <w:szCs w:val="24"/>
          <w:highlight w:val="none"/>
        </w:rPr>
        <w:t xml:space="preserve">。</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3.1.7承包人应履行的其他义务：</w:t>
      </w:r>
      <w:r/>
    </w:p>
    <w:p>
      <w:pPr>
        <w:ind w:firstLine="480"/>
        <w:spacing w:after="120"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（1）配合发包人办理合同备案及相关手续，并承担需承包人缴纳的相关费用。</w:t>
      </w:r>
      <w:r/>
    </w:p>
    <w:p>
      <w:pPr>
        <w:ind w:firstLine="480"/>
        <w:spacing w:after="120"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（2）应提供计划、报表的名称及完成时间：按月及时提供，每月 25 日后 30 日之前提供当月完成进度及下月施工计划。</w:t>
      </w:r>
      <w:r/>
    </w:p>
    <w:p>
      <w:pPr>
        <w:ind w:firstLine="480"/>
        <w:spacing w:after="120"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（3）承担施工安全保卫工作及非夜间施工照明的责任和要求：由承包人按建设行政管理部门和相关部门的要求自行承担，并设置明显警示标志和专职人员维护公共安全。</w:t>
      </w:r>
      <w:r/>
    </w:p>
    <w:p>
      <w:pPr>
        <w:ind w:firstLine="480"/>
        <w:spacing w:after="120"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（4）向发包人提供的办公和生活房屋及设施的要求：发包人驻施工现场管理人员必要的办公用房及设施由承包人负责并免费提供。</w:t>
      </w:r>
      <w:r/>
    </w:p>
    <w:p>
      <w:pPr>
        <w:ind w:firstLine="480"/>
        <w:spacing w:after="120"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（5）需承包人办理的有关施工场地交通、环卫和施工噪音管理等手续：由发包人配合承包人办理，相关费用由发包人、承包人按相关文件规定各自承担。</w:t>
      </w:r>
      <w:r/>
    </w:p>
    <w:p>
      <w:pPr>
        <w:ind w:firstLine="480"/>
        <w:spacing w:after="120"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（6）已完工程成品保护的特殊要求及费用承担：由承包人负责并承担。</w:t>
      </w:r>
      <w:r/>
    </w:p>
    <w:p>
      <w:pPr>
        <w:ind w:firstLine="480"/>
        <w:spacing w:after="120"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7）施工场地周围地下管线和邻近建筑物、构筑物（含文物保护建筑）、古树名木的保护要求及费用承担：承包人在施工时发现地下管线、文物时，应立即停止施工并及时报告监理工程师和发包人，在会同有关单位部门共同研究方案后再实施，费用报经发包人签证后由发包人承担；地上设施保护费用由承包人承担。</w:t>
      </w:r>
      <w:r/>
    </w:p>
    <w:p>
      <w:pPr>
        <w:ind w:firstLine="480"/>
        <w:spacing w:after="120"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（8）施工场地清洁卫生和要求：应按建设行政主管部门和相关部门的规定办理，所需费用由承包人负担。</w:t>
      </w:r>
      <w:r/>
    </w:p>
    <w:p>
      <w:pPr>
        <w:ind w:firstLine="480"/>
        <w:spacing w:after="120" w:line="440" w:lineRule="exac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承包人在施工现场的安全管理、教育和安全事故的责任由承包人承担。因承包人未履行上述义务给发包方造成的损失及财产损失的，承包方应负全部的赔偿责任，并承担由此产生的全部维权费用（包括但不限于律师费、诉讼费、保全费等）。</w:t>
      </w:r>
      <w:r/>
    </w:p>
    <w:p>
      <w:pPr>
        <w:ind w:firstLine="480"/>
        <w:spacing w:after="120"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（10）地方关系由承包人负责协调，费用包含在合同价款中。</w:t>
      </w:r>
      <w:r/>
    </w:p>
    <w:p>
      <w:pPr>
        <w:ind w:firstLine="480"/>
        <w:spacing w:after="120"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11）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firstLine="480"/>
        <w:spacing w:line="440" w:lineRule="exact"/>
        <w:rPr>
          <w:rFonts w:ascii="宋体" w:hAnsi="宋体" w:cs="宋体"/>
          <w:color w:val="auto"/>
          <w:sz w:val="24"/>
          <w:szCs w:val="24"/>
          <w:highlight w:val="none"/>
        </w:rPr>
        <w:outlineLvl w:val="2"/>
      </w:pPr>
      <w:r/>
      <w:bookmarkStart w:id="165" w:name="_Toc12983"/>
      <w:r/>
      <w:bookmarkStart w:id="166" w:name="_Toc1559532044"/>
      <w:r/>
      <w:bookmarkStart w:id="167" w:name="_Toc324146790"/>
      <w:r>
        <w:rPr>
          <w:rFonts w:hint="eastAsia" w:ascii="宋体" w:hAnsi="宋体" w:cs="宋体"/>
          <w:color w:val="auto"/>
          <w:sz w:val="24"/>
          <w:szCs w:val="24"/>
          <w:highlight w:val="none"/>
        </w:rPr>
        <w:t xml:space="preserve">3.2 项目经理</w:t>
      </w:r>
      <w:bookmarkEnd w:id="165"/>
      <w:r/>
      <w:bookmarkEnd w:id="166"/>
      <w:r/>
      <w:bookmarkEnd w:id="167"/>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本款修改为：</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3.2.1 </w:t>
      </w:r>
      <w:r>
        <w:rPr>
          <w:rFonts w:hint="eastAsia" w:ascii="宋体" w:hAnsi="宋体" w:cs="宋体"/>
          <w:color w:val="auto"/>
          <w:sz w:val="24"/>
          <w:szCs w:val="24"/>
          <w:highlight w:val="none"/>
        </w:rPr>
        <w:t xml:space="preserve">项目负责人：</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相关证书及编号：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承包人对项目负责人的授权范围如下：</w:t>
      </w:r>
      <w:r/>
    </w:p>
    <w:p>
      <w:pPr>
        <w:ind w:firstLine="482"/>
        <w:jc w:val="left"/>
        <w:spacing w:line="440" w:lineRule="exact"/>
        <w:shd w:val="solid" w:color="ffffff" w:fill="auto"/>
        <w:rPr>
          <w:rFonts w:ascii="宋体" w:hAnsi="宋体" w:cs="宋体"/>
          <w:b/>
          <w:bCs/>
          <w:color w:val="auto"/>
          <w:sz w:val="24"/>
          <w:szCs w:val="24"/>
          <w:highlight w:val="none"/>
          <w:u w:val="single"/>
          <w:shd w:val="clear" w:color="auto" w:fill="ffffff"/>
        </w:rPr>
      </w:pPr>
      <w:r>
        <w:rPr>
          <w:rFonts w:hint="eastAsia" w:ascii="宋体" w:hAnsi="宋体" w:cs="宋体"/>
          <w:b/>
          <w:bCs/>
          <w:color w:val="auto"/>
          <w:sz w:val="24"/>
          <w:szCs w:val="24"/>
          <w:highlight w:val="none"/>
          <w:u w:val="single"/>
        </w:rPr>
        <w:t xml:space="preserve">1.</w:t>
      </w:r>
      <w:r>
        <w:rPr>
          <w:rFonts w:hint="eastAsia" w:ascii="宋体" w:hAnsi="宋体" w:cs="宋体"/>
          <w:b/>
          <w:bCs/>
          <w:color w:val="auto"/>
          <w:sz w:val="24"/>
          <w:szCs w:val="24"/>
          <w:highlight w:val="none"/>
          <w:u w:val="single"/>
          <w:shd w:val="clear" w:color="auto" w:fill="ffffff"/>
        </w:rPr>
        <w:t xml:space="preserve">领导、决策，调集企业所属各单位、各部门为项目进行全面服务和控制；</w:t>
      </w:r>
      <w:r/>
    </w:p>
    <w:p>
      <w:pPr>
        <w:ind w:firstLine="482"/>
        <w:jc w:val="left"/>
        <w:spacing w:line="440" w:lineRule="exact"/>
        <w:shd w:val="solid" w:color="ffffff" w:fill="auto"/>
        <w:rPr>
          <w:rFonts w:ascii="宋体" w:hAnsi="宋体" w:cs="宋体"/>
          <w:b/>
          <w:bCs/>
          <w:color w:val="auto"/>
          <w:sz w:val="24"/>
          <w:szCs w:val="24"/>
          <w:highlight w:val="none"/>
          <w:u w:val="single"/>
          <w:shd w:val="clear" w:color="auto" w:fill="ffffff"/>
        </w:rPr>
      </w:pPr>
      <w:r>
        <w:rPr>
          <w:rFonts w:hint="eastAsia" w:ascii="宋体" w:hAnsi="宋体" w:cs="宋体"/>
          <w:b/>
          <w:bCs/>
          <w:color w:val="auto"/>
          <w:sz w:val="24"/>
          <w:szCs w:val="24"/>
          <w:highlight w:val="none"/>
          <w:u w:val="single"/>
          <w:shd w:val="clear" w:color="auto" w:fill="ffffff"/>
        </w:rPr>
        <w:t xml:space="preserve">2.代表承包人履行对业主的合约，并受业主委托行使对项目所有班组织统一指挥、协调、管理权；</w:t>
      </w:r>
      <w:r/>
    </w:p>
    <w:p>
      <w:pPr>
        <w:ind w:firstLine="482"/>
        <w:jc w:val="left"/>
        <w:spacing w:line="440" w:lineRule="exact"/>
        <w:shd w:val="solid" w:color="ffffff" w:fill="auto"/>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u w:val="single"/>
          <w:shd w:val="clear" w:color="auto" w:fill="ffffff"/>
        </w:rPr>
        <w:t xml:space="preserve">3.负责组织编制与审批工程总体进度</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"http://www.fdcew.com/gw/List_203.html" </w:instrText>
      </w:r>
      <w:r>
        <w:rPr>
          <w:rFonts w:hint="eastAsia" w:ascii="宋体" w:hAnsi="宋体" w:cs="宋体"/>
          <w:color w:val="auto"/>
          <w:sz w:val="24"/>
          <w:szCs w:val="24"/>
          <w:highlight w:val="none"/>
        </w:rPr>
        <w:fldChar w:fldCharType="separate"/>
      </w:r>
      <w:r>
        <w:rPr>
          <w:rFonts w:hint="eastAsia" w:ascii="宋体" w:hAnsi="宋体" w:cs="宋体"/>
          <w:b/>
          <w:bCs/>
          <w:color w:val="auto"/>
          <w:sz w:val="24"/>
          <w:szCs w:val="24"/>
          <w:highlight w:val="none"/>
          <w:u w:val="single"/>
          <w:shd w:val="clear" w:color="auto" w:fill="ffffff"/>
        </w:rPr>
        <w:t xml:space="preserve">计划</w:t>
      </w:r>
      <w:r>
        <w:rPr>
          <w:rFonts w:hint="eastAsia" w:ascii="宋体" w:hAnsi="宋体" w:cs="宋体"/>
          <w:b/>
          <w:bCs/>
          <w:color w:val="auto"/>
          <w:sz w:val="24"/>
          <w:szCs w:val="24"/>
          <w:highlight w:val="none"/>
          <w:u w:val="single"/>
          <w:shd w:val="clear" w:color="auto" w:fill="ffffff"/>
        </w:rPr>
        <w:fldChar w:fldCharType="end"/>
      </w:r>
      <w:r>
        <w:rPr>
          <w:rFonts w:hint="eastAsia" w:ascii="宋体" w:hAnsi="宋体" w:cs="宋体"/>
          <w:b/>
          <w:bCs/>
          <w:color w:val="auto"/>
          <w:sz w:val="24"/>
          <w:szCs w:val="24"/>
          <w:highlight w:val="none"/>
          <w:u w:val="single"/>
          <w:shd w:val="clear" w:color="auto" w:fill="ffffff"/>
        </w:rPr>
        <w:t xml:space="preserve">及其修订与调整；</w:t>
      </w:r>
      <w:r/>
    </w:p>
    <w:p>
      <w:pPr>
        <w:ind w:firstLine="482"/>
        <w:jc w:val="left"/>
        <w:spacing w:line="440" w:lineRule="exact"/>
        <w:shd w:val="solid" w:color="ffffff" w:fill="auto"/>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u w:val="single"/>
          <w:shd w:val="clear" w:color="auto" w:fill="ffffff"/>
        </w:rPr>
        <w:t xml:space="preserve">4.负责组织编制与审批质量保证计划及其修订与调整；</w:t>
      </w:r>
      <w:r/>
    </w:p>
    <w:p>
      <w:pPr>
        <w:ind w:firstLine="482"/>
        <w:jc w:val="left"/>
        <w:spacing w:line="440" w:lineRule="exact"/>
        <w:shd w:val="solid" w:color="ffffff" w:fill="auto"/>
        <w:rPr>
          <w:rFonts w:ascii="宋体" w:hAnsi="宋体" w:cs="宋体"/>
          <w:b/>
          <w:bCs/>
          <w:color w:val="auto"/>
          <w:sz w:val="24"/>
          <w:szCs w:val="24"/>
          <w:highlight w:val="none"/>
          <w:u w:val="single"/>
          <w:shd w:val="clear" w:color="auto" w:fill="ffffff"/>
        </w:rPr>
      </w:pPr>
      <w:r>
        <w:rPr>
          <w:rFonts w:hint="eastAsia" w:ascii="宋体" w:hAnsi="宋体" w:cs="宋体"/>
          <w:b/>
          <w:bCs/>
          <w:color w:val="auto"/>
          <w:sz w:val="24"/>
          <w:szCs w:val="24"/>
          <w:highlight w:val="none"/>
          <w:u w:val="single"/>
          <w:shd w:val="clear" w:color="auto" w:fill="ffffff"/>
        </w:rPr>
        <w:t xml:space="preserve">5.负责组织编制与审批主要物资供应与采购计划及其修订与调整；</w:t>
      </w:r>
      <w:r/>
    </w:p>
    <w:p>
      <w:pPr>
        <w:ind w:firstLine="482"/>
        <w:jc w:val="left"/>
        <w:spacing w:line="440" w:lineRule="exact"/>
        <w:shd w:val="solid" w:color="ffffff" w:fill="auto"/>
        <w:rPr>
          <w:rFonts w:ascii="宋体" w:hAnsi="宋体" w:cs="宋体"/>
          <w:b/>
          <w:bCs/>
          <w:color w:val="auto"/>
          <w:sz w:val="24"/>
          <w:szCs w:val="24"/>
          <w:highlight w:val="none"/>
          <w:u w:val="single"/>
          <w:shd w:val="clear" w:color="auto" w:fill="ffffff"/>
        </w:rPr>
      </w:pPr>
      <w:r>
        <w:rPr>
          <w:rFonts w:hint="eastAsia" w:ascii="宋体" w:hAnsi="宋体" w:cs="宋体"/>
          <w:b/>
          <w:bCs/>
          <w:color w:val="auto"/>
          <w:sz w:val="24"/>
          <w:szCs w:val="24"/>
          <w:highlight w:val="none"/>
          <w:u w:val="single"/>
          <w:shd w:val="clear" w:color="auto" w:fill="ffffff"/>
        </w:rPr>
        <w:t xml:space="preserve">6.组织工程成本的分析、预测及控制，对项目资金管理与</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"http://www.fdcew.com/hypx/List_192.html" </w:instrText>
      </w:r>
      <w:r>
        <w:rPr>
          <w:rFonts w:hint="eastAsia" w:ascii="宋体" w:hAnsi="宋体" w:cs="宋体"/>
          <w:color w:val="auto"/>
          <w:sz w:val="24"/>
          <w:szCs w:val="24"/>
          <w:highlight w:val="none"/>
        </w:rPr>
        <w:fldChar w:fldCharType="separate"/>
      </w:r>
      <w:r>
        <w:rPr>
          <w:rFonts w:hint="eastAsia" w:ascii="宋体" w:hAnsi="宋体" w:cs="宋体"/>
          <w:b/>
          <w:bCs/>
          <w:color w:val="auto"/>
          <w:sz w:val="24"/>
          <w:szCs w:val="24"/>
          <w:highlight w:val="none"/>
          <w:u w:val="single"/>
          <w:shd w:val="clear" w:color="auto" w:fill="ffffff"/>
        </w:rPr>
        <w:t xml:space="preserve">财务</w:t>
      </w:r>
      <w:r>
        <w:rPr>
          <w:rFonts w:hint="eastAsia" w:ascii="宋体" w:hAnsi="宋体" w:cs="宋体"/>
          <w:b/>
          <w:bCs/>
          <w:color w:val="auto"/>
          <w:sz w:val="24"/>
          <w:szCs w:val="24"/>
          <w:highlight w:val="none"/>
          <w:u w:val="single"/>
          <w:shd w:val="clear" w:color="auto" w:fill="ffffff"/>
        </w:rPr>
        <w:fldChar w:fldCharType="end"/>
      </w:r>
      <w:r>
        <w:rPr>
          <w:rFonts w:hint="eastAsia" w:ascii="宋体" w:hAnsi="宋体" w:cs="宋体"/>
          <w:b/>
          <w:bCs/>
          <w:color w:val="auto"/>
          <w:sz w:val="24"/>
          <w:szCs w:val="24"/>
          <w:highlight w:val="none"/>
          <w:u w:val="single"/>
          <w:shd w:val="clear" w:color="auto" w:fill="ffffff"/>
        </w:rPr>
        <w:t xml:space="preserve">运作负责；</w:t>
      </w:r>
      <w:r/>
    </w:p>
    <w:p>
      <w:pPr>
        <w:ind w:firstLine="482"/>
        <w:jc w:val="left"/>
        <w:spacing w:line="440" w:lineRule="exact"/>
        <w:shd w:val="solid" w:color="ffffff" w:fill="auto"/>
        <w:rPr>
          <w:rFonts w:ascii="宋体" w:hAnsi="宋体" w:cs="宋体"/>
          <w:b/>
          <w:bCs/>
          <w:color w:val="auto"/>
          <w:sz w:val="24"/>
          <w:szCs w:val="24"/>
          <w:highlight w:val="none"/>
          <w:u w:val="single"/>
          <w:shd w:val="clear" w:color="auto" w:fill="ffffff"/>
        </w:rPr>
      </w:pPr>
      <w:r>
        <w:rPr>
          <w:rFonts w:hint="eastAsia" w:ascii="宋体" w:hAnsi="宋体" w:cs="宋体"/>
          <w:b/>
          <w:bCs/>
          <w:color w:val="auto"/>
          <w:sz w:val="24"/>
          <w:szCs w:val="24"/>
          <w:highlight w:val="none"/>
          <w:u w:val="single"/>
          <w:shd w:val="clear" w:color="auto" w:fill="ffffff"/>
        </w:rPr>
        <w:t xml:space="preserve">7.与业主、监理保持经常沟通，了解业主需求，解决随时出现的问题，替业主排忧解难，保护业主利益；</w:t>
      </w:r>
      <w:r/>
    </w:p>
    <w:p>
      <w:pPr>
        <w:ind w:firstLine="482"/>
        <w:jc w:val="left"/>
        <w:spacing w:line="440" w:lineRule="exact"/>
        <w:shd w:val="solid" w:color="ffffff" w:fill="auto"/>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shd w:val="clear" w:color="auto" w:fill="ffffff"/>
        </w:rPr>
        <w:t xml:space="preserve">8.负责组织人力资源调配、内部和外部关系协调；</w:t>
      </w:r>
      <w:r>
        <w:rPr>
          <w:rFonts w:hint="eastAsia" w:ascii="宋体" w:hAnsi="宋体" w:cs="宋体"/>
          <w:b/>
          <w:bCs/>
          <w:color w:val="auto"/>
          <w:sz w:val="24"/>
          <w:szCs w:val="24"/>
          <w:highlight w:val="none"/>
          <w:u w:val="single"/>
        </w:rPr>
        <w:t xml:space="preserve">遵照</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"http://www.fdcew.com/gw/List_211.html" </w:instrText>
      </w:r>
      <w:r>
        <w:rPr>
          <w:rFonts w:hint="eastAsia" w:ascii="宋体" w:hAnsi="宋体" w:cs="宋体"/>
          <w:color w:val="auto"/>
          <w:sz w:val="24"/>
          <w:szCs w:val="24"/>
          <w:highlight w:val="none"/>
        </w:rPr>
        <w:fldChar w:fldCharType="separate"/>
      </w:r>
      <w:r>
        <w:rPr>
          <w:rFonts w:hint="eastAsia" w:ascii="宋体" w:hAnsi="宋体" w:cs="宋体"/>
          <w:b/>
          <w:bCs/>
          <w:color w:val="auto"/>
          <w:sz w:val="24"/>
          <w:szCs w:val="24"/>
          <w:highlight w:val="none"/>
          <w:u w:val="single"/>
          <w:shd w:val="clear" w:color="auto" w:fill="ffffff"/>
        </w:rPr>
        <w:t xml:space="preserve">合同</w:t>
      </w:r>
      <w:r>
        <w:rPr>
          <w:rFonts w:hint="eastAsia" w:ascii="宋体" w:hAnsi="宋体" w:cs="宋体"/>
          <w:b/>
          <w:bCs/>
          <w:color w:val="auto"/>
          <w:sz w:val="24"/>
          <w:szCs w:val="24"/>
          <w:highlight w:val="none"/>
          <w:u w:val="single"/>
          <w:shd w:val="clear" w:color="auto" w:fill="ffffff"/>
        </w:rPr>
        <w:fldChar w:fldCharType="end"/>
      </w:r>
      <w:r>
        <w:rPr>
          <w:rFonts w:hint="eastAsia" w:ascii="宋体" w:hAnsi="宋体" w:cs="宋体"/>
          <w:b/>
          <w:bCs/>
          <w:color w:val="auto"/>
          <w:sz w:val="24"/>
          <w:szCs w:val="24"/>
          <w:highlight w:val="none"/>
          <w:u w:val="single"/>
        </w:rPr>
        <w:t xml:space="preserve">约定及施工组织设计中的内容实施于工程，当超出实施范围应向上级决策机构申报。</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3.2.2关于项目负责人每月在施工现场的时间要求：</w:t>
      </w:r>
      <w:r>
        <w:rPr>
          <w:rFonts w:hint="eastAsia" w:ascii="宋体" w:hAnsi="宋体" w:cs="宋体"/>
          <w:color w:val="auto"/>
          <w:sz w:val="24"/>
          <w:szCs w:val="24"/>
          <w:highlight w:val="none"/>
          <w:u w:val="single"/>
        </w:rPr>
        <w:t xml:space="preserve"> 项目负责人必须</w:t>
      </w:r>
      <w:r>
        <w:rPr>
          <w:rFonts w:hint="eastAsia" w:ascii="宋体" w:hAnsi="宋体" w:cs="宋体"/>
          <w:color w:val="auto"/>
          <w:sz w:val="24"/>
          <w:szCs w:val="24"/>
          <w:highlight w:val="none"/>
          <w:u w:val="single"/>
          <w:shd w:val="clear" w:color="auto" w:fill="ffffff"/>
        </w:rPr>
        <w:t xml:space="preserve">亲临施工现场组织本工程项目的施工，必须严格遵循现行的有关法律、法规，切实履行自己的权利和义务。项目负责人每月不少于 24天，每天不少于 8 小时。离开施工现场应向发包人驻工地代表请假。</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承包人未提交劳动合同，以及没有为项目负责人缴纳社会保险证明的违约责任：</w:t>
      </w:r>
      <w:r>
        <w:rPr>
          <w:rFonts w:hint="eastAsia" w:ascii="宋体" w:hAnsi="宋体" w:cs="宋体"/>
          <w:color w:val="auto"/>
          <w:sz w:val="24"/>
          <w:szCs w:val="24"/>
          <w:highlight w:val="none"/>
          <w:u w:val="single"/>
          <w:shd w:val="clear" w:color="auto" w:fill="ffffff"/>
        </w:rPr>
        <w:t xml:space="preserve">执行本合同通用条款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hint="eastAsia" w:ascii="宋体" w:hAnsi="宋体" w:cs="宋体"/>
          <w:color w:val="auto"/>
          <w:sz w:val="24"/>
          <w:szCs w:val="24"/>
          <w:highlight w:val="none"/>
          <w:u w:val="single"/>
        </w:rPr>
      </w:pPr>
      <w:r>
        <w:rPr>
          <w:rFonts w:ascii="宋体" w:hAnsi="宋体" w:eastAsia="宋体" w:cs="宋体"/>
          <w:color w:val="auto"/>
          <w:sz w:val="24"/>
          <w:highlight w:val="none"/>
          <w:u w:val="single"/>
        </w:rPr>
        <w:t xml:space="preserve">项目负责人未经批准，擅自离开施工现场的违约责任：每缺席一次工地的例会扣违约金人民币伍仟元，合计缺席超过3次或一周工作时间不足5天（40小时）视为承包人挂靠资质，应向发包人支付合同价20%的违约金，立即清其出场，并上报建设主管部门处置。</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3.2.3 承包人擅自更换项目负责人的违约责任：</w:t>
      </w:r>
      <w:r>
        <w:rPr>
          <w:rFonts w:hint="eastAsia" w:ascii="宋体" w:hAnsi="宋体" w:cs="宋体"/>
          <w:color w:val="auto"/>
          <w:sz w:val="24"/>
          <w:szCs w:val="24"/>
          <w:highlight w:val="none"/>
          <w:u w:val="single"/>
          <w:shd w:val="clear" w:color="auto" w:fill="ffffff"/>
        </w:rPr>
        <w:t xml:space="preserve">本工程投标项目负责人除不可抗力外，承包人中途不得擅自更换项目负责人。否则发包人扣承包人合同价5%/人/次的违约金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3.2.4 承包人无正当理由拒绝更换项目负责人的违约责任：</w:t>
      </w:r>
      <w:r>
        <w:rPr>
          <w:rFonts w:hint="eastAsia" w:ascii="宋体" w:hAnsi="宋体" w:cs="宋体"/>
          <w:color w:val="auto"/>
          <w:sz w:val="24"/>
          <w:szCs w:val="24"/>
          <w:highlight w:val="none"/>
          <w:u w:val="single"/>
        </w:rPr>
        <w:t xml:space="preserve">   </w:t>
      </w:r>
      <w:r/>
    </w:p>
    <w:p>
      <w:pPr>
        <w:spacing w:after="120"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shd w:val="clear" w:color="auto" w:fill="ffffff"/>
        </w:rPr>
        <w:t xml:space="preserve">在任何情况下，如果发包人认为项目负责人不能胜任工作，有权以书面通知，要求承包人更换项目负责人，</w:t>
      </w:r>
      <w:r>
        <w:rPr>
          <w:rFonts w:hint="eastAsia" w:ascii="宋体" w:hAnsi="宋体" w:cs="宋体"/>
          <w:color w:val="auto"/>
          <w:sz w:val="24"/>
          <w:szCs w:val="24"/>
          <w:highlight w:val="none"/>
        </w:rPr>
        <w:t xml:space="preserve">通知中应当载明要求更换的理由</w:t>
      </w:r>
      <w:r>
        <w:rPr>
          <w:rFonts w:hint="eastAsia" w:ascii="宋体" w:hAnsi="宋体" w:cs="宋体"/>
          <w:color w:val="auto"/>
          <w:sz w:val="24"/>
          <w:szCs w:val="24"/>
          <w:highlight w:val="none"/>
          <w:u w:val="single"/>
          <w:shd w:val="clear" w:color="auto" w:fill="ffffff"/>
        </w:rPr>
        <w:t xml:space="preserve">；承包人应在收到发包人通知之日起的 7 天内，按照发包人要求，提出新的人选，新人选的标准不得低于招标文件要求的标准，且能够胜任本工程的要求，</w:t>
      </w:r>
      <w:r>
        <w:rPr>
          <w:rFonts w:hint="eastAsia" w:ascii="宋体" w:hAnsi="宋体" w:cs="宋体"/>
          <w:color w:val="auto"/>
          <w:sz w:val="24"/>
          <w:szCs w:val="24"/>
          <w:highlight w:val="none"/>
        </w:rPr>
        <w:t xml:space="preserve">并将新任命的项目经理的注册执业资格、管理经验等资料书面通知发包人。</w:t>
      </w:r>
      <w:r>
        <w:rPr>
          <w:rFonts w:hint="eastAsia" w:ascii="宋体" w:hAnsi="宋体" w:cs="宋体"/>
          <w:color w:val="auto"/>
          <w:sz w:val="24"/>
          <w:szCs w:val="24"/>
          <w:highlight w:val="none"/>
          <w:u w:val="single"/>
          <w:shd w:val="clear" w:color="auto" w:fill="ffffff"/>
        </w:rPr>
        <w:t xml:space="preserve">报发包人批准并办理相关变更备案手续后，即刻任命。</w:t>
      </w:r>
      <w:r>
        <w:rPr>
          <w:rFonts w:ascii="宋体" w:hAnsi="宋体" w:eastAsia="宋体" w:cs="宋体"/>
          <w:color w:val="auto"/>
          <w:sz w:val="24"/>
          <w:highlight w:val="none"/>
          <w:u w:val="single"/>
        </w:rPr>
        <w:t xml:space="preserve">承包人拒绝更换的，发包人有权扣除中标价的 5%的违约金，并有权解除合同并责令承包人退场，由此产生的一切损失及后果由承包人承担。</w:t>
      </w:r>
      <w:r/>
    </w:p>
    <w:p>
      <w:pPr>
        <w:ind w:firstLine="480"/>
        <w:spacing w:line="440" w:lineRule="exact"/>
        <w:rPr>
          <w:rFonts w:ascii="宋体" w:hAnsi="宋体" w:cs="宋体"/>
          <w:color w:val="auto"/>
          <w:sz w:val="24"/>
          <w:szCs w:val="24"/>
          <w:highlight w:val="none"/>
        </w:rPr>
        <w:outlineLvl w:val="2"/>
      </w:pPr>
      <w:r/>
      <w:bookmarkStart w:id="168" w:name="_Toc1539542666"/>
      <w:r/>
      <w:bookmarkStart w:id="169" w:name="_Toc7876"/>
      <w:r/>
      <w:bookmarkStart w:id="170" w:name="_Toc1073182267"/>
      <w:r>
        <w:rPr>
          <w:rFonts w:hint="eastAsia" w:ascii="宋体" w:hAnsi="宋体" w:cs="宋体"/>
          <w:color w:val="auto"/>
          <w:sz w:val="24"/>
          <w:szCs w:val="24"/>
          <w:highlight w:val="none"/>
        </w:rPr>
        <w:t xml:space="preserve">3.3 承包人人员</w:t>
      </w:r>
      <w:bookmarkEnd w:id="168"/>
      <w:r/>
      <w:bookmarkEnd w:id="169"/>
      <w:r/>
      <w:bookmarkEnd w:id="170"/>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本款补充3.3.6。</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color w:val="auto"/>
          <w:sz w:val="24"/>
          <w:szCs w:val="24"/>
          <w:highlight w:val="none"/>
        </w:rPr>
        <w:t xml:space="preserve">除专用合同条款另有约定外，承包人应在接到开工通知后7天内，向监理人提交承包人投标文件注明的项目管理机构及施工现场人员安排的报告，其内容应包括合同管理、施工、技术、材料、质量、安全、等主要施工管理人员名单及其岗位、注册执业资格</w:t>
      </w:r>
      <w:bookmarkStart w:id="171" w:name="_Hlk69219256"/>
      <w:r>
        <w:rPr>
          <w:rFonts w:hint="eastAsia" w:ascii="宋体" w:hAnsi="宋体" w:cs="宋体"/>
          <w:color w:val="auto"/>
          <w:sz w:val="24"/>
          <w:szCs w:val="24"/>
          <w:highlight w:val="none"/>
        </w:rPr>
        <w:t xml:space="preserve">及其他资格证明</w:t>
      </w:r>
      <w:bookmarkEnd w:id="171"/>
      <w:r>
        <w:rPr>
          <w:rFonts w:hint="eastAsia" w:ascii="宋体" w:hAnsi="宋体" w:cs="宋体"/>
          <w:color w:val="auto"/>
          <w:sz w:val="24"/>
          <w:szCs w:val="24"/>
          <w:highlight w:val="none"/>
        </w:rPr>
        <w:t xml:space="preserve">等，以及各工种技术工人的安排情况。</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承包人提交项目管理机构及施工现场管理人员安排报告的期限：</w:t>
      </w:r>
      <w:r>
        <w:rPr>
          <w:rFonts w:hint="eastAsia" w:ascii="宋体" w:hAnsi="宋体" w:cs="宋体"/>
          <w:color w:val="auto"/>
          <w:sz w:val="24"/>
          <w:szCs w:val="24"/>
          <w:highlight w:val="none"/>
          <w:u w:val="single"/>
        </w:rPr>
        <w:t xml:space="preserve">执行通用条款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特殊工种作业人员均应持有相应的资格证明，监理人可以随时检查。</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3.3.4 </w:t>
      </w:r>
      <w:r>
        <w:rPr>
          <w:rFonts w:hint="eastAsia" w:ascii="宋体" w:hAnsi="宋体" w:cs="宋体"/>
          <w:color w:val="auto"/>
          <w:sz w:val="24"/>
          <w:szCs w:val="24"/>
          <w:highlight w:val="none"/>
        </w:rPr>
        <w:t xml:space="preserve">承包人主要施工管理人员离开施工现场的批准要求：</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shd w:val="clear" w:color="auto" w:fill="ffffff"/>
        </w:rPr>
        <w:t xml:space="preserve">每缺席一次工地的例会扣违约金人民币壹仟元，合计缺席超过3次或一周工作时间不足5天（40小时）视为承包人挂靠资质，</w:t>
      </w:r>
      <w:r>
        <w:rPr>
          <w:rFonts w:hint="eastAsia" w:ascii="宋体" w:hAnsi="宋体" w:cs="宋体"/>
          <w:color w:val="auto"/>
          <w:sz w:val="24"/>
          <w:szCs w:val="24"/>
          <w:highlight w:val="none"/>
          <w:u w:val="single"/>
          <w:shd w:val="clear" w:color="auto" w:fill="ffffff"/>
          <w:lang w:val="en-US" w:eastAsia="zh-Hans"/>
        </w:rPr>
        <w:t xml:space="preserve">承包人应按合同价的</w:t>
      </w:r>
      <w:r>
        <w:rPr>
          <w:rFonts w:hint="default" w:ascii="宋体" w:hAnsi="宋体" w:cs="宋体"/>
          <w:color w:val="auto"/>
          <w:sz w:val="24"/>
          <w:szCs w:val="24"/>
          <w:highlight w:val="none"/>
          <w:u w:val="single"/>
          <w:shd w:val="clear" w:color="auto" w:fill="ffffff"/>
          <w:lang w:eastAsia="zh-Hans"/>
        </w:rPr>
        <w:t xml:space="preserve">10%</w:t>
      </w:r>
      <w:r>
        <w:rPr>
          <w:rFonts w:hint="eastAsia" w:ascii="宋体" w:hAnsi="宋体" w:cs="宋体"/>
          <w:color w:val="auto"/>
          <w:sz w:val="24"/>
          <w:szCs w:val="24"/>
          <w:highlight w:val="none"/>
          <w:u w:val="single"/>
          <w:shd w:val="clear" w:color="auto" w:fill="ffffff"/>
          <w:lang w:val="en-US" w:eastAsia="zh-Hans"/>
        </w:rPr>
        <w:t xml:space="preserve">向发包人支付违约金</w:t>
      </w:r>
      <w:r>
        <w:rPr>
          <w:rFonts w:hint="eastAsia" w:ascii="宋体" w:hAnsi="宋体" w:cs="宋体"/>
          <w:color w:val="auto"/>
          <w:sz w:val="24"/>
          <w:szCs w:val="24"/>
          <w:highlight w:val="none"/>
          <w:u w:val="single"/>
          <w:shd w:val="clear" w:color="auto" w:fill="ffffff"/>
          <w:lang w:eastAsia="zh-Hans"/>
        </w:rPr>
        <w:t xml:space="preserve">，</w:t>
      </w:r>
      <w:r>
        <w:rPr>
          <w:rFonts w:hint="eastAsia" w:ascii="宋体" w:hAnsi="宋体" w:cs="宋体"/>
          <w:color w:val="auto"/>
          <w:sz w:val="24"/>
          <w:szCs w:val="24"/>
          <w:highlight w:val="none"/>
          <w:u w:val="single"/>
          <w:shd w:val="clear" w:color="auto" w:fill="ffffff"/>
          <w:lang w:val="en-US" w:eastAsia="zh-Hans"/>
        </w:rPr>
        <w:t xml:space="preserve">且发包人有权</w:t>
      </w:r>
      <w:r>
        <w:rPr>
          <w:rFonts w:hint="eastAsia" w:ascii="宋体" w:hAnsi="宋体" w:cs="宋体"/>
          <w:color w:val="auto"/>
          <w:sz w:val="24"/>
          <w:szCs w:val="24"/>
          <w:highlight w:val="none"/>
          <w:u w:val="single"/>
          <w:shd w:val="clear" w:color="auto" w:fill="ffffff"/>
        </w:rPr>
        <w:t xml:space="preserve">解除合同，立即清其出场，并上报建设主管部门处置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3.3.5 承包人擅自更换主要施工管理人员的违约责任：</w:t>
      </w:r>
      <w:r>
        <w:rPr>
          <w:rFonts w:hint="eastAsia" w:ascii="宋体" w:hAnsi="宋体" w:cs="宋体"/>
          <w:color w:val="auto"/>
          <w:sz w:val="24"/>
          <w:szCs w:val="24"/>
          <w:highlight w:val="none"/>
          <w:u w:val="single"/>
          <w:shd w:val="clear" w:color="auto" w:fill="ffffff"/>
        </w:rPr>
        <w:t xml:space="preserve">撤换技术负责人、质量负责人、安全负责人等其他项目部主要成员每人次向发包人支付签约合同价2%违约金。</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承包人主要施工管理人员擅自离开施工现场的违约责任：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shd w:val="clear" w:color="auto" w:fill="ffffff"/>
        </w:rPr>
        <w:t xml:space="preserve">施工管理人员擅自离开施工现场，每人次向发包人支付壹仟元违约金,</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shd w:val="clear" w:color="auto" w:fill="ffffff"/>
        </w:rPr>
        <w:t xml:space="preserve">承包人还应承担因上述违约给发包人造成的损失 。</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3.3.6 技术负责人</w:t>
      </w:r>
      <w:r/>
    </w:p>
    <w:p>
      <w:pPr>
        <w:ind w:firstLine="60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专业：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；职称等级：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outlineLvl w:val="2"/>
      </w:pPr>
      <w:r/>
      <w:bookmarkStart w:id="172" w:name="_Toc29840"/>
      <w:r/>
      <w:bookmarkStart w:id="173" w:name="_Toc824057593"/>
      <w:r/>
      <w:bookmarkStart w:id="174" w:name="_Toc1011775723"/>
      <w:r>
        <w:rPr>
          <w:rFonts w:hint="eastAsia" w:ascii="宋体" w:hAnsi="宋体" w:cs="宋体"/>
          <w:color w:val="auto"/>
          <w:sz w:val="24"/>
          <w:szCs w:val="24"/>
          <w:highlight w:val="none"/>
        </w:rPr>
        <w:t xml:space="preserve">3</w:t>
      </w:r>
      <w:bookmarkStart w:id="175" w:name="_Toc300934945"/>
      <w:r/>
      <w:bookmarkStart w:id="176" w:name="_Toc296891199"/>
      <w:r/>
      <w:bookmarkStart w:id="177" w:name="_Toc296890987"/>
      <w:r/>
      <w:bookmarkStart w:id="178" w:name="_Toc292559869"/>
      <w:r/>
      <w:bookmarkStart w:id="179" w:name="_Toc296503159"/>
      <w:r/>
      <w:bookmarkStart w:id="180" w:name="_Toc303539102"/>
      <w:r/>
      <w:bookmarkStart w:id="181" w:name="_Toc297123492"/>
      <w:r/>
      <w:bookmarkStart w:id="182" w:name="_Toc296347158"/>
      <w:r/>
      <w:bookmarkStart w:id="183" w:name="_Toc292559364"/>
      <w:r/>
      <w:bookmarkStart w:id="184" w:name="_Toc297048345"/>
      <w:r/>
      <w:bookmarkStart w:id="185" w:name="_Toc312677988"/>
      <w:r/>
      <w:bookmarkStart w:id="186" w:name="_Toc297216151"/>
      <w:r/>
      <w:bookmarkStart w:id="187" w:name="_Toc296944498"/>
      <w:r/>
      <w:bookmarkStart w:id="188" w:name="_Toc297120459"/>
      <w:r/>
      <w:bookmarkStart w:id="189" w:name="_Toc304295523"/>
      <w:r/>
      <w:bookmarkStart w:id="190" w:name="_Toc296346660"/>
      <w:r>
        <w:rPr>
          <w:rFonts w:hint="eastAsia" w:ascii="宋体" w:hAnsi="宋体" w:cs="宋体"/>
          <w:color w:val="auto"/>
          <w:sz w:val="24"/>
          <w:szCs w:val="24"/>
          <w:highlight w:val="none"/>
        </w:rPr>
        <w:t xml:space="preserve">.4 分包</w:t>
      </w:r>
      <w:bookmarkEnd w:id="172"/>
      <w:r/>
      <w:bookmarkEnd w:id="173"/>
      <w:r/>
      <w:bookmarkEnd w:id="17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本款修改</w:t>
      </w:r>
      <w:r>
        <w:rPr>
          <w:rFonts w:ascii="宋体" w:hAnsi="宋体" w:eastAsia="宋体" w:cs="宋体"/>
          <w:color w:val="auto"/>
          <w:sz w:val="24"/>
          <w:highlight w:val="none"/>
        </w:rPr>
        <w:t xml:space="preserve">3.4.1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至3.4.6</w:t>
      </w:r>
      <w:r>
        <w:rPr>
          <w:rFonts w:hint="eastAsia" w:ascii="宋体" w:hAnsi="宋体" w:cs="宋体"/>
          <w:color w:val="auto"/>
          <w:sz w:val="24"/>
          <w:szCs w:val="24"/>
          <w:highlight w:val="none"/>
        </w:rPr>
        <w:t xml:space="preserve">。</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191" w:name="_Toc304295524"/>
      <w:r/>
      <w:bookmarkStart w:id="192" w:name="_Toc296944499"/>
      <w:r/>
      <w:bookmarkStart w:id="193" w:name="_Toc312677989"/>
      <w:r/>
      <w:bookmarkStart w:id="194" w:name="_Toc296346661"/>
      <w:r/>
      <w:bookmarkStart w:id="195" w:name="_Toc296890988"/>
      <w:r/>
      <w:bookmarkStart w:id="196" w:name="_Toc292559365"/>
      <w:r/>
      <w:bookmarkStart w:id="197" w:name="_Toc318581158"/>
      <w:r/>
      <w:bookmarkStart w:id="198" w:name="_Toc297216152"/>
      <w:r/>
      <w:bookmarkStart w:id="199" w:name="_Toc297120460"/>
      <w:r/>
      <w:bookmarkStart w:id="200" w:name="_Toc292559870"/>
      <w:r/>
      <w:bookmarkStart w:id="201" w:name="_Toc296347159"/>
      <w:r/>
      <w:bookmarkStart w:id="202" w:name="_Toc296891200"/>
      <w:r/>
      <w:bookmarkStart w:id="203" w:name="_Toc297048346"/>
      <w:r/>
      <w:bookmarkStart w:id="204" w:name="_Toc303539103"/>
      <w:r/>
      <w:bookmarkStart w:id="205" w:name="_Toc300934946"/>
      <w:r/>
      <w:bookmarkStart w:id="206" w:name="_Toc297123493"/>
      <w:r/>
      <w:bookmarkStart w:id="207" w:name="_Toc296503160"/>
      <w:r>
        <w:rPr>
          <w:rFonts w:hint="eastAsia" w:ascii="宋体" w:hAnsi="宋体" w:cs="宋体"/>
          <w:color w:val="auto"/>
          <w:sz w:val="24"/>
          <w:szCs w:val="24"/>
          <w:highlight w:val="none"/>
        </w:rPr>
        <w:t xml:space="preserve">.4.1 分包的一般约定</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法规规定在专用合同条款中予以明确。</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承包人不得以劳务分包的名义转包或违法分包工程。</w:t>
      </w:r>
      <w:r/>
    </w:p>
    <w:p>
      <w:pPr>
        <w:ind w:firstLine="480"/>
        <w:jc w:val="left"/>
        <w:spacing w:line="440" w:lineRule="exact"/>
        <w:rPr>
          <w:rFonts w:ascii="宋体" w:hAnsi="宋体" w:cs="宋体"/>
          <w:bCs/>
          <w:color w:val="auto"/>
          <w:sz w:val="24"/>
          <w:szCs w:val="24"/>
          <w:highlight w:val="none"/>
        </w:rPr>
      </w:pPr>
      <w:r/>
      <w:bookmarkStart w:id="208" w:name="_Toc18482947"/>
      <w:r/>
      <w:bookmarkStart w:id="209" w:name="_Toc16602"/>
      <w:r/>
      <w:bookmarkStart w:id="210" w:name="_Toc9732"/>
      <w:r>
        <w:rPr>
          <w:rFonts w:hint="eastAsia" w:ascii="宋体" w:hAnsi="宋体" w:cs="宋体"/>
          <w:bCs/>
          <w:color w:val="auto"/>
          <w:sz w:val="24"/>
          <w:szCs w:val="24"/>
          <w:highlight w:val="none"/>
        </w:rPr>
        <w:t xml:space="preserve">3.4.2 分包的确定</w:t>
      </w:r>
      <w:bookmarkEnd w:id="208"/>
      <w:r/>
      <w:bookmarkEnd w:id="209"/>
      <w:r/>
      <w:bookmarkEnd w:id="210"/>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jc w:val="left"/>
        <w:spacing w:line="440" w:lineRule="exact"/>
        <w:rPr>
          <w:rFonts w:ascii="宋体" w:hAnsi="宋体" w:cs="宋体"/>
          <w:bCs/>
          <w:color w:val="auto"/>
          <w:sz w:val="24"/>
          <w:szCs w:val="24"/>
          <w:highlight w:val="none"/>
        </w:rPr>
      </w:pPr>
      <w:r/>
      <w:bookmarkStart w:id="211" w:name="_Toc26154"/>
      <w:r/>
      <w:bookmarkStart w:id="212" w:name="_Toc18482948"/>
      <w:r/>
      <w:bookmarkStart w:id="213" w:name="_Toc5917"/>
      <w:r>
        <w:rPr>
          <w:rFonts w:hint="eastAsia" w:ascii="宋体" w:hAnsi="宋体" w:cs="宋体"/>
          <w:bCs/>
          <w:color w:val="auto"/>
          <w:sz w:val="24"/>
          <w:szCs w:val="24"/>
          <w:highlight w:val="none"/>
        </w:rPr>
        <w:t xml:space="preserve">3.4.3 分包管理</w:t>
      </w:r>
      <w:bookmarkEnd w:id="211"/>
      <w:r/>
      <w:bookmarkEnd w:id="212"/>
      <w:r/>
      <w:bookmarkEnd w:id="213"/>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承包人应向监理人提交分包人的主要施工管理人员表，并对分包人的施工人员进行实名制管理，包括但不限于进出场管理、登记造册以及各种证照的办理。</w:t>
      </w:r>
      <w:r/>
    </w:p>
    <w:p>
      <w:pPr>
        <w:ind w:firstLine="480"/>
        <w:jc w:val="left"/>
        <w:spacing w:line="440" w:lineRule="exact"/>
        <w:rPr>
          <w:rFonts w:ascii="宋体" w:hAnsi="宋体" w:cs="宋体"/>
          <w:bCs/>
          <w:color w:val="auto"/>
          <w:sz w:val="24"/>
          <w:szCs w:val="24"/>
          <w:highlight w:val="none"/>
        </w:rPr>
      </w:pPr>
      <w:r/>
      <w:bookmarkStart w:id="214" w:name="_Toc11332"/>
      <w:r/>
      <w:bookmarkStart w:id="215" w:name="_Toc18482949"/>
      <w:r/>
      <w:bookmarkStart w:id="216" w:name="_Toc10946"/>
      <w:r>
        <w:rPr>
          <w:rFonts w:hint="eastAsia" w:ascii="宋体" w:hAnsi="宋体" w:cs="宋体"/>
          <w:bCs/>
          <w:color w:val="auto"/>
          <w:sz w:val="24"/>
          <w:szCs w:val="24"/>
          <w:highlight w:val="none"/>
        </w:rPr>
        <w:t xml:space="preserve">3.4.4 分包合同价款</w:t>
      </w:r>
      <w:bookmarkEnd w:id="214"/>
      <w:r/>
      <w:bookmarkEnd w:id="215"/>
      <w:r/>
      <w:bookmarkEnd w:id="216"/>
      <w:r/>
      <w:r/>
    </w:p>
    <w:p>
      <w:pPr>
        <w:ind w:firstLine="41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（1）除本项第（2）目约定的情况或专用合同条款另有约定外，分包合同价款由承包人与分包人结算，未经承包人同意，发包人不得向分包人支付分包工程价款；</w:t>
      </w:r>
      <w:r/>
    </w:p>
    <w:p>
      <w:pPr>
        <w:ind w:firstLine="41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（2）生效法律文书要求发包人向分包人支付分包合同价款的，发包人有权从应付承包人工程款中扣除该部分款项。</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禁止分包的工程包括：</w:t>
      </w:r>
      <w:r>
        <w:rPr>
          <w:rFonts w:hint="eastAsia" w:ascii="宋体" w:hAnsi="宋体" w:cs="宋体"/>
          <w:color w:val="auto"/>
          <w:sz w:val="24"/>
          <w:szCs w:val="24"/>
          <w:highlight w:val="none"/>
          <w:u w:val="single"/>
        </w:rPr>
        <w:t xml:space="preserve">     本工程禁止分包</w:t>
      </w:r>
      <w:r>
        <w:rPr>
          <w:rFonts w:hint="eastAsia" w:ascii="宋体" w:hAnsi="宋体" w:cs="宋体"/>
          <w:color w:val="auto"/>
          <w:sz w:val="24"/>
          <w:szCs w:val="24"/>
          <w:highlight w:val="none"/>
          <w:u w:val="single"/>
          <w:lang w:eastAsia="zh-CN"/>
        </w:rPr>
        <w:t xml:space="preserve">、转包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主体结构、关键性工作的范围：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Start w:id="217" w:name="_Toc297120461"/>
      <w:r/>
      <w:bookmarkEnd w:id="217"/>
      <w:r/>
      <w:bookmarkStart w:id="218" w:name="_Toc296891201"/>
      <w:r/>
      <w:bookmarkEnd w:id="218"/>
      <w:r/>
      <w:bookmarkStart w:id="219" w:name="_Toc297123494"/>
      <w:r/>
      <w:bookmarkEnd w:id="219"/>
      <w:r/>
      <w:bookmarkStart w:id="220" w:name="_Toc296346662"/>
      <w:r/>
      <w:bookmarkEnd w:id="220"/>
      <w:r/>
      <w:bookmarkStart w:id="221" w:name="_Toc297216153"/>
      <w:r/>
      <w:bookmarkEnd w:id="221"/>
      <w:r/>
      <w:bookmarkStart w:id="222" w:name="_Toc303539104"/>
      <w:r/>
      <w:bookmarkEnd w:id="222"/>
      <w:r/>
      <w:bookmarkStart w:id="223" w:name="_Toc296347160"/>
      <w:r/>
      <w:bookmarkEnd w:id="223"/>
      <w:r/>
      <w:bookmarkStart w:id="224" w:name="_Toc304295525"/>
      <w:r/>
      <w:bookmarkEnd w:id="224"/>
      <w:r/>
      <w:bookmarkStart w:id="225" w:name="_Toc297048347"/>
      <w:r/>
      <w:bookmarkEnd w:id="225"/>
      <w:r/>
      <w:bookmarkStart w:id="226" w:name="_Toc296890989"/>
      <w:r/>
      <w:bookmarkEnd w:id="226"/>
      <w:r/>
      <w:bookmarkStart w:id="227" w:name="_Toc296503161"/>
      <w:r/>
      <w:bookmarkEnd w:id="227"/>
      <w:r/>
      <w:bookmarkStart w:id="228" w:name="_Toc296944500"/>
      <w:r/>
      <w:bookmarkEnd w:id="228"/>
      <w:r/>
      <w:bookmarkStart w:id="229" w:name="_Toc300934947"/>
      <w:r/>
      <w:bookmarkEnd w:id="229"/>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3</w:t>
      </w:r>
      <w:bookmarkStart w:id="230" w:name="_Toc312677990"/>
      <w:r/>
      <w:bookmarkStart w:id="231" w:name="_Toc318581159"/>
      <w:r>
        <w:rPr>
          <w:rFonts w:hint="eastAsia" w:ascii="宋体" w:hAnsi="宋体" w:cs="宋体"/>
          <w:color w:val="auto"/>
          <w:sz w:val="24"/>
          <w:szCs w:val="24"/>
          <w:highlight w:val="none"/>
        </w:rPr>
        <w:t xml:space="preserve">.4.5 分包的确定</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允许分包的专业工程包括：</w:t>
      </w:r>
      <w:r>
        <w:rPr>
          <w:rFonts w:hint="eastAsia" w:ascii="宋体" w:hAnsi="宋体" w:cs="宋体"/>
          <w:color w:val="auto"/>
          <w:sz w:val="24"/>
          <w:szCs w:val="24"/>
          <w:highlight w:val="none"/>
          <w:u w:val="single"/>
        </w:rPr>
        <w:t xml:space="preserve">     本工程禁止分包 </w:t>
      </w:r>
      <w:r>
        <w:rPr>
          <w:rFonts w:hint="eastAsia" w:ascii="宋体" w:hAnsi="宋体" w:cs="宋体"/>
          <w:color w:val="auto"/>
          <w:sz w:val="24"/>
          <w:szCs w:val="24"/>
          <w:highlight w:val="none"/>
          <w:u w:val="single"/>
          <w:lang w:eastAsia="zh-CN"/>
        </w:rPr>
        <w:t xml:space="preserve">、转包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涉及分包的工程内容，分包工程承包人的资格应符合国家相关规定。</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其他关于分包的约定：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3.4.6 分包合同价款</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关于分包合同价款支付的约定：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230"/>
      <w:r/>
      <w:bookmarkEnd w:id="231"/>
      <w:r/>
      <w:r/>
    </w:p>
    <w:p>
      <w:pPr>
        <w:ind w:firstLine="480"/>
        <w:spacing w:line="440" w:lineRule="exact"/>
        <w:rPr>
          <w:rFonts w:ascii="宋体" w:hAnsi="宋体" w:cs="宋体"/>
          <w:color w:val="auto"/>
          <w:sz w:val="24"/>
          <w:szCs w:val="24"/>
          <w:highlight w:val="none"/>
        </w:rPr>
        <w:outlineLvl w:val="2"/>
      </w:pPr>
      <w:r/>
      <w:bookmarkStart w:id="232" w:name="_Toc30018"/>
      <w:r/>
      <w:bookmarkStart w:id="233" w:name="_Toc1754831627"/>
      <w:r/>
      <w:bookmarkStart w:id="234" w:name="_Toc1926667033"/>
      <w:r>
        <w:rPr>
          <w:rFonts w:hint="eastAsia" w:ascii="宋体" w:hAnsi="宋体" w:cs="宋体"/>
          <w:color w:val="auto"/>
          <w:sz w:val="24"/>
          <w:szCs w:val="24"/>
          <w:highlight w:val="none"/>
        </w:rPr>
        <w:t xml:space="preserve">3.5 工程照管与成品、半成品保护</w:t>
      </w:r>
      <w:bookmarkEnd w:id="232"/>
      <w:r/>
      <w:bookmarkEnd w:id="233"/>
      <w:r/>
      <w:bookmarkEnd w:id="234"/>
      <w:r/>
      <w:r/>
    </w:p>
    <w:p>
      <w:pPr>
        <w:ind w:firstLine="480"/>
        <w:spacing w:line="440" w:lineRule="exact"/>
        <w:rPr>
          <w:rFonts w:ascii="宋体" w:hAnsi="宋体" w:cs="宋体"/>
          <w:color w:val="auto"/>
          <w:sz w:val="24"/>
          <w:szCs w:val="24"/>
          <w:highlight w:val="none"/>
        </w:rPr>
        <w:outlineLvl w:val="2"/>
      </w:pPr>
      <w:r/>
      <w:bookmarkStart w:id="235" w:name="_Toc65997439"/>
      <w:r/>
      <w:bookmarkStart w:id="236" w:name="_Toc786970481"/>
      <w:r>
        <w:rPr>
          <w:rFonts w:hint="eastAsia" w:ascii="宋体" w:hAnsi="宋体" w:cs="宋体"/>
          <w:color w:val="auto"/>
          <w:sz w:val="24"/>
          <w:szCs w:val="24"/>
          <w:highlight w:val="none"/>
        </w:rPr>
        <w:t xml:space="preserve">本款补充3.5.2。</w:t>
      </w:r>
      <w:bookmarkEnd w:id="235"/>
      <w:r/>
      <w:bookmarkEnd w:id="236"/>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3.5.1 </w:t>
      </w:r>
      <w:r>
        <w:rPr>
          <w:rFonts w:hint="eastAsia" w:ascii="宋体" w:hAnsi="宋体" w:cs="宋体"/>
          <w:color w:val="auto"/>
          <w:sz w:val="24"/>
          <w:szCs w:val="24"/>
          <w:highlight w:val="none"/>
        </w:rPr>
        <w:t xml:space="preserve">除专用合同条款另有约定外，自发包人向承包人移交施工现场之日起，承包人应负责照管工程及工程相关的材料、工程设备，工程施工范围内保留的现状景观。直到颁发工程接收证书之日止。</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3.5.2在承包人负责照管期间，因承包人原因造成工程、材料、工程设备损坏的，由承包人负责修复或更换，并承担由此增加的费用和（或）延误的工期。</w:t>
      </w:r>
      <w:r/>
    </w:p>
    <w:p>
      <w:pPr>
        <w:ind w:firstLine="480"/>
        <w:jc w:val="left"/>
        <w:spacing w:before="120"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承包人负责照管工程及工程相关的材料、工程设备的起始时间：</w:t>
      </w:r>
      <w:r>
        <w:rPr>
          <w:rFonts w:hint="eastAsia" w:ascii="宋体" w:hAnsi="宋体" w:cs="宋体"/>
          <w:color w:val="auto"/>
          <w:sz w:val="24"/>
          <w:szCs w:val="24"/>
          <w:highlight w:val="none"/>
          <w:u w:val="single"/>
        </w:rPr>
        <w:t xml:space="preserve"> 设备、人员进场至工程移交/接收证书签发前。</w:t>
      </w:r>
      <w:r/>
    </w:p>
    <w:p>
      <w:pPr>
        <w:ind w:firstLine="480"/>
        <w:jc w:val="left"/>
        <w:spacing w:before="120" w:after="12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3.5.3现状树木的保护起始时间：</w:t>
      </w:r>
      <w:r>
        <w:rPr>
          <w:rFonts w:hint="eastAsia" w:ascii="宋体" w:hAnsi="宋体" w:cs="宋体"/>
          <w:color w:val="auto"/>
          <w:sz w:val="24"/>
          <w:szCs w:val="24"/>
          <w:highlight w:val="none"/>
          <w:u w:val="single"/>
        </w:rPr>
        <w:t xml:space="preserve">  自进场至工程移交     </w:t>
      </w:r>
      <w:r>
        <w:rPr>
          <w:rFonts w:hint="eastAsia" w:ascii="宋体" w:hAnsi="宋体" w:cs="宋体"/>
          <w:color w:val="auto"/>
          <w:sz w:val="24"/>
          <w:szCs w:val="24"/>
          <w:highlight w:val="none"/>
        </w:rPr>
        <w:t xml:space="preserve">。</w:t>
      </w:r>
      <w:r/>
    </w:p>
    <w:p>
      <w:pPr>
        <w:ind w:firstLine="480"/>
        <w:jc w:val="left"/>
        <w:spacing w:before="120"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3.6 履约担保</w:t>
      </w:r>
      <w:r/>
    </w:p>
    <w:p>
      <w:pPr>
        <w:ind w:firstLine="480"/>
        <w:jc w:val="left"/>
        <w:spacing w:before="120"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承包人是否提供履约担保：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是</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before="120"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本款补充：</w:t>
      </w:r>
      <w:r/>
    </w:p>
    <w:p>
      <w:pPr>
        <w:ind w:firstLine="480"/>
        <w:jc w:val="left"/>
        <w:spacing w:before="120" w:after="12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履约担保金额及方式：签订合同后</w:t>
      </w:r>
      <w:r>
        <w:rPr>
          <w:rFonts w:hint="eastAsia" w:ascii="宋体" w:hAnsi="宋体" w:cs="宋体"/>
          <w:color w:val="auto"/>
          <w:sz w:val="24"/>
          <w:szCs w:val="24"/>
          <w:highlight w:val="none"/>
          <w:u w:val="single"/>
        </w:rPr>
        <w:t xml:space="preserve"> 15 </w:t>
      </w:r>
      <w:r>
        <w:rPr>
          <w:rFonts w:hint="eastAsia" w:ascii="宋体" w:hAnsi="宋体" w:cs="宋体"/>
          <w:color w:val="auto"/>
          <w:sz w:val="24"/>
          <w:szCs w:val="24"/>
          <w:highlight w:val="none"/>
        </w:rPr>
        <w:t xml:space="preserve">个工作日内，承包人需提交履约担保人民币</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元（不高于中标价的10 %），以</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保函或</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保险形式执行。履约担保的有效期至本工程竣工验收合格为止。</w:t>
      </w:r>
      <w:r/>
    </w:p>
    <w:p>
      <w:pPr>
        <w:pStyle w:val="955"/>
        <w:spacing w:line="440" w:lineRule="exact"/>
        <w:rPr>
          <w:rFonts w:ascii="宋体" w:hAnsi="宋体" w:cs="宋体"/>
          <w:bCs w:val="0"/>
          <w:color w:val="auto"/>
          <w:sz w:val="24"/>
          <w:szCs w:val="24"/>
          <w:highlight w:val="none"/>
        </w:rPr>
      </w:pPr>
      <w:r/>
      <w:bookmarkStart w:id="237" w:name="_Toc1195865979"/>
      <w:r/>
      <w:bookmarkStart w:id="238" w:name="_Toc2142794716"/>
      <w:r>
        <w:rPr>
          <w:rFonts w:hint="eastAsia" w:ascii="宋体" w:hAnsi="宋体" w:cs="宋体"/>
          <w:bCs w:val="0"/>
          <w:color w:val="auto"/>
          <w:sz w:val="24"/>
          <w:szCs w:val="24"/>
          <w:highlight w:val="none"/>
        </w:rPr>
        <w:t xml:space="preserve">4</w:t>
      </w:r>
      <w:bookmarkStart w:id="239" w:name="_Toc297048348"/>
      <w:r/>
      <w:bookmarkStart w:id="240" w:name="_Toc267251413"/>
      <w:r/>
      <w:bookmarkStart w:id="241" w:name="_Toc292559366"/>
      <w:r/>
      <w:bookmarkStart w:id="242" w:name="_Toc296890990"/>
      <w:r/>
      <w:bookmarkStart w:id="243" w:name="_Toc297120462"/>
      <w:r/>
      <w:bookmarkStart w:id="244" w:name="_Toc296503162"/>
      <w:r/>
      <w:bookmarkStart w:id="245" w:name="_Toc296346663"/>
      <w:r/>
      <w:bookmarkStart w:id="246" w:name="_Toc296944501"/>
      <w:r/>
      <w:bookmarkStart w:id="247" w:name="_Toc296891202"/>
      <w:r/>
      <w:bookmarkStart w:id="248" w:name="_Toc296347161"/>
      <w:r/>
      <w:bookmarkStart w:id="249" w:name="_Toc292559871"/>
      <w:r>
        <w:rPr>
          <w:rFonts w:hint="eastAsia" w:ascii="宋体" w:hAnsi="宋体" w:cs="宋体"/>
          <w:bCs w:val="0"/>
          <w:color w:val="auto"/>
          <w:sz w:val="24"/>
          <w:szCs w:val="24"/>
          <w:highlight w:val="none"/>
        </w:rPr>
        <w:t xml:space="preserve">. 监</w:t>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cs="宋体"/>
          <w:bCs w:val="0"/>
          <w:color w:val="auto"/>
          <w:sz w:val="24"/>
          <w:szCs w:val="24"/>
          <w:highlight w:val="none"/>
        </w:rPr>
        <w:t xml:space="preserve">理人</w:t>
      </w:r>
      <w:bookmarkEnd w:id="237"/>
      <w:r/>
      <w:bookmarkEnd w:id="238"/>
      <w:r/>
      <w:bookmarkStart w:id="250" w:name="_Toc1325789808"/>
      <w:r/>
      <w:bookmarkStart w:id="251" w:name="_Toc22333"/>
      <w:r/>
      <w:bookmarkStart w:id="252" w:name="_Toc189823449"/>
      <w:r/>
      <w:r/>
    </w:p>
    <w:p>
      <w:pPr>
        <w:pStyle w:val="955"/>
        <w:ind w:firstLine="24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 </w:t>
      </w:r>
      <w:r>
        <w:rPr>
          <w:rFonts w:hint="eastAsia" w:ascii="宋体" w:hAnsi="宋体" w:cs="宋体"/>
          <w:b w:val="0"/>
          <w:bCs w:val="0"/>
          <w:color w:val="auto"/>
          <w:sz w:val="24"/>
          <w:szCs w:val="24"/>
          <w:highlight w:val="none"/>
        </w:rPr>
        <w:t xml:space="preserve">监理人的一般规定</w:t>
      </w:r>
      <w:bookmarkEnd w:id="250"/>
      <w:r/>
      <w:bookmarkEnd w:id="251"/>
      <w:r/>
      <w:bookmarkEnd w:id="252"/>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关于监理人的监理内容：</w:t>
      </w:r>
      <w:r>
        <w:rPr>
          <w:rFonts w:hint="eastAsia" w:ascii="宋体" w:hAnsi="宋体" w:cs="宋体"/>
          <w:b/>
          <w:color w:val="auto"/>
          <w:sz w:val="24"/>
          <w:szCs w:val="24"/>
          <w:highlight w:val="none"/>
          <w:u w:val="single"/>
        </w:rPr>
        <w:t xml:space="preserve">见监理合同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见监理合同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关于监理人在施工现场的办公场所、生活场所的提供和费用承担的约定：</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见监理合同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outlineLvl w:val="2"/>
      </w:pPr>
      <w:r/>
      <w:bookmarkStart w:id="253" w:name="_Toc1881790026"/>
      <w:r/>
      <w:bookmarkStart w:id="254" w:name="_Toc1275710936"/>
      <w:r/>
      <w:bookmarkStart w:id="255" w:name="_Toc1416"/>
      <w:r>
        <w:rPr>
          <w:rFonts w:hint="eastAsia" w:ascii="宋体" w:hAnsi="宋体" w:cs="宋体"/>
          <w:color w:val="auto"/>
          <w:sz w:val="24"/>
          <w:szCs w:val="24"/>
          <w:highlight w:val="none"/>
        </w:rPr>
        <w:t xml:space="preserve">4.2 监理人员</w:t>
      </w:r>
      <w:bookmarkEnd w:id="253"/>
      <w:r/>
      <w:bookmarkEnd w:id="254"/>
      <w:r/>
      <w:bookmarkEnd w:id="255"/>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关于监理人的其他约定： </w:t>
      </w:r>
      <w:r>
        <w:rPr>
          <w:rFonts w:hint="eastAsia" w:ascii="宋体" w:hAnsi="宋体" w:cs="宋体"/>
          <w:color w:val="auto"/>
          <w:sz w:val="24"/>
          <w:szCs w:val="24"/>
          <w:highlight w:val="none"/>
          <w:u w:val="single"/>
        </w:rPr>
        <w:t xml:space="preserve">  见监理合同     </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outlineLvl w:val="2"/>
      </w:pPr>
      <w:r/>
      <w:bookmarkStart w:id="256" w:name="_Toc351297407"/>
      <w:r/>
      <w:bookmarkStart w:id="257" w:name="_Toc1839233093"/>
      <w:r/>
      <w:bookmarkStart w:id="258" w:name="_Toc20339"/>
      <w:r>
        <w:rPr>
          <w:rFonts w:hint="eastAsia" w:ascii="宋体" w:hAnsi="宋体" w:cs="宋体"/>
          <w:color w:val="auto"/>
          <w:sz w:val="24"/>
          <w:szCs w:val="24"/>
          <w:highlight w:val="none"/>
        </w:rPr>
        <w:t xml:space="preserve">4.3 商定或确定</w:t>
      </w:r>
      <w:bookmarkEnd w:id="256"/>
      <w:r/>
      <w:bookmarkEnd w:id="257"/>
      <w:r/>
      <w:bookmarkEnd w:id="258"/>
      <w:r/>
      <w:r/>
    </w:p>
    <w:p>
      <w:pPr>
        <w:ind w:firstLine="480"/>
        <w:spacing w:line="440" w:lineRule="exact"/>
        <w:rPr>
          <w:rFonts w:ascii="宋体" w:hAnsi="宋体" w:cs="宋体"/>
          <w:color w:val="auto"/>
          <w:sz w:val="24"/>
          <w:szCs w:val="24"/>
          <w:highlight w:val="none"/>
        </w:rPr>
      </w:pPr>
      <w:r/>
      <w:bookmarkStart w:id="259" w:name="_Toc267251418"/>
      <w:r>
        <w:rPr>
          <w:rFonts w:hint="eastAsia" w:ascii="宋体" w:hAnsi="宋体" w:cs="宋体"/>
          <w:color w:val="auto"/>
          <w:sz w:val="24"/>
          <w:szCs w:val="24"/>
          <w:highlight w:val="none"/>
        </w:rPr>
        <w:t xml:space="preserve">合同当事人进行商定或确定时，总监理工程师应当会同合同当事人尽量通过协商达成一致，不能达成一致的，由总监理工程师按照合同约定审慎做出公正的确定。</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pStyle w:val="955"/>
        <w:spacing w:line="440" w:lineRule="exact"/>
        <w:rPr>
          <w:rFonts w:ascii="宋体" w:hAnsi="宋体" w:cs="宋体"/>
          <w:b w:val="0"/>
          <w:color w:val="auto"/>
          <w:sz w:val="24"/>
          <w:szCs w:val="24"/>
          <w:highlight w:val="none"/>
        </w:rPr>
      </w:pPr>
      <w:r/>
      <w:bookmarkStart w:id="260" w:name="_Toc441549874"/>
      <w:r/>
      <w:bookmarkStart w:id="261" w:name="_Toc1767461773"/>
      <w:r>
        <w:rPr>
          <w:rFonts w:hint="eastAsia" w:ascii="宋体" w:hAnsi="宋体" w:cs="宋体"/>
          <w:b w:val="0"/>
          <w:color w:val="auto"/>
          <w:sz w:val="24"/>
          <w:szCs w:val="24"/>
          <w:highlight w:val="none"/>
        </w:rPr>
        <w:t xml:space="preserve">5</w:t>
      </w:r>
      <w:bookmarkEnd w:id="259"/>
      <w:r/>
      <w:bookmarkStart w:id="262" w:name="_Toc296346664"/>
      <w:r/>
      <w:bookmarkStart w:id="263" w:name="_Toc296347162"/>
      <w:r/>
      <w:bookmarkStart w:id="264" w:name="_Toc292559367"/>
      <w:r/>
      <w:bookmarkStart w:id="265" w:name="_Toc296891203"/>
      <w:r/>
      <w:bookmarkStart w:id="266" w:name="_Toc296890991"/>
      <w:r/>
      <w:bookmarkStart w:id="267" w:name="_Toc296503163"/>
      <w:r/>
      <w:bookmarkStart w:id="268" w:name="_Toc296944502"/>
      <w:r/>
      <w:bookmarkStart w:id="269" w:name="_Toc297048349"/>
      <w:r/>
      <w:bookmarkStart w:id="270" w:name="_Toc297120463"/>
      <w:r/>
      <w:bookmarkStart w:id="271" w:name="_Toc292559872"/>
      <w:r>
        <w:rPr>
          <w:rFonts w:hint="eastAsia" w:ascii="宋体" w:hAnsi="宋体" w:cs="宋体"/>
          <w:b w:val="0"/>
          <w:color w:val="auto"/>
          <w:sz w:val="24"/>
          <w:szCs w:val="24"/>
          <w:highlight w:val="none"/>
        </w:rPr>
        <w:t xml:space="preserve">. 工程质量</w:t>
      </w:r>
      <w:bookmarkEnd w:id="260"/>
      <w:r/>
      <w:bookmarkEnd w:id="261"/>
      <w:r/>
      <w:r/>
    </w:p>
    <w:p>
      <w:pPr>
        <w:ind w:firstLine="480"/>
        <w:spacing w:line="440" w:lineRule="exact"/>
        <w:rPr>
          <w:rFonts w:ascii="宋体" w:hAnsi="宋体" w:cs="宋体"/>
          <w:color w:val="auto"/>
          <w:sz w:val="24"/>
          <w:szCs w:val="24"/>
          <w:highlight w:val="none"/>
        </w:rPr>
      </w:pPr>
      <w:r/>
      <w:bookmarkStart w:id="272" w:name="_Toc18820"/>
      <w:r/>
      <w:bookmarkStart w:id="273" w:name="_Toc1592482993"/>
      <w:r/>
      <w:bookmarkStart w:id="274" w:name="_Toc928117446"/>
      <w:r>
        <w:rPr>
          <w:rFonts w:hint="eastAsia" w:ascii="宋体" w:hAnsi="宋体" w:cs="宋体"/>
          <w:color w:val="auto"/>
          <w:sz w:val="24"/>
          <w:szCs w:val="24"/>
          <w:highlight w:val="none"/>
        </w:rPr>
        <w:t xml:space="preserve">5.1 质量要求</w:t>
      </w:r>
      <w:bookmarkEnd w:id="272"/>
      <w:r/>
      <w:bookmarkEnd w:id="273"/>
      <w:r/>
      <w:bookmarkEnd w:id="274"/>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5.1.1 工程质量标准必须符合现行国家有关工程施工质量验收规范和标准的要求。有关工程质量的特殊标准或要求由合同当事人在专用合同条款中约定。</w:t>
      </w:r>
      <w:r/>
    </w:p>
    <w:p>
      <w:pPr>
        <w:ind w:firstLine="720"/>
        <w:jc w:val="left"/>
        <w:spacing w:line="440" w:lineRule="exact"/>
        <w:rPr>
          <w:rFonts w:ascii="宋体" w:hAnsi="宋体" w:cs="宋体"/>
          <w:color w:val="auto"/>
          <w:sz w:val="24"/>
          <w:szCs w:val="24"/>
          <w:highlight w:val="none"/>
          <w:u w:val="single"/>
        </w:rPr>
      </w:pPr>
      <w:r/>
      <w:bookmarkStart w:id="275" w:name="_Toc318581164"/>
      <w:r/>
      <w:bookmarkStart w:id="276" w:name="_Toc304295527"/>
      <w:r/>
      <w:bookmarkStart w:id="277" w:name="_Toc303539106"/>
      <w:r/>
      <w:bookmarkStart w:id="278" w:name="_Toc300934949"/>
      <w:r/>
      <w:bookmarkStart w:id="279" w:name="_Toc297123496"/>
      <w:r/>
      <w:bookmarkStart w:id="280" w:name="_Toc297216155"/>
      <w:r/>
      <w:bookmarkStart w:id="281" w:name="_Toc312677997"/>
      <w:r>
        <w:rPr>
          <w:rFonts w:hint="eastAsia" w:ascii="宋体" w:hAnsi="宋体" w:cs="宋体"/>
          <w:color w:val="auto"/>
          <w:sz w:val="24"/>
          <w:szCs w:val="24"/>
          <w:highlight w:val="none"/>
        </w:rPr>
        <w:t xml:space="preserve">5.1.2关于工程奖项的约定：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outlineLvl w:val="2"/>
      </w:pPr>
      <w:r/>
      <w:bookmarkStart w:id="282" w:name="_Toc15546"/>
      <w:r/>
      <w:bookmarkStart w:id="283" w:name="_Toc1292415266"/>
      <w:r/>
      <w:bookmarkStart w:id="284" w:name="_Toc462538044"/>
      <w:r>
        <w:rPr>
          <w:rFonts w:hint="eastAsia" w:ascii="宋体" w:hAnsi="宋体" w:cs="宋体"/>
          <w:color w:val="auto"/>
          <w:sz w:val="24"/>
          <w:szCs w:val="24"/>
          <w:highlight w:val="none"/>
        </w:rPr>
        <w:t xml:space="preserve">5.2 隐蔽工程检查</w:t>
      </w:r>
      <w:bookmarkEnd w:id="282"/>
      <w:r/>
      <w:bookmarkEnd w:id="283"/>
      <w:r/>
      <w:bookmarkEnd w:id="284"/>
      <w:r/>
      <w:r/>
    </w:p>
    <w:p>
      <w:pPr>
        <w:ind w:firstLine="72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5.2.1承包人提前通知监理人隐蔽工程检查的期限的约定：            </w:t>
      </w:r>
      <w:r>
        <w:rPr>
          <w:rFonts w:hint="eastAsia" w:ascii="宋体" w:hAnsi="宋体" w:cs="宋体"/>
          <w:b/>
          <w:bCs/>
          <w:color w:val="auto"/>
          <w:sz w:val="24"/>
          <w:szCs w:val="24"/>
          <w:highlight w:val="none"/>
          <w:u w:val="single"/>
        </w:rPr>
        <w:t xml:space="preserve">执行通用条款 </w:t>
      </w:r>
      <w:r>
        <w:rPr>
          <w:rFonts w:hint="eastAsia" w:ascii="宋体" w:hAnsi="宋体" w:cs="宋体"/>
          <w:color w:val="auto"/>
          <w:sz w:val="24"/>
          <w:szCs w:val="24"/>
          <w:highlight w:val="none"/>
        </w:rPr>
        <w:t xml:space="preserve"> 。</w:t>
      </w:r>
      <w:r/>
    </w:p>
    <w:p>
      <w:pPr>
        <w:ind w:firstLine="72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5.2.2监理人不能按时进行检查时，应提前</w:t>
      </w:r>
      <w:r>
        <w:rPr>
          <w:rFonts w:hint="eastAsia" w:ascii="宋体" w:hAnsi="宋体" w:cs="宋体"/>
          <w:color w:val="auto"/>
          <w:sz w:val="24"/>
          <w:szCs w:val="24"/>
          <w:highlight w:val="none"/>
          <w:u w:val="single"/>
        </w:rPr>
        <w:t xml:space="preserve"> 24 </w:t>
      </w:r>
      <w:r>
        <w:rPr>
          <w:rFonts w:hint="eastAsia" w:ascii="宋体" w:hAnsi="宋体" w:cs="宋体"/>
          <w:color w:val="auto"/>
          <w:sz w:val="24"/>
          <w:szCs w:val="24"/>
          <w:highlight w:val="none"/>
        </w:rPr>
        <w:t xml:space="preserve">小时提交书面延期要求。关于延期最长不得超过：</w:t>
      </w:r>
      <w:r>
        <w:rPr>
          <w:rFonts w:hint="eastAsia" w:ascii="宋体" w:hAnsi="宋体" w:cs="宋体"/>
          <w:color w:val="auto"/>
          <w:sz w:val="24"/>
          <w:szCs w:val="24"/>
          <w:highlight w:val="none"/>
          <w:u w:val="single"/>
        </w:rPr>
        <w:t xml:space="preserve">48 </w:t>
      </w:r>
      <w:r>
        <w:rPr>
          <w:rFonts w:hint="eastAsia" w:ascii="宋体" w:hAnsi="宋体" w:cs="宋体"/>
          <w:color w:val="auto"/>
          <w:sz w:val="24"/>
          <w:szCs w:val="24"/>
          <w:highlight w:val="none"/>
        </w:rPr>
        <w:t xml:space="preserve">小时。</w:t>
      </w:r>
      <w:r/>
    </w:p>
    <w:p>
      <w:pPr>
        <w:pStyle w:val="955"/>
        <w:spacing w:line="440" w:lineRule="exact"/>
        <w:rPr>
          <w:rFonts w:ascii="宋体" w:hAnsi="宋体" w:cs="宋体"/>
          <w:b w:val="0"/>
          <w:bCs w:val="0"/>
          <w:color w:val="auto"/>
          <w:sz w:val="24"/>
          <w:szCs w:val="24"/>
          <w:highlight w:val="none"/>
        </w:rPr>
      </w:pPr>
      <w:r/>
      <w:bookmarkStart w:id="285" w:name="_Toc1885616336"/>
      <w:r/>
      <w:bookmarkStart w:id="286" w:name="_Toc714606691"/>
      <w:r>
        <w:rPr>
          <w:rFonts w:hint="eastAsia" w:ascii="宋体" w:hAnsi="宋体" w:cs="宋体"/>
          <w:b w:val="0"/>
          <w:bCs w:val="0"/>
          <w:color w:val="auto"/>
          <w:sz w:val="24"/>
          <w:szCs w:val="24"/>
          <w:highlight w:val="none"/>
        </w:rPr>
        <w:t xml:space="preserve">6. 安全文明施工与环境保护</w:t>
      </w:r>
      <w:bookmarkEnd w:id="285"/>
      <w:r/>
      <w:bookmarkEnd w:id="286"/>
      <w:r/>
      <w:r/>
    </w:p>
    <w:p>
      <w:pPr>
        <w:spacing w:line="440" w:lineRule="exact"/>
        <w:rPr>
          <w:rFonts w:ascii="宋体" w:hAnsi="宋体" w:cs="宋体"/>
          <w:color w:val="auto"/>
          <w:sz w:val="24"/>
          <w:szCs w:val="24"/>
          <w:highlight w:val="none"/>
        </w:rPr>
        <w:outlineLvl w:val="2"/>
      </w:pPr>
      <w:r/>
      <w:bookmarkStart w:id="287" w:name="_Toc11638"/>
      <w:r/>
      <w:bookmarkStart w:id="288" w:name="_Toc552749545"/>
      <w:r/>
      <w:bookmarkStart w:id="289" w:name="_Toc526548747"/>
      <w:r>
        <w:rPr>
          <w:rFonts w:hint="eastAsia" w:ascii="宋体" w:hAnsi="宋体" w:cs="宋体"/>
          <w:color w:val="auto"/>
          <w:sz w:val="24"/>
          <w:szCs w:val="24"/>
          <w:highlight w:val="none"/>
        </w:rPr>
        <w:t xml:space="preserve">6.1 安全文明施工</w:t>
      </w:r>
      <w:bookmarkEnd w:id="287"/>
      <w:r/>
      <w:bookmarkEnd w:id="288"/>
      <w:r/>
      <w:bookmarkEnd w:id="289"/>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6.1.1 项目安全生产的达标目标及相应事项的约定：</w:t>
      </w:r>
      <w:r>
        <w:rPr>
          <w:rFonts w:hint="eastAsia" w:ascii="宋体" w:hAnsi="宋体" w:cs="宋体"/>
          <w:b/>
          <w:bCs/>
          <w:color w:val="auto"/>
          <w:sz w:val="24"/>
          <w:szCs w:val="24"/>
          <w:highlight w:val="none"/>
          <w:u w:val="single"/>
        </w:rPr>
        <w:t xml:space="preserve">达标目标为《建筑施工安全检查标准》（JGJ59-2011）及相关规范标准。其安全文明施工费用已经含在合同价款（即中标价）内。 开工通知载明的开工日期 7 天前提交安全技术措施或专项施工方案、安全生产责任制度、治安保卫制度及安全生产教育培训制度；充分考虑施工的特殊性，确保安全生产无事故，并承担相关的责任和损失。</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6.1.2关于治安保卫的特别约定：</w:t>
      </w:r>
      <w:r>
        <w:rPr>
          <w:rFonts w:hint="eastAsia" w:ascii="宋体" w:hAnsi="宋体" w:cs="宋体"/>
          <w:b/>
          <w:bCs/>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关于编制施工场地治安管理计划的约定：</w:t>
      </w:r>
      <w:r>
        <w:rPr>
          <w:rFonts w:hint="eastAsia" w:ascii="宋体" w:hAnsi="宋体" w:cs="宋体"/>
          <w:b/>
          <w:bCs/>
          <w:color w:val="auto"/>
          <w:sz w:val="24"/>
          <w:szCs w:val="24"/>
          <w:highlight w:val="none"/>
          <w:u w:val="single"/>
        </w:rPr>
        <w:t xml:space="preserve">开工通知载明的开工日期7天前提交施工场地治安管理计划。</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6.1.3 文明施工</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合同当事人对文明施工的要求：</w:t>
      </w:r>
      <w:r>
        <w:rPr>
          <w:rFonts w:hint="eastAsia" w:ascii="宋体" w:hAnsi="宋体" w:cs="宋体"/>
          <w:color w:val="auto"/>
          <w:sz w:val="24"/>
          <w:szCs w:val="24"/>
          <w:highlight w:val="none"/>
          <w:u w:val="single"/>
        </w:rPr>
        <w:t xml:space="preserve">①承包人按当地有关主管部门的规定办理相关手续，并承担相应费用，同时以书面形式通知发包人，承担施工过程中因自身原因造成的罚款。 ②承包人应遵守环境保护和清洁卫生方面的法律、法规、规定以及发包人《建设工程安全文明施工管理办法》的规定，所发生的费用由承包人承担。 ③承包人不得将施工范围内的垃圾搬运或投放至施工范围外的其他场地上，一旦发生且承包人不清理或清理不干净，发包人有权委托其它单位或个人清理，所</w:t>
      </w:r>
      <w:r>
        <w:rPr>
          <w:rFonts w:hint="eastAsia" w:ascii="宋体" w:hAnsi="宋体" w:cs="宋体"/>
          <w:color w:val="auto"/>
          <w:sz w:val="24"/>
          <w:szCs w:val="24"/>
          <w:highlight w:val="none"/>
          <w:u w:val="single"/>
        </w:rPr>
        <w:t xml:space="preserve">产生的一切费用由承包人承担，发包人在工程款支付时在承包人的工程款中按所发生的费用双倍扣还。 ④承包人在竣工验收前应将施工场地范围内的垃圾、杂物、临时道路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⑤现场施工及管理人员均需挂牌进场，否则，发包人有权对承包人处以 100 元∕人.次的违约金。 ⑥文明施工相关法律、法规、标准和规范的其他要求。</w:t>
      </w:r>
      <w:r/>
    </w:p>
    <w:p>
      <w:pPr>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严格落实《徐州市市区工地扬尘污染防治管理规范（试行）》、《徐州市区园林工地扬尘防 治攻坚行动实施方案》、《徐州市城市扬尘污染防治管理办法》之要求组织施工，施工前必须制定扬尘污染防治专项方案，并严格按审批后的专项方案组织实施。施工中自觉接受建设主管部门对扬尘污染等工作的检查，并接受违规处罚。</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6.1.4 关于安全文明施工费支付比例和支付期限的约定：</w:t>
      </w:r>
      <w:r>
        <w:rPr>
          <w:rFonts w:hint="eastAsia" w:ascii="宋体" w:hAnsi="宋体" w:cs="宋体"/>
          <w:b/>
          <w:bCs/>
          <w:color w:val="auto"/>
          <w:sz w:val="24"/>
          <w:szCs w:val="24"/>
          <w:highlight w:val="none"/>
          <w:u w:val="single"/>
        </w:rPr>
        <w:t xml:space="preserve">合同价（即中标价）款中已含，与合同价款同期支付 </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outlineLvl w:val="2"/>
      </w:pPr>
      <w:r/>
      <w:bookmarkStart w:id="290" w:name="_Toc1716959566"/>
      <w:r/>
      <w:bookmarkStart w:id="291" w:name="_Toc584454933"/>
      <w:r>
        <w:rPr>
          <w:rFonts w:hint="eastAsia" w:ascii="宋体" w:hAnsi="宋体" w:cs="宋体"/>
          <w:color w:val="auto"/>
          <w:sz w:val="24"/>
          <w:szCs w:val="24"/>
          <w:highlight w:val="none"/>
        </w:rPr>
        <w:t xml:space="preserve">6.2 环境保护</w:t>
      </w:r>
      <w:bookmarkEnd w:id="290"/>
      <w:r/>
      <w:bookmarkEnd w:id="291"/>
      <w:r/>
      <w:r/>
    </w:p>
    <w:p>
      <w:pPr>
        <w:ind w:firstLine="482"/>
        <w:jc w:val="left"/>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本款补充：</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合同当事人对农药、肥料的使用要求：</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6.2.1农药进出仓库应建立登记手续，不准随意存取。农药的领取、发放、使用、回收要由专人负责，并建立农药使用管理台账。</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6.2.2农药使用时按照《徐州市绿化养护管理条例》中相关要求进行。</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6.2.3工程施工中使用肥料按照使用说明书要求进行，严禁使用气味较大的肥料。</w:t>
      </w:r>
      <w:bookmarkEnd w:id="275"/>
      <w:r/>
      <w:bookmarkEnd w:id="276"/>
      <w:r/>
      <w:bookmarkEnd w:id="277"/>
      <w:r/>
      <w:bookmarkEnd w:id="278"/>
      <w:r/>
      <w:bookmarkEnd w:id="279"/>
      <w:r/>
      <w:bookmarkEnd w:id="280"/>
      <w:r/>
      <w:bookmarkEnd w:id="281"/>
      <w:r/>
      <w:r/>
    </w:p>
    <w:p>
      <w:pPr>
        <w:pStyle w:val="955"/>
        <w:numPr>
          <w:ilvl w:val="0"/>
          <w:numId w:val="9"/>
        </w:numPr>
        <w:spacing w:line="440" w:lineRule="exact"/>
        <w:rPr>
          <w:rFonts w:ascii="宋体" w:hAnsi="宋体" w:cs="宋体"/>
          <w:b w:val="0"/>
          <w:color w:val="auto"/>
          <w:sz w:val="24"/>
          <w:szCs w:val="24"/>
          <w:highlight w:val="none"/>
        </w:rPr>
      </w:pPr>
      <w:r/>
      <w:bookmarkStart w:id="292" w:name="_Toc1019739217"/>
      <w:r/>
      <w:bookmarkStart w:id="293" w:name="_Toc309374293"/>
      <w:r>
        <w:rPr>
          <w:rFonts w:hint="eastAsia" w:ascii="宋体" w:hAnsi="宋体" w:cs="宋体"/>
          <w:b w:val="0"/>
          <w:color w:val="auto"/>
          <w:sz w:val="24"/>
          <w:szCs w:val="24"/>
          <w:highlight w:val="none"/>
        </w:rPr>
        <w:t xml:space="preserve">工期和进度</w:t>
      </w:r>
      <w:bookmarkEnd w:id="292"/>
      <w:r/>
      <w:bookmarkEnd w:id="293"/>
      <w:r/>
      <w:r/>
    </w:p>
    <w:p>
      <w:pPr>
        <w:ind w:firstLine="240"/>
        <w:spacing w:line="440" w:lineRule="exact"/>
        <w:tabs>
          <w:tab w:val="left" w:pos="472" w:leader="none"/>
        </w:tabs>
        <w:rPr>
          <w:rFonts w:ascii="宋体" w:hAnsi="宋体" w:cs="宋体"/>
          <w:color w:val="auto"/>
          <w:sz w:val="24"/>
          <w:szCs w:val="24"/>
          <w:highlight w:val="none"/>
        </w:rPr>
        <w:outlineLvl w:val="2"/>
      </w:pPr>
      <w:r/>
      <w:bookmarkStart w:id="294" w:name="_Toc829052215"/>
      <w:r/>
      <w:bookmarkStart w:id="295" w:name="_Toc20685"/>
      <w:r/>
      <w:bookmarkStart w:id="296" w:name="_Toc152004302"/>
      <w:r>
        <w:rPr>
          <w:rFonts w:hint="eastAsia" w:ascii="宋体" w:hAnsi="宋体" w:cs="宋体"/>
          <w:color w:val="auto"/>
          <w:sz w:val="24"/>
          <w:szCs w:val="24"/>
          <w:highlight w:val="none"/>
        </w:rPr>
        <w:t xml:space="preserve">7.1施工组织设计</w:t>
      </w:r>
      <w:bookmarkEnd w:id="294"/>
      <w:r/>
      <w:bookmarkEnd w:id="295"/>
      <w:r/>
      <w:bookmarkEnd w:id="296"/>
      <w:r/>
      <w:r/>
    </w:p>
    <w:p>
      <w:pPr>
        <w:ind w:left="420"/>
        <w:spacing w:line="440" w:lineRule="exact"/>
        <w:rPr>
          <w:rFonts w:ascii="宋体" w:hAnsi="宋体" w:cs="宋体"/>
          <w:color w:val="auto"/>
          <w:sz w:val="24"/>
          <w:szCs w:val="24"/>
          <w:highlight w:val="none"/>
        </w:rPr>
        <w:outlineLvl w:val="2"/>
      </w:pPr>
      <w:r>
        <w:rPr>
          <w:rFonts w:hint="eastAsia" w:ascii="宋体" w:hAnsi="宋体" w:cs="宋体"/>
          <w:b/>
          <w:bCs/>
          <w:color w:val="auto"/>
          <w:sz w:val="24"/>
          <w:szCs w:val="24"/>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440" w:lineRule="exact"/>
        <w:rPr>
          <w:rFonts w:ascii="宋体" w:hAnsi="宋体" w:cs="宋体"/>
          <w:color w:val="auto"/>
          <w:sz w:val="24"/>
          <w:szCs w:val="24"/>
          <w:highlight w:val="none"/>
        </w:rPr>
        <w:outlineLvl w:val="2"/>
      </w:pPr>
      <w:r/>
      <w:bookmarkStart w:id="297" w:name="_Toc856803142"/>
      <w:r/>
      <w:bookmarkStart w:id="298" w:name="_Toc1337492230"/>
      <w:r>
        <w:rPr>
          <w:rFonts w:hint="eastAsia" w:ascii="宋体" w:hAnsi="宋体" w:cs="宋体"/>
          <w:color w:val="auto"/>
          <w:sz w:val="24"/>
          <w:szCs w:val="24"/>
          <w:highlight w:val="none"/>
        </w:rPr>
        <w:t xml:space="preserve">7.1.1 </w:t>
      </w:r>
      <w:r>
        <w:rPr>
          <w:rFonts w:hint="eastAsia" w:ascii="宋体" w:hAnsi="宋体" w:cs="宋体"/>
          <w:color w:val="auto"/>
          <w:sz w:val="24"/>
          <w:szCs w:val="24"/>
          <w:highlight w:val="none"/>
        </w:rPr>
        <w:t xml:space="preserve">工程涉及以下内容的，合</w:t>
      </w:r>
      <w:r>
        <w:rPr>
          <w:rFonts w:hint="eastAsia" w:ascii="宋体" w:hAnsi="宋体" w:cs="宋体"/>
          <w:color w:val="auto"/>
          <w:sz w:val="24"/>
          <w:szCs w:val="24"/>
          <w:highlight w:val="none"/>
        </w:rPr>
        <w:t xml:space="preserve">同当事人约定的施工组织设计还应包括此类工程内容的专项施工方案：</w:t>
      </w:r>
      <w:bookmarkEnd w:id="297"/>
      <w:r/>
      <w:bookmarkEnd w:id="298"/>
      <w:r/>
      <w:r/>
    </w:p>
    <w:p>
      <w:pPr>
        <w:ind w:firstLine="480"/>
        <w:spacing w:line="440" w:lineRule="exact"/>
        <w:rPr>
          <w:rFonts w:ascii="宋体" w:hAnsi="宋体" w:cs="宋体"/>
          <w:color w:val="auto"/>
          <w:sz w:val="24"/>
          <w:szCs w:val="24"/>
          <w:highlight w:val="none"/>
        </w:rPr>
        <w:outlineLvl w:val="2"/>
      </w:pPr>
      <w:r/>
      <w:bookmarkStart w:id="299" w:name="_Toc1488833316"/>
      <w:r/>
      <w:bookmarkStart w:id="300" w:name="_Toc650023867"/>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现状树木保护；</w:t>
      </w:r>
      <w:bookmarkEnd w:id="299"/>
      <w:r/>
      <w:bookmarkEnd w:id="300"/>
      <w:r/>
      <w:r/>
    </w:p>
    <w:p>
      <w:pPr>
        <w:ind w:firstLine="480"/>
        <w:spacing w:line="440" w:lineRule="exact"/>
        <w:rPr>
          <w:rFonts w:ascii="宋体" w:hAnsi="宋体" w:cs="宋体"/>
          <w:color w:val="auto"/>
          <w:sz w:val="24"/>
          <w:szCs w:val="24"/>
          <w:highlight w:val="none"/>
        </w:rPr>
        <w:outlineLvl w:val="2"/>
      </w:pPr>
      <w:r/>
      <w:bookmarkStart w:id="301" w:name="_Toc266056742"/>
      <w:r/>
      <w:bookmarkStart w:id="302" w:name="_Toc382208328"/>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古树名木保护;</w:t>
      </w:r>
      <w:bookmarkEnd w:id="301"/>
      <w:r/>
      <w:bookmarkEnd w:id="302"/>
      <w:r/>
      <w:r/>
    </w:p>
    <w:p>
      <w:pPr>
        <w:ind w:firstLine="480"/>
        <w:spacing w:line="440" w:lineRule="exact"/>
        <w:rPr>
          <w:rFonts w:ascii="宋体" w:hAnsi="宋体" w:cs="宋体"/>
          <w:color w:val="auto"/>
          <w:sz w:val="24"/>
          <w:szCs w:val="24"/>
          <w:highlight w:val="none"/>
        </w:rPr>
        <w:outlineLvl w:val="2"/>
      </w:pPr>
      <w:r/>
      <w:bookmarkStart w:id="303" w:name="_Toc1350692319"/>
      <w:r/>
      <w:bookmarkStart w:id="304" w:name="_Toc1137515080"/>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土壤改良;</w:t>
      </w:r>
      <w:bookmarkEnd w:id="303"/>
      <w:r/>
      <w:bookmarkEnd w:id="304"/>
      <w:r/>
      <w:r/>
    </w:p>
    <w:p>
      <w:pPr>
        <w:ind w:firstLine="480"/>
        <w:spacing w:line="440" w:lineRule="exact"/>
        <w:rPr>
          <w:rFonts w:ascii="宋体" w:hAnsi="宋体" w:cs="宋体"/>
          <w:color w:val="auto"/>
          <w:sz w:val="24"/>
          <w:szCs w:val="24"/>
          <w:highlight w:val="none"/>
        </w:rPr>
        <w:outlineLvl w:val="2"/>
      </w:pPr>
      <w:r/>
      <w:bookmarkStart w:id="305" w:name="_Toc1673538922"/>
      <w:r/>
      <w:bookmarkStart w:id="306" w:name="_Toc630504734"/>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其他内容：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305"/>
      <w:r/>
      <w:bookmarkEnd w:id="306"/>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7.1.2 </w:t>
      </w:r>
      <w:r>
        <w:rPr>
          <w:rFonts w:hint="eastAsia" w:ascii="宋体" w:hAnsi="宋体" w:cs="宋体"/>
          <w:color w:val="auto"/>
          <w:sz w:val="24"/>
          <w:szCs w:val="24"/>
          <w:highlight w:val="none"/>
        </w:rPr>
        <w:t xml:space="preserve">施工组织设计的提交和修改</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承包人提交详细施工组织设计的期限的约定：</w:t>
      </w:r>
      <w:r>
        <w:rPr>
          <w:rFonts w:hint="eastAsia" w:ascii="宋体" w:hAnsi="宋体" w:cs="宋体"/>
          <w:color w:val="auto"/>
          <w:sz w:val="24"/>
          <w:szCs w:val="24"/>
          <w:highlight w:val="none"/>
          <w:u w:val="single"/>
        </w:rPr>
        <w:t xml:space="preserve">               </w:t>
      </w:r>
      <w:r/>
    </w:p>
    <w:p>
      <w:pPr>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开工通知载明的开工日期7天前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发包人和监理人在收到详细的施工组织设计后确认或提出修改意见的期限：</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收到后7天内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outlineLvl w:val="2"/>
      </w:pPr>
      <w:r/>
      <w:bookmarkStart w:id="307" w:name="_Toc2142813545"/>
      <w:r/>
      <w:bookmarkStart w:id="308" w:name="_Toc1135946897"/>
      <w:r/>
      <w:bookmarkStart w:id="309" w:name="_Toc14427"/>
      <w:r/>
      <w:bookmarkStart w:id="310" w:name="_Toc297216173"/>
      <w:r/>
      <w:bookmarkStart w:id="311" w:name="_Toc300934966"/>
      <w:r/>
      <w:bookmarkStart w:id="312" w:name="_Toc312677479"/>
      <w:r/>
      <w:bookmarkStart w:id="313" w:name="_Toc297123514"/>
      <w:r/>
      <w:bookmarkStart w:id="314" w:name="_Toc312678005"/>
      <w:r/>
      <w:bookmarkStart w:id="315" w:name="_Toc304295541"/>
      <w:r/>
      <w:bookmarkStart w:id="316" w:name="_Toc303539123"/>
      <w:r>
        <w:rPr>
          <w:rFonts w:hint="eastAsia" w:ascii="宋体" w:hAnsi="宋体" w:cs="宋体"/>
          <w:color w:val="auto"/>
          <w:sz w:val="24"/>
          <w:szCs w:val="24"/>
          <w:highlight w:val="none"/>
        </w:rPr>
        <w:t xml:space="preserve">7.2施工进度计划</w:t>
      </w:r>
      <w:bookmarkEnd w:id="307"/>
      <w:r/>
      <w:bookmarkEnd w:id="308"/>
      <w:r/>
      <w:bookmarkEnd w:id="309"/>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7.2.1施工进度计划的编制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7.2.2施工进度计划的修订</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3天内完成审核和批准或提出修改意见。发包人和监理人对承包人提交的施工进度计划的确认，不能减轻或免除承包人根据法律法规规定和合同约定应承担的任何责任或义务。</w:t>
      </w:r>
      <w:r/>
    </w:p>
    <w:p>
      <w:pPr>
        <w:ind w:firstLine="24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7.3开工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7.3.1 开工准备</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关于承包人提交工程开工报审表的期限：</w:t>
      </w:r>
      <w:r>
        <w:rPr>
          <w:rFonts w:hint="eastAsia" w:ascii="宋体" w:hAnsi="宋体" w:cs="宋体"/>
          <w:color w:val="auto"/>
          <w:sz w:val="24"/>
          <w:szCs w:val="24"/>
          <w:highlight w:val="none"/>
          <w:u w:val="single"/>
        </w:rPr>
        <w:t xml:space="preserve">合同签订后、开工前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关于发包人应完成的其他开工准备工作及期限：</w:t>
      </w:r>
      <w:r>
        <w:rPr>
          <w:rFonts w:hint="eastAsia" w:ascii="宋体" w:hAnsi="宋体" w:cs="宋体"/>
          <w:b/>
          <w:bCs/>
          <w:color w:val="auto"/>
          <w:sz w:val="24"/>
          <w:szCs w:val="24"/>
          <w:highlight w:val="none"/>
          <w:u w:val="single"/>
        </w:rPr>
        <w:t xml:space="preserve">执行通用条款</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关于承包人应完成的其他开工准备工作及期限</w:t>
      </w:r>
      <w:r>
        <w:rPr>
          <w:rFonts w:hint="eastAsia" w:ascii="宋体" w:hAnsi="宋体" w:cs="宋体"/>
          <w:color w:val="auto"/>
          <w:sz w:val="24"/>
          <w:szCs w:val="24"/>
          <w:highlight w:val="none"/>
          <w:u w:val="single"/>
        </w:rPr>
        <w:t xml:space="preserve">：开工报告批准日期之前。</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7.3.2 开工通知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因发包人原因或监理人未能在计划开工日期之日起 </w:t>
      </w:r>
      <w:r>
        <w:rPr>
          <w:rFonts w:hint="eastAsia" w:ascii="宋体" w:hAnsi="宋体" w:cs="宋体"/>
          <w:color w:val="auto"/>
          <w:sz w:val="24"/>
          <w:szCs w:val="24"/>
          <w:highlight w:val="none"/>
          <w:u w:val="single"/>
        </w:rPr>
        <w:t xml:space="preserve">30 </w:t>
      </w:r>
      <w:r>
        <w:rPr>
          <w:rFonts w:hint="eastAsia" w:ascii="宋体" w:hAnsi="宋体" w:cs="宋体"/>
          <w:color w:val="auto"/>
          <w:sz w:val="24"/>
          <w:szCs w:val="24"/>
          <w:highlight w:val="none"/>
        </w:rPr>
        <w:t xml:space="preserve">天内发出开工通知的，承包人有权提出价格调整要求。</w:t>
      </w:r>
      <w:bookmarkEnd w:id="310"/>
      <w:r/>
      <w:bookmarkEnd w:id="311"/>
      <w:r/>
      <w:bookmarkEnd w:id="312"/>
      <w:r/>
      <w:bookmarkEnd w:id="313"/>
      <w:r/>
      <w:bookmarkEnd w:id="314"/>
      <w:r/>
      <w:bookmarkEnd w:id="315"/>
      <w:r/>
      <w:bookmarkEnd w:id="316"/>
      <w:r/>
      <w:r/>
    </w:p>
    <w:p>
      <w:pPr>
        <w:ind w:firstLine="240"/>
        <w:spacing w:line="440" w:lineRule="exact"/>
        <w:rPr>
          <w:rFonts w:ascii="宋体" w:hAnsi="宋体" w:cs="宋体"/>
          <w:color w:val="auto"/>
          <w:sz w:val="24"/>
          <w:szCs w:val="24"/>
          <w:highlight w:val="none"/>
        </w:rPr>
        <w:outlineLvl w:val="2"/>
      </w:pPr>
      <w:r/>
      <w:bookmarkStart w:id="317" w:name="_Toc19537660"/>
      <w:r/>
      <w:bookmarkStart w:id="318" w:name="_Toc17408"/>
      <w:r/>
      <w:bookmarkStart w:id="319" w:name="_Toc96331289"/>
      <w:r>
        <w:rPr>
          <w:rFonts w:hint="eastAsia" w:ascii="宋体" w:hAnsi="宋体" w:cs="宋体"/>
          <w:color w:val="auto"/>
          <w:sz w:val="24"/>
          <w:szCs w:val="24"/>
          <w:highlight w:val="none"/>
        </w:rPr>
        <w:t xml:space="preserve">7.4 测量放线</w:t>
      </w:r>
      <w:bookmarkEnd w:id="317"/>
      <w:r/>
      <w:bookmarkEnd w:id="318"/>
      <w:r/>
      <w:bookmarkEnd w:id="319"/>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7.4.1 发包人或发包人通过监理人向承包人提供测量基准点、基准线和水准点及其书面资料在开工日期前7天通过监理人向承包人提供测量基准点、基准线和水准点及其书面资料。发包人应对其提供的测量基准点、基准线和水准点及其书面资料的真实性、准确性和完整性负责。</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7.4.2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240"/>
        <w:spacing w:line="440" w:lineRule="exact"/>
        <w:rPr>
          <w:rFonts w:ascii="宋体" w:hAnsi="宋体" w:cs="宋体"/>
          <w:color w:val="auto"/>
          <w:sz w:val="24"/>
          <w:szCs w:val="24"/>
          <w:highlight w:val="none"/>
        </w:rPr>
        <w:outlineLvl w:val="2"/>
      </w:pPr>
      <w:r/>
      <w:bookmarkStart w:id="320" w:name="_Toc117950900"/>
      <w:r/>
      <w:bookmarkStart w:id="321" w:name="_Toc1986698096"/>
      <w:r/>
      <w:bookmarkStart w:id="322" w:name="_Toc20355"/>
      <w:r>
        <w:rPr>
          <w:rFonts w:hint="eastAsia" w:ascii="宋体" w:hAnsi="宋体" w:cs="宋体"/>
          <w:color w:val="auto"/>
          <w:sz w:val="24"/>
          <w:szCs w:val="24"/>
          <w:highlight w:val="none"/>
        </w:rPr>
        <w:t xml:space="preserve">7</w:t>
      </w:r>
      <w:bookmarkStart w:id="323" w:name="_Toc297216175"/>
      <w:r/>
      <w:bookmarkStart w:id="324" w:name="_Toc297123516"/>
      <w:r/>
      <w:bookmarkStart w:id="325" w:name="_Toc300934968"/>
      <w:r/>
      <w:bookmarkStart w:id="326" w:name="_Toc312678010"/>
      <w:r/>
      <w:bookmarkStart w:id="327" w:name="_Toc303539125"/>
      <w:r/>
      <w:bookmarkStart w:id="328" w:name="_Toc304295546"/>
      <w:r/>
      <w:bookmarkStart w:id="329" w:name="_Toc312677484"/>
      <w:r>
        <w:rPr>
          <w:rFonts w:hint="eastAsia" w:ascii="宋体" w:hAnsi="宋体" w:cs="宋体"/>
          <w:color w:val="auto"/>
          <w:sz w:val="24"/>
          <w:szCs w:val="24"/>
          <w:highlight w:val="none"/>
        </w:rPr>
        <w:t xml:space="preserve">.5 工期延误</w:t>
      </w:r>
      <w:bookmarkEnd w:id="320"/>
      <w:r/>
      <w:bookmarkEnd w:id="321"/>
      <w:r/>
      <w:bookmarkEnd w:id="322"/>
      <w:r/>
      <w:bookmarkEnd w:id="323"/>
      <w:r/>
      <w:bookmarkEnd w:id="324"/>
      <w:r/>
      <w:bookmarkEnd w:id="325"/>
      <w:r/>
      <w:bookmarkEnd w:id="326"/>
      <w:r/>
      <w:bookmarkEnd w:id="327"/>
      <w:r/>
      <w:bookmarkEnd w:id="328"/>
      <w:r/>
      <w:bookmarkEnd w:id="329"/>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7.5.1 因发包人原因导致工期延误</w:t>
      </w:r>
      <w:r/>
    </w:p>
    <w:p>
      <w:pPr>
        <w:ind w:firstLine="72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因发包人原因导致工期延误的其他情形：</w:t>
      </w:r>
      <w:r>
        <w:rPr>
          <w:rFonts w:hint="eastAsia" w:ascii="宋体" w:hAnsi="宋体" w:cs="宋体"/>
          <w:color w:val="auto"/>
          <w:sz w:val="24"/>
          <w:szCs w:val="24"/>
          <w:highlight w:val="none"/>
          <w:u w:val="single"/>
        </w:rPr>
        <w:t xml:space="preserve">由于发包人原因导致的工期延误, 工期相应顺延。合同工期作相应调整,材料差价调整按合同相应条款及规定执行（不可抗力原因除外），承包人不得提出任何其他补偿或索赔费用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330" w:name="_Toc318581169"/>
      <w:r/>
      <w:bookmarkStart w:id="331" w:name="_Toc312678012"/>
      <w:r/>
      <w:bookmarkStart w:id="332" w:name="_Toc312677486"/>
      <w:r/>
      <w:bookmarkStart w:id="333" w:name="_Toc297216177"/>
      <w:r/>
      <w:bookmarkStart w:id="334" w:name="_Toc303539127"/>
      <w:r/>
      <w:bookmarkStart w:id="335" w:name="_Toc300934970"/>
      <w:r/>
      <w:bookmarkStart w:id="336" w:name="_Toc304295548"/>
      <w:r/>
      <w:bookmarkStart w:id="337" w:name="_Toc297123518"/>
      <w:r>
        <w:rPr>
          <w:rFonts w:hint="eastAsia" w:ascii="宋体" w:hAnsi="宋体" w:cs="宋体"/>
          <w:color w:val="auto"/>
          <w:sz w:val="24"/>
          <w:szCs w:val="24"/>
          <w:highlight w:val="none"/>
        </w:rPr>
        <w:t xml:space="preserve">.5.2 因承包人原因导致工期延误</w:t>
      </w:r>
      <w:bookmarkEnd w:id="330"/>
      <w:r/>
      <w:bookmarkEnd w:id="331"/>
      <w:r/>
      <w:bookmarkEnd w:id="332"/>
      <w:r/>
      <w:r/>
    </w:p>
    <w:p>
      <w:pPr>
        <w:ind w:firstLine="72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因</w:t>
      </w:r>
      <w:bookmarkStart w:id="338" w:name="_Toc312677487"/>
      <w:r/>
      <w:bookmarkStart w:id="339" w:name="_Toc312678013"/>
      <w:r/>
      <w:bookmarkStart w:id="340" w:name="_Toc318581170"/>
      <w:r>
        <w:rPr>
          <w:rFonts w:hint="eastAsia" w:ascii="宋体" w:hAnsi="宋体" w:cs="宋体"/>
          <w:color w:val="auto"/>
          <w:sz w:val="24"/>
          <w:szCs w:val="24"/>
          <w:highlight w:val="none"/>
        </w:rPr>
        <w:t xml:space="preserve">承包人原因造成工期延误，逾期竣工违约金的计算方法为：</w:t>
      </w:r>
      <w:r>
        <w:rPr>
          <w:rFonts w:hint="eastAsia" w:ascii="宋体" w:hAnsi="宋体" w:cs="宋体"/>
          <w:color w:val="auto"/>
          <w:sz w:val="24"/>
          <w:szCs w:val="24"/>
          <w:highlight w:val="none"/>
          <w:u w:val="single"/>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每延误一天按壹万元计取违约金，累计 5 天</w:t>
      </w:r>
      <w:r>
        <w:rPr>
          <w:rFonts w:hint="eastAsia" w:ascii="宋体" w:hAnsi="宋体" w:cs="宋体"/>
          <w:color w:val="auto"/>
          <w:sz w:val="24"/>
          <w:szCs w:val="24"/>
          <w:highlight w:val="none"/>
          <w:u w:val="single"/>
          <w:lang w:eastAsia="zh-CN"/>
        </w:rPr>
        <w:t xml:space="preserve">发包人有权解除</w:t>
      </w:r>
      <w:r>
        <w:rPr>
          <w:rFonts w:hint="eastAsia" w:ascii="宋体" w:hAnsi="宋体" w:cs="宋体"/>
          <w:color w:val="auto"/>
          <w:sz w:val="24"/>
          <w:szCs w:val="24"/>
          <w:highlight w:val="none"/>
          <w:u w:val="single"/>
        </w:rPr>
        <w:t xml:space="preserve">合同，</w:t>
      </w:r>
      <w:r>
        <w:rPr>
          <w:rFonts w:hint="eastAsia" w:ascii="宋体" w:hAnsi="宋体" w:cs="宋体"/>
          <w:color w:val="auto"/>
          <w:sz w:val="24"/>
          <w:szCs w:val="24"/>
          <w:highlight w:val="none"/>
          <w:u w:val="single"/>
          <w:lang w:eastAsia="zh-CN"/>
        </w:rPr>
        <w:t xml:space="preserve">承包人</w:t>
      </w:r>
      <w:r>
        <w:rPr>
          <w:rFonts w:hint="eastAsia" w:ascii="宋体" w:hAnsi="宋体" w:cs="宋体"/>
          <w:color w:val="auto"/>
          <w:sz w:val="24"/>
          <w:szCs w:val="24"/>
          <w:highlight w:val="none"/>
          <w:u w:val="single"/>
        </w:rPr>
        <w:t xml:space="preserve">承担延误造成的损失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333"/>
      <w:r/>
      <w:bookmarkEnd w:id="334"/>
      <w:r/>
      <w:bookmarkEnd w:id="335"/>
      <w:r/>
      <w:bookmarkEnd w:id="336"/>
      <w:r/>
      <w:bookmarkEnd w:id="337"/>
      <w:r/>
      <w:bookmarkEnd w:id="338"/>
      <w:r/>
      <w:bookmarkEnd w:id="339"/>
      <w:r>
        <w:rPr>
          <w:rFonts w:hint="eastAsia" w:ascii="宋体" w:hAnsi="宋体" w:cs="宋体"/>
          <w:color w:val="auto"/>
          <w:sz w:val="24"/>
          <w:szCs w:val="24"/>
          <w:highlight w:val="none"/>
        </w:rPr>
        <w:t xml:space="preserve">承包人支付逾期竣工违约金后，不免除承包人继续完成工程及修补缺陷的义务。</w:t>
      </w:r>
      <w:bookmarkEnd w:id="340"/>
      <w:r/>
      <w:r/>
    </w:p>
    <w:p>
      <w:pPr>
        <w:ind w:firstLine="240"/>
        <w:spacing w:line="440" w:lineRule="exact"/>
        <w:rPr>
          <w:rFonts w:ascii="宋体" w:hAnsi="宋体" w:cs="宋体"/>
          <w:color w:val="auto"/>
          <w:sz w:val="24"/>
          <w:szCs w:val="24"/>
          <w:highlight w:val="none"/>
        </w:rPr>
        <w:outlineLvl w:val="2"/>
      </w:pPr>
      <w:r/>
      <w:bookmarkStart w:id="341" w:name="_Toc441299698"/>
      <w:r/>
      <w:bookmarkStart w:id="342" w:name="_Toc28024"/>
      <w:r/>
      <w:bookmarkStart w:id="343" w:name="_Toc1834347369"/>
      <w:r>
        <w:rPr>
          <w:rFonts w:hint="eastAsia" w:ascii="宋体" w:hAnsi="宋体" w:cs="宋体"/>
          <w:color w:val="auto"/>
          <w:sz w:val="24"/>
          <w:szCs w:val="24"/>
          <w:highlight w:val="none"/>
        </w:rPr>
        <w:t xml:space="preserve">7</w:t>
      </w:r>
      <w:bookmarkStart w:id="344" w:name="_Toc303539128"/>
      <w:r/>
      <w:bookmarkStart w:id="345" w:name="_Toc312678015"/>
      <w:r/>
      <w:bookmarkStart w:id="346" w:name="_Toc297123519"/>
      <w:r/>
      <w:bookmarkStart w:id="347" w:name="_Toc300934971"/>
      <w:r/>
      <w:bookmarkStart w:id="348" w:name="_Toc304295549"/>
      <w:r/>
      <w:bookmarkStart w:id="349" w:name="_Toc297216178"/>
      <w:r>
        <w:rPr>
          <w:rFonts w:hint="eastAsia" w:ascii="宋体" w:hAnsi="宋体" w:cs="宋体"/>
          <w:color w:val="auto"/>
          <w:sz w:val="24"/>
          <w:szCs w:val="24"/>
          <w:highlight w:val="none"/>
        </w:rPr>
        <w:t xml:space="preserve">.6 不</w:t>
      </w:r>
      <w:bookmarkEnd w:id="344"/>
      <w:r/>
      <w:bookmarkEnd w:id="345"/>
      <w:r/>
      <w:bookmarkEnd w:id="346"/>
      <w:r/>
      <w:bookmarkEnd w:id="347"/>
      <w:r/>
      <w:bookmarkEnd w:id="348"/>
      <w:r/>
      <w:bookmarkEnd w:id="349"/>
      <w:r>
        <w:rPr>
          <w:rFonts w:hint="eastAsia" w:ascii="宋体" w:hAnsi="宋体" w:cs="宋体"/>
          <w:color w:val="auto"/>
          <w:sz w:val="24"/>
          <w:szCs w:val="24"/>
          <w:highlight w:val="none"/>
        </w:rPr>
        <w:t xml:space="preserve">利物质条件</w:t>
      </w:r>
      <w:bookmarkEnd w:id="341"/>
      <w:r/>
      <w:bookmarkEnd w:id="342"/>
      <w:r/>
      <w:bookmarkEnd w:id="343"/>
      <w:r/>
      <w:r/>
    </w:p>
    <w:p>
      <w:pPr>
        <w:jc w:val="left"/>
        <w:spacing w:line="440" w:lineRule="exact"/>
        <w:rPr>
          <w:rFonts w:ascii="宋体" w:hAnsi="宋体" w:cs="宋体"/>
          <w:color w:val="auto"/>
          <w:sz w:val="24"/>
          <w:szCs w:val="24"/>
          <w:highlight w:val="none"/>
        </w:rPr>
      </w:pPr>
      <w:r/>
      <w:bookmarkStart w:id="350" w:name="_Toc304295550"/>
      <w:r/>
      <w:bookmarkStart w:id="351" w:name="_Toc312678016"/>
      <w:r/>
      <w:bookmarkStart w:id="352" w:name="_Toc318581172"/>
      <w:r/>
      <w:bookmarkStart w:id="353" w:name="_Toc303539129"/>
      <w:r/>
      <w:bookmarkStart w:id="354" w:name="_Toc297216179"/>
      <w:r/>
      <w:bookmarkStart w:id="355" w:name="_Toc297123520"/>
      <w:r/>
      <w:bookmarkStart w:id="356" w:name="_Toc300934972"/>
      <w:r>
        <w:rPr>
          <w:rFonts w:hint="eastAsia" w:ascii="宋体" w:hAnsi="宋体" w:cs="宋体"/>
          <w:color w:val="auto"/>
          <w:sz w:val="24"/>
          <w:szCs w:val="24"/>
          <w:highlight w:val="none"/>
        </w:rPr>
        <w:t xml:space="preserve">不利物质条件的其他情形和有关约定：</w:t>
      </w:r>
      <w:r>
        <w:rPr>
          <w:rFonts w:hint="eastAsia" w:ascii="宋体" w:hAnsi="宋体" w:cs="宋体"/>
          <w:b/>
          <w:bCs/>
          <w:color w:val="auto"/>
          <w:sz w:val="24"/>
          <w:szCs w:val="24"/>
          <w:highlight w:val="none"/>
          <w:u w:val="single"/>
        </w:rPr>
        <w:t xml:space="preserve">执行通用条款 </w:t>
      </w:r>
      <w:r>
        <w:rPr>
          <w:rFonts w:hint="eastAsia" w:ascii="宋体" w:hAnsi="宋体" w:cs="宋体"/>
          <w:color w:val="auto"/>
          <w:sz w:val="24"/>
          <w:szCs w:val="24"/>
          <w:highlight w:val="none"/>
        </w:rPr>
        <w:t xml:space="preserve"> 。</w:t>
      </w:r>
      <w:bookmarkEnd w:id="350"/>
      <w:r/>
      <w:bookmarkEnd w:id="351"/>
      <w:r/>
      <w:bookmarkEnd w:id="352"/>
      <w:r/>
      <w:bookmarkEnd w:id="353"/>
      <w:r/>
      <w:bookmarkEnd w:id="354"/>
      <w:r/>
      <w:bookmarkEnd w:id="355"/>
      <w:r/>
      <w:bookmarkEnd w:id="356"/>
      <w:r/>
      <w:r/>
    </w:p>
    <w:p>
      <w:pPr>
        <w:ind w:firstLine="240"/>
        <w:spacing w:line="440" w:lineRule="exact"/>
        <w:rPr>
          <w:rFonts w:ascii="宋体" w:hAnsi="宋体" w:cs="宋体"/>
          <w:color w:val="auto"/>
          <w:sz w:val="24"/>
          <w:szCs w:val="24"/>
          <w:highlight w:val="none"/>
        </w:rPr>
        <w:outlineLvl w:val="2"/>
      </w:pPr>
      <w:r/>
      <w:bookmarkStart w:id="357" w:name="_Toc1225022270"/>
      <w:r/>
      <w:bookmarkStart w:id="358" w:name="_Toc1077505333"/>
      <w:r/>
      <w:bookmarkStart w:id="359" w:name="_Toc32335"/>
      <w:r>
        <w:rPr>
          <w:rFonts w:hint="eastAsia" w:ascii="宋体" w:hAnsi="宋体" w:cs="宋体"/>
          <w:color w:val="auto"/>
          <w:sz w:val="24"/>
          <w:szCs w:val="24"/>
          <w:highlight w:val="none"/>
        </w:rPr>
        <w:t xml:space="preserve">7</w:t>
      </w:r>
      <w:bookmarkStart w:id="360" w:name="_Toc304295551"/>
      <w:r/>
      <w:bookmarkStart w:id="361" w:name="_Toc297123521"/>
      <w:r/>
      <w:bookmarkStart w:id="362" w:name="_Toc297216180"/>
      <w:r/>
      <w:bookmarkStart w:id="363" w:name="_Toc303539130"/>
      <w:r/>
      <w:bookmarkStart w:id="364" w:name="_Toc300934973"/>
      <w:r/>
      <w:bookmarkStart w:id="365" w:name="_Toc312678017"/>
      <w:r>
        <w:rPr>
          <w:rFonts w:hint="eastAsia" w:ascii="宋体" w:hAnsi="宋体" w:cs="宋体"/>
          <w:color w:val="auto"/>
          <w:sz w:val="24"/>
          <w:szCs w:val="24"/>
          <w:highlight w:val="none"/>
        </w:rPr>
        <w:t xml:space="preserve">.7 异常恶劣的气候条件</w:t>
      </w:r>
      <w:bookmarkEnd w:id="357"/>
      <w:r/>
      <w:bookmarkEnd w:id="358"/>
      <w:r/>
      <w:bookmarkEnd w:id="359"/>
      <w:r/>
      <w:bookmarkEnd w:id="360"/>
      <w:r/>
      <w:bookmarkEnd w:id="361"/>
      <w:r/>
      <w:bookmarkEnd w:id="362"/>
      <w:r/>
      <w:bookmarkEnd w:id="363"/>
      <w:r/>
      <w:bookmarkEnd w:id="364"/>
      <w:r/>
      <w:bookmarkEnd w:id="365"/>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发包人和承包人同意以下情形视为异常恶劣的气候条件：</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执行通用条款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outlineLvl w:val="2"/>
      </w:pPr>
      <w:r/>
      <w:bookmarkStart w:id="366" w:name="_Toc18194"/>
      <w:r/>
      <w:bookmarkStart w:id="367" w:name="_Toc625782789"/>
      <w:r/>
      <w:bookmarkStart w:id="368" w:name="_Toc63384221"/>
      <w:r>
        <w:rPr>
          <w:rFonts w:hint="eastAsia" w:ascii="宋体" w:hAnsi="宋体" w:cs="宋体"/>
          <w:color w:val="auto"/>
          <w:sz w:val="24"/>
          <w:szCs w:val="24"/>
          <w:highlight w:val="none"/>
        </w:rPr>
        <w:t xml:space="preserve">7.8 提前竣工的奖励</w:t>
      </w:r>
      <w:bookmarkEnd w:id="366"/>
      <w:r/>
      <w:bookmarkEnd w:id="367"/>
      <w:r/>
      <w:bookmarkEnd w:id="368"/>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提前竣工的奖励：按照合同工期每提前一天奖励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元。  </w:t>
      </w:r>
      <w:r/>
    </w:p>
    <w:p>
      <w:pPr>
        <w:pStyle w:val="955"/>
        <w:spacing w:line="440" w:lineRule="exact"/>
        <w:rPr>
          <w:rFonts w:ascii="宋体" w:hAnsi="宋体" w:cs="宋体"/>
          <w:b w:val="0"/>
          <w:color w:val="auto"/>
          <w:sz w:val="24"/>
          <w:szCs w:val="24"/>
          <w:highlight w:val="none"/>
        </w:rPr>
      </w:pPr>
      <w:r/>
      <w:bookmarkStart w:id="369" w:name="_Toc1290932324"/>
      <w:r/>
      <w:bookmarkStart w:id="370" w:name="_Toc1981848881"/>
      <w:r>
        <w:rPr>
          <w:rFonts w:hint="eastAsia" w:ascii="宋体" w:hAnsi="宋体" w:cs="宋体"/>
          <w:b w:val="0"/>
          <w:color w:val="auto"/>
          <w:sz w:val="24"/>
          <w:szCs w:val="24"/>
          <w:highlight w:val="none"/>
        </w:rPr>
        <w:t xml:space="preserve">8. 材料与设备</w:t>
      </w:r>
      <w:bookmarkEnd w:id="369"/>
      <w:r/>
      <w:bookmarkEnd w:id="370"/>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8.1发包人供应材料设备的结算方法：</w:t>
      </w:r>
      <w:r/>
    </w:p>
    <w:p>
      <w:pPr>
        <w:ind w:firstLine="72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如存在甲供材、甲方供应材料、暂定价见发包人供应材料价格表 ；乙方所领甲供材料数量与结算审计确定的量误差超过1%时，按甲方实际采购最高价加20%采保费用及资金占用费用从工程款中扣除。计划用量内的按招标人提供的《发包人供应材料一览表》中“暂定价格”减1％保管费后乘以计划用量扣款。</w:t>
      </w:r>
      <w:r/>
    </w:p>
    <w:p>
      <w:pPr>
        <w:ind w:firstLine="480"/>
        <w:jc w:val="left"/>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8.2承包人采购材料设备</w:t>
      </w:r>
      <w:r>
        <w:rPr>
          <w:rFonts w:hint="eastAsia" w:ascii="宋体" w:hAnsi="宋体" w:cs="宋体"/>
          <w:b/>
          <w:bCs/>
          <w:color w:val="auto"/>
          <w:sz w:val="24"/>
          <w:szCs w:val="24"/>
          <w:highlight w:val="none"/>
        </w:rPr>
        <w:t xml:space="preserve">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采购材料设备的约定：1、承包人采购所有主材按质量环保合格要求采购（必须符合规范标准、设计要求及地方有关规定）2、材料进场按规定办理手续。3、甲控材料须由承包人在材料进场前提出书面申请，写明进场材料的品种、名称、规格等报于监理、发包人，待发包人认样 、封样后通知承包人，由承包人进</w:t>
      </w:r>
      <w:r>
        <w:rPr>
          <w:rFonts w:hint="eastAsia" w:ascii="宋体" w:hAnsi="宋体" w:cs="宋体"/>
          <w:color w:val="auto"/>
          <w:sz w:val="24"/>
          <w:szCs w:val="24"/>
          <w:highlight w:val="none"/>
        </w:rPr>
        <w:t xml:space="preserve">行采购。甲控材料需做样板，待发包方认可款式、颜色、做法等后方可全面施工。4、甲供材料须由承包人在材料进场前依据发包人甲供材申报制度提出书面申请，写明进场材料名称、规格、数量等报于监理、发包人，待发包人审核批准后，供应所需材料。5、在施工期间发包人有权将承包人采购的部分材料变更为甲供材或甲控材。6、甲控材料品牌为承包人投标时所报的符合发包人要求的品牌。承包人不得随意更换品牌。否则承包人应无条件返工并承担因此产生的一切损失和费用，工期不予顺延，并同时向发包人支付合同总价款5%的违约金。7、其余执行通用条款规定。</w:t>
      </w:r>
      <w:bookmarkEnd w:id="262"/>
      <w:r/>
      <w:bookmarkEnd w:id="263"/>
      <w:r/>
      <w:bookmarkEnd w:id="264"/>
      <w:r/>
      <w:bookmarkEnd w:id="265"/>
      <w:r/>
      <w:bookmarkEnd w:id="266"/>
      <w:r/>
      <w:bookmarkEnd w:id="267"/>
      <w:r/>
      <w:bookmarkEnd w:id="268"/>
      <w:r/>
      <w:bookmarkEnd w:id="269"/>
      <w:r/>
      <w:bookmarkEnd w:id="270"/>
      <w:r/>
      <w:bookmarkEnd w:id="271"/>
      <w:r/>
      <w:r/>
    </w:p>
    <w:p>
      <w:pPr>
        <w:ind w:firstLine="240"/>
        <w:spacing w:line="440" w:lineRule="exact"/>
        <w:rPr>
          <w:rFonts w:ascii="宋体" w:hAnsi="宋体" w:cs="宋体"/>
          <w:color w:val="auto"/>
          <w:sz w:val="24"/>
          <w:szCs w:val="24"/>
          <w:highlight w:val="none"/>
        </w:rPr>
        <w:outlineLvl w:val="2"/>
      </w:pPr>
      <w:r/>
      <w:bookmarkStart w:id="371" w:name="_Toc489553729"/>
      <w:r/>
      <w:bookmarkStart w:id="372" w:name="_Toc1878"/>
      <w:r/>
      <w:bookmarkStart w:id="373" w:name="_Toc1549169060"/>
      <w:r>
        <w:rPr>
          <w:rFonts w:hint="eastAsia" w:ascii="宋体" w:hAnsi="宋体" w:cs="宋体"/>
          <w:color w:val="auto"/>
          <w:sz w:val="24"/>
          <w:szCs w:val="24"/>
          <w:highlight w:val="none"/>
        </w:rPr>
        <w:t xml:space="preserve">8</w:t>
      </w:r>
      <w:bookmarkStart w:id="374" w:name="_Toc296347166"/>
      <w:r/>
      <w:bookmarkStart w:id="375" w:name="_Toc296944506"/>
      <w:r/>
      <w:bookmarkStart w:id="376" w:name="_Toc304295556"/>
      <w:r/>
      <w:bookmarkStart w:id="377" w:name="_Toc297216186"/>
      <w:r/>
      <w:bookmarkStart w:id="378" w:name="_Toc280868654"/>
      <w:r/>
      <w:bookmarkStart w:id="379" w:name="_Toc297048353"/>
      <w:r/>
      <w:bookmarkStart w:id="380" w:name="_Toc296890995"/>
      <w:r/>
      <w:bookmarkStart w:id="381" w:name="_Toc300934979"/>
      <w:r/>
      <w:bookmarkStart w:id="382" w:name="_Toc292559372"/>
      <w:r/>
      <w:bookmarkStart w:id="383" w:name="_Toc297123527"/>
      <w:r/>
      <w:bookmarkStart w:id="384" w:name="_Toc312678019"/>
      <w:r/>
      <w:bookmarkStart w:id="385" w:name="_Toc297120467"/>
      <w:r/>
      <w:bookmarkStart w:id="386" w:name="_Toc296346668"/>
      <w:r/>
      <w:bookmarkStart w:id="387" w:name="_Toc296503167"/>
      <w:r/>
      <w:bookmarkStart w:id="388" w:name="_Toc292559877"/>
      <w:r/>
      <w:bookmarkStart w:id="389" w:name="_Toc296891207"/>
      <w:r/>
      <w:bookmarkStart w:id="390" w:name="_Toc303539136"/>
      <w:r/>
      <w:bookmarkStart w:id="391" w:name="_Toc312677493"/>
      <w:r/>
      <w:bookmarkStart w:id="392" w:name="_Toc280868655"/>
      <w:r/>
      <w:bookmarkStart w:id="393" w:name="_Toc280868656"/>
      <w:r/>
      <w:bookmarkStart w:id="394" w:name="_Toc267251424"/>
      <w:r>
        <w:rPr>
          <w:rFonts w:hint="eastAsia" w:ascii="宋体" w:hAnsi="宋体" w:cs="宋体"/>
          <w:color w:val="auto"/>
          <w:sz w:val="24"/>
          <w:szCs w:val="24"/>
          <w:highlight w:val="none"/>
        </w:rPr>
        <w:t xml:space="preserve">.3材料与工程设备的保管与使用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80"/>
        <w:jc w:val="left"/>
        <w:spacing w:line="440" w:lineRule="exact"/>
        <w:rPr>
          <w:rFonts w:ascii="宋体" w:hAnsi="宋体" w:cs="宋体"/>
          <w:color w:val="auto"/>
          <w:sz w:val="24"/>
          <w:szCs w:val="24"/>
          <w:highlight w:val="none"/>
        </w:rPr>
      </w:pPr>
      <w:r/>
      <w:bookmarkStart w:id="395" w:name="_Toc292559878"/>
      <w:r/>
      <w:bookmarkStart w:id="396" w:name="_Toc292559373"/>
      <w:r/>
      <w:bookmarkStart w:id="397" w:name="_Toc318581173"/>
      <w:r/>
      <w:bookmarkStart w:id="398" w:name="_Toc296891208"/>
      <w:r/>
      <w:bookmarkStart w:id="399" w:name="_Toc312677494"/>
      <w:r/>
      <w:bookmarkStart w:id="400" w:name="_Toc312678020"/>
      <w:r/>
      <w:bookmarkStart w:id="401" w:name="_Toc296890996"/>
      <w:r/>
      <w:bookmarkStart w:id="402" w:name="_Toc297120468"/>
      <w:r/>
      <w:bookmarkStart w:id="403" w:name="_Toc296347167"/>
      <w:r/>
      <w:bookmarkStart w:id="404" w:name="_Toc297216187"/>
      <w:r/>
      <w:bookmarkStart w:id="405" w:name="_Toc297123528"/>
      <w:r/>
      <w:bookmarkStart w:id="406" w:name="_Toc297048354"/>
      <w:r/>
      <w:bookmarkStart w:id="407" w:name="_Toc300934980"/>
      <w:r/>
      <w:bookmarkStart w:id="408" w:name="_Toc296503168"/>
      <w:r/>
      <w:bookmarkStart w:id="409" w:name="_Toc296346669"/>
      <w:r/>
      <w:bookmarkStart w:id="410" w:name="_Toc304295557"/>
      <w:r/>
      <w:bookmarkStart w:id="411" w:name="_Toc303539137"/>
      <w:r/>
      <w:bookmarkStart w:id="412" w:name="_Toc296944507"/>
      <w:r>
        <w:rPr>
          <w:rFonts w:hint="eastAsia" w:ascii="宋体" w:hAnsi="宋体" w:cs="宋体"/>
          <w:color w:val="auto"/>
          <w:sz w:val="24"/>
          <w:szCs w:val="24"/>
          <w:highlight w:val="none"/>
        </w:rPr>
        <w:t xml:space="preserve"> 发包人供应的苗木、材料设备的保管费用的承担：承包人承担。</w:t>
      </w:r>
      <w:bookmarkEnd w:id="395"/>
      <w:r/>
      <w:bookmarkEnd w:id="396"/>
      <w:r/>
      <w:r/>
    </w:p>
    <w:p>
      <w:pPr>
        <w:ind w:firstLine="240"/>
        <w:spacing w:line="440" w:lineRule="exact"/>
        <w:rPr>
          <w:rFonts w:ascii="宋体" w:hAnsi="宋体" w:cs="宋体"/>
          <w:color w:val="auto"/>
          <w:sz w:val="24"/>
          <w:szCs w:val="24"/>
          <w:highlight w:val="none"/>
        </w:rPr>
        <w:outlineLvl w:val="2"/>
      </w:pPr>
      <w:r/>
      <w:bookmarkStart w:id="413" w:name="_Toc1698965056"/>
      <w:r/>
      <w:bookmarkStart w:id="414" w:name="_Toc15421"/>
      <w:r/>
      <w:bookmarkStart w:id="415" w:name="_Toc1602926888"/>
      <w:r>
        <w:rPr>
          <w:rFonts w:hint="eastAsia" w:ascii="宋体" w:hAnsi="宋体" w:cs="宋体"/>
          <w:color w:val="auto"/>
          <w:sz w:val="24"/>
          <w:szCs w:val="24"/>
          <w:highlight w:val="none"/>
        </w:rPr>
        <w:t xml:space="preserve">8.4 样品</w:t>
      </w:r>
      <w:bookmarkEnd w:id="413"/>
      <w:r/>
      <w:bookmarkEnd w:id="414"/>
      <w:r/>
      <w:bookmarkEnd w:id="415"/>
      <w:r/>
      <w:r/>
    </w:p>
    <w:p>
      <w:pPr>
        <w:ind w:firstLine="480"/>
        <w:jc w:val="left"/>
        <w:spacing w:line="440" w:lineRule="exact"/>
        <w:rPr>
          <w:rFonts w:ascii="宋体" w:hAnsi="宋体" w:cs="宋体"/>
          <w:color w:val="auto"/>
          <w:sz w:val="24"/>
          <w:szCs w:val="24"/>
          <w:highlight w:val="none"/>
        </w:rPr>
      </w:pPr>
      <w:r/>
      <w:bookmarkStart w:id="416" w:name="_Toc155224400"/>
      <w:r/>
      <w:bookmarkStart w:id="417" w:name="_Toc658422827"/>
      <w:r>
        <w:rPr>
          <w:rFonts w:hint="eastAsia" w:ascii="宋体" w:hAnsi="宋体" w:cs="宋体"/>
          <w:color w:val="auto"/>
          <w:sz w:val="24"/>
          <w:szCs w:val="24"/>
          <w:highlight w:val="none"/>
        </w:rPr>
        <w:t xml:space="preserve">8.4.1 样品的报送与封存</w:t>
      </w:r>
      <w:bookmarkEnd w:id="416"/>
      <w:r/>
      <w:bookmarkEnd w:id="417"/>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需要承包人报送样品的材料或工程设备，样品的种类、名称、规格、数量要求：</w:t>
      </w:r>
      <w:r>
        <w:rPr>
          <w:rFonts w:hint="eastAsia" w:ascii="宋体" w:hAnsi="宋体" w:cs="宋体"/>
          <w:color w:val="auto"/>
          <w:sz w:val="24"/>
          <w:szCs w:val="24"/>
          <w:highlight w:val="none"/>
          <w:u w:val="single"/>
        </w:rPr>
        <w:t xml:space="preserve">按管理部门和发包人要求确定</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bookmarkStart w:id="418" w:name="_Toc24937"/>
      <w:r/>
      <w:bookmarkStart w:id="419" w:name="_Toc12690"/>
      <w:r/>
      <w:bookmarkStart w:id="420" w:name="_Toc18483022"/>
      <w:r>
        <w:rPr>
          <w:rFonts w:hint="eastAsia" w:ascii="宋体" w:hAnsi="宋体" w:cs="宋体"/>
          <w:color w:val="auto"/>
          <w:sz w:val="24"/>
          <w:szCs w:val="24"/>
          <w:highlight w:val="none"/>
        </w:rPr>
        <w:t xml:space="preserve">8.4.2 样品的保管</w:t>
      </w:r>
      <w:bookmarkEnd w:id="418"/>
      <w:r/>
      <w:bookmarkEnd w:id="419"/>
      <w:r/>
      <w:bookmarkEnd w:id="420"/>
      <w:r>
        <w:rPr>
          <w:rFonts w:hint="eastAsia" w:ascii="宋体" w:hAnsi="宋体" w:cs="宋体"/>
          <w:color w:val="auto"/>
          <w:sz w:val="24"/>
          <w:szCs w:val="24"/>
          <w:highlight w:val="none"/>
        </w:rPr>
        <w:t xml:space="preserve">：经批准的样品应由监理人负责封存于现场，承包人应在现场为保存样品提供适当和固定的场所并保持适当和良好的存储环境条件。</w:t>
      </w:r>
      <w:r/>
    </w:p>
    <w:p>
      <w:pPr>
        <w:ind w:firstLine="240"/>
        <w:spacing w:line="440" w:lineRule="exact"/>
        <w:rPr>
          <w:rFonts w:ascii="宋体" w:hAnsi="宋体" w:cs="宋体"/>
          <w:color w:val="auto"/>
          <w:sz w:val="24"/>
          <w:szCs w:val="24"/>
          <w:highlight w:val="none"/>
        </w:rPr>
        <w:outlineLvl w:val="2"/>
      </w:pPr>
      <w:r/>
      <w:bookmarkStart w:id="421" w:name="_Toc268737114"/>
      <w:r/>
      <w:bookmarkStart w:id="422" w:name="_Toc1156517039"/>
      <w:r/>
      <w:bookmarkStart w:id="423" w:name="_Toc22773"/>
      <w:r>
        <w:rPr>
          <w:rFonts w:hint="eastAsia" w:ascii="宋体" w:hAnsi="宋体" w:cs="宋体"/>
          <w:color w:val="auto"/>
          <w:sz w:val="24"/>
          <w:szCs w:val="24"/>
          <w:highlight w:val="none"/>
        </w:rPr>
        <w:t xml:space="preserve">8.5 施工设备和临时设施</w:t>
      </w:r>
      <w:bookmarkEnd w:id="421"/>
      <w:r/>
      <w:bookmarkEnd w:id="422"/>
      <w:r/>
      <w:bookmarkEnd w:id="423"/>
      <w:r/>
      <w:r/>
    </w:p>
    <w:p>
      <w:pPr>
        <w:ind w:firstLine="72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承包人提供的施工设备和临时设施：关于修建临时设施费用承担的约定：</w:t>
      </w:r>
      <w:bookmarkEnd w:id="392"/>
      <w:r/>
      <w:bookmarkEnd w:id="393"/>
      <w:r/>
      <w:bookmarkEnd w:id="394"/>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24" w:name="_Toc351203641"/>
      <w:r/>
      <w:bookmarkStart w:id="425" w:name="_Toc304295566"/>
      <w:r/>
      <w:bookmarkStart w:id="426" w:name="_Toc297216199"/>
      <w:r/>
      <w:bookmarkStart w:id="427" w:name="_Toc296346694"/>
      <w:r/>
      <w:bookmarkStart w:id="428" w:name="_Toc296891233"/>
      <w:r/>
      <w:bookmarkStart w:id="429" w:name="_Toc292559398"/>
      <w:r/>
      <w:bookmarkStart w:id="430" w:name="_Toc297120493"/>
      <w:r/>
      <w:bookmarkStart w:id="431" w:name="_Toc300934989"/>
      <w:r/>
      <w:bookmarkStart w:id="432" w:name="_Toc296347192"/>
      <w:r/>
      <w:bookmarkStart w:id="433" w:name="_Toc296944532"/>
      <w:r/>
      <w:bookmarkStart w:id="434" w:name="_Toc312677499"/>
      <w:r/>
      <w:bookmarkStart w:id="435" w:name="_Toc297048379"/>
      <w:r/>
      <w:bookmarkStart w:id="436" w:name="_Toc297123540"/>
      <w:r/>
      <w:bookmarkStart w:id="437" w:name="_Toc296503193"/>
      <w:r/>
      <w:bookmarkStart w:id="438" w:name="_Toc303539146"/>
      <w:r/>
      <w:bookmarkStart w:id="439" w:name="_Toc292559903"/>
      <w:r/>
      <w:bookmarkStart w:id="440" w:name="_Toc312678025"/>
      <w:r/>
      <w:bookmarkStart w:id="441" w:name="_Toc296891021"/>
      <w:r/>
      <w:bookmarkStart w:id="442" w:name="_Toc267251435"/>
      <w:r/>
      <w:bookmarkStart w:id="443" w:name="_Toc267251441"/>
      <w:r/>
      <w:bookmarkStart w:id="444" w:name="_Toc267251437"/>
      <w:r/>
      <w:bookmarkStart w:id="445" w:name="_Toc267251440"/>
      <w:r/>
      <w:bookmarkStart w:id="446" w:name="_Toc267251433"/>
      <w:r/>
      <w:bookmarkStart w:id="447" w:name="_Toc267251439"/>
      <w:r/>
      <w:bookmarkStart w:id="448" w:name="_Toc267251442"/>
      <w:r>
        <w:rPr>
          <w:rFonts w:hint="eastAsia" w:ascii="宋体" w:hAnsi="宋体" w:cs="宋体"/>
          <w:color w:val="auto"/>
          <w:sz w:val="24"/>
          <w:szCs w:val="24"/>
          <w:highlight w:val="none"/>
        </w:rPr>
        <w:t xml:space="preserve">由承包人全额承担,另外发包人、监理驻施工现场管理人员必要的办公用房及设施由承包人负责并免费提供 。</w:t>
      </w:r>
      <w:r/>
    </w:p>
    <w:p>
      <w:pPr>
        <w:pStyle w:val="955"/>
        <w:spacing w:line="440" w:lineRule="exact"/>
        <w:rPr>
          <w:rFonts w:ascii="宋体" w:hAnsi="宋体" w:cs="宋体"/>
          <w:bCs w:val="0"/>
          <w:color w:val="auto"/>
          <w:sz w:val="24"/>
          <w:szCs w:val="24"/>
          <w:highlight w:val="none"/>
        </w:rPr>
      </w:pPr>
      <w:r/>
      <w:bookmarkStart w:id="449" w:name="_Toc242413721"/>
      <w:r/>
      <w:bookmarkStart w:id="450" w:name="_Toc1764962496"/>
      <w:r/>
      <w:bookmarkStart w:id="451" w:name="_Toc303539139"/>
      <w:r/>
      <w:bookmarkStart w:id="452" w:name="_Toc304295559"/>
      <w:r/>
      <w:bookmarkStart w:id="453" w:name="_Toc312678021"/>
      <w:r/>
      <w:bookmarkStart w:id="454" w:name="_Toc300934982"/>
      <w:r/>
      <w:bookmarkStart w:id="455" w:name="_Toc297123533"/>
      <w:r/>
      <w:bookmarkStart w:id="456" w:name="_Toc312677495"/>
      <w:r/>
      <w:bookmarkStart w:id="457" w:name="_Toc297216192"/>
      <w:r>
        <w:rPr>
          <w:rFonts w:hint="eastAsia" w:ascii="宋体" w:hAnsi="宋体" w:cs="宋体"/>
          <w:bCs w:val="0"/>
          <w:color w:val="auto"/>
          <w:sz w:val="24"/>
          <w:szCs w:val="24"/>
          <w:highlight w:val="none"/>
        </w:rPr>
        <w:t xml:space="preserve">9、试验与检验</w:t>
      </w:r>
      <w:bookmarkEnd w:id="424"/>
      <w:r/>
      <w:bookmarkEnd w:id="449"/>
      <w:r/>
      <w:bookmarkEnd w:id="450"/>
      <w:r/>
      <w:r/>
    </w:p>
    <w:p>
      <w:pPr>
        <w:ind w:firstLine="24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9.1 试验设备</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施工现场需要配置的试验场所：</w:t>
      </w:r>
      <w:r>
        <w:rPr>
          <w:rFonts w:hint="eastAsia" w:ascii="宋体" w:hAnsi="宋体" w:cs="宋体"/>
          <w:color w:val="auto"/>
          <w:sz w:val="24"/>
          <w:szCs w:val="24"/>
          <w:highlight w:val="none"/>
          <w:u w:val="single"/>
        </w:rPr>
        <w:t xml:space="preserve">  承包人自行设置  </w:t>
      </w:r>
      <w:r>
        <w:rPr>
          <w:rFonts w:hint="eastAsia" w:ascii="宋体" w:hAnsi="宋体" w:cs="宋体"/>
          <w:color w:val="auto"/>
          <w:sz w:val="24"/>
          <w:szCs w:val="24"/>
          <w:highlight w:val="none"/>
        </w:rPr>
        <w:t xml:space="preserve">。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施工现场需要配备的试验设备：</w:t>
      </w:r>
      <w:r>
        <w:rPr>
          <w:rFonts w:hint="eastAsia" w:ascii="宋体" w:hAnsi="宋体" w:cs="宋体"/>
          <w:color w:val="auto"/>
          <w:sz w:val="24"/>
          <w:szCs w:val="24"/>
          <w:highlight w:val="none"/>
          <w:u w:val="single"/>
        </w:rPr>
        <w:t xml:space="preserve">   承包人自行设置 </w:t>
      </w:r>
      <w:r>
        <w:rPr>
          <w:rFonts w:hint="eastAsia" w:ascii="宋体" w:hAnsi="宋体" w:cs="宋体"/>
          <w:color w:val="auto"/>
          <w:sz w:val="24"/>
          <w:szCs w:val="24"/>
          <w:highlight w:val="none"/>
        </w:rPr>
        <w:t xml:space="preserve">。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施工现场需要具备的其他试验条件：</w:t>
      </w:r>
      <w:r>
        <w:rPr>
          <w:rFonts w:hint="eastAsia" w:ascii="宋体" w:hAnsi="宋体" w:cs="宋体"/>
          <w:color w:val="auto"/>
          <w:sz w:val="24"/>
          <w:szCs w:val="24"/>
          <w:highlight w:val="none"/>
          <w:u w:val="single"/>
        </w:rPr>
        <w:t xml:space="preserve">  承包人自行设置</w:t>
      </w:r>
      <w:r>
        <w:rPr>
          <w:rFonts w:hint="eastAsia" w:ascii="宋体" w:hAnsi="宋体" w:cs="宋体"/>
          <w:color w:val="auto"/>
          <w:sz w:val="24"/>
          <w:szCs w:val="24"/>
          <w:highlight w:val="none"/>
        </w:rPr>
        <w:t xml:space="preserve">。</w:t>
      </w:r>
      <w:r/>
    </w:p>
    <w:p>
      <w:pPr>
        <w:ind w:firstLine="24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9.2 现场工艺试验 </w:t>
      </w:r>
      <w:r/>
    </w:p>
    <w:p>
      <w:pPr>
        <w:ind w:firstLine="720"/>
        <w:jc w:val="left"/>
        <w:spacing w:line="440" w:lineRule="exact"/>
        <w:rPr>
          <w:rFonts w:ascii="宋体" w:hAnsi="宋体" w:cs="宋体"/>
          <w:b/>
          <w:bCs/>
          <w:color w:val="auto"/>
          <w:sz w:val="24"/>
          <w:szCs w:val="24"/>
          <w:highlight w:val="none"/>
          <w:u w:val="single"/>
        </w:rPr>
      </w:pPr>
      <w:r>
        <w:rPr>
          <w:rFonts w:hint="eastAsia" w:ascii="宋体" w:hAnsi="宋体" w:cs="宋体"/>
          <w:color w:val="auto"/>
          <w:sz w:val="24"/>
          <w:szCs w:val="24"/>
          <w:highlight w:val="none"/>
        </w:rPr>
        <w:t xml:space="preserve">现场工艺试验的有关约定：</w:t>
      </w:r>
      <w:r>
        <w:rPr>
          <w:rFonts w:hint="eastAsia" w:ascii="宋体" w:hAnsi="宋体" w:cs="宋体"/>
          <w:b/>
          <w:bCs/>
          <w:color w:val="auto"/>
          <w:sz w:val="24"/>
          <w:szCs w:val="24"/>
          <w:highlight w:val="none"/>
          <w:u w:val="single"/>
        </w:rPr>
        <w:t xml:space="preserve">承包人根据相关规范、标准进行试验并承担。</w:t>
      </w:r>
      <w:r/>
    </w:p>
    <w:p>
      <w:pPr>
        <w:ind w:firstLine="240"/>
        <w:spacing w:line="440" w:lineRule="exact"/>
        <w:rPr>
          <w:rFonts w:ascii="宋体" w:hAnsi="宋体" w:cs="宋体"/>
          <w:color w:val="auto"/>
          <w:sz w:val="24"/>
          <w:szCs w:val="24"/>
          <w:highlight w:val="none"/>
        </w:rPr>
        <w:outlineLvl w:val="2"/>
      </w:pPr>
      <w:r/>
      <w:bookmarkStart w:id="458" w:name="_Toc653733895"/>
      <w:r/>
      <w:bookmarkStart w:id="459" w:name="_Toc6956"/>
      <w:r/>
      <w:bookmarkStart w:id="460" w:name="_Toc351203565"/>
      <w:r/>
      <w:bookmarkStart w:id="461" w:name="_Toc1351090379"/>
      <w:r>
        <w:rPr>
          <w:rFonts w:hint="eastAsia" w:ascii="宋体" w:hAnsi="宋体" w:cs="宋体"/>
          <w:color w:val="auto"/>
          <w:sz w:val="24"/>
          <w:szCs w:val="24"/>
          <w:highlight w:val="none"/>
        </w:rPr>
        <w:t xml:space="preserve">9</w:t>
      </w:r>
      <w:bookmarkStart w:id="462" w:name="_Toc337558785"/>
      <w:r>
        <w:rPr>
          <w:rFonts w:hint="eastAsia" w:ascii="宋体" w:hAnsi="宋体" w:cs="宋体"/>
          <w:color w:val="auto"/>
          <w:sz w:val="24"/>
          <w:szCs w:val="24"/>
          <w:highlight w:val="none"/>
        </w:rPr>
        <w:t xml:space="preserve">.3 材料、工程设备和工程的试验和检验</w:t>
      </w:r>
      <w:bookmarkEnd w:id="458"/>
      <w:r/>
      <w:bookmarkEnd w:id="459"/>
      <w:r/>
      <w:bookmarkEnd w:id="460"/>
      <w:r/>
      <w:bookmarkEnd w:id="461"/>
      <w:r/>
      <w:bookmarkEnd w:id="462"/>
      <w:r/>
      <w:r/>
    </w:p>
    <w:p>
      <w:pPr>
        <w:ind w:firstLine="723"/>
        <w:jc w:val="left"/>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关于送检材料的约定：</w:t>
      </w:r>
      <w:r>
        <w:rPr>
          <w:rFonts w:hint="eastAsia" w:ascii="宋体" w:hAnsi="宋体" w:cs="宋体"/>
          <w:b/>
          <w:bCs/>
          <w:color w:val="auto"/>
          <w:sz w:val="24"/>
          <w:szCs w:val="24"/>
          <w:highlight w:val="none"/>
          <w:u w:val="single"/>
        </w:rPr>
        <w:t xml:space="preserve">执行通用条款</w:t>
      </w:r>
      <w:r>
        <w:rPr>
          <w:rFonts w:hint="eastAsia" w:ascii="宋体" w:hAnsi="宋体" w:cs="宋体"/>
          <w:b/>
          <w:bCs/>
          <w:color w:val="auto"/>
          <w:sz w:val="24"/>
          <w:szCs w:val="24"/>
          <w:highlight w:val="none"/>
        </w:rPr>
        <w:t xml:space="preserve">。</w:t>
      </w:r>
      <w:bookmarkEnd w:id="451"/>
      <w:r/>
      <w:bookmarkEnd w:id="452"/>
      <w:r/>
      <w:bookmarkEnd w:id="453"/>
      <w:r/>
      <w:bookmarkEnd w:id="454"/>
      <w:r/>
      <w:bookmarkEnd w:id="455"/>
      <w:r/>
      <w:bookmarkEnd w:id="456"/>
      <w:r/>
      <w:bookmarkEnd w:id="457"/>
      <w:r/>
      <w:r/>
    </w:p>
    <w:p>
      <w:pPr>
        <w:pStyle w:val="955"/>
        <w:spacing w:line="440" w:lineRule="exact"/>
        <w:rPr>
          <w:rFonts w:ascii="宋体" w:hAnsi="宋体" w:cs="宋体"/>
          <w:bCs w:val="0"/>
          <w:color w:val="auto"/>
          <w:sz w:val="24"/>
          <w:szCs w:val="24"/>
          <w:highlight w:val="none"/>
        </w:rPr>
      </w:pPr>
      <w:r/>
      <w:bookmarkStart w:id="463" w:name="_Toc458560564"/>
      <w:r/>
      <w:bookmarkStart w:id="464" w:name="_Toc334823199"/>
      <w:r>
        <w:rPr>
          <w:rFonts w:hint="eastAsia" w:ascii="宋体" w:hAnsi="宋体" w:cs="宋体"/>
          <w:bCs w:val="0"/>
          <w:color w:val="auto"/>
          <w:sz w:val="24"/>
          <w:szCs w:val="24"/>
          <w:highlight w:val="none"/>
        </w:rPr>
        <w:t xml:space="preserve">10. 变更</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63"/>
      <w:r/>
      <w:bookmarkEnd w:id="464"/>
      <w:r/>
      <w:r/>
    </w:p>
    <w:p>
      <w:pPr>
        <w:ind w:firstLine="240"/>
        <w:spacing w:line="440" w:lineRule="exact"/>
        <w:rPr>
          <w:rFonts w:ascii="宋体" w:hAnsi="宋体" w:cs="宋体"/>
          <w:color w:val="auto"/>
          <w:sz w:val="24"/>
          <w:szCs w:val="24"/>
          <w:highlight w:val="none"/>
        </w:rPr>
        <w:outlineLvl w:val="2"/>
      </w:pPr>
      <w:r/>
      <w:bookmarkStart w:id="465" w:name="_Toc2124203747"/>
      <w:r/>
      <w:bookmarkStart w:id="466" w:name="_Toc893189784"/>
      <w:r/>
      <w:bookmarkStart w:id="467" w:name="_Toc7749"/>
      <w:r>
        <w:rPr>
          <w:rFonts w:hint="eastAsia" w:ascii="宋体" w:hAnsi="宋体" w:cs="宋体"/>
          <w:color w:val="auto"/>
          <w:sz w:val="24"/>
          <w:szCs w:val="24"/>
          <w:highlight w:val="none"/>
        </w:rPr>
        <w:t xml:space="preserve">1</w:t>
      </w:r>
      <w:bookmarkStart w:id="468" w:name="_Toc297216200"/>
      <w:r/>
      <w:bookmarkStart w:id="469" w:name="_Toc312678026"/>
      <w:r/>
      <w:bookmarkStart w:id="470" w:name="_Toc296944533"/>
      <w:r/>
      <w:bookmarkStart w:id="471" w:name="_Toc297120494"/>
      <w:r/>
      <w:bookmarkStart w:id="472" w:name="_Toc296347193"/>
      <w:r/>
      <w:bookmarkStart w:id="473" w:name="_Toc296503194"/>
      <w:r/>
      <w:bookmarkStart w:id="474" w:name="_Toc303539147"/>
      <w:r/>
      <w:bookmarkStart w:id="475" w:name="_Toc297123541"/>
      <w:r/>
      <w:bookmarkStart w:id="476" w:name="_Toc296346695"/>
      <w:r/>
      <w:bookmarkStart w:id="477" w:name="_Toc312677500"/>
      <w:r/>
      <w:bookmarkStart w:id="478" w:name="_Toc304295567"/>
      <w:r/>
      <w:bookmarkStart w:id="479" w:name="_Toc296891234"/>
      <w:r/>
      <w:bookmarkStart w:id="480" w:name="_Toc296891022"/>
      <w:r/>
      <w:bookmarkStart w:id="481" w:name="_Toc292559399"/>
      <w:r/>
      <w:bookmarkStart w:id="482" w:name="_Toc297048380"/>
      <w:r/>
      <w:bookmarkStart w:id="483" w:name="_Toc300934990"/>
      <w:r/>
      <w:bookmarkStart w:id="484" w:name="_Toc292559904"/>
      <w:r>
        <w:rPr>
          <w:rFonts w:hint="eastAsia" w:ascii="宋体" w:hAnsi="宋体" w:cs="宋体"/>
          <w:color w:val="auto"/>
          <w:sz w:val="24"/>
          <w:szCs w:val="24"/>
          <w:highlight w:val="none"/>
        </w:rPr>
        <w:t xml:space="preserve">0.1 变更的范围</w:t>
      </w:r>
      <w:bookmarkEnd w:id="465"/>
      <w:r/>
      <w:bookmarkEnd w:id="466"/>
      <w:r/>
      <w:bookmarkEnd w:id="467"/>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10.1.1关于变更的范围的约定：除专用合同条款另有约定外，合同履行过程中发生以下情形的，应按照本条约定进行变更：</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（1）增加或减少合同中任何工作，或追加额外的工作；</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（2）取消合同中任何工作，但转由他人实施的工作除外；</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（3）改变合同中任何工作的质量标准或其他特性；</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（4）改变工程的基线、标高、位置和尺寸；</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（5）改变工程的时间安排或实施顺序。</w:t>
      </w:r>
      <w:r/>
    </w:p>
    <w:p>
      <w:pPr>
        <w:ind w:firstLine="240"/>
        <w:spacing w:line="440" w:lineRule="exact"/>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10.2</w:t>
      </w:r>
      <w:bookmarkStart w:id="485" w:name="_Toc351203569"/>
      <w:r/>
      <w:bookmarkStart w:id="486" w:name="_Toc337558789"/>
      <w:r/>
      <w:bookmarkStart w:id="487" w:name="_Toc296503085"/>
      <w:r/>
      <w:bookmarkStart w:id="488" w:name="_Toc18483036"/>
      <w:r/>
      <w:bookmarkStart w:id="489" w:name="_Toc24375906"/>
      <w:r/>
      <w:bookmarkStart w:id="490" w:name="_Toc296346586"/>
      <w:r>
        <w:rPr>
          <w:rFonts w:hint="eastAsia" w:ascii="宋体" w:hAnsi="宋体" w:cs="宋体"/>
          <w:color w:val="auto"/>
          <w:sz w:val="24"/>
          <w:szCs w:val="24"/>
          <w:highlight w:val="none"/>
        </w:rPr>
        <w:t xml:space="preserve">变更权</w:t>
      </w:r>
      <w:bookmarkEnd w:id="485"/>
      <w:r/>
      <w:bookmarkEnd w:id="486"/>
      <w:r/>
      <w:bookmarkEnd w:id="487"/>
      <w:r/>
      <w:bookmarkEnd w:id="488"/>
      <w:r/>
      <w:bookmarkEnd w:id="489"/>
      <w:r/>
      <w:bookmarkEnd w:id="490"/>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涉及设计变更的，应由设计人提供变更后的图纸和说明。如变更超过原设计标准或批准的建设规模时，发包人应及时办理规划、设计变更等审批手续。</w:t>
      </w:r>
      <w:r/>
    </w:p>
    <w:p>
      <w:pPr>
        <w:ind w:firstLine="240"/>
        <w:spacing w:line="440" w:lineRule="exact"/>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10.3</w:t>
      </w:r>
      <w:bookmarkStart w:id="491" w:name="_Toc337558790"/>
      <w:r/>
      <w:bookmarkStart w:id="492" w:name="_Toc296503086"/>
      <w:r/>
      <w:bookmarkStart w:id="493" w:name="_Toc296346587"/>
      <w:r/>
      <w:bookmarkStart w:id="494" w:name="_Toc18483037"/>
      <w:r/>
      <w:bookmarkStart w:id="495" w:name="_Toc24375907"/>
      <w:r/>
      <w:bookmarkStart w:id="496" w:name="_Toc351203570"/>
      <w:r>
        <w:rPr>
          <w:rFonts w:hint="eastAsia" w:ascii="宋体" w:hAnsi="宋体" w:cs="宋体"/>
          <w:color w:val="auto"/>
          <w:sz w:val="24"/>
          <w:szCs w:val="24"/>
          <w:highlight w:val="none"/>
        </w:rPr>
        <w:t xml:space="preserve">变更程序</w:t>
      </w:r>
      <w:bookmarkEnd w:id="491"/>
      <w:r/>
      <w:bookmarkEnd w:id="492"/>
      <w:r/>
      <w:bookmarkEnd w:id="493"/>
      <w:r/>
      <w:bookmarkEnd w:id="494"/>
      <w:r/>
      <w:bookmarkEnd w:id="495"/>
      <w:r/>
      <w:bookmarkEnd w:id="496"/>
      <w:r/>
      <w:r/>
    </w:p>
    <w:p>
      <w:pPr>
        <w:ind w:firstLine="480"/>
        <w:keepLines/>
        <w:keepNext/>
        <w:spacing w:line="440" w:lineRule="exact"/>
        <w:rPr>
          <w:rFonts w:ascii="宋体" w:hAnsi="宋体" w:cs="宋体"/>
          <w:bCs/>
          <w:color w:val="auto"/>
          <w:sz w:val="24"/>
          <w:szCs w:val="24"/>
          <w:highlight w:val="none"/>
        </w:rPr>
        <w:outlineLvl w:val="0"/>
      </w:pPr>
      <w:r/>
      <w:bookmarkStart w:id="497" w:name="_Toc18483038"/>
      <w:r/>
      <w:bookmarkStart w:id="498" w:name="_Toc15511"/>
      <w:r/>
      <w:bookmarkStart w:id="499" w:name="_Toc24375908"/>
      <w:r/>
      <w:bookmarkStart w:id="500" w:name="_Toc31744"/>
      <w:r/>
      <w:bookmarkStart w:id="501" w:name="_Toc19569414"/>
      <w:r>
        <w:rPr>
          <w:rFonts w:hint="eastAsia" w:ascii="宋体" w:hAnsi="宋体" w:cs="宋体"/>
          <w:bCs/>
          <w:color w:val="auto"/>
          <w:sz w:val="24"/>
          <w:szCs w:val="24"/>
          <w:highlight w:val="none"/>
        </w:rPr>
        <w:t xml:space="preserve">10.3.1 发包人提出变更</w:t>
      </w:r>
      <w:bookmarkEnd w:id="497"/>
      <w:r/>
      <w:bookmarkEnd w:id="498"/>
      <w:r/>
      <w:bookmarkEnd w:id="499"/>
      <w:r/>
      <w:bookmarkEnd w:id="500"/>
      <w:r/>
      <w:bookmarkEnd w:id="501"/>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发包人提出变更的，应通过监理人向承包人发出变更指示，变更指示应说明计划变更的工程范围和变更的内容。</w:t>
      </w:r>
      <w:r/>
    </w:p>
    <w:p>
      <w:pPr>
        <w:ind w:firstLine="480"/>
        <w:keepLines/>
        <w:keepNext/>
        <w:spacing w:line="440" w:lineRule="exact"/>
        <w:rPr>
          <w:rFonts w:ascii="宋体" w:hAnsi="宋体" w:cs="宋体"/>
          <w:bCs/>
          <w:color w:val="auto"/>
          <w:sz w:val="24"/>
          <w:szCs w:val="24"/>
          <w:highlight w:val="none"/>
        </w:rPr>
        <w:outlineLvl w:val="0"/>
      </w:pPr>
      <w:r/>
      <w:bookmarkStart w:id="502" w:name="_Toc24375909"/>
      <w:r/>
      <w:bookmarkStart w:id="503" w:name="_Toc18483039"/>
      <w:r/>
      <w:bookmarkStart w:id="504" w:name="_Toc19569415"/>
      <w:r/>
      <w:bookmarkStart w:id="505" w:name="_Toc23419"/>
      <w:r/>
      <w:bookmarkStart w:id="506" w:name="_Toc17387"/>
      <w:r>
        <w:rPr>
          <w:rFonts w:hint="eastAsia" w:ascii="宋体" w:hAnsi="宋体" w:cs="宋体"/>
          <w:bCs/>
          <w:color w:val="auto"/>
          <w:sz w:val="24"/>
          <w:szCs w:val="24"/>
          <w:highlight w:val="none"/>
        </w:rPr>
        <w:t xml:space="preserve">10.3.2 监理人提出变更建议</w:t>
      </w:r>
      <w:bookmarkEnd w:id="502"/>
      <w:r/>
      <w:bookmarkEnd w:id="503"/>
      <w:r/>
      <w:bookmarkEnd w:id="504"/>
      <w:r/>
      <w:bookmarkEnd w:id="505"/>
      <w:r/>
      <w:bookmarkEnd w:id="506"/>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keepLines/>
        <w:keepNext/>
        <w:spacing w:line="440" w:lineRule="exact"/>
        <w:rPr>
          <w:rFonts w:ascii="宋体" w:hAnsi="宋体" w:cs="宋体"/>
          <w:bCs/>
          <w:color w:val="auto"/>
          <w:sz w:val="24"/>
          <w:szCs w:val="24"/>
          <w:highlight w:val="none"/>
        </w:rPr>
        <w:outlineLvl w:val="0"/>
      </w:pPr>
      <w:r/>
      <w:bookmarkStart w:id="507" w:name="_Toc11929"/>
      <w:r/>
      <w:bookmarkStart w:id="508" w:name="_Toc24375910"/>
      <w:r/>
      <w:bookmarkStart w:id="509" w:name="_Toc19569416"/>
      <w:r/>
      <w:bookmarkStart w:id="510" w:name="_Toc18483040"/>
      <w:r/>
      <w:bookmarkStart w:id="511" w:name="_Toc9269"/>
      <w:r>
        <w:rPr>
          <w:rFonts w:hint="eastAsia" w:ascii="宋体" w:hAnsi="宋体" w:cs="宋体"/>
          <w:bCs/>
          <w:color w:val="auto"/>
          <w:sz w:val="24"/>
          <w:szCs w:val="24"/>
          <w:highlight w:val="none"/>
        </w:rPr>
        <w:t xml:space="preserve">10.3.3 变更执行</w:t>
      </w:r>
      <w:bookmarkEnd w:id="507"/>
      <w:r/>
      <w:bookmarkEnd w:id="508"/>
      <w:r/>
      <w:bookmarkEnd w:id="509"/>
      <w:r/>
      <w:bookmarkEnd w:id="510"/>
      <w:r/>
      <w:bookmarkEnd w:id="511"/>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收到监理人下达的变更指示后，认为不能执行，应立即提出不能执行该变更指示的理由。承包人认为可以执行变更的，应当书面说明实施该变更指示对合同价格和工期的影响。设计变更、现场签证和新增减工程等变更均须经设计院、监理工程师和发包人代表签字认可，否则不作为结算调整依据，审计单位审核确认执行本合同通用条款。承包人根据发包人书面确认的变更文件予以变更。变更文件中须明确原做法、变更后做法及工艺、材料名称等，标注要清晰。</w:t>
      </w:r>
      <w:r/>
    </w:p>
    <w:p>
      <w:pPr>
        <w:ind w:firstLine="240"/>
        <w:spacing w:line="440" w:lineRule="exact"/>
        <w:rPr>
          <w:rFonts w:ascii="宋体" w:hAnsi="宋体" w:cs="宋体"/>
          <w:color w:val="auto"/>
          <w:sz w:val="24"/>
          <w:szCs w:val="24"/>
          <w:highlight w:val="none"/>
        </w:rPr>
        <w:outlineLvl w:val="2"/>
      </w:pPr>
      <w:r/>
      <w:bookmarkStart w:id="512" w:name="_Toc345483340"/>
      <w:r/>
      <w:bookmarkStart w:id="513" w:name="_Toc16117"/>
      <w:r/>
      <w:bookmarkStart w:id="514" w:name="_Toc1702387786"/>
      <w:r>
        <w:rPr>
          <w:rFonts w:hint="eastAsia" w:ascii="宋体" w:hAnsi="宋体" w:cs="宋体"/>
          <w:color w:val="auto"/>
          <w:sz w:val="24"/>
          <w:szCs w:val="24"/>
          <w:highlight w:val="none"/>
        </w:rPr>
        <w:t xml:space="preserve">10.4 变更估价</w:t>
      </w:r>
      <w:bookmarkEnd w:id="512"/>
      <w:r/>
      <w:bookmarkEnd w:id="513"/>
      <w:r/>
      <w:bookmarkEnd w:id="514"/>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10.4.1 变更估价原则</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关于变更估价的约定: </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 </w:t>
      </w:r>
      <w:r/>
    </w:p>
    <w:p>
      <w:pPr>
        <w:ind w:firstLine="480"/>
        <w:jc w:val="lef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（2）本工程对于工程价款调整约定如下：①因设计变更、清单错误、现场签证引起新增工程量清单项目，其相应综合单价按本招标文件规定的招标预算价计价编制办法计算，再乘以投标报价浮动比率结算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②因设计变更、清单错误、现场签证引起的已有清单工程量增</w:t>
      </w:r>
      <w:r>
        <w:rPr>
          <w:rFonts w:hint="eastAsia" w:ascii="宋体" w:hAnsi="宋体" w:cs="宋体"/>
          <w:color w:val="auto"/>
          <w:sz w:val="24"/>
          <w:szCs w:val="24"/>
          <w:highlight w:val="none"/>
          <w:lang w:eastAsia="zh-CN"/>
        </w:rPr>
        <w:t xml:space="preserve">减</w:t>
      </w:r>
      <w:r>
        <w:rPr>
          <w:rFonts w:hint="eastAsia" w:ascii="宋体" w:hAnsi="宋体" w:cs="宋体"/>
          <w:color w:val="auto"/>
          <w:sz w:val="24"/>
          <w:szCs w:val="24"/>
          <w:highlight w:val="none"/>
        </w:rPr>
        <w:t xml:space="preserve">，当工程量清单项目工程量的</w:t>
      </w:r>
      <w:r>
        <w:rPr>
          <w:rFonts w:hint="eastAsia" w:ascii="宋体" w:hAnsi="宋体" w:cs="宋体"/>
          <w:color w:val="auto"/>
          <w:sz w:val="24"/>
          <w:szCs w:val="24"/>
          <w:highlight w:val="none"/>
          <w:lang w:eastAsia="zh-CN"/>
        </w:rPr>
        <w:t xml:space="preserve">增减</w:t>
      </w:r>
      <w:r>
        <w:rPr>
          <w:rFonts w:hint="eastAsia" w:ascii="宋体" w:hAnsi="宋体" w:cs="宋体"/>
          <w:color w:val="auto"/>
          <w:sz w:val="24"/>
          <w:szCs w:val="24"/>
          <w:highlight w:val="none"/>
        </w:rPr>
        <w:t xml:space="preserve">变化幅度超过</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，且其影响分部分项工程费超过 0.1%时，</w:t>
      </w:r>
      <w:r>
        <w:rPr>
          <w:rFonts w:hint="eastAsia" w:ascii="宋体" w:hAnsi="宋体" w:cs="宋体"/>
          <w:color w:val="auto"/>
          <w:sz w:val="24"/>
          <w:szCs w:val="24"/>
          <w:highlight w:val="none"/>
          <w:lang w:eastAsia="zh-CN"/>
        </w:rPr>
        <w:t xml:space="preserve">工程价款予以调整。调减原则是：（</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若原综合单价小于发包人最高投标限价，相应综合单价×（1-投标报价下浮率）×（1-15%）；（2）</w:t>
      </w:r>
      <w:r>
        <w:rPr>
          <w:rFonts w:hint="eastAsia" w:ascii="宋体" w:hAnsi="宋体" w:cs="宋体"/>
          <w:color w:val="auto"/>
          <w:sz w:val="24"/>
          <w:szCs w:val="24"/>
          <w:highlight w:val="none"/>
          <w:lang w:eastAsia="zh-CN"/>
        </w:rPr>
        <w:t xml:space="preserve">若原投标综合单价</w:t>
      </w:r>
      <w:r>
        <w:rPr>
          <w:rFonts w:hint="eastAsia" w:ascii="宋体" w:hAnsi="宋体" w:cs="宋体"/>
          <w:color w:val="auto"/>
          <w:sz w:val="24"/>
          <w:szCs w:val="24"/>
          <w:highlight w:val="none"/>
          <w:lang w:val="en-US" w:eastAsia="zh-CN"/>
        </w:rPr>
        <w:t xml:space="preserve">大于发包人最高投标限价，该综合单价按照发包人最高投标限价×（1+15%）调整相应项目综合单价；（3）若原综合单价大于发包人最高投标限价相应综合单价×（1-投标报价下浮率）×（1-15%）或者小于发包人最高投标限价×（1+15%）时，则该综合单价不调整；</w:t>
      </w:r>
      <w:r>
        <w:rPr>
          <w:rFonts w:hint="eastAsia" w:ascii="宋体" w:hAnsi="宋体" w:cs="宋体"/>
          <w:color w:val="auto"/>
          <w:sz w:val="24"/>
          <w:szCs w:val="24"/>
          <w:highlight w:val="none"/>
          <w:lang w:eastAsia="zh-CN"/>
        </w:rPr>
        <w:t xml:space="preserve">③</w:t>
      </w:r>
      <w:r>
        <w:rPr>
          <w:rFonts w:hint="eastAsia" w:ascii="宋体" w:hAnsi="宋体" w:cs="宋体"/>
          <w:color w:val="auto"/>
          <w:sz w:val="24"/>
          <w:szCs w:val="24"/>
          <w:highlight w:val="none"/>
        </w:rPr>
        <w:t xml:space="preserve">投标报价浮动比率= （1-中标价/招标预算价）*100%。 以上变更及工程量签证，必须由发、承包双方、现场监理工程师共同确认。清单项目中特征描述不全的工序，如图纸已明确或已指明引用的规范、图集等或是常规工艺必须的工序，应包括在报价中。招标人保留在施工过程中增加或取消工程内容及相应费用的权利，投标人须无条件配合。</w:t>
      </w:r>
      <w:r>
        <w:rPr>
          <w:rFonts w:hint="eastAsia" w:ascii="宋体" w:hAnsi="宋体" w:cs="宋体"/>
          <w:color w:val="auto"/>
          <w:sz w:val="24"/>
          <w:szCs w:val="24"/>
          <w:highlight w:val="none"/>
          <w:lang w:eastAsia="zh-CN"/>
        </w:rPr>
        <w:t xml:space="preserve">④</w:t>
      </w:r>
      <w:r>
        <w:rPr>
          <w:rFonts w:hint="eastAsia" w:ascii="宋体" w:hAnsi="宋体" w:cs="宋体"/>
          <w:color w:val="auto"/>
          <w:sz w:val="24"/>
          <w:szCs w:val="24"/>
          <w:highlight w:val="none"/>
        </w:rPr>
        <w:t xml:space="preserve">执行本招标文件。</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3）因分部分项工程量清单漏项或非承包人原因的工程变更，造成施工组织设计或施工方案变更，引起措施项目发生变化时，措施项目费应按下列原则调整：“措施项目表一”中的措施费仍按投标时费率进行调整；“措施项目表二”中的措施费发生关联变化时，按 2014 年江苏省计价表规定组价的措施项目按原组价方法调整，未按 2014 年江苏省计价表规定组价的措施项目按投标时价格折算成费率调整；原措施费中没有的措施项目，由承包人根据措施项目变更情况，提出适当的措施费变更要求，经发包人确认后调整；合同有约定的按合同执行。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10.4.2 变更估价的支付方式及时间</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关于变更价款的支付方式及时间的约定：</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 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outlineLvl w:val="2"/>
      </w:pPr>
      <w:r/>
      <w:bookmarkStart w:id="515" w:name="_Toc900110438"/>
      <w:r/>
      <w:bookmarkStart w:id="516" w:name="_Toc2102284973"/>
      <w:r>
        <w:rPr>
          <w:rFonts w:hint="eastAsia" w:ascii="宋体" w:hAnsi="宋体" w:cs="宋体"/>
          <w:color w:val="auto"/>
          <w:sz w:val="24"/>
          <w:szCs w:val="24"/>
          <w:highlight w:val="none"/>
        </w:rPr>
        <w:t xml:space="preserve">1</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Start w:id="517" w:name="_Toc296347196"/>
      <w:r/>
      <w:bookmarkStart w:id="518" w:name="_Toc292559402"/>
      <w:r/>
      <w:bookmarkStart w:id="519" w:name="_Toc297216203"/>
      <w:r/>
      <w:bookmarkStart w:id="520" w:name="_Toc296346698"/>
      <w:r/>
      <w:bookmarkStart w:id="521" w:name="_Toc297048383"/>
      <w:r/>
      <w:bookmarkStart w:id="522" w:name="_Toc296891025"/>
      <w:r/>
      <w:bookmarkStart w:id="523" w:name="_Toc300934993"/>
      <w:r/>
      <w:bookmarkStart w:id="524" w:name="_Toc296944536"/>
      <w:r/>
      <w:bookmarkStart w:id="525" w:name="_Toc296503197"/>
      <w:r/>
      <w:bookmarkStart w:id="526" w:name="_Toc296891237"/>
      <w:r/>
      <w:bookmarkStart w:id="527" w:name="_Toc297123544"/>
      <w:r/>
      <w:bookmarkStart w:id="528" w:name="_Toc303539150"/>
      <w:r/>
      <w:bookmarkStart w:id="529" w:name="_Toc297120497"/>
      <w:r/>
      <w:bookmarkStart w:id="530" w:name="_Toc292559907"/>
      <w:r/>
      <w:bookmarkStart w:id="531" w:name="_Toc304295570"/>
      <w:r/>
      <w:bookmarkStart w:id="532" w:name="_Toc312678029"/>
      <w:r/>
      <w:bookmarkStart w:id="533" w:name="_Toc312677503"/>
      <w:r>
        <w:rPr>
          <w:rFonts w:hint="eastAsia" w:ascii="宋体" w:hAnsi="宋体" w:cs="宋体"/>
          <w:color w:val="auto"/>
          <w:sz w:val="24"/>
          <w:szCs w:val="24"/>
          <w:highlight w:val="none"/>
        </w:rPr>
        <w:t xml:space="preserve">0.5 承</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Start w:id="534" w:name="_Toc296346704"/>
      <w:r/>
      <w:bookmarkStart w:id="535" w:name="_Toc296891243"/>
      <w:r/>
      <w:bookmarkStart w:id="536" w:name="_Toc296944542"/>
      <w:r/>
      <w:bookmarkStart w:id="537" w:name="_Toc297123545"/>
      <w:r/>
      <w:bookmarkStart w:id="538" w:name="_Toc300934994"/>
      <w:r/>
      <w:bookmarkStart w:id="539" w:name="_Toc292559408"/>
      <w:r/>
      <w:bookmarkStart w:id="540" w:name="_Toc303539151"/>
      <w:r/>
      <w:bookmarkStart w:id="541" w:name="_Toc296503203"/>
      <w:r/>
      <w:bookmarkStart w:id="542" w:name="_Toc297048389"/>
      <w:r/>
      <w:bookmarkStart w:id="543" w:name="_Toc297216204"/>
      <w:r/>
      <w:bookmarkStart w:id="544" w:name="_Toc292559913"/>
      <w:r/>
      <w:bookmarkStart w:id="545" w:name="_Toc297120503"/>
      <w:r/>
      <w:bookmarkStart w:id="546" w:name="_Toc296891031"/>
      <w:r/>
      <w:bookmarkStart w:id="547" w:name="_Toc296347202"/>
      <w:r>
        <w:rPr>
          <w:rFonts w:hint="eastAsia" w:ascii="宋体" w:hAnsi="宋体" w:cs="宋体"/>
          <w:color w:val="auto"/>
          <w:sz w:val="24"/>
          <w:szCs w:val="24"/>
          <w:highlight w:val="none"/>
        </w:rPr>
        <w:t xml:space="preserve">包人的合理化建议</w:t>
      </w:r>
      <w:bookmarkEnd w:id="515"/>
      <w:r/>
      <w:bookmarkEnd w:id="516"/>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监理人审查承包人合理化建议的期限：</w:t>
      </w:r>
      <w:r>
        <w:rPr>
          <w:rFonts w:hint="eastAsia" w:ascii="宋体" w:hAnsi="宋体" w:cs="宋体"/>
          <w:b/>
          <w:bCs/>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发包人审批承包人合理化建议的期限：</w:t>
      </w:r>
      <w:r>
        <w:rPr>
          <w:rFonts w:hint="eastAsia" w:ascii="宋体" w:hAnsi="宋体" w:cs="宋体"/>
          <w:b/>
          <w:bCs/>
          <w:color w:val="auto"/>
          <w:sz w:val="24"/>
          <w:szCs w:val="24"/>
          <w:highlight w:val="none"/>
          <w:u w:val="single"/>
        </w:rPr>
        <w:t xml:space="preserve">执行通用条款</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承</w:t>
      </w:r>
      <w:bookmarkStart w:id="548" w:name="_Toc292559409"/>
      <w:r/>
      <w:bookmarkStart w:id="549" w:name="_Toc297123546"/>
      <w:r/>
      <w:bookmarkStart w:id="550" w:name="_Toc297048390"/>
      <w:r/>
      <w:bookmarkStart w:id="551" w:name="_Toc318581175"/>
      <w:r/>
      <w:bookmarkStart w:id="552" w:name="_Toc297120504"/>
      <w:r/>
      <w:bookmarkStart w:id="553" w:name="_Toc312677504"/>
      <w:r/>
      <w:bookmarkStart w:id="554" w:name="_Toc296891244"/>
      <w:r/>
      <w:bookmarkStart w:id="555" w:name="_Toc297216205"/>
      <w:r/>
      <w:bookmarkStart w:id="556" w:name="_Toc292559914"/>
      <w:r/>
      <w:bookmarkStart w:id="557" w:name="_Toc296891032"/>
      <w:r/>
      <w:bookmarkStart w:id="558" w:name="_Toc296347203"/>
      <w:r/>
      <w:bookmarkStart w:id="559" w:name="_Toc300934995"/>
      <w:r/>
      <w:bookmarkStart w:id="560" w:name="_Toc304295571"/>
      <w:r/>
      <w:bookmarkStart w:id="561" w:name="_Toc303539152"/>
      <w:r/>
      <w:bookmarkStart w:id="562" w:name="_Toc296503204"/>
      <w:r/>
      <w:bookmarkStart w:id="563" w:name="_Toc296944543"/>
      <w:r/>
      <w:bookmarkStart w:id="564" w:name="_Toc296346705"/>
      <w:r/>
      <w:bookmarkStart w:id="565" w:name="_Toc312678030"/>
      <w:r>
        <w:rPr>
          <w:rFonts w:hint="eastAsia" w:ascii="宋体" w:hAnsi="宋体" w:cs="宋体"/>
          <w:color w:val="auto"/>
          <w:sz w:val="24"/>
          <w:szCs w:val="24"/>
          <w:highlight w:val="none"/>
        </w:rPr>
        <w:t xml:space="preserve">包人提出的合理化建议降低了合同价格或者提高了工程经济效益的奖励的方法和金额为：</w:t>
      </w:r>
      <w:r>
        <w:rPr>
          <w:rFonts w:hint="eastAsia" w:ascii="宋体" w:hAnsi="宋体" w:cs="宋体"/>
          <w:b/>
          <w:bCs/>
          <w:color w:val="auto"/>
          <w:sz w:val="24"/>
          <w:szCs w:val="24"/>
          <w:highlight w:val="none"/>
          <w:u w:val="single"/>
        </w:rPr>
        <w:t xml:space="preserve">执行通用条款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firstLine="240"/>
        <w:spacing w:line="440" w:lineRule="exact"/>
        <w:rPr>
          <w:rFonts w:ascii="宋体" w:hAnsi="宋体" w:cs="宋体"/>
          <w:color w:val="auto"/>
          <w:sz w:val="24"/>
          <w:szCs w:val="24"/>
          <w:highlight w:val="none"/>
        </w:rPr>
        <w:outlineLvl w:val="2"/>
      </w:pPr>
      <w:r/>
      <w:bookmarkStart w:id="566" w:name="_Toc1821307230"/>
      <w:r/>
      <w:bookmarkStart w:id="567" w:name="_Toc1569203092"/>
      <w:r/>
      <w:bookmarkStart w:id="568" w:name="_Toc1308"/>
      <w:r>
        <w:rPr>
          <w:rFonts w:hint="eastAsia" w:ascii="宋体" w:hAnsi="宋体" w:cs="宋体"/>
          <w:color w:val="auto"/>
          <w:sz w:val="24"/>
          <w:szCs w:val="24"/>
          <w:highlight w:val="none"/>
        </w:rPr>
        <w:t xml:space="preserve">1</w:t>
      </w:r>
      <w:bookmarkStart w:id="569" w:name="_Toc297123548"/>
      <w:r/>
      <w:bookmarkStart w:id="570" w:name="_Toc292559404"/>
      <w:r/>
      <w:bookmarkStart w:id="571" w:name="_Toc296347198"/>
      <w:r/>
      <w:bookmarkStart w:id="572" w:name="_Toc300934997"/>
      <w:r/>
      <w:bookmarkStart w:id="573" w:name="_Toc296346700"/>
      <w:r/>
      <w:bookmarkStart w:id="574" w:name="_Toc303539154"/>
      <w:r/>
      <w:bookmarkStart w:id="575" w:name="_Toc304295574"/>
      <w:r/>
      <w:bookmarkStart w:id="576" w:name="_Toc312677507"/>
      <w:r/>
      <w:bookmarkStart w:id="577" w:name="_Toc297120499"/>
      <w:r/>
      <w:bookmarkStart w:id="578" w:name="_Toc292559909"/>
      <w:r/>
      <w:bookmarkStart w:id="579" w:name="_Toc296891239"/>
      <w:r/>
      <w:bookmarkStart w:id="580" w:name="_Toc296891027"/>
      <w:r/>
      <w:bookmarkStart w:id="581" w:name="_Toc297216207"/>
      <w:r/>
      <w:bookmarkStart w:id="582" w:name="_Toc296503199"/>
      <w:r/>
      <w:bookmarkStart w:id="583" w:name="_Toc312678033"/>
      <w:r/>
      <w:bookmarkStart w:id="584" w:name="_Toc296944538"/>
      <w:r/>
      <w:bookmarkStart w:id="585" w:name="_Toc297048385"/>
      <w:r>
        <w:rPr>
          <w:rFonts w:hint="eastAsia" w:ascii="宋体" w:hAnsi="宋体" w:cs="宋体"/>
          <w:color w:val="auto"/>
          <w:sz w:val="24"/>
          <w:szCs w:val="24"/>
          <w:highlight w:val="none"/>
        </w:rPr>
        <w:t xml:space="preserve">0.6 暂估价</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暂</w:t>
      </w:r>
      <w:bookmarkStart w:id="586" w:name="_Toc312678034"/>
      <w:r/>
      <w:bookmarkStart w:id="587" w:name="_Toc312677508"/>
      <w:r/>
      <w:bookmarkStart w:id="588" w:name="_Toc318581176"/>
      <w:r>
        <w:rPr>
          <w:rFonts w:hint="eastAsia" w:ascii="宋体" w:hAnsi="宋体" w:cs="宋体"/>
          <w:color w:val="auto"/>
          <w:sz w:val="24"/>
          <w:szCs w:val="24"/>
          <w:highlight w:val="none"/>
        </w:rPr>
        <w:t xml:space="preserve">估价材料</w:t>
      </w:r>
      <w:r>
        <w:rPr>
          <w:rFonts w:hint="eastAsia" w:ascii="宋体" w:hAnsi="宋体" w:cs="宋体"/>
          <w:color w:val="auto"/>
          <w:sz w:val="24"/>
          <w:szCs w:val="24"/>
          <w:highlight w:val="none"/>
          <w:lang w:eastAsia="zh-CN"/>
        </w:rPr>
        <w:t xml:space="preserve">、工程设备、专业工程</w:t>
      </w:r>
      <w:r>
        <w:rPr>
          <w:rFonts w:hint="eastAsia" w:ascii="宋体" w:hAnsi="宋体" w:cs="宋体"/>
          <w:color w:val="auto"/>
          <w:sz w:val="24"/>
          <w:szCs w:val="24"/>
          <w:highlight w:val="none"/>
        </w:rPr>
        <w:t xml:space="preserve">的明细详见附件3：《</w:t>
      </w:r>
      <w:r>
        <w:rPr>
          <w:rFonts w:hint="eastAsia" w:ascii="宋体" w:hAnsi="宋体" w:cs="宋体"/>
          <w:color w:val="auto"/>
          <w:sz w:val="24"/>
          <w:szCs w:val="24"/>
          <w:highlight w:val="none"/>
        </w:rPr>
        <w:t xml:space="preserve">暂估价一览表》</w:t>
      </w:r>
      <w:r>
        <w:rPr>
          <w:rFonts w:hint="eastAsia" w:ascii="宋体" w:hAnsi="宋体" w:cs="宋体"/>
          <w:color w:val="auto"/>
          <w:sz w:val="24"/>
          <w:szCs w:val="24"/>
          <w:highlight w:val="none"/>
        </w:rPr>
        <w:t xml:space="preserve">。</w:t>
      </w:r>
      <w:bookmarkEnd w:id="586"/>
      <w:r/>
      <w:bookmarkEnd w:id="587"/>
      <w:r/>
      <w:bookmarkEnd w:id="588"/>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589" w:name="_Toc312678035"/>
      <w:r/>
      <w:bookmarkStart w:id="590" w:name="_Toc318581177"/>
      <w:r/>
      <w:bookmarkStart w:id="591" w:name="_Toc312677509"/>
      <w:r>
        <w:rPr>
          <w:rFonts w:hint="eastAsia" w:ascii="宋体" w:hAnsi="宋体" w:cs="宋体"/>
          <w:color w:val="auto"/>
          <w:sz w:val="24"/>
          <w:szCs w:val="24"/>
          <w:highlight w:val="none"/>
        </w:rPr>
        <w:t xml:space="preserve">0.6.1 依法必须招标的暂估价项目</w:t>
      </w:r>
      <w:bookmarkEnd w:id="589"/>
      <w:r/>
      <w:bookmarkEnd w:id="590"/>
      <w:r/>
      <w:bookmarkEnd w:id="591"/>
      <w:r/>
      <w:r/>
    </w:p>
    <w:p>
      <w:pPr>
        <w:ind w:firstLine="420"/>
        <w:spacing w:line="440" w:lineRule="exact"/>
        <w:rPr>
          <w:rFonts w:ascii="宋体" w:hAnsi="宋体" w:cs="宋体"/>
          <w:color w:val="auto"/>
          <w:sz w:val="24"/>
          <w:szCs w:val="24"/>
          <w:highlight w:val="none"/>
        </w:rPr>
      </w:pPr>
      <w:r>
        <w:rPr>
          <w:rFonts w:hint="eastAsia"/>
          <w:color w:val="auto"/>
          <w:highlight w:val="none"/>
          <w:lang w:eastAsia="zh-CN"/>
        </w:rPr>
        <w:t xml:space="preserve">给定暂估价的材料、工程设备。由发承包方以招标的方式选择供应商。依法确定中标价格后，以此为依据取代暂估价，调整合同价格。</w:t>
      </w:r>
      <w:r/>
    </w:p>
    <w:p>
      <w:pPr>
        <w:ind w:firstLine="480"/>
        <w:spacing w:line="440" w:lineRule="exact"/>
        <w:rPr>
          <w:rFonts w:ascii="宋体" w:hAnsi="宋体" w:cs="宋体"/>
          <w:bCs/>
          <w:color w:val="auto"/>
          <w:sz w:val="24"/>
          <w:szCs w:val="24"/>
          <w:highlight w:val="none"/>
        </w:rPr>
        <w:outlineLvl w:val="0"/>
      </w:pPr>
      <w:r/>
      <w:bookmarkStart w:id="592" w:name="_Toc4901"/>
      <w:r/>
      <w:bookmarkStart w:id="593" w:name="_Toc18483047"/>
      <w:r/>
      <w:bookmarkStart w:id="594" w:name="_Toc19569423"/>
      <w:r/>
      <w:bookmarkStart w:id="595" w:name="_Toc30268"/>
      <w:r/>
      <w:bookmarkStart w:id="596" w:name="_Toc24375917"/>
      <w:r>
        <w:rPr>
          <w:rFonts w:hint="eastAsia" w:ascii="宋体" w:hAnsi="宋体" w:cs="宋体"/>
          <w:bCs/>
          <w:color w:val="auto"/>
          <w:sz w:val="24"/>
          <w:szCs w:val="24"/>
          <w:highlight w:val="none"/>
        </w:rPr>
        <w:t xml:space="preserve">10.6.2不属于依法必须招标的暂估价项目</w:t>
      </w:r>
      <w:bookmarkEnd w:id="592"/>
      <w:r/>
      <w:bookmarkEnd w:id="593"/>
      <w:r/>
      <w:bookmarkEnd w:id="594"/>
      <w:r/>
      <w:bookmarkEnd w:id="595"/>
      <w:r/>
      <w:bookmarkEnd w:id="596"/>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对于不属于依法必须招标的暂估价项目的确认和批准采取通用合同条款中第</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种方式确定。（无第一、第二种方式）</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第3种方式：承包人直接实施的暂估价项目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承包人具备实施暂估价项目的资格和条件的，经发包人和承包人协商一致后，可由承包人自行实施暂估价项目，合同当事人可以在专用合同条款约定具体事项。</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承包人直接实施的暂估价项目的约定：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10.7暂列金额</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r/>
    </w:p>
    <w:p>
      <w:pPr>
        <w:pStyle w:val="955"/>
        <w:spacing w:line="440" w:lineRule="exact"/>
        <w:rPr>
          <w:rFonts w:ascii="宋体" w:hAnsi="宋体" w:cs="宋体"/>
          <w:b w:val="0"/>
          <w:color w:val="auto"/>
          <w:sz w:val="24"/>
          <w:szCs w:val="24"/>
          <w:highlight w:val="none"/>
        </w:rPr>
      </w:pPr>
      <w:r/>
      <w:bookmarkStart w:id="597" w:name="_Toc17442182"/>
      <w:r/>
      <w:bookmarkStart w:id="598" w:name="_Toc1637898606"/>
      <w:r>
        <w:rPr>
          <w:rFonts w:hint="eastAsia" w:ascii="宋体" w:hAnsi="宋体" w:cs="宋体"/>
          <w:b w:val="0"/>
          <w:color w:val="auto"/>
          <w:sz w:val="24"/>
          <w:szCs w:val="24"/>
          <w:highlight w:val="none"/>
        </w:rPr>
        <w:t xml:space="preserve">11. 价格调整</w:t>
      </w:r>
      <w:bookmarkEnd w:id="597"/>
      <w:r/>
      <w:bookmarkEnd w:id="598"/>
      <w:r>
        <w:rPr>
          <w:rFonts w:hint="eastAsia" w:ascii="宋体" w:hAnsi="宋体" w:cs="宋体"/>
          <w:b w:val="0"/>
          <w:color w:val="auto"/>
          <w:sz w:val="24"/>
          <w:szCs w:val="24"/>
          <w:highlight w:val="none"/>
        </w:rPr>
        <w:t xml:space="preserve"> </w:t>
      </w:r>
      <w:r/>
    </w:p>
    <w:p>
      <w:pPr>
        <w:ind w:firstLine="240"/>
        <w:spacing w:line="440" w:lineRule="exact"/>
        <w:rPr>
          <w:rFonts w:ascii="宋体" w:hAnsi="宋体" w:cs="宋体"/>
          <w:color w:val="auto"/>
          <w:sz w:val="24"/>
          <w:szCs w:val="24"/>
          <w:highlight w:val="none"/>
        </w:rPr>
        <w:outlineLvl w:val="2"/>
      </w:pPr>
      <w:r/>
      <w:bookmarkStart w:id="599" w:name="_Toc296944540"/>
      <w:r/>
      <w:bookmarkStart w:id="600" w:name="_Toc297120501"/>
      <w:r/>
      <w:bookmarkStart w:id="601" w:name="_Toc297048387"/>
      <w:r/>
      <w:bookmarkStart w:id="602" w:name="_Toc292559911"/>
      <w:r/>
      <w:bookmarkStart w:id="603" w:name="_Toc304295577"/>
      <w:r/>
      <w:bookmarkStart w:id="604" w:name="_Toc303539157"/>
      <w:r/>
      <w:bookmarkStart w:id="605" w:name="_Toc296346702"/>
      <w:r/>
      <w:bookmarkStart w:id="606" w:name="_Toc296347200"/>
      <w:r/>
      <w:bookmarkStart w:id="607" w:name="_Toc292559406"/>
      <w:r/>
      <w:bookmarkStart w:id="608" w:name="_Toc1614717129"/>
      <w:r/>
      <w:bookmarkStart w:id="609" w:name="_Toc31698"/>
      <w:r/>
      <w:bookmarkStart w:id="610" w:name="_Toc297216209"/>
      <w:r/>
      <w:bookmarkStart w:id="611" w:name="_Toc300935000"/>
      <w:r/>
      <w:bookmarkStart w:id="612" w:name="_Toc296891241"/>
      <w:r/>
      <w:bookmarkStart w:id="613" w:name="_Toc296503201"/>
      <w:r/>
      <w:bookmarkStart w:id="614" w:name="_Toc297123550"/>
      <w:r/>
      <w:bookmarkStart w:id="615" w:name="_Toc296891029"/>
      <w:r/>
      <w:bookmarkStart w:id="616" w:name="_Toc312678039"/>
      <w:r/>
      <w:bookmarkStart w:id="617" w:name="_Toc1840417661"/>
      <w:r>
        <w:rPr>
          <w:rFonts w:hint="eastAsia" w:ascii="宋体" w:hAnsi="宋体" w:cs="宋体"/>
          <w:color w:val="auto"/>
          <w:sz w:val="24"/>
          <w:szCs w:val="24"/>
          <w:highlight w:val="none"/>
        </w:rPr>
        <w:t xml:space="preserve">11.1 市场价格波动引起的调整</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市场价格波动是否调整合同价格的约定：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因市场价格波动调整合同价格，采用以下第</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种方式对合同价格进行调整：</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第1种方式：采用价格指数进行价格调整。</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关于各可调因子、定值和变值权重，以及基本价格指数及其来源的约定：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第2种方式：采用造价信息进行价格调整。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（2）关于基准价格的约定：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①承包人在已标价工程量清单或预算书中载明的材料单价低于基准价格的：合同履行期间材料单价涨幅以基准价格为基础超过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%时，或材料单价跌幅以已标价工程量清单或预算书中载明材料单价为基础超过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%时，其超过部分据实调整。</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②承包人在已标价工程量清单或预算书中载明的材料单价高于基准价格的：合同履行期间材料单价跌幅以基准价格为基础超过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%时，材料单价涨幅以已标价工程量清单或预算书中载明材料单价为基础超过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%时，其超过部分据实调整。</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③承包人在已标价工程量清单或预算书中载明的材料单价等于基准单价的：合同履行期间材料单价涨跌幅以基准单价为基础超过±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%时，其超过部分据实调整。</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第3种方式：其他价格调整方式： 施工期间材料价格出现大幅波动（超过</w:t>
      </w:r>
      <w:r>
        <w:rPr>
          <w:rFonts w:hint="eastAsia" w:ascii="宋体" w:hAnsi="宋体" w:cs="宋体"/>
          <w:color w:val="auto"/>
          <w:sz w:val="24"/>
          <w:szCs w:val="24"/>
          <w:highlight w:val="none"/>
          <w:u w:val="single"/>
        </w:rPr>
        <w:t xml:space="preserve">10%</w:t>
      </w:r>
      <w:r>
        <w:rPr>
          <w:rFonts w:hint="eastAsia" w:ascii="宋体" w:hAnsi="宋体" w:cs="宋体"/>
          <w:color w:val="auto"/>
          <w:sz w:val="24"/>
          <w:szCs w:val="24"/>
          <w:highlight w:val="none"/>
        </w:rPr>
        <w:t xml:space="preserve">），经双方协商一致并报经上级有权部门审批同意后予以调整。其余不做调整 。</w:t>
      </w:r>
      <w:bookmarkEnd w:id="442"/>
      <w:r/>
      <w:bookmarkEnd w:id="443"/>
      <w:r/>
      <w:bookmarkEnd w:id="444"/>
      <w:r/>
      <w:bookmarkEnd w:id="445"/>
      <w:r/>
      <w:bookmarkEnd w:id="446"/>
      <w:r/>
      <w:bookmarkEnd w:id="447"/>
      <w:r/>
      <w:r/>
    </w:p>
    <w:p>
      <w:pPr>
        <w:pStyle w:val="955"/>
        <w:spacing w:line="440" w:lineRule="exact"/>
        <w:rPr>
          <w:rFonts w:ascii="宋体" w:hAnsi="宋体" w:cs="宋体"/>
          <w:b w:val="0"/>
          <w:color w:val="auto"/>
          <w:sz w:val="24"/>
          <w:szCs w:val="24"/>
          <w:highlight w:val="none"/>
        </w:rPr>
      </w:pPr>
      <w:r/>
      <w:bookmarkStart w:id="618" w:name="_Toc297120505"/>
      <w:r/>
      <w:bookmarkStart w:id="619" w:name="_Toc296503205"/>
      <w:r/>
      <w:bookmarkStart w:id="620" w:name="_Toc292559410"/>
      <w:r/>
      <w:bookmarkStart w:id="621" w:name="_Toc292559915"/>
      <w:r/>
      <w:bookmarkStart w:id="622" w:name="_Toc297048391"/>
      <w:r/>
      <w:bookmarkStart w:id="623" w:name="_Toc296891033"/>
      <w:r/>
      <w:bookmarkStart w:id="624" w:name="_Toc296347204"/>
      <w:r/>
      <w:bookmarkStart w:id="625" w:name="_Toc296944544"/>
      <w:r/>
      <w:bookmarkStart w:id="626" w:name="_Toc296346706"/>
      <w:r/>
      <w:bookmarkStart w:id="627" w:name="_Toc296891245"/>
      <w:r/>
      <w:bookmarkStart w:id="628" w:name="_Toc297123552"/>
      <w:r/>
      <w:bookmarkStart w:id="629" w:name="_Toc2095751839"/>
      <w:r/>
      <w:bookmarkStart w:id="630" w:name="_Toc312678040"/>
      <w:r/>
      <w:bookmarkStart w:id="631" w:name="_Toc297216211"/>
      <w:r/>
      <w:bookmarkStart w:id="632" w:name="_Toc300935002"/>
      <w:r/>
      <w:bookmarkStart w:id="633" w:name="_Toc303539159"/>
      <w:r/>
      <w:bookmarkStart w:id="634" w:name="_Toc304295579"/>
      <w:r/>
      <w:bookmarkStart w:id="635" w:name="_Toc226573127"/>
      <w:r>
        <w:rPr>
          <w:rFonts w:hint="eastAsia" w:ascii="宋体" w:hAnsi="宋体" w:cs="宋体"/>
          <w:b w:val="0"/>
          <w:color w:val="auto"/>
          <w:sz w:val="24"/>
          <w:szCs w:val="24"/>
          <w:highlight w:val="none"/>
        </w:rPr>
        <w:t xml:space="preserve">12. </w:t>
      </w:r>
      <w:bookmarkEnd w:id="618"/>
      <w:r/>
      <w:bookmarkEnd w:id="619"/>
      <w:r/>
      <w:bookmarkEnd w:id="620"/>
      <w:r/>
      <w:bookmarkEnd w:id="621"/>
      <w:r/>
      <w:bookmarkEnd w:id="622"/>
      <w:r/>
      <w:bookmarkEnd w:id="623"/>
      <w:r/>
      <w:bookmarkEnd w:id="624"/>
      <w:r/>
      <w:bookmarkEnd w:id="625"/>
      <w:r/>
      <w:bookmarkEnd w:id="626"/>
      <w:r/>
      <w:bookmarkEnd w:id="627"/>
      <w:r>
        <w:rPr>
          <w:rFonts w:hint="eastAsia" w:ascii="宋体" w:hAnsi="宋体" w:cs="宋体"/>
          <w:b w:val="0"/>
          <w:color w:val="auto"/>
          <w:sz w:val="24"/>
          <w:szCs w:val="24"/>
          <w:highlight w:val="none"/>
        </w:rPr>
        <w:t xml:space="preserve">合同价格、计量与支付</w:t>
      </w:r>
      <w:bookmarkEnd w:id="628"/>
      <w:r/>
      <w:bookmarkEnd w:id="629"/>
      <w:r/>
      <w:bookmarkEnd w:id="630"/>
      <w:r/>
      <w:bookmarkEnd w:id="631"/>
      <w:r/>
      <w:bookmarkEnd w:id="632"/>
      <w:r/>
      <w:bookmarkEnd w:id="633"/>
      <w:r/>
      <w:bookmarkEnd w:id="634"/>
      <w:r/>
      <w:bookmarkEnd w:id="635"/>
      <w:r/>
      <w:r/>
    </w:p>
    <w:p>
      <w:pPr>
        <w:ind w:firstLine="240"/>
        <w:spacing w:line="440" w:lineRule="exact"/>
        <w:rPr>
          <w:rFonts w:ascii="宋体" w:hAnsi="宋体" w:cs="宋体"/>
          <w:color w:val="auto"/>
          <w:sz w:val="24"/>
          <w:szCs w:val="24"/>
          <w:highlight w:val="none"/>
        </w:rPr>
        <w:outlineLvl w:val="2"/>
      </w:pPr>
      <w:r/>
      <w:bookmarkStart w:id="636" w:name="_Toc292559411"/>
      <w:r/>
      <w:bookmarkStart w:id="637" w:name="_Toc267251461"/>
      <w:r/>
      <w:bookmarkStart w:id="638" w:name="_Toc292559916"/>
      <w:r/>
      <w:bookmarkStart w:id="639" w:name="_Toc296944545"/>
      <w:r/>
      <w:bookmarkStart w:id="640" w:name="_Toc296891246"/>
      <w:r/>
      <w:bookmarkStart w:id="641" w:name="_Toc296891034"/>
      <w:r/>
      <w:bookmarkStart w:id="642" w:name="_Toc297120506"/>
      <w:r/>
      <w:bookmarkStart w:id="643" w:name="_Toc296347205"/>
      <w:r/>
      <w:bookmarkStart w:id="644" w:name="_Toc297048392"/>
      <w:r/>
      <w:bookmarkStart w:id="645" w:name="_Toc296503206"/>
      <w:r/>
      <w:bookmarkStart w:id="646" w:name="_Toc296346707"/>
      <w:r/>
      <w:bookmarkStart w:id="647" w:name="_Toc300935003"/>
      <w:r/>
      <w:bookmarkStart w:id="648" w:name="_Toc297123553"/>
      <w:r/>
      <w:bookmarkStart w:id="649" w:name="_Toc303539160"/>
      <w:r/>
      <w:bookmarkStart w:id="650" w:name="_Toc74869891"/>
      <w:r/>
      <w:bookmarkStart w:id="651" w:name="_Toc297216212"/>
      <w:r/>
      <w:bookmarkStart w:id="652" w:name="_Toc304295580"/>
      <w:r/>
      <w:bookmarkStart w:id="653" w:name="_Toc1734401749"/>
      <w:r/>
      <w:bookmarkStart w:id="654" w:name="_Toc13589"/>
      <w:r/>
      <w:bookmarkStart w:id="655" w:name="_Toc312678041"/>
      <w:r>
        <w:rPr>
          <w:rFonts w:hint="eastAsia" w:ascii="宋体" w:hAnsi="宋体" w:cs="宋体"/>
          <w:color w:val="auto"/>
          <w:sz w:val="24"/>
          <w:szCs w:val="24"/>
          <w:highlight w:val="none"/>
        </w:rPr>
        <w:t xml:space="preserve">12.1 合</w:t>
      </w:r>
      <w:bookmarkEnd w:id="636"/>
      <w:r/>
      <w:bookmarkEnd w:id="637"/>
      <w:r/>
      <w:bookmarkEnd w:id="638"/>
      <w:r>
        <w:rPr>
          <w:rFonts w:hint="eastAsia" w:ascii="宋体" w:hAnsi="宋体" w:cs="宋体"/>
          <w:color w:val="auto"/>
          <w:sz w:val="24"/>
          <w:szCs w:val="24"/>
          <w:highlight w:val="none"/>
        </w:rPr>
        <w:t xml:space="preserve">同价</w:t>
      </w:r>
      <w:bookmarkEnd w:id="639"/>
      <w:r/>
      <w:bookmarkEnd w:id="640"/>
      <w:r/>
      <w:bookmarkEnd w:id="641"/>
      <w:r/>
      <w:bookmarkEnd w:id="642"/>
      <w:r/>
      <w:bookmarkEnd w:id="643"/>
      <w:r/>
      <w:bookmarkEnd w:id="644"/>
      <w:r/>
      <w:bookmarkEnd w:id="645"/>
      <w:r/>
      <w:bookmarkEnd w:id="646"/>
      <w:r>
        <w:rPr>
          <w:rFonts w:hint="eastAsia" w:ascii="宋体" w:hAnsi="宋体" w:cs="宋体"/>
          <w:color w:val="auto"/>
          <w:sz w:val="24"/>
          <w:szCs w:val="24"/>
          <w:highlight w:val="none"/>
        </w:rPr>
        <w:t xml:space="preserve">格形式</w:t>
      </w:r>
      <w:bookmarkEnd w:id="647"/>
      <w:r/>
      <w:bookmarkEnd w:id="648"/>
      <w:r/>
      <w:bookmarkEnd w:id="649"/>
      <w:r/>
      <w:bookmarkEnd w:id="650"/>
      <w:r/>
      <w:bookmarkEnd w:id="651"/>
      <w:r/>
      <w:bookmarkEnd w:id="652"/>
      <w:r/>
      <w:bookmarkEnd w:id="653"/>
      <w:r/>
      <w:bookmarkEnd w:id="654"/>
      <w:r/>
      <w:bookmarkEnd w:id="655"/>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单价合同。</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综合单价包含的风险范围：1）投标报价应包括招标文件所确定的招标范围内工程量清单中及施工图所含项目的全部内容，以及为完成上述内容所需的全部费用，其根据为投标人提交的已标价的工程量清单及附表。</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2）投标人应按招标人提供的工程量清单填报价格。填写的项目编码、项目名称、项目特征、计量单位、工程量必须与招标人提供的一致。</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3）实行工程量清单招标的工程建设项目，量的风险由发包人承担，价的风险在约定风险范围内的，由承包人承担，风险范围以外的按合同约定。</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应按招标人提供的工程量计算工程项目的单价和合价。工程量清单中的每一单项均需计算填写单价和合价，投标人没有填写单价和合价的项目将不予支付，认为此项费用已包括在工程量清单的其他单价和合价中。</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5）招标期为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2026</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月，招标人在适宜的时间下发开工令，投标人需考虑时间间隔对自身产生的影响并视为已体现在投标报价中，结算时不予调整。</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7）地方关系、施工涉及的交通协调费投标人自行考虑，就此项招标人不支付任何费用。</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在施工过程中，发包人有权根据该工程的实际情况，对设计进行变更（增加或减少工程量、增加或取消工程项目），承包人不得以任何理由拒绝，除按招标文件和合同约定在竣工结算时进行调整外，承包人不得提出任何索赔或赔偿。</w:t>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10）工程量清单项未予实施或工程量减少的，按照投标报价从中标价款中予以减除，竣工结算时予以扣减。</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所有材料(对影响景观效果的材料)进场前需向甲方报送样品，经甲方书面同意后，方可进场，材料进场同时向甲方提供材料订购合同备案。若乙方提供材料样品不满足甲方要求，甲方可自行指定品牌、规格，甲方承诺所选材料价格不高于双方确认的合同组价书的材料价格的 95%。</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w:t>
      </w:r>
      <w:r>
        <w:rPr>
          <w:rFonts w:ascii="宋体" w:hAnsi="宋体" w:eastAsia="宋体" w:cs="宋体"/>
          <w:color w:val="auto"/>
          <w:sz w:val="24"/>
          <w:highlight w:val="none"/>
          <w:u w:val="single"/>
        </w:rPr>
        <w:t xml:space="preserve">按投标报价包含的风险范围计算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rPr>
        <w:t xml:space="preserve">  </w:t>
      </w:r>
      <w:r>
        <w:rPr>
          <w:rFonts w:ascii="宋体" w:hAnsi="宋体" w:eastAsia="宋体" w:cs="宋体"/>
          <w:color w:val="auto"/>
          <w:sz w:val="24"/>
          <w:highlight w:val="none"/>
          <w:u w:val="single"/>
        </w:rPr>
        <w:t xml:space="preserve">按本合同约定执行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2.总价合同。</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总价包含的风险范围：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i/>
          <w:iCs/>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3.其他价格方式： </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outlineLvl w:val="2"/>
      </w:pPr>
      <w:r/>
      <w:bookmarkStart w:id="656" w:name="_Toc712673231"/>
      <w:r/>
      <w:bookmarkStart w:id="657" w:name="_Toc1924091423"/>
      <w:r/>
      <w:bookmarkStart w:id="658" w:name="_Toc303539161"/>
      <w:r/>
      <w:bookmarkStart w:id="659" w:name="_Toc297216213"/>
      <w:r/>
      <w:bookmarkStart w:id="660" w:name="_Toc300935004"/>
      <w:r/>
      <w:bookmarkStart w:id="661" w:name="_Toc312678042"/>
      <w:r/>
      <w:bookmarkStart w:id="662" w:name="_Toc304295581"/>
      <w:r/>
      <w:bookmarkStart w:id="663" w:name="_Toc297123554"/>
      <w:r/>
      <w:bookmarkStart w:id="664" w:name="_Toc296347206"/>
      <w:r/>
      <w:bookmarkStart w:id="665" w:name="_Toc297048393"/>
      <w:r/>
      <w:bookmarkStart w:id="666" w:name="_Toc296944546"/>
      <w:r/>
      <w:bookmarkStart w:id="667" w:name="_Toc292559412"/>
      <w:r/>
      <w:bookmarkStart w:id="668" w:name="_Toc296891247"/>
      <w:r/>
      <w:bookmarkStart w:id="669" w:name="_Toc296891035"/>
      <w:r/>
      <w:bookmarkStart w:id="670" w:name="_Toc292559917"/>
      <w:r/>
      <w:bookmarkStart w:id="671" w:name="_Toc297120507"/>
      <w:r/>
      <w:bookmarkStart w:id="672" w:name="_Toc296503207"/>
      <w:r/>
      <w:bookmarkStart w:id="673" w:name="_Toc296346708"/>
      <w:r>
        <w:rPr>
          <w:rFonts w:hint="eastAsia" w:ascii="宋体" w:hAnsi="宋体" w:cs="宋体"/>
          <w:color w:val="auto"/>
          <w:sz w:val="24"/>
          <w:szCs w:val="24"/>
          <w:highlight w:val="none"/>
        </w:rPr>
        <w:t xml:space="preserve">12.2 预付款</w:t>
      </w:r>
      <w:bookmarkEnd w:id="656"/>
      <w:r/>
      <w:bookmarkEnd w:id="657"/>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12.2.1 预付款的支付</w:t>
      </w:r>
      <w:r/>
    </w:p>
    <w:p>
      <w:pPr>
        <w:ind w:firstLine="480"/>
        <w:jc w:val="left"/>
        <w:spacing w:line="440" w:lineRule="exact"/>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rPr>
        <w:t xml:space="preserve">预付款支付比例：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不高于合同价的</w:t>
      </w:r>
      <w:r>
        <w:rPr>
          <w:rFonts w:hint="eastAsia" w:ascii="宋体" w:hAnsi="宋体" w:cs="宋体"/>
          <w:color w:val="auto"/>
          <w:sz w:val="24"/>
          <w:szCs w:val="24"/>
          <w:highlight w:val="none"/>
          <w:u w:val="single"/>
          <w:lang w:val="en-US" w:eastAsia="zh-CN"/>
        </w:rPr>
        <w:t xml:space="preserve">30%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预付款支付期限：</w:t>
      </w:r>
      <w:r>
        <w:rPr>
          <w:rFonts w:hint="eastAsia" w:ascii="宋体" w:hAnsi="宋体" w:cs="宋体"/>
          <w:b/>
          <w:bCs/>
          <w:color w:val="auto"/>
          <w:sz w:val="24"/>
          <w:szCs w:val="24"/>
          <w:highlight w:val="none"/>
          <w:u w:val="single"/>
        </w:rPr>
        <w:t xml:space="preserve">进场开工且多渠道筹措到位后十五日内（按徐州市重点工程付款程序执行）</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预付款扣回的方式：</w:t>
      </w:r>
      <w:r>
        <w:rPr>
          <w:rFonts w:hint="eastAsia" w:ascii="宋体" w:hAnsi="宋体" w:cs="宋体"/>
          <w:b/>
          <w:bCs/>
          <w:color w:val="auto"/>
          <w:sz w:val="24"/>
          <w:szCs w:val="24"/>
          <w:highlight w:val="none"/>
          <w:u w:val="single"/>
        </w:rPr>
        <w:t xml:space="preserve">不扣回，转为进度款。</w:t>
      </w:r>
      <w:bookmarkEnd w:id="658"/>
      <w:r/>
      <w:bookmarkEnd w:id="659"/>
      <w:r/>
      <w:bookmarkEnd w:id="660"/>
      <w:r/>
      <w:bookmarkEnd w:id="661"/>
      <w:r/>
      <w:bookmarkEnd w:id="662"/>
      <w:r/>
      <w:bookmarkEnd w:id="663"/>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12.2.2 预付款担保</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签订合同后</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个工作日内，承包人需提交支付担保人民币</w:t>
      </w:r>
      <w:r>
        <w:rPr>
          <w:rFonts w:hint="eastAsia" w:ascii="宋体" w:hAnsi="宋体" w:cs="宋体"/>
          <w:color w:val="auto"/>
          <w:sz w:val="24"/>
          <w:szCs w:val="24"/>
          <w:highlight w:val="none"/>
          <w:u w:val="single"/>
        </w:rPr>
        <w:t xml:space="preserve">  /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元（中标价的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%），以</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保函或</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保险形式执行。预付款担保的有效期至</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为止。</w:t>
      </w:r>
      <w:bookmarkEnd w:id="664"/>
      <w:r/>
      <w:bookmarkEnd w:id="665"/>
      <w:r/>
      <w:bookmarkEnd w:id="666"/>
      <w:r/>
      <w:bookmarkEnd w:id="667"/>
      <w:r/>
      <w:bookmarkEnd w:id="668"/>
      <w:r/>
      <w:bookmarkEnd w:id="669"/>
      <w:r/>
      <w:bookmarkEnd w:id="670"/>
      <w:r/>
      <w:bookmarkEnd w:id="671"/>
      <w:r/>
      <w:bookmarkEnd w:id="672"/>
      <w:r/>
      <w:bookmarkEnd w:id="673"/>
      <w:r/>
      <w:r/>
    </w:p>
    <w:p>
      <w:pPr>
        <w:ind w:firstLine="240"/>
        <w:spacing w:line="440" w:lineRule="exact"/>
        <w:rPr>
          <w:rFonts w:ascii="宋体" w:hAnsi="宋体" w:cs="宋体"/>
          <w:color w:val="auto"/>
          <w:sz w:val="24"/>
          <w:szCs w:val="24"/>
          <w:highlight w:val="none"/>
        </w:rPr>
        <w:outlineLvl w:val="2"/>
      </w:pPr>
      <w:r/>
      <w:bookmarkStart w:id="674" w:name="_Toc1055625342"/>
      <w:r/>
      <w:bookmarkStart w:id="675" w:name="_Toc13601"/>
      <w:r/>
      <w:bookmarkStart w:id="676" w:name="_Toc100272494"/>
      <w:r>
        <w:rPr>
          <w:rFonts w:hint="eastAsia" w:ascii="宋体" w:hAnsi="宋体" w:cs="宋体"/>
          <w:color w:val="auto"/>
          <w:sz w:val="24"/>
          <w:szCs w:val="24"/>
          <w:highlight w:val="none"/>
        </w:rPr>
        <w:t xml:space="preserve">12.3 计量</w:t>
      </w:r>
      <w:bookmarkEnd w:id="674"/>
      <w:r/>
      <w:bookmarkEnd w:id="675"/>
      <w:r/>
      <w:bookmarkEnd w:id="676"/>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12.3.1 计量原则</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工程量计算规则：</w:t>
      </w:r>
      <w:r>
        <w:rPr>
          <w:rFonts w:hint="eastAsia" w:ascii="宋体" w:hAnsi="宋体" w:cs="宋体"/>
          <w:b/>
          <w:color w:val="auto"/>
          <w:sz w:val="24"/>
          <w:szCs w:val="24"/>
          <w:highlight w:val="none"/>
          <w:u w:val="single"/>
        </w:rPr>
        <w:t xml:space="preserve">《建设工程工程量清单计价规范》（GB50500-20</w:t>
      </w:r>
      <w:r>
        <w:rPr>
          <w:rFonts w:hint="eastAsia" w:ascii="宋体" w:hAnsi="宋体" w:cs="宋体"/>
          <w:b/>
          <w:color w:val="auto"/>
          <w:sz w:val="24"/>
          <w:szCs w:val="24"/>
          <w:highlight w:val="none"/>
          <w:u w:val="single"/>
          <w:lang w:val="en-US" w:eastAsia="zh-CN"/>
        </w:rPr>
        <w:t xml:space="preserve">24</w:t>
      </w:r>
      <w:r>
        <w:rPr>
          <w:rFonts w:hint="eastAsia" w:ascii="宋体" w:hAnsi="宋体" w:cs="宋体"/>
          <w:b/>
          <w:color w:val="auto"/>
          <w:sz w:val="24"/>
          <w:szCs w:val="24"/>
          <w:highlight w:val="none"/>
          <w:u w:val="single"/>
        </w:rPr>
        <w:t xml:space="preserve">）、《建设工程工程量计算规范》（GB50854-</w:t>
      </w:r>
      <w:r>
        <w:rPr>
          <w:rFonts w:hint="eastAsia" w:ascii="宋体" w:hAnsi="宋体" w:cs="宋体"/>
          <w:b/>
          <w:color w:val="auto"/>
          <w:sz w:val="24"/>
          <w:szCs w:val="24"/>
          <w:highlight w:val="none"/>
          <w:u w:val="single"/>
          <w:lang w:val="en-US" w:eastAsia="zh-CN"/>
        </w:rPr>
        <w:t xml:space="preserve">2024</w:t>
      </w:r>
      <w:r>
        <w:rPr>
          <w:rFonts w:hint="eastAsia" w:ascii="宋体" w:hAnsi="宋体" w:cs="宋体"/>
          <w:b/>
          <w:color w:val="auto"/>
          <w:sz w:val="24"/>
          <w:szCs w:val="24"/>
          <w:highlight w:val="none"/>
          <w:u w:val="single"/>
        </w:rPr>
        <w:t xml:space="preserve">）、《江苏省安装工程计价表》（20</w:t>
      </w:r>
      <w:r>
        <w:rPr>
          <w:rFonts w:hint="eastAsia" w:ascii="宋体" w:hAnsi="宋体" w:cs="宋体"/>
          <w:b/>
          <w:color w:val="auto"/>
          <w:sz w:val="24"/>
          <w:szCs w:val="24"/>
          <w:highlight w:val="none"/>
          <w:u w:val="single"/>
          <w:lang w:val="en-US" w:eastAsia="zh-CN"/>
        </w:rPr>
        <w:t xml:space="preserve">24</w:t>
      </w:r>
      <w:r>
        <w:rPr>
          <w:rFonts w:hint="eastAsia" w:ascii="宋体" w:hAnsi="宋体" w:cs="宋体"/>
          <w:b/>
          <w:color w:val="auto"/>
          <w:sz w:val="24"/>
          <w:szCs w:val="24"/>
          <w:highlight w:val="none"/>
          <w:u w:val="single"/>
        </w:rPr>
        <w:t xml:space="preserve">版）、《江苏省建设工程费用定额》（20</w:t>
      </w:r>
      <w:r>
        <w:rPr>
          <w:rFonts w:hint="eastAsia" w:ascii="宋体" w:hAnsi="宋体" w:cs="宋体"/>
          <w:b/>
          <w:color w:val="auto"/>
          <w:sz w:val="24"/>
          <w:szCs w:val="24"/>
          <w:highlight w:val="none"/>
          <w:u w:val="single"/>
          <w:lang w:val="en-US" w:eastAsia="zh-CN"/>
        </w:rPr>
        <w:t xml:space="preserve">26</w:t>
      </w:r>
      <w:r>
        <w:rPr>
          <w:rFonts w:hint="eastAsia" w:ascii="宋体" w:hAnsi="宋体" w:cs="宋体"/>
          <w:b/>
          <w:color w:val="auto"/>
          <w:sz w:val="24"/>
          <w:szCs w:val="24"/>
          <w:highlight w:val="none"/>
          <w:u w:val="single"/>
        </w:rPr>
        <w:t xml:space="preserve"> 版）及有关文件规定标准、执行【2016】154 号文件关于营改增的规定、执行苏建函价〔2018〕298 号文件关于税金的相关规定、《关于增列工地扬尘污染防治费的通知》（徐建价[2018]2 号）及其他有关文件规定。</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12.3.2 计量周期</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关于计量周期的约定：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除专用合同条款另有约定外，单价合同的计量按照本项约定执行：</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（1）承包人应于每月20日向监理人报送上月20日至当月15日已完成的工程量报告，并附具进度付款申请单、已完成工程量报表和有关资料。</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监理人应在收到承包人提交的工程量报告后3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（3）监理人未在收到承包人提交的工程量报表后的3天内完成审核的，承包人报送的工程量报告中的工程量视为承包人实际完成的工程量，据此计算工程价款。</w:t>
      </w:r>
      <w:r/>
    </w:p>
    <w:p>
      <w:pPr>
        <w:ind w:firstLine="480"/>
        <w:spacing w:line="440" w:lineRule="exact"/>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12.3.3 单价合同的计量</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关于单价合同计量的约定：</w:t>
      </w:r>
      <w:r>
        <w:rPr>
          <w:rFonts w:hint="eastAsia" w:ascii="宋体" w:hAnsi="宋体" w:cs="宋体"/>
          <w:color w:val="auto"/>
          <w:sz w:val="24"/>
          <w:szCs w:val="24"/>
          <w:highlight w:val="none"/>
          <w:u w:val="single"/>
        </w:rPr>
        <w:t xml:space="preserve">  计量原则按专用条12.3.1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12.3.4 总价合同的计量</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关于总价合同计量的约定：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279" w:firstLine="24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12.3.5 总价合同采用支付分解表计量支付的，是否适用第</w:t>
      </w:r>
      <w:r>
        <w:rPr>
          <w:rFonts w:hint="eastAsia" w:ascii="宋体" w:hAnsi="宋体" w:cs="宋体"/>
          <w:color w:val="auto"/>
          <w:sz w:val="24"/>
          <w:szCs w:val="24"/>
          <w:highlight w:val="none"/>
        </w:rPr>
        <w:t xml:space="preserve">12.3.4</w:t>
      </w:r>
      <w:r>
        <w:rPr>
          <w:rFonts w:hint="eastAsia" w:ascii="宋体" w:hAnsi="宋体" w:cs="宋体"/>
          <w:color w:val="auto"/>
          <w:sz w:val="24"/>
          <w:szCs w:val="24"/>
          <w:highlight w:val="none"/>
        </w:rPr>
        <w:t xml:space="preserve">项</w:t>
      </w:r>
      <w:r>
        <w:rPr>
          <w:rFonts w:hint="eastAsia" w:ascii="宋体" w:hAnsi="宋体" w:cs="宋体"/>
          <w:color w:val="auto"/>
          <w:sz w:val="24"/>
          <w:szCs w:val="24"/>
          <w:highlight w:val="none"/>
        </w:rPr>
        <w:t xml:space="preserve">〔总价合同的计量〕</w:t>
      </w:r>
      <w:r>
        <w:rPr>
          <w:rFonts w:hint="eastAsia" w:ascii="宋体" w:hAnsi="宋体" w:cs="宋体"/>
          <w:color w:val="auto"/>
          <w:sz w:val="24"/>
          <w:szCs w:val="24"/>
          <w:highlight w:val="none"/>
        </w:rPr>
        <w:t xml:space="preserve">约定进行计量：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12.3.6 其他价格形式合同的计量</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其他价格形式的计量方式和程序：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outlineLvl w:val="2"/>
      </w:pPr>
      <w:r/>
      <w:bookmarkStart w:id="677" w:name="_Toc27300"/>
      <w:r/>
      <w:bookmarkStart w:id="678" w:name="_Toc16186591"/>
      <w:r/>
      <w:bookmarkStart w:id="679" w:name="_Toc1516403745"/>
      <w:r>
        <w:rPr>
          <w:rFonts w:hint="eastAsia" w:ascii="宋体" w:hAnsi="宋体" w:cs="宋体"/>
          <w:color w:val="auto"/>
          <w:sz w:val="24"/>
          <w:szCs w:val="24"/>
          <w:highlight w:val="none"/>
        </w:rPr>
        <w:t xml:space="preserve">12.4 工程进度款支付</w:t>
      </w:r>
      <w:bookmarkEnd w:id="677"/>
      <w:r/>
      <w:bookmarkEnd w:id="678"/>
      <w:r/>
      <w:bookmarkEnd w:id="679"/>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12.4.1 进度付款申请单的编制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价合同的进度付款申请单，按照第12.3.3项〔单价合同的计量〕约定的时间按月及时向监理人提交，并附上已完成工程量报表和有关资料。单价合同中的总价项目按月进行支付分解，并汇总列入当期进度付款申请单。</w:t>
      </w:r>
      <w:r/>
    </w:p>
    <w:p>
      <w:pPr>
        <w:ind w:firstLine="480"/>
        <w:spacing w:line="44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申请周期按照徐州市重点工程规定执行。</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12.4.2除专用合同条款另有约定外，进度付款申请单应包括下列内容：</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（1）截至本次付款周期已完成工作对应的金额；</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（2）根据第10条〔变更〕应增加和扣减的变更金额；</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（3）对已签发的进度款支付证书中出现错误的修正，应在本次进度付款中支付或扣除的金额；</w:t>
      </w:r>
      <w:r/>
    </w:p>
    <w:p>
      <w:pPr>
        <w:ind w:firstLine="480"/>
        <w:spacing w:line="440" w:lineRule="exact"/>
        <w:rPr>
          <w:rFonts w:ascii="宋体" w:hAnsi="宋体" w:cs="宋体"/>
          <w:bCs/>
          <w:color w:val="auto"/>
          <w:sz w:val="24"/>
          <w:szCs w:val="24"/>
          <w:highlight w:val="none"/>
        </w:rPr>
      </w:pPr>
      <w:r/>
      <w:bookmarkStart w:id="680" w:name="_Toc24375936"/>
      <w:r/>
      <w:bookmarkStart w:id="681" w:name="_Toc19569439"/>
      <w:r>
        <w:rPr>
          <w:rFonts w:hint="eastAsia" w:ascii="宋体" w:hAnsi="宋体" w:cs="宋体"/>
          <w:bCs/>
          <w:color w:val="auto"/>
          <w:sz w:val="24"/>
          <w:szCs w:val="24"/>
          <w:highlight w:val="none"/>
        </w:rPr>
        <w:t xml:space="preserve">（4）</w:t>
      </w:r>
      <w:bookmarkEnd w:id="680"/>
      <w:r/>
      <w:bookmarkEnd w:id="681"/>
      <w:r>
        <w:rPr>
          <w:rFonts w:hint="eastAsia" w:ascii="宋体" w:hAnsi="宋体" w:cs="宋体"/>
          <w:bCs/>
          <w:color w:val="auto"/>
          <w:sz w:val="24"/>
          <w:szCs w:val="24"/>
          <w:highlight w:val="none"/>
        </w:rPr>
        <w:t xml:space="preserve">根据第19条〔索赔〕应增加和扣减的索赔金额；</w:t>
      </w:r>
      <w:r/>
    </w:p>
    <w:p>
      <w:pPr>
        <w:ind w:firstLine="480"/>
        <w:spacing w:line="44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）根据合同约定应增加和扣减的其他金额。</w:t>
      </w:r>
      <w:r/>
    </w:p>
    <w:p>
      <w:pPr>
        <w:ind w:firstLine="480"/>
        <w:jc w:val="left"/>
        <w:spacing w:line="440" w:lineRule="exact"/>
        <w:rPr>
          <w:rFonts w:hint="eastAsia" w:ascii="宋体" w:hAnsi="宋体" w:cs="宋体"/>
          <w:b w:val="0"/>
          <w:bCs/>
          <w:color w:val="auto"/>
          <w:sz w:val="24"/>
          <w:szCs w:val="24"/>
          <w:highlight w:val="none"/>
          <w:u w:val="single"/>
        </w:rPr>
      </w:pPr>
      <w:r>
        <w:rPr>
          <w:rFonts w:hint="eastAsia" w:ascii="宋体" w:hAnsi="宋体" w:cs="宋体"/>
          <w:color w:val="auto"/>
          <w:sz w:val="24"/>
          <w:szCs w:val="24"/>
          <w:highlight w:val="none"/>
        </w:rPr>
        <w:t xml:space="preserve">12.4.3关于付款周期的约定: </w:t>
      </w:r>
      <w:r>
        <w:rPr>
          <w:rFonts w:hint="eastAsia" w:ascii="宋体" w:hAnsi="宋体" w:eastAsia="宋体" w:cs="宋体"/>
          <w:color w:val="auto"/>
          <w:sz w:val="24"/>
          <w:highlight w:val="none"/>
        </w:rPr>
        <w:t xml:space="preserve">工程预付款为合同价款（不含预留金）的不超过30%；工程进度完成50%以上，进度款付至合同价款（不含预留金）的50%；工程竣工验收合格并完成移交手续后，进度款付至合同价款（不含预留金）的80%；养护期满，且结算价款经双方及决算评审机构最终确认后</w:t>
      </w:r>
      <w:r>
        <w:rPr>
          <w:rFonts w:ascii="宋体" w:hAnsi="宋体" w:eastAsia="宋体" w:cs="宋体"/>
          <w:color w:val="auto"/>
          <w:sz w:val="24"/>
          <w:highlight w:val="none"/>
        </w:rPr>
        <w:t xml:space="preserve">30日内</w:t>
      </w:r>
      <w:r>
        <w:rPr>
          <w:rFonts w:hint="eastAsia" w:ascii="宋体" w:hAnsi="宋体" w:cs="宋体"/>
          <w:color w:val="auto"/>
          <w:sz w:val="24"/>
          <w:highlight w:val="none"/>
          <w:lang w:val="en-US" w:eastAsia="zh-CN"/>
        </w:rPr>
        <w:t xml:space="preserve">支付至</w:t>
      </w:r>
      <w:r>
        <w:rPr>
          <w:rFonts w:ascii="宋体" w:hAnsi="宋体" w:eastAsia="宋体" w:cs="宋体"/>
          <w:color w:val="auto"/>
          <w:sz w:val="24"/>
          <w:highlight w:val="none"/>
        </w:rPr>
        <w:t xml:space="preserve">除依法应扣除的违约金、赔偿款、代付款及其他应付款项外</w:t>
      </w:r>
      <w:r>
        <w:rPr>
          <w:rFonts w:hint="eastAsia" w:ascii="宋体" w:hAnsi="宋体" w:eastAsia="宋体" w:cs="宋体"/>
          <w:color w:val="auto"/>
          <w:sz w:val="24"/>
          <w:highlight w:val="none"/>
        </w:rPr>
        <w:t xml:space="preserve">确认价款的100%。每次支付工程款时，承包人需向发包人提供等额有效的增值税专用发票。</w:t>
      </w:r>
      <w:r/>
    </w:p>
    <w:p>
      <w:pPr>
        <w:ind w:firstLine="482"/>
        <w:jc w:val="left"/>
        <w:spacing w:line="440" w:lineRule="exact"/>
        <w:rPr>
          <w:rFonts w:hint="eastAsia" w:ascii="宋体" w:hAnsi="宋体" w:eastAsia="宋体" w:cs="宋体"/>
          <w:b/>
          <w:bCs w:val="0"/>
          <w:color w:val="auto"/>
          <w:sz w:val="24"/>
          <w:szCs w:val="24"/>
          <w:highlight w:val="none"/>
          <w:u w:val="single"/>
          <w:lang w:eastAsia="zh-CN"/>
        </w:rPr>
      </w:pPr>
      <w:r>
        <w:rPr>
          <w:rFonts w:hint="eastAsia" w:ascii="宋体" w:hAnsi="宋体" w:cs="宋体"/>
          <w:b/>
          <w:bCs w:val="0"/>
          <w:color w:val="auto"/>
          <w:sz w:val="24"/>
          <w:szCs w:val="24"/>
          <w:highlight w:val="none"/>
          <w:u w:val="single"/>
        </w:rPr>
        <w:t xml:space="preserve">如果上述付款周期与徐州市重点工程付款程序、周期要求不一致的，执行最新的徐州市重点工程付款程序、周期、比例，对此承包人明确知晓并愿意遵照</w:t>
      </w:r>
      <w:r>
        <w:rPr>
          <w:rFonts w:hint="eastAsia" w:ascii="宋体" w:hAnsi="宋体" w:cs="宋体"/>
          <w:b/>
          <w:bCs w:val="0"/>
          <w:color w:val="auto"/>
          <w:sz w:val="24"/>
          <w:szCs w:val="24"/>
          <w:highlight w:val="none"/>
          <w:u w:val="single"/>
          <w:lang w:eastAsia="zh-CN"/>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进度款与质量挂钩，如果所完成工程的质量达不到验收规范要求，发包人有权暂缓支付该部分工程款。待承包人整改完成符合验收规范要求后再行支付。每次支付工程款时，承包人需向发包人提供有效的合法发票 。</w:t>
      </w:r>
      <w:bookmarkStart w:id="682" w:name="_Toc296891039"/>
      <w:r/>
      <w:bookmarkStart w:id="683" w:name="_Toc292559921"/>
      <w:r/>
      <w:bookmarkStart w:id="684" w:name="_Toc297120511"/>
      <w:r/>
      <w:bookmarkStart w:id="685" w:name="_Toc297048397"/>
      <w:r/>
      <w:bookmarkStart w:id="686" w:name="_Toc292559416"/>
      <w:r/>
      <w:bookmarkStart w:id="687" w:name="_Toc303539163"/>
      <w:r/>
      <w:bookmarkStart w:id="688" w:name="_Toc297123556"/>
      <w:r/>
      <w:bookmarkStart w:id="689" w:name="_Toc296503211"/>
      <w:r/>
      <w:bookmarkStart w:id="690" w:name="_Toc296944550"/>
      <w:r/>
      <w:bookmarkStart w:id="691" w:name="_Toc297216215"/>
      <w:r/>
      <w:bookmarkStart w:id="692" w:name="_Toc300935006"/>
      <w:r/>
      <w:bookmarkStart w:id="693" w:name="_Toc296891251"/>
      <w:r/>
      <w:bookmarkStart w:id="694" w:name="_Toc296346712"/>
      <w:r/>
      <w:bookmarkStart w:id="695" w:name="_Toc296347210"/>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rFonts w:hint="eastAsia" w:ascii="宋体" w:hAnsi="宋体" w:cs="宋体"/>
          <w:color w:val="auto"/>
          <w:sz w:val="24"/>
          <w:szCs w:val="24"/>
          <w:highlight w:val="none"/>
        </w:rPr>
        <w:t xml:space="preserve">2.4.4 进度付款申请单的提交</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（1）单价合同进度付款申请单提交的约定：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（2）总价合同进度付款申请单提交的约定：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（3）其他价格形式合同进度付款申请单提交的约定：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12.4.5 进度款审核和支付</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（1）除专用合同条款另有约定外，监理人应在收到承包人进度付款申请单以及相关资料后</w:t>
      </w:r>
      <w:r>
        <w:rPr>
          <w:rFonts w:hint="eastAsia" w:ascii="宋体" w:hAnsi="宋体" w:cs="宋体"/>
          <w:color w:val="auto"/>
          <w:sz w:val="24"/>
          <w:szCs w:val="24"/>
          <w:highlight w:val="none"/>
          <w:u w:val="single"/>
        </w:rPr>
        <w:t xml:space="preserve">7</w:t>
      </w:r>
      <w:r>
        <w:rPr>
          <w:rFonts w:hint="eastAsia" w:ascii="宋体" w:hAnsi="宋体" w:cs="宋体"/>
          <w:color w:val="auto"/>
          <w:sz w:val="24"/>
          <w:szCs w:val="24"/>
          <w:highlight w:val="none"/>
        </w:rPr>
        <w:t xml:space="preserve">天内完成审查并报送发包人，发包人应在收到后</w:t>
      </w:r>
      <w:r>
        <w:rPr>
          <w:rFonts w:hint="eastAsia" w:ascii="宋体" w:hAnsi="宋体" w:cs="宋体"/>
          <w:color w:val="auto"/>
          <w:sz w:val="24"/>
          <w:szCs w:val="24"/>
          <w:highlight w:val="none"/>
          <w:u w:val="single"/>
        </w:rPr>
        <w:t xml:space="preserve">7</w:t>
      </w:r>
      <w:r>
        <w:rPr>
          <w:rFonts w:hint="eastAsia" w:ascii="宋体" w:hAnsi="宋体" w:cs="宋体"/>
          <w:color w:val="auto"/>
          <w:sz w:val="24"/>
          <w:szCs w:val="24"/>
          <w:highlight w:val="none"/>
        </w:rPr>
        <w:t xml:space="preserve">天内完成审批并签发进度款支付证书。发包人逾期未完成审批且未提出异议的，视为已签发进度款支付证书。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w:t>
      </w:r>
      <w:r>
        <w:rPr>
          <w:rFonts w:hint="eastAsia" w:ascii="宋体" w:hAnsi="宋体" w:cs="宋体"/>
          <w:color w:val="auto"/>
          <w:sz w:val="24"/>
          <w:szCs w:val="24"/>
          <w:highlight w:val="none"/>
          <w:u w:val="single"/>
        </w:rPr>
        <w:t xml:space="preserve">7</w:t>
      </w:r>
      <w:r>
        <w:rPr>
          <w:rFonts w:hint="eastAsia" w:ascii="宋体" w:hAnsi="宋体" w:cs="宋体"/>
          <w:color w:val="auto"/>
          <w:sz w:val="24"/>
          <w:szCs w:val="24"/>
          <w:highlight w:val="none"/>
        </w:rPr>
        <w:t xml:space="preserve">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spacing w:line="440" w:lineRule="exact"/>
        <w:rPr>
          <w:rFonts w:hint="eastAsia" w:ascii="宋体" w:hAnsi="宋体" w:eastAsia="宋体" w:cs="宋体"/>
          <w:color w:val="auto"/>
          <w:sz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工程进度款按照财政资金支付程序及合同约定审核支付。政府采购合同履行完毕并经检验、验收合格，且工程决算评审报告出具后，发包人应在30日内支付全部应付合同价款。因财政支付</w:t>
      </w:r>
      <w:r>
        <w:rPr>
          <w:rFonts w:hint="eastAsia" w:ascii="宋体" w:hAnsi="宋体" w:cs="宋体"/>
          <w:color w:val="auto"/>
          <w:sz w:val="24"/>
          <w:highlight w:val="none"/>
          <w:lang w:val="en-US" w:eastAsia="zh-CN"/>
        </w:rPr>
        <w:t xml:space="preserve">审批、</w:t>
      </w:r>
      <w:r>
        <w:rPr>
          <w:rFonts w:hint="eastAsia" w:ascii="宋体" w:hAnsi="宋体" w:eastAsia="宋体" w:cs="宋体"/>
          <w:color w:val="auto"/>
          <w:sz w:val="24"/>
          <w:highlight w:val="none"/>
        </w:rPr>
        <w:t xml:space="preserve">国库集中支付或其他非发包人可控制原因导致付款时间延迟的，发包人应及时向承包人说明情况，并在支付条件成就后及时支付。 </w:t>
      </w:r>
      <w:r/>
    </w:p>
    <w:p>
      <w:pPr>
        <w:numPr>
          <w:ilvl w:val="0"/>
          <w:numId w:val="0"/>
        </w:numPr>
        <w:ind w:firstLine="480"/>
        <w:jc w:val="left"/>
        <w:spacing w:line="44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rPr>
        <w:t xml:space="preserve">发包人签发进度款支付证书或临时进度款支付证书，不表明发包人已同意、批准或接受了承包人完成的相应部分的工作，不构成对工程质量、数量或履约结果的最终认可，除非另有约定。</w:t>
      </w:r>
      <w:r/>
    </w:p>
    <w:p>
      <w:pPr>
        <w:numPr>
          <w:ilvl w:val="0"/>
          <w:numId w:val="0"/>
        </w:numPr>
        <w:ind w:firstLine="420"/>
        <w:jc w:val="left"/>
        <w:spacing w:line="440" w:lineRule="exact"/>
        <w:rPr>
          <w:color w:val="auto"/>
          <w:highlight w:val="none"/>
        </w:rPr>
      </w:pPr>
      <w:r>
        <w:rPr>
          <w:rFonts w:hint="default" w:ascii="Times New Roman" w:hAnsi="Times New Roman" w:eastAsia="宋体" w:cs="Times New Roman"/>
          <w:color w:val="auto"/>
          <w:sz w:val="21"/>
          <w:szCs w:val="24"/>
          <w:highlight w:val="none"/>
          <w:lang w:val="en-US" w:eastAsia="zh-CN" w:bidi="ar-SA"/>
        </w:rPr>
        <w:t xml:space="preserve">（</w:t>
      </w:r>
      <w:r>
        <w:rPr>
          <w:rFonts w:hint="eastAsia" w:cs="Times New Roman"/>
          <w:color w:val="auto"/>
          <w:sz w:val="21"/>
          <w:szCs w:val="24"/>
          <w:highlight w:val="none"/>
          <w:lang w:val="en-US" w:eastAsia="zh-CN" w:bidi="ar-SA"/>
        </w:rPr>
        <w:t xml:space="preserve">4</w:t>
      </w:r>
      <w:r>
        <w:rPr>
          <w:rFonts w:hint="default" w:ascii="Times New Roman" w:hAnsi="Times New Roman" w:eastAsia="宋体" w:cs="Times New Roman"/>
          <w:color w:val="auto"/>
          <w:sz w:val="21"/>
          <w:szCs w:val="24"/>
          <w:highlight w:val="none"/>
          <w:lang w:val="en-US" w:eastAsia="zh-CN" w:bidi="ar-SA"/>
        </w:rPr>
        <w:t xml:space="preserve">）</w:t>
      </w:r>
      <w:r>
        <w:rPr>
          <w:rFonts w:hint="eastAsia" w:ascii="宋体" w:hAnsi="宋体" w:cs="宋体"/>
          <w:color w:val="auto"/>
          <w:sz w:val="24"/>
          <w:szCs w:val="24"/>
          <w:highlight w:val="none"/>
          <w:lang w:eastAsia="zh-CN"/>
        </w:rPr>
        <w:t xml:space="preserve">根据徐人社发</w:t>
      </w:r>
      <w:r>
        <w:rPr>
          <w:rFonts w:hint="eastAsia" w:ascii="宋体" w:hAnsi="宋体" w:cs="宋体"/>
          <w:color w:val="auto"/>
          <w:sz w:val="24"/>
          <w:szCs w:val="24"/>
          <w:highlight w:val="none"/>
          <w:lang w:val="en-US" w:eastAsia="zh-CN"/>
        </w:rPr>
        <w:t xml:space="preserve">[2022]18号文要求，</w:t>
      </w:r>
      <w:r>
        <w:rPr>
          <w:rFonts w:hint="eastAsia" w:ascii="宋体" w:hAnsi="宋体" w:cs="宋体"/>
          <w:color w:val="auto"/>
          <w:sz w:val="24"/>
          <w:szCs w:val="24"/>
          <w:highlight w:val="none"/>
          <w:lang w:eastAsia="zh-CN"/>
        </w:rPr>
        <w:t xml:space="preserve">发包人按照工程实际进度，按进度节点每次拨付已完成工程款的 20%以上到总包单位工资存储专户。承包人按照规定及时支付工人工资。</w:t>
      </w:r>
      <w:r/>
    </w:p>
    <w:p>
      <w:pPr>
        <w:ind w:firstLine="480"/>
        <w:spacing w:line="440" w:lineRule="exact"/>
        <w:rPr>
          <w:rFonts w:ascii="宋体" w:hAnsi="宋体" w:cs="宋体"/>
          <w:bCs/>
          <w:color w:val="auto"/>
          <w:sz w:val="24"/>
          <w:szCs w:val="24"/>
          <w:highlight w:val="none"/>
        </w:rPr>
      </w:pPr>
      <w:r/>
      <w:bookmarkStart w:id="696" w:name="_Toc10985"/>
      <w:r/>
      <w:bookmarkStart w:id="697" w:name="_Toc18483068"/>
      <w:r/>
      <w:bookmarkStart w:id="698" w:name="_Toc6509"/>
      <w:r>
        <w:rPr>
          <w:rFonts w:hint="eastAsia" w:ascii="宋体" w:hAnsi="宋体" w:cs="宋体"/>
          <w:bCs/>
          <w:color w:val="auto"/>
          <w:sz w:val="24"/>
          <w:szCs w:val="24"/>
          <w:highlight w:val="none"/>
        </w:rPr>
        <w:t xml:space="preserve">12.4.6 进度付款的修正</w:t>
      </w:r>
      <w:bookmarkEnd w:id="696"/>
      <w:r/>
      <w:bookmarkEnd w:id="697"/>
      <w:r/>
      <w:bookmarkEnd w:id="698"/>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highlight w:val="none"/>
        </w:rPr>
        <w:t xml:space="preserve">工程进度款按照财政资金支付程序及合同约定审核支付；政府采购合同履行完毕并经检验、验收合格，且工程决算评审报告出具后，发包人应在30日内支付除依法应扣除的违约金、赔偿款、代付款及其他应付款项外</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应付合同价款。因财政支付审批、国库集中支付或其他非发包人可控制原因导致付款时间延迟的，发包人应及时向承包人说明情况并在支付条件成就后及时支付。</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12.4.7 支付分解表的编制</w:t>
      </w:r>
      <w:r/>
    </w:p>
    <w:p>
      <w:pPr>
        <w:ind w:firstLine="480"/>
        <w:jc w:val="left"/>
        <w:spacing w:line="440" w:lineRule="exac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12.4.7.1总价合同支付分解表的编制与审批：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u w:val="single"/>
          <w:lang w:eastAsia="zh-CN"/>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12.4.7.2单价合同的总价项目支付分解表的编制与审批：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u w:val="single"/>
          <w:lang w:eastAsia="zh-CN"/>
        </w:rPr>
        <w:t xml:space="preserve">。</w:t>
      </w:r>
      <w:bookmarkEnd w:id="448"/>
      <w:r/>
      <w:r/>
    </w:p>
    <w:p>
      <w:pPr>
        <w:pStyle w:val="955"/>
        <w:spacing w:line="440" w:lineRule="exact"/>
        <w:rPr>
          <w:rFonts w:ascii="宋体" w:hAnsi="宋体" w:cs="宋体"/>
          <w:b w:val="0"/>
          <w:color w:val="auto"/>
          <w:sz w:val="24"/>
          <w:szCs w:val="24"/>
          <w:highlight w:val="none"/>
        </w:rPr>
      </w:pPr>
      <w:r/>
      <w:bookmarkStart w:id="699" w:name="_Toc1114100005"/>
      <w:r/>
      <w:bookmarkStart w:id="700" w:name="_Toc296891259"/>
      <w:r/>
      <w:bookmarkStart w:id="701" w:name="_Toc297123564"/>
      <w:r/>
      <w:bookmarkStart w:id="702" w:name="_Toc304295593"/>
      <w:r/>
      <w:bookmarkStart w:id="703" w:name="_Toc292559424"/>
      <w:r/>
      <w:bookmarkStart w:id="704" w:name="_Toc296944558"/>
      <w:r/>
      <w:bookmarkStart w:id="705" w:name="_Toc296347218"/>
      <w:r/>
      <w:bookmarkStart w:id="706" w:name="_Toc312678053"/>
      <w:r/>
      <w:bookmarkStart w:id="707" w:name="_Toc303539172"/>
      <w:r/>
      <w:bookmarkStart w:id="708" w:name="_Toc297120519"/>
      <w:r/>
      <w:bookmarkStart w:id="709" w:name="_Toc297216223"/>
      <w:r/>
      <w:bookmarkStart w:id="710" w:name="_Toc1569476373"/>
      <w:r/>
      <w:bookmarkStart w:id="711" w:name="_Toc296346720"/>
      <w:r/>
      <w:bookmarkStart w:id="712" w:name="_Toc296891047"/>
      <w:r/>
      <w:bookmarkStart w:id="713" w:name="_Toc296503219"/>
      <w:r/>
      <w:bookmarkStart w:id="714" w:name="_Toc292559929"/>
      <w:r/>
      <w:bookmarkStart w:id="715" w:name="_Toc300935015"/>
      <w:r/>
      <w:bookmarkStart w:id="716" w:name="_Toc297048405"/>
      <w:r>
        <w:rPr>
          <w:rFonts w:hint="eastAsia" w:ascii="宋体" w:hAnsi="宋体" w:cs="宋体"/>
          <w:b w:val="0"/>
          <w:color w:val="auto"/>
          <w:sz w:val="24"/>
          <w:szCs w:val="24"/>
          <w:highlight w:val="none"/>
        </w:rPr>
        <w:t xml:space="preserve">13. 验收和工程试车</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ind w:firstLine="240"/>
        <w:spacing w:line="440" w:lineRule="exact"/>
        <w:rPr>
          <w:rFonts w:ascii="宋体" w:hAnsi="宋体" w:cs="宋体"/>
          <w:color w:val="auto"/>
          <w:sz w:val="24"/>
          <w:szCs w:val="24"/>
          <w:highlight w:val="none"/>
        </w:rPr>
        <w:outlineLvl w:val="2"/>
      </w:pPr>
      <w:r/>
      <w:bookmarkStart w:id="717" w:name="_Toc17144"/>
      <w:r/>
      <w:bookmarkStart w:id="718" w:name="_Toc750296361"/>
      <w:r/>
      <w:bookmarkStart w:id="719" w:name="_Toc396975010"/>
      <w:r>
        <w:rPr>
          <w:rFonts w:hint="eastAsia" w:ascii="宋体" w:hAnsi="宋体" w:cs="宋体"/>
          <w:color w:val="auto"/>
          <w:sz w:val="24"/>
          <w:szCs w:val="24"/>
          <w:highlight w:val="none"/>
        </w:rPr>
        <w:t xml:space="preserve">13.1 分部分项工程验收</w:t>
      </w:r>
      <w:bookmarkEnd w:id="717"/>
      <w:r/>
      <w:bookmarkEnd w:id="718"/>
      <w:r/>
      <w:bookmarkEnd w:id="719"/>
      <w:r/>
      <w:r/>
    </w:p>
    <w:p>
      <w:pPr>
        <w:ind w:firstLine="720"/>
        <w:spacing w:line="440" w:lineRule="exact"/>
        <w:rPr>
          <w:rFonts w:ascii="宋体" w:hAnsi="宋体" w:cs="宋体"/>
          <w:color w:val="auto"/>
          <w:sz w:val="24"/>
          <w:szCs w:val="24"/>
          <w:highlight w:val="none"/>
        </w:rPr>
        <w:outlineLvl w:val="0"/>
      </w:pPr>
      <w:r/>
      <w:bookmarkStart w:id="720" w:name="_Toc19569447"/>
      <w:r/>
      <w:bookmarkStart w:id="721" w:name="_Toc24375947"/>
      <w:r>
        <w:rPr>
          <w:rFonts w:hint="eastAsia" w:ascii="宋体" w:hAnsi="宋体" w:cs="宋体"/>
          <w:color w:val="auto"/>
          <w:sz w:val="24"/>
          <w:szCs w:val="24"/>
          <w:highlight w:val="none"/>
        </w:rPr>
        <w:t xml:space="preserve">13.1.1 分部分项工程质量应符合国家有关工程施工验收规范、标准及合同约定，承包人应按照施工组织设计的要求完成分部分项工程施工。</w:t>
      </w:r>
      <w:bookmarkEnd w:id="720"/>
      <w:r/>
      <w:bookmarkEnd w:id="721"/>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分部分项工程的验收资料应当作为竣工资料的组成部分。</w:t>
      </w:r>
      <w:r/>
    </w:p>
    <w:p>
      <w:pPr>
        <w:ind w:firstLine="240"/>
        <w:spacing w:line="440" w:lineRule="exact"/>
        <w:rPr>
          <w:rFonts w:ascii="宋体" w:hAnsi="宋体" w:cs="宋体"/>
          <w:color w:val="auto"/>
          <w:sz w:val="24"/>
          <w:szCs w:val="24"/>
          <w:highlight w:val="none"/>
        </w:rPr>
        <w:outlineLvl w:val="2"/>
      </w:pPr>
      <w:r/>
      <w:bookmarkStart w:id="722" w:name="_Toc1898612073"/>
      <w:r/>
      <w:bookmarkStart w:id="723" w:name="_Toc282243333"/>
      <w:r/>
      <w:bookmarkStart w:id="724" w:name="_Toc12180"/>
      <w:r/>
      <w:bookmarkStart w:id="725" w:name="_Toc303539173"/>
      <w:r/>
      <w:bookmarkStart w:id="726" w:name="_Toc296347222"/>
      <w:r/>
      <w:bookmarkStart w:id="727" w:name="_Toc300935016"/>
      <w:r/>
      <w:bookmarkStart w:id="728" w:name="_Toc296346724"/>
      <w:r/>
      <w:bookmarkStart w:id="729" w:name="_Toc296891051"/>
      <w:r/>
      <w:bookmarkStart w:id="730" w:name="_Toc292559933"/>
      <w:r/>
      <w:bookmarkStart w:id="731" w:name="_Toc297048409"/>
      <w:r/>
      <w:bookmarkStart w:id="732" w:name="_Toc296503223"/>
      <w:r/>
      <w:bookmarkStart w:id="733" w:name="_Toc296891263"/>
      <w:r/>
      <w:bookmarkStart w:id="734" w:name="_Toc312678056"/>
      <w:r/>
      <w:bookmarkStart w:id="735" w:name="_Toc297120523"/>
      <w:r/>
      <w:bookmarkStart w:id="736" w:name="_Toc296944562"/>
      <w:r/>
      <w:bookmarkStart w:id="737" w:name="_Toc304295596"/>
      <w:r/>
      <w:bookmarkStart w:id="738" w:name="_Toc297123565"/>
      <w:r/>
      <w:bookmarkStart w:id="739" w:name="_Toc292559428"/>
      <w:r/>
      <w:bookmarkStart w:id="740" w:name="_Toc297216224"/>
      <w:r/>
      <w:bookmarkStart w:id="741" w:name="_Toc267251472"/>
      <w:r/>
      <w:bookmarkStart w:id="742" w:name="_Toc267251474"/>
      <w:r/>
      <w:bookmarkStart w:id="743" w:name="_Toc267251470"/>
      <w:r/>
      <w:bookmarkStart w:id="744" w:name="_Toc267251476"/>
      <w:r/>
      <w:bookmarkStart w:id="745" w:name="_Toc267251473"/>
      <w:r/>
      <w:bookmarkStart w:id="746" w:name="_Toc267251475"/>
      <w:r/>
      <w:bookmarkStart w:id="747" w:name="_Toc267251471"/>
      <w:r>
        <w:rPr>
          <w:rFonts w:hint="eastAsia" w:ascii="宋体" w:hAnsi="宋体" w:cs="宋体"/>
          <w:color w:val="auto"/>
          <w:sz w:val="24"/>
          <w:szCs w:val="24"/>
          <w:highlight w:val="none"/>
        </w:rPr>
        <w:t xml:space="preserve">13.2 竣工验收</w:t>
      </w:r>
      <w:bookmarkEnd w:id="722"/>
      <w:r/>
      <w:bookmarkEnd w:id="723"/>
      <w:r/>
      <w:bookmarkEnd w:id="724"/>
      <w:r/>
      <w:r/>
    </w:p>
    <w:p>
      <w:pPr>
        <w:ind w:firstLine="480"/>
        <w:spacing w:line="440" w:lineRule="exact"/>
        <w:rPr>
          <w:rFonts w:ascii="宋体" w:hAnsi="宋体" w:cs="宋体"/>
          <w:color w:val="auto"/>
          <w:sz w:val="24"/>
          <w:szCs w:val="24"/>
          <w:highlight w:val="none"/>
        </w:rPr>
        <w:outlineLvl w:val="2"/>
      </w:pPr>
      <w:r/>
      <w:bookmarkStart w:id="748" w:name="_Toc1027479745"/>
      <w:r/>
      <w:bookmarkStart w:id="749" w:name="_Toc276351635"/>
      <w:r>
        <w:rPr>
          <w:rFonts w:hint="eastAsia" w:ascii="宋体" w:hAnsi="宋体" w:cs="宋体"/>
          <w:color w:val="auto"/>
          <w:sz w:val="24"/>
          <w:szCs w:val="24"/>
          <w:highlight w:val="none"/>
        </w:rPr>
        <w:t xml:space="preserve">13.2.1 </w:t>
      </w:r>
      <w:r>
        <w:rPr>
          <w:rFonts w:hint="eastAsia" w:ascii="宋体" w:hAnsi="宋体" w:cs="宋体"/>
          <w:color w:val="auto"/>
          <w:sz w:val="24"/>
          <w:szCs w:val="24"/>
          <w:highlight w:val="none"/>
        </w:rPr>
        <w:t xml:space="preserve">竣工验收条件</w:t>
      </w:r>
      <w:bookmarkEnd w:id="748"/>
      <w:r/>
      <w:bookmarkEnd w:id="749"/>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工程具备以下条件的，承包人可以申请竣工验收：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（1）合同范围内的全部工程以及有关工作，包括合同要求的试验、试运行以及检验均已完成，并符合合同要求；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（2）已按合同约定的内容和份数备齐竣工资料。</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
    </w:p>
    <w:p>
      <w:pPr>
        <w:ind w:firstLine="480"/>
        <w:spacing w:line="440" w:lineRule="exact"/>
        <w:rPr>
          <w:rFonts w:ascii="宋体" w:hAnsi="宋体" w:cs="宋体"/>
          <w:color w:val="auto"/>
          <w:sz w:val="24"/>
          <w:szCs w:val="24"/>
          <w:highlight w:val="none"/>
        </w:rPr>
        <w:outlineLvl w:val="2"/>
      </w:pPr>
      <w:r/>
      <w:bookmarkStart w:id="750" w:name="_Toc1570375781"/>
      <w:r/>
      <w:bookmarkStart w:id="751" w:name="_Toc1822546722"/>
      <w:r/>
      <w:bookmarkStart w:id="752" w:name="_Toc280868704"/>
      <w:r/>
      <w:bookmarkStart w:id="753" w:name="_Toc280868705"/>
      <w:r/>
      <w:bookmarkStart w:id="754" w:name="_Toc280868706"/>
      <w:r/>
      <w:bookmarkStart w:id="755" w:name="_Toc280868707"/>
      <w:r/>
      <w:bookmarkStart w:id="756" w:name="_Toc280868708"/>
      <w:r/>
      <w:bookmarkStart w:id="757" w:name="_Toc280868709"/>
      <w:r>
        <w:rPr>
          <w:rFonts w:hint="eastAsia" w:ascii="宋体" w:hAnsi="宋体" w:cs="宋体"/>
          <w:color w:val="auto"/>
          <w:sz w:val="24"/>
          <w:szCs w:val="24"/>
          <w:highlight w:val="none"/>
        </w:rPr>
        <w:t xml:space="preserve">13.2.2 竣工验收程序</w:t>
      </w:r>
      <w:bookmarkEnd w:id="750"/>
      <w:r/>
      <w:bookmarkEnd w:id="751"/>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除专用合同条款另有约定外，承包人申请竣工验收的，应当按照以下程序进行：</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0"/>
        <w:spacing w:line="240" w:lineRule="auto"/>
        <w:rPr>
          <w:rFonts w:ascii="宋体" w:hAnsi="宋体" w:cs="宋体"/>
          <w:color w:val="auto"/>
          <w:sz w:val="24"/>
          <w:szCs w:val="24"/>
          <w:highlight w:val="none"/>
        </w:rPr>
      </w:pPr>
      <w:r>
        <w:rPr>
          <w:rFonts w:ascii="宋体" w:hAnsi="宋体" w:eastAsia="宋体" w:cs="宋体"/>
          <w:color w:val="auto"/>
          <w:sz w:val="24"/>
          <w:highlight w:val="none"/>
        </w:rPr>
        <w:t xml:space="preserve">除专用合同条款另有约定外，发包人不按照本项约定组织竣工验收、颁发工程接收证书的，每逾期一天，应以签约合同价为基数，按照中国人民银行发布的同期同类贷款基准利率支付违约金；逾期超过30天的，承包人有权解除合同。</w:t>
      </w:r>
      <w:bookmarkEnd w:id="752"/>
      <w:r/>
      <w:r/>
    </w:p>
    <w:p>
      <w:pPr>
        <w:ind w:firstLine="480"/>
        <w:spacing w:line="440" w:lineRule="exact"/>
        <w:rPr>
          <w:rFonts w:ascii="宋体" w:hAnsi="宋体" w:cs="宋体"/>
          <w:bCs/>
          <w:color w:val="auto"/>
          <w:sz w:val="24"/>
          <w:szCs w:val="24"/>
          <w:highlight w:val="none"/>
        </w:rPr>
        <w:outlineLvl w:val="0"/>
      </w:pPr>
      <w:r/>
      <w:bookmarkStart w:id="758" w:name="_Toc27741"/>
      <w:r/>
      <w:bookmarkStart w:id="759" w:name="_Toc18483076"/>
      <w:r/>
      <w:bookmarkStart w:id="760" w:name="_Toc24375950"/>
      <w:r/>
      <w:bookmarkStart w:id="761" w:name="_Toc19569450"/>
      <w:r/>
      <w:bookmarkStart w:id="762" w:name="_Toc16853"/>
      <w:r>
        <w:rPr>
          <w:rFonts w:hint="eastAsia" w:ascii="宋体" w:hAnsi="宋体" w:cs="宋体"/>
          <w:bCs/>
          <w:color w:val="auto"/>
          <w:sz w:val="24"/>
          <w:szCs w:val="24"/>
          <w:highlight w:val="none"/>
        </w:rPr>
        <w:t xml:space="preserve">13.2.3竣工日期</w:t>
      </w:r>
      <w:bookmarkEnd w:id="758"/>
      <w:r/>
      <w:bookmarkEnd w:id="759"/>
      <w:r/>
      <w:bookmarkEnd w:id="760"/>
      <w:r/>
      <w:bookmarkEnd w:id="761"/>
      <w:r/>
      <w:bookmarkEnd w:id="762"/>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763" w:name="#go14"/>
      <w:r/>
      <w:bookmarkEnd w:id="763"/>
      <w:r>
        <w:rPr>
          <w:rFonts w:hint="eastAsia" w:ascii="宋体" w:hAnsi="宋体" w:cs="宋体"/>
          <w:color w:val="auto"/>
          <w:sz w:val="24"/>
          <w:szCs w:val="24"/>
          <w:highlight w:val="none"/>
        </w:rPr>
        <w:t xml:space="preserve">收申请报告的日期为实际竣工日期；工程未经竣工验收，发包人擅自使用的，以转移占有工程之日为实际竣工日期。</w:t>
      </w:r>
      <w:r/>
    </w:p>
    <w:p>
      <w:pPr>
        <w:ind w:firstLine="480"/>
        <w:spacing w:line="440" w:lineRule="exact"/>
        <w:rPr>
          <w:rFonts w:ascii="宋体" w:hAnsi="宋体" w:cs="宋体"/>
          <w:bCs/>
          <w:color w:val="auto"/>
          <w:sz w:val="24"/>
          <w:szCs w:val="24"/>
          <w:highlight w:val="none"/>
        </w:rPr>
        <w:outlineLvl w:val="0"/>
      </w:pPr>
      <w:r/>
      <w:bookmarkStart w:id="764" w:name="_Toc24375952"/>
      <w:r/>
      <w:bookmarkStart w:id="765" w:name="_Toc658"/>
      <w:r/>
      <w:bookmarkStart w:id="766" w:name="_Toc18483078"/>
      <w:r/>
      <w:bookmarkStart w:id="767" w:name="_Toc19569451"/>
      <w:r/>
      <w:bookmarkStart w:id="768" w:name="_Toc9067"/>
      <w:r>
        <w:rPr>
          <w:rFonts w:hint="eastAsia" w:ascii="宋体" w:hAnsi="宋体" w:cs="宋体"/>
          <w:bCs/>
          <w:color w:val="auto"/>
          <w:sz w:val="24"/>
          <w:szCs w:val="24"/>
          <w:highlight w:val="none"/>
        </w:rPr>
        <w:t xml:space="preserve">13.2.4 移交、接收全部与部分工程</w:t>
      </w:r>
      <w:bookmarkEnd w:id="764"/>
      <w:r/>
      <w:bookmarkEnd w:id="765"/>
      <w:r/>
      <w:bookmarkEnd w:id="766"/>
      <w:r/>
      <w:bookmarkEnd w:id="767"/>
      <w:r/>
      <w:bookmarkEnd w:id="768"/>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bookmarkEnd w:id="753"/>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13.2.5 移交、接收全部与部分工程</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绿化工程移交期限：</w:t>
      </w:r>
      <w:bookmarkEnd w:id="754"/>
      <w:r>
        <w:rPr>
          <w:rFonts w:hint="eastAsia" w:ascii="宋体" w:hAnsi="宋体" w:cs="宋体"/>
          <w:color w:val="auto"/>
          <w:sz w:val="24"/>
          <w:szCs w:val="24"/>
          <w:highlight w:val="none"/>
          <w:u w:val="single"/>
        </w:rPr>
        <w:t xml:space="preserve">  </w:t>
      </w:r>
      <w:r>
        <w:rPr>
          <w:rFonts w:ascii="宋体" w:hAnsi="宋体" w:eastAsia="宋体" w:cs="宋体"/>
          <w:color w:val="auto"/>
          <w:sz w:val="24"/>
          <w:highlight w:val="none"/>
        </w:rPr>
        <w:t xml:space="preserve">发包人收到《工作移交证书》并签发《工程接收证书》后10个工作日内，且符合相关规定</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其他工程移交</w:t>
      </w:r>
      <w:r>
        <w:rPr>
          <w:rFonts w:hint="eastAsia" w:ascii="宋体" w:hAnsi="宋体" w:cs="宋体"/>
          <w:color w:val="auto"/>
          <w:sz w:val="24"/>
          <w:szCs w:val="24"/>
          <w:highlight w:val="none"/>
        </w:rPr>
        <w:t xml:space="preserve">期限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发包人未按本合同约定接收全部或部分工程的，违约金的计算方法为：</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按通用条款执行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755"/>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承包人未按时移交工程的，违约金的计算方法为：</w:t>
      </w:r>
      <w:r>
        <w:rPr>
          <w:rFonts w:hint="eastAsia" w:ascii="宋体" w:hAnsi="宋体" w:cs="宋体"/>
          <w:b/>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13.3 工程试车</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13.3.1 试车程序</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工程试车内容：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（1）单机无负荷试车费用由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承担；</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（2）无负荷联动试车费用由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承担。</w:t>
      </w:r>
      <w:bookmarkEnd w:id="756"/>
      <w:r/>
      <w:r/>
    </w:p>
    <w:p>
      <w:pPr>
        <w:ind w:firstLine="240"/>
        <w:spacing w:line="440" w:lineRule="exact"/>
        <w:rPr>
          <w:rFonts w:ascii="宋体" w:hAnsi="宋体" w:cs="宋体"/>
          <w:color w:val="auto"/>
          <w:sz w:val="24"/>
          <w:szCs w:val="24"/>
          <w:highlight w:val="none"/>
        </w:rPr>
      </w:pPr>
      <w:r/>
      <w:bookmarkStart w:id="769" w:name="_Toc19772"/>
      <w:r>
        <w:rPr>
          <w:rFonts w:hint="eastAsia" w:ascii="宋体" w:hAnsi="宋体" w:cs="宋体"/>
          <w:color w:val="auto"/>
          <w:sz w:val="24"/>
          <w:szCs w:val="24"/>
          <w:highlight w:val="none"/>
        </w:rPr>
        <w:t xml:space="preserve">13.4竣工退场</w:t>
      </w:r>
      <w:bookmarkEnd w:id="769"/>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13.4.1 竣工退场</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颁发工程接收证书后，承包人应按以下要求对施工现场进行清理：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（1）施工现场内残留的垃圾已全部清除出场；</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（2）临时工程已拆除，场地已进行清理、平整或复原；</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（3）按合同约定应撤离的人员、承包人施工设备和剩余的材料，包括废弃的施工设备和材料，已按计划撤离施工现场；</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（4）施工现场周边及其附近道路、河道的施工堆积物，已全部清理；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（5）施工现场其他场地清理工作已全部完成。</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13.4.2承包人完成竣工退场的期限：</w:t>
      </w:r>
      <w:r>
        <w:rPr>
          <w:rFonts w:hint="eastAsia" w:ascii="宋体" w:hAnsi="宋体" w:cs="宋体"/>
          <w:color w:val="auto"/>
          <w:sz w:val="24"/>
          <w:szCs w:val="24"/>
          <w:highlight w:val="none"/>
          <w:u w:val="single"/>
        </w:rPr>
        <w:t xml:space="preserve">   颁发工程接收证书后10天内 </w:t>
      </w:r>
      <w:r>
        <w:rPr>
          <w:rFonts w:hint="eastAsia" w:ascii="宋体" w:hAnsi="宋体" w:cs="宋体"/>
          <w:color w:val="auto"/>
          <w:sz w:val="24"/>
          <w:szCs w:val="24"/>
          <w:highlight w:val="none"/>
        </w:rPr>
        <w:t xml:space="preserve">。</w:t>
      </w:r>
      <w:r/>
    </w:p>
    <w:p>
      <w:pPr>
        <w:pStyle w:val="955"/>
        <w:spacing w:line="440" w:lineRule="exact"/>
        <w:rPr>
          <w:rFonts w:ascii="宋体" w:hAnsi="宋体" w:cs="宋体"/>
          <w:b w:val="0"/>
          <w:color w:val="auto"/>
          <w:sz w:val="24"/>
          <w:szCs w:val="24"/>
          <w:highlight w:val="none"/>
        </w:rPr>
      </w:pPr>
      <w:r/>
      <w:bookmarkStart w:id="770" w:name="_Toc1123811034"/>
      <w:r/>
      <w:bookmarkStart w:id="771" w:name="_Toc295889295"/>
      <w:r>
        <w:rPr>
          <w:rFonts w:hint="eastAsia" w:ascii="宋体" w:hAnsi="宋体" w:cs="宋体"/>
          <w:b w:val="0"/>
          <w:color w:val="auto"/>
          <w:sz w:val="24"/>
          <w:szCs w:val="24"/>
          <w:highlight w:val="none"/>
        </w:rPr>
        <w:t xml:space="preserve">14. 竣工结算</w:t>
      </w:r>
      <w:bookmarkEnd w:id="770"/>
      <w:r/>
      <w:bookmarkEnd w:id="771"/>
      <w:r/>
      <w:r/>
    </w:p>
    <w:p>
      <w:pPr>
        <w:ind w:firstLine="240"/>
        <w:spacing w:after="120" w:line="440" w:lineRule="exact"/>
        <w:rPr>
          <w:rFonts w:ascii="宋体" w:hAnsi="宋体" w:cs="宋体"/>
          <w:color w:val="auto"/>
          <w:sz w:val="24"/>
          <w:szCs w:val="24"/>
          <w:highlight w:val="none"/>
        </w:rPr>
        <w:outlineLvl w:val="2"/>
      </w:pPr>
      <w:r/>
      <w:bookmarkStart w:id="772" w:name="_Toc1257404679"/>
      <w:r/>
      <w:bookmarkStart w:id="773" w:name="_Toc2011892871"/>
      <w:r/>
      <w:bookmarkStart w:id="774" w:name="_Toc3577"/>
      <w:r>
        <w:rPr>
          <w:rFonts w:hint="eastAsia" w:ascii="宋体" w:hAnsi="宋体" w:cs="宋体"/>
          <w:color w:val="auto"/>
          <w:sz w:val="24"/>
          <w:szCs w:val="24"/>
          <w:highlight w:val="none"/>
        </w:rPr>
        <w:t xml:space="preserve">14.1 竣工结算申请</w:t>
      </w:r>
      <w:bookmarkEnd w:id="772"/>
      <w:r/>
      <w:bookmarkEnd w:id="773"/>
      <w:r/>
      <w:bookmarkEnd w:id="77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除专用合同条款另有约定外，承包人应在工程竣工验收合格后</w:t>
      </w:r>
      <w:r>
        <w:rPr>
          <w:rFonts w:hint="eastAsia" w:ascii="宋体" w:hAnsi="宋体" w:cs="宋体"/>
          <w:b/>
          <w:bCs/>
          <w:color w:val="auto"/>
          <w:sz w:val="24"/>
          <w:szCs w:val="24"/>
          <w:highlight w:val="none"/>
          <w:u w:val="single"/>
        </w:rPr>
        <w:t xml:space="preserve">28</w:t>
      </w:r>
      <w:r>
        <w:rPr>
          <w:rFonts w:hint="eastAsia" w:ascii="宋体" w:hAnsi="宋体" w:cs="宋体"/>
          <w:color w:val="auto"/>
          <w:sz w:val="24"/>
          <w:szCs w:val="24"/>
          <w:highlight w:val="none"/>
          <w:u w:val="single"/>
        </w:rPr>
        <w:t xml:space="preserve">天</w:t>
      </w:r>
      <w:r>
        <w:rPr>
          <w:rFonts w:hint="eastAsia" w:ascii="宋体" w:hAnsi="宋体" w:cs="宋体"/>
          <w:color w:val="auto"/>
          <w:sz w:val="24"/>
          <w:szCs w:val="24"/>
          <w:highlight w:val="none"/>
        </w:rPr>
        <w:t xml:space="preserve">内向发包人和监理人提交竣工结算申请单，并提交完整的结算资料，有关竣工结算申请单的资料清单和份数等要求由合同当事人在专用合同条款中约定。</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除专用合同条款另有约定外，竣工结算申请单应包括以下内容：</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（1）竣工结算合同价格；</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（2）发包人已支付承包人的款项；</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（3）发包人应支付承包人的合同价款。</w:t>
      </w:r>
      <w:r/>
    </w:p>
    <w:p>
      <w:pPr>
        <w:ind w:firstLine="240"/>
        <w:spacing w:line="440" w:lineRule="exact"/>
        <w:rPr>
          <w:rFonts w:ascii="宋体" w:hAnsi="宋体" w:cs="宋体"/>
          <w:color w:val="auto"/>
          <w:sz w:val="24"/>
          <w:szCs w:val="24"/>
          <w:highlight w:val="none"/>
        </w:rPr>
      </w:pPr>
      <w:r/>
      <w:bookmarkStart w:id="775" w:name="_Toc30710"/>
      <w:r>
        <w:rPr>
          <w:rFonts w:hint="eastAsia" w:ascii="宋体" w:hAnsi="宋体" w:cs="宋体"/>
          <w:color w:val="auto"/>
          <w:sz w:val="24"/>
          <w:szCs w:val="24"/>
          <w:highlight w:val="none"/>
        </w:rPr>
        <w:t xml:space="preserve">14.2 竣工结算审核</w:t>
      </w:r>
      <w:bookmarkEnd w:id="775"/>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本款修改为：</w:t>
      </w:r>
      <w:r/>
    </w:p>
    <w:p>
      <w:pPr>
        <w:ind w:left="0" w:firstLine="480"/>
        <w:spacing w:line="440" w:lineRule="exact"/>
        <w:rPr>
          <w:rFonts w:hint="eastAsia" w:ascii="宋体" w:hAnsi="宋体" w:cs="宋体"/>
          <w:b w:val="0"/>
          <w:bCs w:val="0"/>
          <w:color w:val="auto"/>
          <w:sz w:val="24"/>
          <w:szCs w:val="24"/>
          <w:highlight w:val="none"/>
        </w:rPr>
        <w:outlineLvl w:val="9"/>
      </w:pPr>
      <w:r/>
      <w:bookmarkStart w:id="776" w:name="_Toc2011675479"/>
      <w:r/>
      <w:bookmarkStart w:id="777" w:name="_Toc1509410444"/>
      <w:r>
        <w:rPr>
          <w:rFonts w:hint="eastAsia" w:ascii="宋体" w:hAnsi="宋体" w:eastAsia="宋体" w:cs="宋体"/>
          <w:color w:val="auto"/>
          <w:sz w:val="24"/>
          <w:highlight w:val="none"/>
        </w:rPr>
        <w:t xml:space="preserve">工程进度款按照财政资金支付程序及合同约定审核支付；政府采购合同履行完毕并经检验、验收合格，且工程决算评审报告出具后，发包人应在30日内支付全部应付合同价款。</w:t>
      </w:r>
      <w:bookmarkEnd w:id="776"/>
      <w:r/>
      <w:bookmarkEnd w:id="777"/>
      <w:r/>
      <w:r/>
    </w:p>
    <w:p>
      <w:pPr>
        <w:ind w:firstLine="480"/>
        <w:spacing w:line="440" w:lineRule="exact"/>
        <w:rPr>
          <w:rFonts w:hint="eastAsia" w:ascii="宋体" w:hAnsi="宋体" w:cs="宋体"/>
          <w:color w:val="auto"/>
          <w:sz w:val="24"/>
          <w:szCs w:val="24"/>
          <w:highlight w:val="none"/>
        </w:rPr>
        <w:outlineLvl w:val="9"/>
      </w:pPr>
      <w:r/>
      <w:bookmarkStart w:id="778" w:name="_Toc1520911565"/>
      <w:r/>
      <w:bookmarkStart w:id="779" w:name="_Toc53832719"/>
      <w:r>
        <w:rPr>
          <w:rFonts w:hint="eastAsia" w:ascii="宋体" w:hAnsi="宋体" w:cs="宋体"/>
          <w:color w:val="auto"/>
          <w:sz w:val="24"/>
          <w:szCs w:val="24"/>
          <w:highlight w:val="none"/>
        </w:rPr>
        <w:t xml:space="preserve">结算款支付方式及时间：</w:t>
      </w:r>
      <w:r>
        <w:rPr>
          <w:rFonts w:hint="eastAsia" w:ascii="宋体" w:hAnsi="宋体" w:eastAsia="宋体" w:cs="宋体"/>
          <w:color w:val="auto"/>
          <w:sz w:val="24"/>
          <w:highlight w:val="none"/>
        </w:rPr>
        <w:t xml:space="preserve">最终结算价款经发包人及决算评审机构确认后，按照本专用合同条款第12.4.3条约定的最终付款节点一并支付至结算价的100%。</w:t>
      </w:r>
      <w:bookmarkEnd w:id="778"/>
      <w:r/>
      <w:bookmarkEnd w:id="779"/>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关于竣工付款证书异议部分复核的方式和程序：</w:t>
      </w:r>
      <w:r>
        <w:rPr>
          <w:rFonts w:hint="eastAsia" w:ascii="宋体" w:hAnsi="宋体" w:cs="宋体"/>
          <w:color w:val="auto"/>
          <w:sz w:val="24"/>
          <w:szCs w:val="24"/>
          <w:highlight w:val="none"/>
          <w:u w:val="single"/>
        </w:rPr>
        <w:t xml:space="preserve">  双方协商 </w:t>
      </w:r>
      <w:r>
        <w:rPr>
          <w:rFonts w:hint="eastAsia" w:ascii="宋体" w:hAnsi="宋体" w:cs="宋体"/>
          <w:color w:val="auto"/>
          <w:sz w:val="24"/>
          <w:szCs w:val="24"/>
          <w:highlight w:val="none"/>
        </w:rPr>
        <w:t xml:space="preserve">。</w:t>
      </w:r>
      <w:r/>
    </w:p>
    <w:p>
      <w:pPr>
        <w:ind w:firstLine="240"/>
        <w:spacing w:line="440" w:lineRule="exact"/>
        <w:rPr>
          <w:rFonts w:ascii="宋体" w:hAnsi="宋体" w:cs="宋体"/>
          <w:color w:val="auto"/>
          <w:sz w:val="24"/>
          <w:szCs w:val="24"/>
          <w:highlight w:val="none"/>
        </w:rPr>
      </w:pPr>
      <w:r/>
      <w:bookmarkStart w:id="780" w:name="_Toc10781"/>
      <w:r>
        <w:rPr>
          <w:rFonts w:hint="eastAsia" w:ascii="宋体" w:hAnsi="宋体" w:cs="宋体"/>
          <w:color w:val="auto"/>
          <w:sz w:val="24"/>
          <w:szCs w:val="24"/>
          <w:highlight w:val="none"/>
        </w:rPr>
        <w:t xml:space="preserve">14.3 最终结清</w:t>
      </w:r>
      <w:bookmarkEnd w:id="780"/>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14.4.1 最终结清申请单</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承包人提交最终结清申请单的份数：</w:t>
      </w:r>
      <w:r>
        <w:rPr>
          <w:rFonts w:hint="eastAsia" w:ascii="宋体" w:hAnsi="宋体" w:cs="宋体"/>
          <w:color w:val="auto"/>
          <w:sz w:val="24"/>
          <w:szCs w:val="24"/>
          <w:highlight w:val="none"/>
          <w:u w:val="single"/>
        </w:rPr>
        <w:t xml:space="preserve">一式伍份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承包人提交最终结算申请单的期限：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14.4.2 最终结清证书和支付</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eastAsia="宋体" w:cs="宋体"/>
          <w:color w:val="auto"/>
          <w:sz w:val="24"/>
          <w:highlight w:val="none"/>
        </w:rPr>
        <w:t xml:space="preserve">发包人完成最终结清申请单的审批并颁发最终结清证书的期限：收到申请后15个工作日内，且符合相关规定。</w:t>
      </w:r>
      <w:r/>
    </w:p>
    <w:p>
      <w:pPr>
        <w:ind w:firstLine="240"/>
        <w:spacing w:line="440" w:lineRule="exact"/>
        <w:rPr>
          <w:rFonts w:ascii="宋体" w:hAnsi="宋体" w:cs="宋体"/>
          <w:color w:val="auto"/>
          <w:sz w:val="24"/>
          <w:szCs w:val="24"/>
          <w:highlight w:val="none"/>
        </w:rPr>
      </w:pPr>
      <w:r/>
      <w:bookmarkStart w:id="781" w:name="_Toc19199"/>
      <w:r>
        <w:rPr>
          <w:rFonts w:hint="eastAsia" w:ascii="宋体" w:hAnsi="宋体" w:cs="宋体"/>
          <w:color w:val="auto"/>
          <w:sz w:val="24"/>
          <w:szCs w:val="24"/>
          <w:highlight w:val="none"/>
        </w:rPr>
        <w:t xml:space="preserve">14.4 竣工归档资料</w:t>
      </w:r>
      <w:bookmarkEnd w:id="781"/>
      <w:r/>
      <w:r/>
    </w:p>
    <w:p>
      <w:pPr>
        <w:ind w:firstLine="482"/>
        <w:jc w:val="left"/>
        <w:spacing w:line="44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本款补充</w:t>
      </w:r>
      <w:r>
        <w:rPr>
          <w:rFonts w:hint="eastAsia" w:ascii="宋体" w:hAnsi="宋体" w:cs="宋体"/>
          <w:color w:val="auto"/>
          <w:sz w:val="24"/>
          <w:szCs w:val="24"/>
          <w:highlight w:val="none"/>
        </w:rPr>
        <w:t xml:space="preserve">：</w:t>
      </w:r>
      <w:r/>
    </w:p>
    <w:p>
      <w:pPr>
        <w:ind w:firstLine="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（1）施工中未发生设计变更，施工后由承包人在发包人提供的施工图纸加盖竣工图章提交发包人。</w:t>
      </w:r>
      <w:r/>
    </w:p>
    <w:p>
      <w:pPr>
        <w:ind w:firstLine="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（2）施工过程中发生设计变更的，需经相关方书面确认后由设计单位出具设计变更材料，由承包人提供加盖竣工图章的竣工图给发包人。</w:t>
      </w:r>
      <w:r/>
    </w:p>
    <w:p>
      <w:pPr>
        <w:ind w:firstLine="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（3）工程竣工验收结算后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30</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天内，承包人应提供给发包人</w:t>
      </w:r>
      <w:r>
        <w:rPr>
          <w:rFonts w:hint="eastAsia" w:ascii="宋体" w:hAnsi="宋体" w:cs="宋体"/>
          <w:color w:val="auto"/>
          <w:sz w:val="24"/>
          <w:szCs w:val="24"/>
          <w:highlight w:val="none"/>
          <w:u w:val="single"/>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肆</w:t>
      </w:r>
      <w:r>
        <w:rPr>
          <w:rFonts w:hint="eastAsia" w:ascii="宋体" w:hAnsi="宋体" w:cs="宋体"/>
          <w:color w:val="auto"/>
          <w:sz w:val="24"/>
          <w:szCs w:val="24"/>
          <w:highlight w:val="none"/>
        </w:rPr>
        <w:t xml:space="preserve">套完整符合要求的竣工图、竣工归档资料。</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竣工归档资料的形式和格式：</w:t>
      </w:r>
      <w:r>
        <w:rPr>
          <w:rFonts w:hint="eastAsia" w:ascii="宋体" w:hAnsi="宋体" w:cs="宋体"/>
          <w:color w:val="auto"/>
          <w:sz w:val="24"/>
          <w:szCs w:val="24"/>
          <w:highlight w:val="none"/>
          <w:u w:val="single"/>
        </w:rPr>
        <w:t xml:space="preserve">   纸质资料和电子档   </w:t>
      </w:r>
      <w:r>
        <w:rPr>
          <w:rFonts w:hint="eastAsia" w:ascii="宋体" w:hAnsi="宋体" w:cs="宋体"/>
          <w:color w:val="auto"/>
          <w:sz w:val="24"/>
          <w:szCs w:val="24"/>
          <w:highlight w:val="none"/>
        </w:rPr>
        <w:t xml:space="preserve">。</w:t>
      </w:r>
      <w:r/>
    </w:p>
    <w:p>
      <w:pPr>
        <w:ind w:firstLine="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（4）因承包人拖延或不办理竣工归档资料时，经发包人催告，</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 </w:t>
      </w:r>
      <w:r>
        <w:rPr>
          <w:rFonts w:hint="eastAsia" w:ascii="宋体" w:hAnsi="宋体" w:cs="宋体"/>
          <w:color w:val="auto"/>
          <w:sz w:val="24"/>
          <w:szCs w:val="24"/>
          <w:highlight w:val="none"/>
        </w:rPr>
        <w:t xml:space="preserve">个月内未按发包人要求提供相关竣工归档资料的，发包人有权委托第三方机构整理，相关费用由</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承包人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承担。</w:t>
      </w:r>
      <w:bookmarkEnd w:id="741"/>
      <w:r/>
      <w:bookmarkEnd w:id="742"/>
      <w:r/>
      <w:bookmarkEnd w:id="743"/>
      <w:r/>
      <w:bookmarkEnd w:id="744"/>
      <w:r/>
      <w:bookmarkEnd w:id="745"/>
      <w:r/>
      <w:bookmarkEnd w:id="746"/>
      <w:r/>
      <w:bookmarkEnd w:id="747"/>
      <w:r/>
      <w:bookmarkEnd w:id="757"/>
      <w:r/>
      <w:r/>
    </w:p>
    <w:p>
      <w:pPr>
        <w:pStyle w:val="955"/>
        <w:spacing w:line="440" w:lineRule="exact"/>
        <w:rPr>
          <w:rFonts w:ascii="宋体" w:hAnsi="宋体" w:cs="宋体"/>
          <w:color w:val="auto"/>
          <w:sz w:val="24"/>
          <w:szCs w:val="24"/>
          <w:highlight w:val="none"/>
        </w:rPr>
      </w:pPr>
      <w:r/>
      <w:bookmarkStart w:id="782" w:name="_Toc490192013"/>
      <w:r/>
      <w:bookmarkStart w:id="783" w:name="_Toc1320788901"/>
      <w:r/>
      <w:bookmarkStart w:id="784" w:name="_Toc267251483"/>
      <w:r/>
      <w:bookmarkStart w:id="785" w:name="_Toc267251484"/>
      <w:r/>
      <w:bookmarkStart w:id="786" w:name="_Toc267251485"/>
      <w:r/>
      <w:bookmarkStart w:id="787" w:name="_Toc267251482"/>
      <w:r/>
      <w:bookmarkStart w:id="788" w:name="_Toc267251490"/>
      <w:r/>
      <w:bookmarkStart w:id="789" w:name="_Toc267251488"/>
      <w:r/>
      <w:bookmarkStart w:id="790" w:name="_Toc267251489"/>
      <w:r/>
      <w:bookmarkStart w:id="791" w:name="_Toc267251486"/>
      <w:r/>
      <w:bookmarkStart w:id="792" w:name="_Toc267251493"/>
      <w:r/>
      <w:bookmarkStart w:id="793" w:name="_Toc267251502"/>
      <w:r/>
      <w:bookmarkStart w:id="794" w:name="_Toc267251497"/>
      <w:r/>
      <w:bookmarkStart w:id="795" w:name="_Toc267251495"/>
      <w:r/>
      <w:bookmarkStart w:id="796" w:name="_Toc267251496"/>
      <w:r/>
      <w:bookmarkStart w:id="797" w:name="_Toc267251492"/>
      <w:r/>
      <w:bookmarkStart w:id="798" w:name="_Toc267251498"/>
      <w:r/>
      <w:bookmarkStart w:id="799" w:name="_Toc267251503"/>
      <w:r/>
      <w:bookmarkStart w:id="800" w:name="_Toc267251494"/>
      <w:r/>
      <w:bookmarkStart w:id="801" w:name="_Toc267251491"/>
      <w:r/>
      <w:bookmarkStart w:id="802" w:name="_Toc267251499"/>
      <w:r/>
      <w:bookmarkStart w:id="803" w:name="_Toc267251501"/>
      <w:r/>
      <w:bookmarkStart w:id="804" w:name="_Toc267251506"/>
      <w:r/>
      <w:bookmarkStart w:id="805" w:name="_Toc267251504"/>
      <w:r/>
      <w:bookmarkStart w:id="806" w:name="_Toc267251507"/>
      <w:r/>
      <w:bookmarkStart w:id="807" w:name="_Toc267251508"/>
      <w:r/>
      <w:bookmarkStart w:id="808" w:name="_Toc267251509"/>
      <w:r/>
      <w:bookmarkStart w:id="809" w:name="_Toc267251511"/>
      <w:r/>
      <w:bookmarkStart w:id="810" w:name="_Toc267251514"/>
      <w:r/>
      <w:bookmarkStart w:id="811" w:name="_Toc267251513"/>
      <w:r/>
      <w:bookmarkStart w:id="812" w:name="_Toc267251510"/>
      <w:r/>
      <w:bookmarkStart w:id="813" w:name="_Toc267251515"/>
      <w:r>
        <w:rPr>
          <w:rFonts w:hint="eastAsia" w:ascii="宋体" w:hAnsi="宋体" w:cs="宋体"/>
          <w:b w:val="0"/>
          <w:color w:val="auto"/>
          <w:sz w:val="24"/>
          <w:szCs w:val="24"/>
          <w:highlight w:val="none"/>
        </w:rPr>
        <w:t xml:space="preserve">15. 缺陷责任期与保修</w:t>
      </w:r>
      <w:bookmarkEnd w:id="782"/>
      <w:r/>
      <w:bookmarkEnd w:id="783"/>
      <w:r/>
      <w:r/>
    </w:p>
    <w:p>
      <w:pPr>
        <w:ind w:firstLine="240"/>
        <w:spacing w:line="440" w:lineRule="exact"/>
        <w:rPr>
          <w:rFonts w:ascii="宋体" w:hAnsi="宋体" w:cs="宋体"/>
          <w:color w:val="auto"/>
          <w:sz w:val="24"/>
          <w:szCs w:val="24"/>
          <w:highlight w:val="none"/>
        </w:rPr>
      </w:pPr>
      <w:r/>
      <w:bookmarkStart w:id="814" w:name="_Toc18125"/>
      <w:r>
        <w:rPr>
          <w:rFonts w:hint="eastAsia" w:ascii="宋体" w:hAnsi="宋体" w:cs="宋体"/>
          <w:color w:val="auto"/>
          <w:sz w:val="24"/>
          <w:szCs w:val="24"/>
          <w:highlight w:val="none"/>
        </w:rPr>
        <w:t xml:space="preserve">15.1 缺陷责任期</w:t>
      </w:r>
      <w:bookmarkEnd w:id="784"/>
      <w:r/>
      <w:bookmarkEnd w:id="814"/>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缺陷责任期的具体期限：自竣工验收合格之日起24个月，其他附属设施按国家规定年限确定；缺陷责任期内，承包人应负责工程的维修和养护。</w:t>
      </w:r>
      <w:r/>
    </w:p>
    <w:p>
      <w:pPr>
        <w:ind w:firstLine="24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质量保证金</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关于是否扣留质量保证金的约定：</w:t>
      </w:r>
      <w:r>
        <w:rPr>
          <w:rFonts w:hint="eastAsia" w:ascii="宋体" w:hAnsi="宋体" w:cs="宋体"/>
          <w:b/>
          <w:bCs/>
          <w:color w:val="auto"/>
          <w:sz w:val="24"/>
          <w:szCs w:val="24"/>
          <w:highlight w:val="none"/>
          <w:u w:val="single"/>
          <w:lang w:eastAsia="zh-CN"/>
        </w:rPr>
        <w:t xml:space="preserve">不</w:t>
      </w:r>
      <w:r>
        <w:rPr>
          <w:rFonts w:hint="eastAsia" w:ascii="宋体" w:hAnsi="宋体" w:cs="宋体"/>
          <w:b/>
          <w:bCs/>
          <w:color w:val="auto"/>
          <w:sz w:val="24"/>
          <w:szCs w:val="24"/>
          <w:highlight w:val="none"/>
          <w:u w:val="single"/>
        </w:rPr>
        <w:t xml:space="preserve">扣留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15.2.1 承包人提供质量保证金的方式</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质量保证金采用以下第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（1）质量保证金保函，保证金额为：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%的工程款；</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（3）其他方式:  </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15.2.2 质量保证金的扣留 </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本项目不得留存质量保证金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从合同价款、进度款或结算款中扣留质量保证金。承包人应依法承担缺陷责任期及保修期内的维修、更换、补植、养护及损害赔偿责任。发包人已支付全部合同价款后发生前述费用的，承包人应在发包人通知的期限内另行支付；逾期未支付的，发包人有权依法追偿。承包人应依法承担缺陷责任期及保修期内的维修、更换、补植、养护及损害赔偿责任；相关费用由承包人承担，发包人尚有应付款项或履约担保的，有权依法或依约从中扣除，不足部分由承包人另行支付。</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24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保修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15.3.1 保修责任</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工程保修期为：</w:t>
      </w:r>
      <w:r>
        <w:rPr>
          <w:rFonts w:ascii="宋体" w:hAnsi="宋体" w:eastAsia="宋体" w:cs="宋体"/>
          <w:sz w:val="24"/>
          <w:u w:val="single"/>
        </w:rPr>
        <w:t xml:space="preserve">执行国家、江苏省等相关标准。其中绿化养护期为</w:t>
      </w:r>
      <w:r>
        <w:rPr>
          <w:rFonts w:hint="eastAsia" w:ascii="宋体" w:hAnsi="宋体" w:eastAsia="宋体" w:cs="宋体"/>
          <w:color w:val="auto"/>
          <w:sz w:val="24"/>
          <w:highlight w:val="none"/>
        </w:rPr>
        <w:t xml:space="preserve">6</w:t>
      </w:r>
      <w:r>
        <w:rPr>
          <w:rFonts w:ascii="宋体" w:hAnsi="宋体" w:eastAsia="宋体" w:cs="宋体"/>
          <w:sz w:val="24"/>
          <w:u w:val="single"/>
        </w:rPr>
        <w:t xml:space="preserve">个月。</w:t>
      </w:r>
      <w:r>
        <w:rPr>
          <w:rFonts w:hint="eastAsia" w:ascii="宋体" w:hAnsi="宋体" w:cs="宋体"/>
          <w:color w:val="auto"/>
          <w:sz w:val="24"/>
          <w:szCs w:val="24"/>
          <w:highlight w:val="none"/>
          <w:u w:val="single"/>
        </w:rPr>
        <w:t xml:space="preserve"> </w:t>
      </w:r>
      <w:bookmarkEnd w:id="785"/>
      <w:r/>
      <w:bookmarkEnd w:id="786"/>
      <w:r/>
      <w:bookmarkEnd w:id="787"/>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15.3.2 </w:t>
      </w:r>
      <w:r>
        <w:rPr>
          <w:rFonts w:hint="eastAsia" w:ascii="宋体" w:hAnsi="宋体" w:cs="宋体"/>
          <w:color w:val="auto"/>
          <w:sz w:val="24"/>
          <w:szCs w:val="24"/>
          <w:highlight w:val="none"/>
          <w:lang w:eastAsia="zh-CN"/>
        </w:rPr>
        <w:t xml:space="preserve">修复时间</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本合同工程保修期内出现质量缺陷，承包人接到发包人通知后（电话或书面通知）必须在</w:t>
      </w:r>
      <w:r>
        <w:rPr>
          <w:rFonts w:hint="eastAsia" w:ascii="宋体" w:hAnsi="宋体" w:eastAsia="宋体" w:cs="宋体"/>
          <w:color w:val="auto"/>
          <w:sz w:val="24"/>
          <w:highlight w:val="none"/>
        </w:rPr>
        <w:t xml:space="preserve">24小时内到发包人单位报到，与发包人有关人员共同到现场查看，并在现场查看后24小时内提出书面处理方案，在约定的处理期限内完成修复。承包人逾期未完成修复的，应承担由此产生的全部责任。承包人未按期到场、未提出处理方案或未在约定期限内完成修复的，发包人有权安排其他施工单位处理，所发生的全部费用由承包人承担；发包人尚有应付款项或履约担保的，有权依法或依约从中扣除，不足部分由承包人另行支付。发包人应留存相关通知、现场查看、处理及费用记录，供备查。所发生的费用承包人未及时支付的，发包人有权依法继续追究承包人的相应责任。</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240"/>
        <w:spacing w:line="440" w:lineRule="exact"/>
        <w:rPr>
          <w:rFonts w:ascii="宋体" w:hAnsi="宋体" w:cs="宋体"/>
          <w:color w:val="auto"/>
          <w:sz w:val="24"/>
          <w:szCs w:val="24"/>
          <w:highlight w:val="none"/>
        </w:rPr>
        <w:outlineLvl w:val="2"/>
      </w:pPr>
      <w:r/>
      <w:bookmarkStart w:id="815" w:name="_Toc1846040712"/>
      <w:r/>
      <w:bookmarkStart w:id="816" w:name="_Toc652859120"/>
      <w:r>
        <w:rPr>
          <w:rFonts w:hint="eastAsia" w:ascii="宋体" w:hAnsi="宋体" w:cs="宋体"/>
          <w:color w:val="auto"/>
          <w:sz w:val="24"/>
          <w:szCs w:val="24"/>
          <w:highlight w:val="none"/>
        </w:rPr>
        <w:t xml:space="preserve">15.4 绿化养护期</w:t>
      </w:r>
      <w:bookmarkEnd w:id="815"/>
      <w:r/>
      <w:bookmarkEnd w:id="816"/>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绿化养护期</w:t>
      </w:r>
      <w:r>
        <w:rPr>
          <w:rFonts w:hint="eastAsia" w:ascii="宋体" w:hAnsi="宋体" w:cs="宋体"/>
          <w:color w:val="auto"/>
          <w:sz w:val="24"/>
          <w:szCs w:val="24"/>
          <w:highlight w:val="none"/>
        </w:rPr>
        <w:t xml:space="preserve">的具体期限</w:t>
      </w:r>
      <w:r>
        <w:rPr>
          <w:rFonts w:hint="eastAsia" w:ascii="宋体" w:hAnsi="宋体" w:cs="宋体"/>
          <w:color w:val="auto"/>
          <w:sz w:val="24"/>
          <w:szCs w:val="24"/>
          <w:highlight w:val="none"/>
        </w:rPr>
        <w:t xml:space="preserve">：</w:t>
      </w:r>
      <w:r>
        <w:rPr>
          <w:rFonts w:ascii="宋体" w:hAnsi="宋体" w:eastAsia="宋体" w:cs="宋体"/>
          <w:color w:val="auto"/>
          <w:sz w:val="24"/>
          <w:highlight w:val="none"/>
          <w:u w:val="single"/>
        </w:rPr>
        <w:t xml:space="preserve">自工程竣工验收合格之日起6个月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绿化养护期内双方责任约定：</w:t>
      </w:r>
      <w:r>
        <w:rPr>
          <w:rFonts w:hint="eastAsia" w:ascii="宋体" w:hAnsi="宋体" w:cs="宋体"/>
          <w:color w:val="auto"/>
          <w:sz w:val="24"/>
          <w:szCs w:val="24"/>
          <w:highlight w:val="none"/>
          <w:u w:val="single"/>
        </w:rPr>
        <w:t xml:space="preserve">      见补充条款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绿化养护期内水电费支付：</w:t>
      </w:r>
      <w:r>
        <w:rPr>
          <w:rFonts w:hint="eastAsia" w:ascii="宋体" w:hAnsi="宋体" w:cs="宋体"/>
          <w:color w:val="auto"/>
          <w:sz w:val="24"/>
          <w:szCs w:val="24"/>
          <w:highlight w:val="none"/>
          <w:u w:val="single"/>
        </w:rPr>
        <w:t xml:space="preserve">        承包方承担            </w:t>
      </w:r>
      <w:r>
        <w:rPr>
          <w:rFonts w:hint="eastAsia" w:ascii="宋体" w:hAnsi="宋体" w:cs="宋体"/>
          <w:color w:val="auto"/>
          <w:sz w:val="24"/>
          <w:szCs w:val="24"/>
          <w:highlight w:val="none"/>
        </w:rPr>
        <w:t xml:space="preserve">。</w:t>
      </w:r>
      <w:bookmarkEnd w:id="788"/>
      <w:r/>
      <w:bookmarkEnd w:id="789"/>
      <w:r/>
      <w:bookmarkEnd w:id="790"/>
      <w:r/>
      <w:bookmarkEnd w:id="791"/>
      <w:r/>
      <w:r/>
    </w:p>
    <w:p>
      <w:pPr>
        <w:ind w:firstLine="0"/>
        <w:jc w:val="left"/>
        <w:spacing w:line="440" w:lineRule="exact"/>
        <w:rPr>
          <w:rFonts w:ascii="宋体" w:hAnsi="宋体" w:cs="宋体"/>
          <w:b w:val="0"/>
          <w:color w:val="auto"/>
          <w:sz w:val="24"/>
          <w:szCs w:val="24"/>
          <w:highlight w:val="none"/>
        </w:rPr>
      </w:pPr>
      <w:r/>
      <w:bookmarkStart w:id="817" w:name="_Toc922596978"/>
      <w:r/>
      <w:bookmarkStart w:id="818" w:name="_Toc543386448"/>
      <w:r/>
      <w:bookmarkStart w:id="819" w:name="_Toc280868717"/>
      <w:r/>
      <w:bookmarkStart w:id="820" w:name="_Toc280868718"/>
      <w:r>
        <w:rPr>
          <w:rFonts w:hint="eastAsia" w:ascii="宋体" w:hAnsi="宋体" w:cs="宋体"/>
          <w:b w:val="0"/>
          <w:color w:val="auto"/>
          <w:sz w:val="24"/>
          <w:szCs w:val="24"/>
          <w:highlight w:val="none"/>
        </w:rPr>
        <w:t xml:space="preserve">16. 违约</w:t>
      </w:r>
      <w:bookmarkEnd w:id="817"/>
      <w:r/>
      <w:bookmarkEnd w:id="818"/>
      <w:r/>
      <w:r/>
    </w:p>
    <w:p>
      <w:pPr>
        <w:ind w:firstLine="480"/>
        <w:jc w:val="left"/>
        <w:spacing w:line="440" w:lineRule="exact"/>
        <w:rPr>
          <w:rFonts w:ascii="宋体" w:hAnsi="宋体" w:cs="宋体"/>
          <w:color w:val="auto"/>
          <w:sz w:val="24"/>
          <w:szCs w:val="24"/>
          <w:highlight w:val="none"/>
        </w:rPr>
        <w:outlineLvl w:val="9"/>
      </w:pPr>
      <w:r/>
      <w:bookmarkStart w:id="821" w:name="_Toc41673421"/>
      <w:r/>
      <w:bookmarkStart w:id="822" w:name="_Toc12830"/>
      <w:r/>
      <w:bookmarkStart w:id="823" w:name="_Toc776232141"/>
      <w:r>
        <w:rPr>
          <w:rFonts w:hint="eastAsia" w:ascii="宋体" w:hAnsi="宋体" w:cs="宋体"/>
          <w:color w:val="auto"/>
          <w:sz w:val="24"/>
          <w:szCs w:val="24"/>
          <w:highlight w:val="none"/>
        </w:rPr>
        <w:t xml:space="preserve">16.1 发包人违约</w:t>
      </w:r>
      <w:bookmarkEnd w:id="821"/>
      <w:r/>
      <w:bookmarkEnd w:id="822"/>
      <w:r/>
      <w:bookmarkEnd w:id="823"/>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16.1.1 发包人违约的情形</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发包人违约的其他情形：</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left="1400" w:hanging="120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16.1.2 发包人违约的责任</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发包人违约责任的承担方式和计算方法：</w:t>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（1）因发包人原因未能在计划开工日期前7天内下达开工通知的违约责任：</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（2）因发包人原因未能按合同约定支付合同价款的违约责任：</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cs="宋体"/>
          <w:color w:val="auto"/>
          <w:sz w:val="24"/>
          <w:szCs w:val="24"/>
          <w:highlight w:val="none"/>
          <w:u w:val="single"/>
        </w:rPr>
        <w:t xml:space="preserve">执行通用条款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（5）因发包人违反合同约定造成暂停施工的违约责任：</w:t>
      </w:r>
      <w:r>
        <w:rPr>
          <w:rFonts w:hint="eastAsia" w:ascii="宋体" w:hAnsi="宋体" w:cs="宋体"/>
          <w:color w:val="auto"/>
          <w:sz w:val="24"/>
          <w:szCs w:val="24"/>
          <w:highlight w:val="none"/>
          <w:u w:val="single"/>
        </w:rPr>
        <w:t xml:space="preserve">      </w:t>
      </w:r>
      <w:r/>
    </w:p>
    <w:p>
      <w:pPr>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（6）发包人无正当理由没有在约定期限内发出复工指示，导致承包人无法复工的违约责任：</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（7）其他：</w:t>
      </w:r>
      <w:r>
        <w:rPr>
          <w:rFonts w:hint="eastAsia" w:ascii="宋体" w:hAnsi="宋体" w:cs="宋体"/>
          <w:color w:val="auto"/>
          <w:sz w:val="24"/>
          <w:szCs w:val="24"/>
          <w:highlight w:val="none"/>
          <w:u w:val="single"/>
        </w:rPr>
        <w:t xml:space="preserve"> 发包人拒绝签收往来文件的视为对文件内容的认可</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16.1.3 因发包人违约解除合同</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承包人按16.1.1项〔发包人违约的情形〕约定暂停施工满</w:t>
      </w:r>
      <w:r>
        <w:rPr>
          <w:rFonts w:hint="eastAsia" w:ascii="宋体" w:hAnsi="宋体" w:eastAsia="宋体" w:cs="宋体"/>
          <w:strike w:val="0"/>
          <w:color w:val="auto"/>
          <w:sz w:val="24"/>
          <w:highlight w:val="none"/>
        </w:rPr>
        <w:t xml:space="preserve"> </w:t>
      </w:r>
      <w:r>
        <w:rPr>
          <w:rFonts w:hint="eastAsia" w:ascii="宋体" w:hAnsi="宋体" w:eastAsia="宋体" w:cs="宋体"/>
          <w:color w:val="auto"/>
          <w:sz w:val="24"/>
          <w:highlight w:val="none"/>
        </w:rPr>
        <w:t xml:space="preserve">180</w:t>
      </w:r>
      <w:r>
        <w:rPr>
          <w:rFonts w:hint="eastAsia" w:ascii="宋体" w:hAnsi="宋体" w:eastAsia="宋体" w:cs="宋体"/>
          <w:strike w:val="0"/>
          <w:color w:val="auto"/>
          <w:sz w:val="24"/>
          <w:highlight w:val="none"/>
        </w:rPr>
        <w:t xml:space="preserve"> </w:t>
      </w:r>
      <w:r>
        <w:rPr>
          <w:rFonts w:hint="eastAsia" w:ascii="宋体" w:hAnsi="宋体" w:eastAsia="宋体" w:cs="宋体"/>
          <w:color w:val="auto"/>
          <w:sz w:val="24"/>
          <w:highlight w:val="none"/>
        </w:rPr>
        <w:t xml:space="preserve">天后发包人仍不纠正其违约行为并致使合同目的不能实现的，承包人有权解除合同；解除合同后，发包人应在30天内支付已完成工程的价款及违约金。</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240"/>
        <w:spacing w:line="440" w:lineRule="exact"/>
        <w:rPr>
          <w:rFonts w:ascii="宋体" w:hAnsi="宋体" w:cs="宋体"/>
          <w:color w:val="auto"/>
          <w:sz w:val="24"/>
          <w:szCs w:val="24"/>
          <w:highlight w:val="none"/>
        </w:rPr>
        <w:outlineLvl w:val="2"/>
      </w:pPr>
      <w:r/>
      <w:bookmarkStart w:id="824" w:name="_Toc10226"/>
      <w:r/>
      <w:bookmarkStart w:id="825" w:name="_Toc808083520"/>
      <w:r/>
      <w:bookmarkStart w:id="826" w:name="_Toc356979891"/>
      <w:r>
        <w:rPr>
          <w:rFonts w:hint="eastAsia" w:ascii="宋体" w:hAnsi="宋体" w:cs="宋体"/>
          <w:color w:val="auto"/>
          <w:sz w:val="24"/>
          <w:szCs w:val="24"/>
          <w:highlight w:val="none"/>
        </w:rPr>
        <w:t xml:space="preserve">16.2 承包人违约</w:t>
      </w:r>
      <w:bookmarkEnd w:id="824"/>
      <w:r/>
      <w:bookmarkEnd w:id="825"/>
      <w:r/>
      <w:bookmarkEnd w:id="826"/>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16.2.1 承包人违约的情形</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承包人违约的其他情形：</w:t>
      </w:r>
      <w:r>
        <w:rPr>
          <w:rFonts w:hint="eastAsia" w:ascii="宋体" w:hAnsi="宋体" w:eastAsia="宋体" w:cs="宋体"/>
          <w:color w:val="auto"/>
          <w:sz w:val="24"/>
          <w:highlight w:val="none"/>
        </w:rPr>
        <w:t xml:space="preserve">（如果承包人在下列任何一方面违约，发包人有权追究其违约责任，情节严重的有权解除合同）</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(1)承包人在中标后，未能按规定的时间办理相关手续、缴纳相关费用，影响甲方办理相关手续的；</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(2)没有合理的原因而未能开工、或拖延工期、或拖延竣工；</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(3)</w:t>
      </w:r>
      <w:r>
        <w:rPr>
          <w:rFonts w:hint="eastAsia" w:ascii="宋体" w:hAnsi="宋体" w:eastAsia="宋体" w:cs="宋体"/>
          <w:color w:val="auto"/>
          <w:sz w:val="24"/>
          <w:highlight w:val="none"/>
        </w:rPr>
        <w:t xml:space="preserve">拒绝或不遵照发包人或监理工程师要求整改、更换或拆除有缺陷的工程，不合适的材料或物资的书面通知，经发包人书面催告后7日内仍未整改的；</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(4)分包、转包工程；    </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(5)</w:t>
      </w:r>
      <w:r>
        <w:rPr>
          <w:rFonts w:hint="eastAsia" w:ascii="宋体" w:hAnsi="宋体" w:eastAsia="宋体" w:cs="宋体"/>
          <w:color w:val="auto"/>
          <w:sz w:val="24"/>
          <w:highlight w:val="none"/>
        </w:rPr>
        <w:t xml:space="preserve">投标人实际施工时更换建造师或实际管理者非中标建造师，发包人有权解除合同，并上报建设主管部门请求停止承包人两年以内承揽徐州地区工程资格；解除合同后，承包人应赔偿发包人因此造成的损失；</w:t>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eastAsia="宋体" w:cs="宋体"/>
          <w:color w:val="auto"/>
          <w:sz w:val="24"/>
          <w:highlight w:val="none"/>
        </w:rPr>
        <w:t xml:space="preserve">已明确责任，但招标期内无法量化违约金的，按实际经济损失赔偿，并加收实际经济损失10%的管理费。</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(7)因承包人自身原因，达不到合同约定的工程质量标准，同时承包人自愿进行整改的，其整改所需时间计算在合同总工期内。因此而造成的工期延误按前述有关条款进行处理；</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(8)因承包人自身原因，在工程竣工验收时一次验收达不到合同约定的工程质量标准，除由承包人在合同期限内自行整改合格外，违约金为合同价的5%；    </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(9)承包人本工程投标项目负责人除不可抗力外，中途不得更换。否则发包人扣承包人合同价5%/人/次的违约金；</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(10)在工程进展过程中有关部门组织的工程检查验收，项目负责人必须参加。否则，在事先未请假的情况下，项目负责人每缺席一次发包人将扣承包人人民币贰仟元的违约金。同时承包人要承担建设主管部门不良行为的记录和处罚；</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(11)项目负责人应参加由发包人或监理单位组织的有关工地会议。否则，在事先未请假的情况下，项目负责人每缺席一次发包人将扣承包人人民币伍仟元的违约金；</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(12) </w:t>
      </w:r>
      <w:r>
        <w:rPr>
          <w:rFonts w:hint="eastAsia" w:ascii="宋体" w:hAnsi="宋体" w:eastAsia="宋体" w:cs="宋体"/>
          <w:color w:val="auto"/>
          <w:sz w:val="24"/>
          <w:highlight w:val="none"/>
        </w:rPr>
        <w:t xml:space="preserve">项目负责人及项目管理人员均为本单位人员，且资格审查合格后不再更换。中标后，项目负责人在项目实施期间应保持每周至少在现场办公五天，每天在现场办公时间不得少于8小时，且应及时参加发包人、监理方组织的例会及保证现场施工及时顺畅的进行，否则每缺席一次工地的例会扣违约金人民币伍仟元，合计缺席超过3次或一周工作时间不足5天（40小时）视为承包人挂靠资质，承包人应向发包人支付合同价</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%的违约金。</w:t>
      </w:r>
      <w:r/>
    </w:p>
    <w:p>
      <w:pPr>
        <w:ind w:firstLine="480"/>
        <w:jc w:val="left"/>
        <w:spacing w:line="440" w:lineRule="exact"/>
        <w:rPr>
          <w:rFonts w:hint="eastAsia" w:ascii="宋体" w:hAnsi="宋体" w:cs="宋体"/>
          <w:color w:val="auto"/>
          <w:sz w:val="24"/>
          <w:szCs w:val="24"/>
          <w:highlight w:val="none"/>
          <w:u w:val="none"/>
        </w:rPr>
      </w:pPr>
      <w:r>
        <w:rPr>
          <w:rFonts w:hint="eastAsia" w:ascii="宋体" w:hAnsi="宋体" w:cs="宋体"/>
          <w:color w:val="auto"/>
          <w:sz w:val="24"/>
          <w:szCs w:val="24"/>
          <w:highlight w:val="none"/>
        </w:rPr>
        <w:t xml:space="preserve">（13）</w:t>
      </w:r>
      <w:r>
        <w:rPr>
          <w:rFonts w:hint="eastAsia" w:ascii="宋体" w:hAnsi="宋体" w:eastAsia="宋体" w:cs="宋体"/>
          <w:color w:val="auto"/>
          <w:sz w:val="24"/>
          <w:highlight w:val="none"/>
        </w:rPr>
        <w:t xml:space="preserve">承包人债权不得转让，未经发包人书面同意，承包人不得将本合同项下的任何权利或义务转让给第三方。</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16.2.2违约索赔</w:t>
      </w:r>
      <w:r/>
    </w:p>
    <w:p>
      <w:pPr>
        <w:ind w:firstLine="480"/>
        <w:jc w:val="left"/>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承包人违约责任的承担方式和计算方法：发包人有权因以下事件按《中华人民共和国建筑法》第六十七条的规定向承包人提出索赔；索赔金额包括直接损失和间接损失：</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（1）因承包人原因而造成对社会产生不利影响的工程非正常停工，按停工造成的实际损失赔偿；</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（2）因承包人违反《中华人民共和国建筑法》第二十八条的规定而非法转包的，发包人有权单方面解除合同，立即清其出场，上报建设主管部门对承包人进行处置，对发包人造成经济损失的，承包人负责赔偿。</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（3）因承包人未能按时足额支付工人工资而造成不良社会影响的，发包人有权为安抚民工而在事先告之承包人的情况下向民工支付工资，并双倍从工程进度款中扣除，上报建设主管部门对承包人进行处置。</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eastAsia="宋体" w:cs="宋体"/>
          <w:color w:val="auto"/>
          <w:sz w:val="24"/>
          <w:highlight w:val="none"/>
        </w:rPr>
        <w:t xml:space="preserve">如承包人未在发包人规定的工期内保质保量完成，发包人有权解除合同，按发包人的要求限期退场，让出工作面，对发包人造成经济损失的，承包人负责赔偿；同时列入施工企业黑名单。发包人将上述情况上报建设主管部门并请求停止承包人一年以内承揽徐州地区工程资格，并没收履约担保。</w:t>
      </w:r>
      <w:r/>
    </w:p>
    <w:p>
      <w:pPr>
        <w:pStyle w:val="1321"/>
        <w:ind w:left="0" w:right="0" w:firstLine="600"/>
        <w:jc w:val="both"/>
        <w:spacing w:before="0"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承包人有权因以下事件参照《中华人民共和国建筑法》中的有关规定向发包人提出索赔：</w:t>
      </w:r>
      <w:r/>
    </w:p>
    <w:p>
      <w:pPr>
        <w:pStyle w:val="1321"/>
        <w:ind w:left="0" w:right="0" w:firstLine="588"/>
        <w:jc w:val="both"/>
        <w:spacing w:before="0"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（1）因发包人指定分包人的工程进度影响总工期进度且该工程总进度是不可逆的，由承包人向发包人提出索赔。且该索赔额由指定分包人承担；承包人未尽到配合服务的，承包人应承担相应责任部分。</w:t>
      </w:r>
      <w:r/>
    </w:p>
    <w:p>
      <w:pPr>
        <w:pStyle w:val="1321"/>
        <w:ind w:left="0" w:right="0" w:firstLine="588"/>
        <w:jc w:val="both"/>
        <w:spacing w:before="0"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（2）因发包人指定分包人造成的安全事故，由指定分包人负全责。且由指定分包人原因引发的发包人对工程总承包人的索赔由分包人赔付。承包人承担相应的管理责任部分。</w:t>
      </w:r>
      <w:r/>
    </w:p>
    <w:p>
      <w:pPr>
        <w:pStyle w:val="1321"/>
        <w:ind w:left="0" w:right="0" w:firstLine="590"/>
        <w:jc w:val="both"/>
        <w:spacing w:before="0"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（3）因发包人在工程实施过程中增加的工程变更内容足以影响使工程在正常施</w:t>
      </w:r>
      <w:r>
        <w:rPr>
          <w:rFonts w:hint="default" w:ascii="宋体" w:hAnsi="宋体" w:cs="宋体"/>
          <w:color w:val="auto"/>
          <w:sz w:val="24"/>
          <w:szCs w:val="24"/>
          <w:highlight w:val="none"/>
        </w:rPr>
        <w:t xml:space="preserve">工作业条件下不能按期竣工的，承包人有权向发包人提出工期索赔。其他执行通用条款第36条中的有关规定。</w:t>
      </w:r>
      <w:r/>
    </w:p>
    <w:p>
      <w:pPr>
        <w:ind w:firstLine="480"/>
        <w:rPr>
          <w:rFonts w:hint="eastAsia" w:ascii="宋体" w:hAnsi="宋体" w:cs="宋体"/>
          <w:color w:val="auto"/>
          <w:sz w:val="24"/>
          <w:highlight w:val="none"/>
        </w:rPr>
      </w:pPr>
      <w:r>
        <w:rPr>
          <w:rFonts w:hint="default" w:ascii="宋体" w:hAnsi="宋体" w:cs="宋体"/>
          <w:color w:val="auto"/>
          <w:sz w:val="24"/>
          <w:szCs w:val="24"/>
          <w:highlight w:val="none"/>
        </w:rPr>
        <w:t xml:space="preserve">承包人违约责任的承担方式和计算方法：</w:t>
      </w:r>
      <w:r>
        <w:rPr>
          <w:rFonts w:hint="default" w:ascii="宋体" w:hAnsi="宋体" w:cs="宋体"/>
          <w:color w:val="auto"/>
          <w:sz w:val="24"/>
          <w:szCs w:val="24"/>
          <w:highlight w:val="none"/>
          <w:u w:val="none"/>
        </w:rPr>
        <w:t xml:space="preserve"> </w:t>
      </w:r>
      <w:r>
        <w:rPr>
          <w:rFonts w:hint="eastAsia" w:ascii="宋体" w:hAnsi="宋体" w:eastAsia="宋体" w:cs="宋体"/>
          <w:color w:val="auto"/>
          <w:sz w:val="24"/>
          <w:highlight w:val="none"/>
          <w:u w:val="single"/>
        </w:rPr>
        <w:t xml:space="preserve">按本合同专用条款第16.2.1项约定的违约金标准执行；违约金不足以弥补发包人实际损失的，承包人还应赔偿差额部分；本合同未作约定的，依照相关法律法规执行。</w:t>
      </w:r>
      <w:r/>
    </w:p>
    <w:p>
      <w:pPr>
        <w:ind w:firstLine="480"/>
        <w:jc w:val="left"/>
        <w:spacing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16.2.3 因承包人违约解除合同</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关于承包人违约解除合同的特别约定：</w:t>
      </w:r>
      <w:r>
        <w:rPr>
          <w:rFonts w:hint="eastAsia" w:ascii="宋体" w:hAnsi="宋体" w:cs="宋体"/>
          <w:color w:val="auto"/>
          <w:sz w:val="24"/>
          <w:szCs w:val="24"/>
          <w:highlight w:val="none"/>
          <w:u w:val="single"/>
        </w:rPr>
        <w:t xml:space="preserve"> 承包人违约，导致第三方利益受损，发包人不承担任何责任</w:t>
      </w:r>
      <w:r>
        <w:rPr>
          <w:rFonts w:hint="eastAsia" w:ascii="宋体" w:hAnsi="宋体" w:cs="宋体"/>
          <w:color w:val="auto"/>
          <w:sz w:val="24"/>
          <w:szCs w:val="24"/>
          <w:highlight w:val="none"/>
        </w:rPr>
        <w:t xml:space="preserve">。</w:t>
      </w:r>
      <w:r/>
    </w:p>
    <w:p>
      <w:pPr>
        <w:ind w:firstLine="480"/>
        <w:rPr>
          <w:color w:val="auto"/>
          <w:highlight w:val="none"/>
        </w:rPr>
      </w:pPr>
      <w:r>
        <w:rPr>
          <w:rFonts w:ascii="宋体" w:hAnsi="宋体" w:eastAsia="宋体" w:cs="宋体"/>
          <w:color w:val="auto"/>
          <w:sz w:val="24"/>
          <w:highlight w:val="none"/>
        </w:rPr>
        <w:t xml:space="preserve">发包人继续使用承包人在施工现场的材料、设备、临时工程、承包人文件和由承包人或以其名义编制的其他文件的费用承担方式：（1）发包人继续使用承包人在施工现场的材料、设备的，按实际使用数量及合同约定单价支付费用，但不包括利润；（2）发包人继续使用承包人在施工现场的临时工程的，按实际使用情况支付费用，费用标准另行协商；（3）发包人继续使用承包人文件和由承包人或以其名义编制的其他文件的，不支付费用。</w:t>
      </w:r>
      <w:r/>
    </w:p>
    <w:p>
      <w:pPr>
        <w:ind w:firstLine="0"/>
        <w:spacing w:line="440" w:lineRule="exact"/>
        <w:rPr>
          <w:rFonts w:hint="eastAsia" w:ascii="宋体" w:hAnsi="宋体" w:cs="宋体"/>
          <w:b w:val="0"/>
          <w:bCs w:val="0"/>
          <w:color w:val="auto"/>
          <w:sz w:val="24"/>
          <w:szCs w:val="24"/>
          <w:highlight w:val="none"/>
        </w:rPr>
        <w:outlineLvl w:val="2"/>
      </w:pPr>
      <w:r/>
      <w:bookmarkStart w:id="827" w:name="_Toc812123563"/>
      <w:r/>
      <w:bookmarkStart w:id="828" w:name="_Toc2079114017"/>
      <w:r>
        <w:rPr>
          <w:rFonts w:hint="eastAsia" w:ascii="宋体" w:hAnsi="宋体" w:cs="宋体"/>
          <w:b w:val="0"/>
          <w:bCs w:val="0"/>
          <w:color w:val="auto"/>
          <w:sz w:val="24"/>
          <w:szCs w:val="24"/>
          <w:highlight w:val="none"/>
        </w:rPr>
        <w:t xml:space="preserve">17. </w:t>
      </w:r>
      <w:r>
        <w:rPr>
          <w:rFonts w:hint="eastAsia" w:ascii="宋体" w:hAnsi="宋体" w:cs="宋体"/>
          <w:b w:val="0"/>
          <w:bCs w:val="0"/>
          <w:color w:val="auto"/>
          <w:sz w:val="24"/>
          <w:szCs w:val="24"/>
          <w:highlight w:val="none"/>
        </w:rPr>
        <w:t xml:space="preserve">不可抗力</w:t>
      </w:r>
      <w:bookmarkEnd w:id="827"/>
      <w:r/>
      <w:bookmarkEnd w:id="828"/>
      <w:r>
        <w:rPr>
          <w:rFonts w:hint="eastAsia" w:ascii="宋体" w:hAnsi="宋体" w:cs="宋体"/>
          <w:b w:val="0"/>
          <w:bCs w:val="0"/>
          <w:color w:val="auto"/>
          <w:sz w:val="24"/>
          <w:szCs w:val="24"/>
          <w:highlight w:val="none"/>
        </w:rPr>
        <w:t xml:space="preserve"> </w:t>
      </w:r>
      <w:bookmarkEnd w:id="819"/>
      <w:r/>
      <w:r/>
    </w:p>
    <w:p>
      <w:pPr>
        <w:ind w:firstLine="480"/>
        <w:spacing w:line="440" w:lineRule="exact"/>
        <w:rPr>
          <w:rFonts w:ascii="宋体" w:hAnsi="宋体" w:cs="宋体"/>
          <w:color w:val="auto"/>
          <w:sz w:val="24"/>
          <w:szCs w:val="24"/>
          <w:highlight w:val="none"/>
        </w:rPr>
        <w:outlineLvl w:val="2"/>
      </w:pPr>
      <w:r/>
      <w:bookmarkStart w:id="829" w:name="_Toc9363"/>
      <w:r/>
      <w:bookmarkStart w:id="830" w:name="_Toc1806635917"/>
      <w:r/>
      <w:bookmarkStart w:id="831" w:name="_Toc1018645862"/>
      <w:r>
        <w:rPr>
          <w:rFonts w:hint="eastAsia" w:ascii="宋体" w:hAnsi="宋体" w:cs="宋体"/>
          <w:color w:val="auto"/>
          <w:sz w:val="24"/>
          <w:szCs w:val="24"/>
          <w:highlight w:val="none"/>
        </w:rPr>
        <w:t xml:space="preserve">17.1 不可抗力的确认</w:t>
      </w:r>
      <w:bookmarkEnd w:id="829"/>
      <w:r/>
      <w:bookmarkEnd w:id="830"/>
      <w:r/>
      <w:bookmarkEnd w:id="831"/>
      <w:r/>
      <w:r/>
    </w:p>
    <w:p>
      <w:pPr>
        <w:ind w:firstLine="48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除通用合同条款约定的不可抗力事件之外，视为不可抗力的其他情形：</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outlineLvl w:val="2"/>
      </w:pPr>
      <w:r/>
      <w:bookmarkStart w:id="832" w:name="_Toc11690251"/>
      <w:r/>
      <w:bookmarkStart w:id="833" w:name="_Toc1010713786"/>
      <w:r/>
      <w:bookmarkStart w:id="834" w:name="_Toc24645"/>
      <w:r>
        <w:rPr>
          <w:rFonts w:hint="eastAsia" w:ascii="宋体" w:hAnsi="宋体" w:cs="宋体"/>
          <w:color w:val="auto"/>
          <w:sz w:val="24"/>
          <w:szCs w:val="24"/>
          <w:highlight w:val="none"/>
        </w:rPr>
        <w:t xml:space="preserve">17.2 因不可抗力解除合同</w:t>
      </w:r>
      <w:bookmarkEnd w:id="832"/>
      <w:r/>
      <w:bookmarkEnd w:id="833"/>
      <w:r/>
      <w:bookmarkEnd w:id="83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合同解除后，发包人应在商定或确定发包人应支付款项后60 天内完成款项的支付。</w:t>
      </w:r>
      <w:r/>
    </w:p>
    <w:p>
      <w:pPr>
        <w:ind w:firstLine="0"/>
        <w:spacing w:line="440" w:lineRule="exact"/>
        <w:rPr>
          <w:rFonts w:hint="eastAsia" w:ascii="宋体" w:hAnsi="宋体" w:cs="宋体"/>
          <w:b w:val="0"/>
          <w:color w:val="auto"/>
          <w:sz w:val="24"/>
          <w:szCs w:val="24"/>
          <w:highlight w:val="none"/>
        </w:rPr>
      </w:pPr>
      <w:r/>
      <w:bookmarkStart w:id="835" w:name="_Toc266453569"/>
      <w:r/>
      <w:bookmarkStart w:id="836" w:name="_Toc1270684127"/>
      <w:r>
        <w:rPr>
          <w:rFonts w:hint="eastAsia" w:ascii="宋体" w:hAnsi="宋体" w:cs="宋体"/>
          <w:b w:val="0"/>
          <w:color w:val="auto"/>
          <w:sz w:val="24"/>
          <w:szCs w:val="24"/>
          <w:highlight w:val="none"/>
        </w:rPr>
        <w:t xml:space="preserve">18. 保险</w:t>
      </w:r>
      <w:bookmarkEnd w:id="820"/>
      <w:r/>
      <w:bookmarkEnd w:id="835"/>
      <w:r/>
      <w:bookmarkEnd w:id="836"/>
      <w:r/>
      <w:r/>
    </w:p>
    <w:p>
      <w:pPr>
        <w:ind w:firstLine="480"/>
        <w:spacing w:line="440" w:lineRule="exact"/>
        <w:rPr>
          <w:rFonts w:hint="eastAsia" w:ascii="宋体" w:hAnsi="宋体" w:cs="宋体"/>
          <w:color w:val="auto"/>
          <w:sz w:val="24"/>
          <w:szCs w:val="24"/>
          <w:highlight w:val="none"/>
        </w:rPr>
        <w:outlineLvl w:val="9"/>
      </w:pPr>
      <w:r/>
      <w:bookmarkStart w:id="837" w:name="_Toc552342053"/>
      <w:r/>
      <w:bookmarkStart w:id="838" w:name="_Toc29058"/>
      <w:r/>
      <w:bookmarkStart w:id="839" w:name="_Toc995365961"/>
      <w:r>
        <w:rPr>
          <w:rFonts w:hint="eastAsia" w:ascii="宋体" w:hAnsi="宋体" w:cs="宋体"/>
          <w:color w:val="auto"/>
          <w:sz w:val="24"/>
          <w:szCs w:val="24"/>
          <w:highlight w:val="none"/>
        </w:rPr>
        <w:t xml:space="preserve">18.1 工程保险</w:t>
      </w:r>
      <w:bookmarkEnd w:id="837"/>
      <w:r/>
      <w:bookmarkEnd w:id="838"/>
      <w:r/>
      <w:bookmarkEnd w:id="839"/>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关于工程保险的特别约定：</w:t>
      </w:r>
      <w:r>
        <w:rPr>
          <w:rFonts w:hint="eastAsia" w:ascii="宋体" w:hAnsi="宋体" w:cs="宋体"/>
          <w:color w:val="auto"/>
          <w:sz w:val="24"/>
          <w:szCs w:val="24"/>
          <w:highlight w:val="none"/>
          <w:u w:val="single"/>
        </w:rPr>
        <w:t xml:space="preserve">   </w:t>
      </w:r>
      <w:r>
        <w:rPr>
          <w:rFonts w:ascii="宋体" w:hAnsi="宋体" w:eastAsia="宋体" w:cs="宋体"/>
          <w:color w:val="auto"/>
          <w:sz w:val="24"/>
          <w:highlight w:val="none"/>
          <w:u w:val="single"/>
        </w:rPr>
        <w:t xml:space="preserve">承包人应投保建筑工程一切险和安装工程一切险，保险金额不低于合同总价，保险期限至工程竣工验收合格之日止；保险费用由承包人承担</w:t>
      </w:r>
      <w:r>
        <w:rPr>
          <w:rFonts w:ascii="宋体" w:hAnsi="宋体" w:eastAsia="宋体" w:cs="宋体"/>
          <w:color w:val="auto"/>
          <w:sz w:val="24"/>
          <w:highlight w:val="none"/>
        </w:rPr>
        <w:t xml:space="preserve">。</w:t>
      </w:r>
      <w:r/>
    </w:p>
    <w:p>
      <w:pPr>
        <w:ind w:firstLine="480"/>
        <w:spacing w:line="440" w:lineRule="exact"/>
        <w:rPr>
          <w:rFonts w:ascii="宋体" w:hAnsi="宋体" w:cs="宋体"/>
          <w:color w:val="auto"/>
          <w:sz w:val="24"/>
          <w:szCs w:val="24"/>
          <w:highlight w:val="none"/>
        </w:rPr>
        <w:outlineLvl w:val="2"/>
      </w:pPr>
      <w:r/>
      <w:bookmarkStart w:id="840" w:name="_Toc1714078037"/>
      <w:r/>
      <w:bookmarkStart w:id="841" w:name="_Toc1356197126"/>
      <w:r/>
      <w:bookmarkStart w:id="842" w:name="_Toc11083"/>
      <w:r>
        <w:rPr>
          <w:rFonts w:hint="eastAsia" w:ascii="宋体" w:hAnsi="宋体" w:cs="宋体"/>
          <w:color w:val="auto"/>
          <w:sz w:val="24"/>
          <w:szCs w:val="24"/>
          <w:highlight w:val="none"/>
        </w:rPr>
        <w:t xml:space="preserve">18.2 其他保险</w:t>
      </w:r>
      <w:bookmarkEnd w:id="840"/>
      <w:r/>
      <w:bookmarkEnd w:id="841"/>
      <w:r/>
      <w:bookmarkEnd w:id="842"/>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关于其他保险的约定：</w:t>
      </w:r>
      <w:r>
        <w:rPr>
          <w:rFonts w:ascii="宋体" w:hAnsi="宋体" w:eastAsia="宋体" w:cs="宋体"/>
          <w:color w:val="auto"/>
          <w:sz w:val="24"/>
          <w:highlight w:val="none"/>
          <w:u w:val="single"/>
        </w:rPr>
        <w:t xml:space="preserve">承包人应投保施工现场人员的工伤保险和第三者责任险，保险费用由承包人承担</w:t>
      </w:r>
      <w:r>
        <w:rPr>
          <w:rFonts w:ascii="宋体" w:hAnsi="宋体" w:eastAsia="宋体" w:cs="宋体"/>
          <w:color w:val="auto"/>
          <w:sz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承包人是否应为其施工设备等办理财产保险：</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outlineLvl w:val="2"/>
      </w:pPr>
      <w:r/>
      <w:bookmarkStart w:id="843" w:name="_Toc4543"/>
      <w:r/>
      <w:bookmarkStart w:id="844" w:name="_Toc221254894"/>
      <w:r/>
      <w:bookmarkStart w:id="845" w:name="_Toc23310917"/>
      <w:r>
        <w:rPr>
          <w:rFonts w:hint="eastAsia" w:ascii="宋体" w:hAnsi="宋体" w:cs="宋体"/>
          <w:color w:val="auto"/>
          <w:sz w:val="24"/>
          <w:szCs w:val="24"/>
          <w:highlight w:val="none"/>
        </w:rPr>
        <w:t xml:space="preserve">18.3 通知义务</w:t>
      </w:r>
      <w:bookmarkEnd w:id="843"/>
      <w:r/>
      <w:bookmarkEnd w:id="844"/>
      <w:r/>
      <w:bookmarkEnd w:id="845"/>
      <w:r/>
      <w:r/>
    </w:p>
    <w:p>
      <w:pPr>
        <w:ind w:firstLine="480"/>
        <w:rPr>
          <w:color w:val="auto"/>
          <w:highlight w:val="none"/>
          <w:u w:val="single"/>
        </w:rPr>
      </w:pPr>
      <w:r>
        <w:rPr>
          <w:rFonts w:hint="eastAsia" w:ascii="宋体" w:hAnsi="宋体" w:cs="宋体"/>
          <w:color w:val="auto"/>
          <w:sz w:val="24"/>
          <w:szCs w:val="24"/>
          <w:highlight w:val="none"/>
        </w:rPr>
        <w:t xml:space="preserve">关于变更保险合同时的通知义务的约定：</w:t>
      </w:r>
      <w:r>
        <w:rPr>
          <w:rFonts w:hint="eastAsia" w:ascii="宋体" w:hAnsi="宋体" w:cs="宋体"/>
          <w:color w:val="auto"/>
          <w:sz w:val="24"/>
          <w:szCs w:val="24"/>
          <w:highlight w:val="none"/>
          <w:u w:val="single"/>
        </w:rPr>
        <w:t xml:space="preserve"> </w:t>
      </w:r>
      <w:r>
        <w:rPr>
          <w:rFonts w:ascii="宋体" w:hAnsi="宋体" w:eastAsia="宋体" w:cs="宋体"/>
          <w:color w:val="auto"/>
          <w:sz w:val="24"/>
          <w:highlight w:val="none"/>
          <w:u w:val="single"/>
        </w:rPr>
        <w:t xml:space="preserve">承包人应提前7天书面通知发包人，经发包人同意后方可变更。</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r/>
    </w:p>
    <w:p>
      <w:pPr>
        <w:ind w:firstLine="480"/>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0"/>
        <w:jc w:val="left"/>
        <w:spacing w:line="440" w:lineRule="exact"/>
        <w:rPr>
          <w:rFonts w:hint="eastAsia" w:ascii="宋体" w:hAnsi="宋体" w:cs="宋体"/>
          <w:b w:val="0"/>
          <w:color w:val="auto"/>
          <w:sz w:val="24"/>
          <w:szCs w:val="24"/>
          <w:highlight w:val="none"/>
        </w:rPr>
      </w:pPr>
      <w:r/>
      <w:bookmarkStart w:id="846" w:name="_Toc226165635"/>
      <w:r/>
      <w:bookmarkStart w:id="847" w:name="_Toc417085405"/>
      <w:r>
        <w:rPr>
          <w:rFonts w:hint="eastAsia" w:ascii="宋体" w:hAnsi="宋体" w:cs="宋体"/>
          <w:b w:val="0"/>
          <w:color w:val="auto"/>
          <w:sz w:val="24"/>
          <w:szCs w:val="24"/>
          <w:highlight w:val="none"/>
        </w:rPr>
        <w:t xml:space="preserve">20. 争议解决</w:t>
      </w:r>
      <w:bookmarkEnd w:id="846"/>
      <w:r/>
      <w:bookmarkEnd w:id="847"/>
      <w:r/>
      <w:r/>
    </w:p>
    <w:p>
      <w:pPr>
        <w:ind w:firstLine="480"/>
        <w:spacing w:line="440" w:lineRule="exact"/>
        <w:rPr>
          <w:rFonts w:ascii="宋体" w:hAnsi="宋体" w:cs="宋体"/>
          <w:color w:val="auto"/>
          <w:sz w:val="24"/>
          <w:szCs w:val="24"/>
          <w:highlight w:val="none"/>
        </w:rPr>
        <w:outlineLvl w:val="2"/>
      </w:pPr>
      <w:r/>
      <w:bookmarkStart w:id="848" w:name="_Toc846612084"/>
      <w:r/>
      <w:bookmarkStart w:id="849" w:name="_Toc1731520220"/>
      <w:r/>
      <w:bookmarkStart w:id="850" w:name="_Toc4610"/>
      <w:r>
        <w:rPr>
          <w:rFonts w:hint="eastAsia" w:ascii="宋体" w:hAnsi="宋体" w:cs="宋体"/>
          <w:color w:val="auto"/>
          <w:sz w:val="24"/>
          <w:szCs w:val="24"/>
          <w:highlight w:val="none"/>
        </w:rPr>
        <w:t xml:space="preserve">20.1 争议评审</w:t>
      </w:r>
      <w:bookmarkEnd w:id="848"/>
      <w:r/>
      <w:bookmarkEnd w:id="849"/>
      <w:r/>
      <w:bookmarkEnd w:id="850"/>
      <w:r/>
      <w:r/>
    </w:p>
    <w:p>
      <w:pPr>
        <w:ind w:firstLine="9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合同当事人是否同意将工程争议提交争议评审小组决定：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bookmarkEnd w:id="804"/>
      <w:r/>
      <w:bookmarkEnd w:id="805"/>
      <w:r/>
      <w:bookmarkEnd w:id="806"/>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20.1.1 争议评审小组的确定</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关于评审机构的约定：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争议评审小组成员的确定：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选定争议评审员的期限：</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争议评审小组成员的报酬承担方式：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其他事项的约定：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20.1.2 争议评审小组的决定</w:t>
      </w:r>
      <w:r/>
    </w:p>
    <w:p>
      <w:pPr>
        <w:ind w:firstLine="480"/>
        <w:jc w:val="left"/>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合同当事人关于本项的约定：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outlineLvl w:val="2"/>
      </w:pPr>
      <w:r/>
      <w:bookmarkStart w:id="851" w:name="_Toc1638028047"/>
      <w:r/>
      <w:bookmarkStart w:id="852" w:name="_Toc30811"/>
      <w:r/>
      <w:bookmarkStart w:id="853" w:name="_Toc2061672555"/>
      <w:r>
        <w:rPr>
          <w:rFonts w:hint="eastAsia" w:ascii="宋体" w:hAnsi="宋体" w:cs="宋体"/>
          <w:color w:val="auto"/>
          <w:sz w:val="24"/>
          <w:szCs w:val="24"/>
          <w:highlight w:val="none"/>
        </w:rPr>
        <w:t xml:space="preserve">20.2 仲裁或诉讼</w:t>
      </w:r>
      <w:bookmarkEnd w:id="807"/>
      <w:r/>
      <w:bookmarkEnd w:id="851"/>
      <w:r/>
      <w:bookmarkEnd w:id="852"/>
      <w:r/>
      <w:bookmarkEnd w:id="853"/>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本款修改为：</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因合同及合同有关事项发生的争议，按下列第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仲裁委员会申请仲裁；</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（2）依法向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人民法院起诉。</w:t>
      </w:r>
      <w:bookmarkEnd w:id="808"/>
      <w:r/>
      <w:bookmarkEnd w:id="809"/>
      <w:r/>
      <w:bookmarkEnd w:id="810"/>
      <w:r/>
      <w:bookmarkEnd w:id="811"/>
      <w:r/>
      <w:bookmarkEnd w:id="812"/>
      <w:r/>
      <w:bookmarkEnd w:id="813"/>
      <w:r/>
      <w:r/>
    </w:p>
    <w:p>
      <w:pPr>
        <w:ind w:firstLine="480"/>
        <w:spacing w:line="440" w:lineRule="exact"/>
        <w:rPr>
          <w:rFonts w:ascii="宋体" w:hAnsi="宋体" w:cs="宋体"/>
          <w:color w:val="auto"/>
          <w:sz w:val="24"/>
          <w:szCs w:val="24"/>
          <w:highlight w:val="none"/>
        </w:rPr>
        <w:outlineLvl w:val="2"/>
      </w:pPr>
      <w:r/>
      <w:bookmarkStart w:id="854" w:name="_Toc452738762"/>
      <w:r/>
      <w:bookmarkStart w:id="855" w:name="_Toc6183"/>
      <w:r/>
      <w:bookmarkStart w:id="856" w:name="_Toc365353596"/>
      <w:r>
        <w:rPr>
          <w:rFonts w:hint="eastAsia" w:ascii="宋体" w:hAnsi="宋体" w:cs="宋体"/>
          <w:color w:val="auto"/>
          <w:sz w:val="24"/>
          <w:szCs w:val="24"/>
          <w:highlight w:val="none"/>
        </w:rPr>
        <w:t xml:space="preserve">20.3 通知送达</w:t>
      </w:r>
      <w:bookmarkEnd w:id="854"/>
      <w:r/>
      <w:bookmarkEnd w:id="855"/>
      <w:r/>
      <w:bookmarkEnd w:id="856"/>
      <w:r/>
      <w:r/>
    </w:p>
    <w:p>
      <w:pPr>
        <w:ind w:firstLine="480"/>
        <w:spacing w:line="440" w:lineRule="exact"/>
        <w:rPr>
          <w:rFonts w:ascii="宋体" w:hAnsi="宋体" w:cs="宋体"/>
          <w:color w:val="auto"/>
          <w:sz w:val="24"/>
          <w:szCs w:val="24"/>
          <w:highlight w:val="none"/>
        </w:rPr>
        <w:outlineLvl w:val="2"/>
      </w:pPr>
      <w:r/>
      <w:bookmarkStart w:id="857" w:name="_Toc1318438321"/>
      <w:r/>
      <w:bookmarkStart w:id="858" w:name="_Toc921481975"/>
      <w:r>
        <w:rPr>
          <w:rFonts w:hint="eastAsia" w:ascii="宋体" w:hAnsi="宋体" w:cs="宋体"/>
          <w:color w:val="auto"/>
          <w:sz w:val="24"/>
          <w:szCs w:val="24"/>
          <w:highlight w:val="none"/>
        </w:rPr>
        <w:t xml:space="preserve">本款补充：</w:t>
      </w:r>
      <w:bookmarkEnd w:id="857"/>
      <w:r/>
      <w:bookmarkEnd w:id="858"/>
      <w:r/>
      <w:bookmarkStart w:id="859" w:name="_Toc18712"/>
      <w:r/>
      <w:r/>
    </w:p>
    <w:p>
      <w:pPr>
        <w:pStyle w:val="1321"/>
        <w:ind w:left="0" w:firstLine="480"/>
        <w:rPr>
          <w:rFonts w:ascii="宋体" w:hAnsi="宋体" w:cs="宋体"/>
          <w:color w:val="auto"/>
          <w:sz w:val="24"/>
          <w:szCs w:val="24"/>
          <w:highlight w:val="none"/>
        </w:rPr>
      </w:pPr>
      <w:r/>
      <w:bookmarkStart w:id="860" w:name="_Toc626862138"/>
      <w:r/>
      <w:bookmarkStart w:id="861" w:name="_Toc1414635822"/>
      <w:r>
        <w:rPr>
          <w:rFonts w:hint="eastAsia" w:ascii="宋体" w:hAnsi="宋体" w:eastAsia="宋体" w:cs="宋体"/>
          <w:color w:val="auto"/>
          <w:sz w:val="24"/>
          <w:highlight w:val="none"/>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3天起视为已送达</w:t>
      </w:r>
      <w:r>
        <w:rPr>
          <w:rFonts w:hint="eastAsia" w:ascii="宋体" w:hAnsi="宋体" w:cs="宋体"/>
          <w:color w:val="auto"/>
          <w:sz w:val="24"/>
          <w:szCs w:val="24"/>
          <w:highlight w:val="none"/>
        </w:rPr>
        <w:t xml:space="preserve">。</w:t>
      </w:r>
      <w:bookmarkEnd w:id="860"/>
      <w:r/>
      <w:bookmarkEnd w:id="861"/>
      <w:r/>
      <w:r/>
    </w:p>
    <w:p>
      <w:pPr>
        <w:pStyle w:val="1321"/>
        <w:numPr>
          <w:ilvl w:val="-1"/>
          <w:numId w:val="0"/>
        </w:numPr>
        <w:ind w:left="0" w:right="0" w:firstLine="590"/>
        <w:jc w:val="both"/>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补充条款</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一、工程质量应符合国家现行施工规范标准，并按照徐州市园林局2009年发布的《徐州市园林绿化工程植物栽植技术规程》组织栽植施工。</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1、符合《工程施工质量验收规范》标准；</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2、符合国家、江苏省、徐州市有关绿化工程的规范、标准；</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3、符合设计图纸的规定、要求；</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4、缺陷责任期严格按照</w:t>
      </w:r>
      <w:bookmarkStart w:id="862" w:name="_Hlk68348409"/>
      <w:r>
        <w:rPr>
          <w:rFonts w:hint="default" w:ascii="宋体" w:hAnsi="宋体" w:cs="宋体"/>
          <w:color w:val="auto"/>
          <w:sz w:val="24"/>
          <w:szCs w:val="24"/>
          <w:highlight w:val="none"/>
        </w:rPr>
        <w:t xml:space="preserve">徐州市地方标准徐园[2015]75号《园林绿化养护期考核办法》</w:t>
      </w:r>
      <w:bookmarkEnd w:id="862"/>
      <w:r>
        <w:rPr>
          <w:rFonts w:hint="default" w:ascii="宋体" w:hAnsi="宋体" w:cs="宋体"/>
          <w:color w:val="auto"/>
          <w:sz w:val="24"/>
          <w:szCs w:val="24"/>
          <w:highlight w:val="none"/>
        </w:rPr>
        <w:t xml:space="preserve">进行养护管理。在养护期内一直保持良好的绿化效果，符合直至交接；</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5、严格工程质量标准；出现工程质量问题时，除全部返工外，同比例扣罚工程款；</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6、绿化成活率：乔木95%以上，其余苗木90%以上；每降低一个百分点，扣罚工程款的 5% ；</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7、施工时应根据实际情况进行必要的土壤改良、施肥等，种植土应不低于工程量清单内的配比质量；</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8、安全、文明施工，做好扬尘治理工作，服从徐州市环境综合整治工作要求和管理。</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种植土要求：</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1.配比：优质园土、粗粒河沙、营养介质，按照7:1:2进行配比。</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2.营养介质：</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2.1增施化学酸性废料过磷酸钙，降低pH值，并提高树木的抗性。施入适当的矿物性化肥，补充土壤中氮、磷、钾、铁等元素的含量。</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2.2施用有机质腐叶土、松针、木屑、树皮、泥炭等，增加土壤有机物质，达到土壤改良的目的。</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绿地种植土质要求：</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适宜植物生长的最佳土壤（体积比）为：矿物质45%、有机质5%、空气20%、水30%。土壤团粒最佳为1~5mm。要求土壤酸碱适中，排水良好，疏松肥沃，不含建筑和生活垃圾，且无毒害物质。土壤改良需因地制宜，现简要罗列下述土壤改良范例，仅供施工单位参考（若与当地相关规范、标准存在差异须以当地规范为准作为施工依据）：</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1、如果现场土壤粘性过高，建议加20%（或依实际定量）细河沙及泥碳土改造，混合均匀，以利排水透气。</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2、对保湿性差、养分少的土壤，建议可在40cm厚客土中加入珍珠岩粉等40L/平方米，固体复合肥料0.25kg/平方米。</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3、排水较差的地方，建议可在底层铺约20cm厚的珍珠岩，再打入3-4根珍珠岩填充的通风管。</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4、所植苗木均带冠，根系完整、树杆通直；树形均匀、美观、丰满、无病虫害和缺损，球类植物均是精球（成品球），不脱脚；</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二、对工程管理的特殊要求条款</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1、承包人不得拖欠工人工资，如发生因拖欠工资上访、闹事等情况，发包人有权采取必要的措施来保证自身权益，承包人不得提出异议。</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2、承包人不得虚报工程量和决算。</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3、农忙期间不得停工。</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三、廉洁管理条例</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承包人不得对发包人及监理单位的工作人员有请吃、送礼行为。如有违反除按有关法律规定送有关国家机关处理外，发包人将按下列标准扣除中标人应得的工程款。工程竣工结算后被发现的，发包人有权向承包人按下列标准的金额索赔，这种索赔是无时限的。</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1、宴请或以其它方式提供消费的，按 5000 元／次。</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2、所送礼品、现金、有价证券等，价值在 5000 元以下的，按 50000 元／次。</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3、所送礼品、现金、有价证券等，价值在 5000 元以上的，按合同价的 10%／次。</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四、对工程养护管理的要求条款:</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1、负责工程范围内所有环境保护工作，组织一日二巡，加强保安、保洁工作，尤其是节假日保安、保洁工作。</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2、保护工程范围内所有设施，遇突发情况要及时通知有关部门，并保护现场。</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3、如乙方不能按市有关绿地养护标准进行绿地管理，甲方有权委托专业养护队伍进场管理，所产生的一切费用乙方负责承担。</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五、其他：</w:t>
      </w:r>
      <w:r/>
    </w:p>
    <w:p>
      <w:pPr>
        <w:pStyle w:val="1321"/>
        <w:ind w:left="0" w:firstLine="720"/>
        <w:spacing w:line="440" w:lineRule="exact"/>
        <w:rPr>
          <w:rFonts w:hint="eastAsia" w:ascii="宋体" w:hAnsi="宋体" w:cs="宋体"/>
          <w:color w:val="auto"/>
          <w:sz w:val="24"/>
          <w:highlight w:val="none"/>
        </w:rPr>
      </w:pPr>
      <w:r>
        <w:rPr>
          <w:rFonts w:hint="default" w:ascii="宋体" w:hAnsi="宋体" w:cs="宋体"/>
          <w:color w:val="auto"/>
          <w:sz w:val="24"/>
          <w:szCs w:val="24"/>
          <w:highlight w:val="none"/>
        </w:rPr>
        <w:t xml:space="preserve">1、</w:t>
      </w:r>
      <w:r>
        <w:rPr>
          <w:rFonts w:hint="eastAsia" w:ascii="宋体" w:hAnsi="宋体" w:eastAsia="宋体" w:cs="宋体"/>
          <w:color w:val="auto"/>
          <w:sz w:val="24"/>
          <w:highlight w:val="none"/>
        </w:rPr>
        <w:t xml:space="preserve">工程竣工验收合格之日起计算质保期、养护期（土建质保期二年，绿化养护期为6个月），包括土建及设施维修、苗木养护、施工范围内的保安、保洁等。移交验收时已死亡的苗木，直接扣除相应工程款，由招标单位视情况另行安排补植工作。</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2、最终工程建设费用的确认：以双方认可的工程结算价为准。</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3、工程定额执行徐州市、江苏省和国家有关定额和取费标准的现行规定。</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4、本合同履行期内，承包人与第三方产生的债权、债务均由承包人自行解决，与发包人无关。</w:t>
      </w:r>
      <w:r/>
    </w:p>
    <w:p>
      <w:pPr>
        <w:pStyle w:val="1321"/>
        <w:ind w:left="0" w:right="0" w:firstLine="590"/>
        <w:jc w:val="both"/>
        <w:spacing w:before="0" w:after="0" w:line="44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5、</w:t>
      </w:r>
      <w:r>
        <w:rPr>
          <w:rFonts w:hint="eastAsia" w:ascii="宋体" w:hAnsi="宋体" w:cs="宋体"/>
          <w:color w:val="auto"/>
          <w:highlight w:val="none"/>
        </w:rPr>
        <w:t xml:space="preserve">《江苏省仿古建筑与园林工程定额》（2007版）</w:t>
      </w:r>
      <w:r>
        <w:rPr>
          <w:rFonts w:hint="eastAsia" w:ascii="宋体" w:hAnsi="宋体" w:cs="宋体"/>
          <w:color w:val="auto"/>
          <w:highlight w:val="none"/>
          <w:lang w:val="en-US" w:eastAsia="zh-CN"/>
        </w:rPr>
        <w:t xml:space="preserve">;</w:t>
      </w:r>
      <w:r>
        <w:rPr>
          <w:rFonts w:hint="default" w:ascii="宋体" w:hAnsi="宋体" w:cs="宋体"/>
          <w:color w:val="auto"/>
          <w:sz w:val="24"/>
          <w:szCs w:val="24"/>
          <w:highlight w:val="none"/>
        </w:rPr>
        <w:t xml:space="preserve">材料价格执行《徐州市工程造价信息》及市场价。</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6、养护费执行《</w:t>
      </w:r>
      <w:r>
        <w:rPr>
          <w:rFonts w:hint="eastAsia" w:ascii="宋体" w:hAnsi="宋体" w:cs="宋体"/>
          <w:color w:val="auto"/>
          <w:highlight w:val="none"/>
        </w:rPr>
        <w:t xml:space="preserve">园林绿化工程工程量计算规范》GB50858-20</w:t>
      </w:r>
      <w:r>
        <w:rPr>
          <w:rFonts w:hint="eastAsia" w:ascii="宋体" w:hAnsi="宋体" w:cs="宋体"/>
          <w:color w:val="auto"/>
          <w:highlight w:val="none"/>
          <w:lang w:val="en-US" w:eastAsia="zh-CN"/>
        </w:rPr>
        <w:t xml:space="preserve">24</w:t>
      </w:r>
      <w:r>
        <w:rPr>
          <w:rFonts w:hint="default" w:ascii="宋体" w:hAnsi="宋体" w:cs="宋体"/>
          <w:color w:val="auto"/>
          <w:sz w:val="24"/>
          <w:szCs w:val="24"/>
          <w:highlight w:val="none"/>
        </w:rPr>
        <w:t xml:space="preserve">。</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7、土方工程（含清杂、回填）执行徐州市市政定额。</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8、绿化部分：绿化苗木的综合单价应包括树穴开挖、苗木种植、苗木购置、运输、装卸、施肥、浇水、树木支撑、缠草绳、病虫害防治、</w:t>
      </w:r>
      <w:r>
        <w:rPr>
          <w:rFonts w:hint="eastAsia" w:ascii="宋体" w:hAnsi="宋体" w:cs="宋体"/>
          <w:color w:val="auto"/>
          <w:sz w:val="24"/>
          <w:szCs w:val="24"/>
          <w:highlight w:val="none"/>
          <w:lang w:val="en-US" w:eastAsia="zh-CN"/>
        </w:rPr>
        <w:t xml:space="preserve">6个月</w:t>
      </w:r>
      <w:r>
        <w:rPr>
          <w:rFonts w:hint="eastAsia" w:ascii="宋体" w:hAnsi="宋体" w:cs="宋体"/>
          <w:color w:val="auto"/>
          <w:sz w:val="24"/>
          <w:szCs w:val="24"/>
          <w:highlight w:val="none"/>
          <w:lang w:eastAsia="zh-CN"/>
        </w:rPr>
        <w:t xml:space="preserve">一级乙类养护</w:t>
      </w:r>
      <w:r>
        <w:rPr>
          <w:rFonts w:hint="default" w:ascii="宋体" w:hAnsi="宋体" w:cs="宋体"/>
          <w:color w:val="auto"/>
          <w:sz w:val="24"/>
          <w:szCs w:val="24"/>
          <w:highlight w:val="none"/>
        </w:rPr>
        <w:t xml:space="preserve">费（包括保洁、除草、浇水、施肥、草坪树木修剪造型、秩序管理等养护管理全部内容）等的人工费、材料费、机械费、管理费及利润等费用。</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原有绿地树木配置调整等图纸及建设方要求的工程施工全部内容的全部费用。</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10、承包人养护期内执行徐州市地方标准进行养护管理，接受发包方考核。如达不到养护要求，发包方有权收回承包方养护权，并按工程造价总额的 20%扣除承包方工程款用于绿化养护。</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11、随时更换死亡树木及植被，如更换不及时，发包人有权组织更换，其发生费用由承包方承担。死亡苗木补植后养护期顺延一年。</w:t>
      </w:r>
      <w:r/>
    </w:p>
    <w:p>
      <w:pPr>
        <w:pStyle w:val="1321"/>
        <w:ind w:left="0" w:firstLine="720"/>
        <w:spacing w:line="440" w:lineRule="exact"/>
        <w:rPr>
          <w:rFonts w:hint="eastAsia" w:ascii="宋体" w:hAnsi="宋体" w:cs="宋体"/>
          <w:color w:val="auto"/>
          <w:sz w:val="24"/>
          <w:highlight w:val="none"/>
        </w:rPr>
      </w:pPr>
      <w:r>
        <w:rPr>
          <w:rFonts w:hint="default" w:ascii="宋体" w:hAnsi="宋体" w:cs="宋体"/>
          <w:color w:val="auto"/>
          <w:sz w:val="24"/>
          <w:szCs w:val="24"/>
          <w:highlight w:val="none"/>
        </w:rPr>
        <w:t xml:space="preserve">12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且每发生一次，承包人应向发包人支付合同价2%的违约金。</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13、按照《徐州市主城区城建重点工程苗木移植办法》的相关规定和要求，将有部分其它市城建重点工程移植苗木用于本工程替换清单内苗木。此部分费用计移植、运输、栽植、养护管理费用，不计主材费用，并扣减相应清单工程量。</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14、给排水、照明等非绿化的专业工程，须由有相应资质专业队伍组织实施。</w:t>
      </w:r>
      <w:r/>
    </w:p>
    <w:p>
      <w:pPr>
        <w:pStyle w:val="1321"/>
        <w:ind w:left="0" w:firstLine="480"/>
        <w:spacing w:line="440" w:lineRule="exact"/>
        <w:rPr>
          <w:rFonts w:hint="eastAsia" w:ascii="宋体" w:hAnsi="宋体" w:cs="宋体"/>
          <w:color w:val="auto"/>
          <w:sz w:val="24"/>
          <w:highlight w:val="none"/>
        </w:rPr>
      </w:pPr>
      <w:r>
        <w:rPr>
          <w:rFonts w:hint="default"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default" w:ascii="宋体" w:hAnsi="宋体" w:cs="宋体"/>
          <w:color w:val="auto"/>
          <w:sz w:val="24"/>
          <w:szCs w:val="24"/>
          <w:highlight w:val="none"/>
        </w:rPr>
        <w:t xml:space="preserve">、</w:t>
      </w:r>
      <w:r>
        <w:rPr>
          <w:rFonts w:hint="eastAsia" w:ascii="宋体" w:hAnsi="宋体" w:eastAsia="宋体" w:cs="宋体"/>
          <w:color w:val="auto"/>
          <w:sz w:val="24"/>
          <w:highlight w:val="none"/>
        </w:rPr>
        <w:t xml:space="preserve">根据徐建重办[2015]20号文件要求，为防止工程结算高估冒算，工程审减额超过送审额7%（不含7%）的，超出送审额7%的部分按5%计收处罚费用。该处罚费用由承包人在收到审计结论后10个工作日内直接支付给发包人；逾期未支付的，发包人有权从应付未付工程款中直接扣除。</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rPr>
        <w:t xml:space="preserve">、投标人应认真勘察现场、核对施工图纸及招标工程量清单，如发现疑问或不一致，应规定的异议提出之日前提出答疑。如未提出，中标后须完成工程量清单及施工图内的全部内容，并不得增加中标费用。</w:t>
      </w:r>
      <w:r/>
    </w:p>
    <w:p>
      <w:pPr>
        <w:pStyle w:val="1321"/>
        <w:ind w:left="0" w:right="0" w:firstLine="590"/>
        <w:jc w:val="both"/>
        <w:spacing w:before="0" w:after="0" w:line="440" w:lineRule="exact"/>
        <w:rPr>
          <w:rFonts w:ascii="宋体" w:hAnsi="宋体" w:cs="宋体"/>
          <w:color w:val="auto"/>
          <w:sz w:val="24"/>
          <w:szCs w:val="24"/>
          <w:highlight w:val="none"/>
        </w:rPr>
      </w:pPr>
      <w:r>
        <w:rPr>
          <w:rFonts w:hint="default"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default" w:ascii="宋体" w:hAnsi="宋体" w:cs="宋体"/>
          <w:color w:val="auto"/>
          <w:sz w:val="24"/>
          <w:szCs w:val="24"/>
          <w:highlight w:val="none"/>
        </w:rPr>
        <w:t xml:space="preserve">、中标人在中标公示结束后5天（日历天）内进场，否则发包人有权扣减承包人中标价5%的违约金。</w:t>
      </w:r>
      <w:r/>
    </w:p>
    <w:p>
      <w:pPr>
        <w:pStyle w:val="1321"/>
        <w:ind w:firstLine="590"/>
        <w:rPr>
          <w:rFonts w:hint="eastAsia" w:ascii="宋体" w:hAnsi="宋体" w:cs="宋体"/>
          <w:color w:val="auto"/>
          <w:sz w:val="24"/>
          <w:szCs w:val="24"/>
          <w:highlight w:val="none"/>
        </w:rPr>
      </w:pPr>
      <w:r/>
      <w:bookmarkStart w:id="863" w:name="_Toc465626090"/>
      <w:r/>
      <w:bookmarkStart w:id="864" w:name="_Toc372503870"/>
      <w:r/>
      <w:bookmarkStart w:id="865" w:name="_Toc1508364105"/>
      <w:r/>
      <w:r/>
    </w:p>
    <w:p>
      <w:pPr>
        <w:spacing w:line="440" w:lineRule="exact"/>
        <w:rPr>
          <w:rFonts w:ascii="宋体" w:hAnsi="宋体" w:cs="宋体"/>
          <w:color w:val="auto"/>
          <w:sz w:val="24"/>
          <w:szCs w:val="24"/>
          <w:highlight w:val="none"/>
        </w:rPr>
        <w:outlineLvl w:val="1"/>
      </w:pPr>
      <w:r>
        <w:rPr>
          <w:rFonts w:ascii="宋体" w:hAnsi="宋体" w:cs="宋体"/>
          <w:color w:val="auto"/>
          <w:sz w:val="24"/>
          <w:szCs w:val="24"/>
          <w:highlight w:val="none"/>
        </w:rPr>
      </w:r>
      <w:r/>
    </w:p>
    <w:p>
      <w:pPr>
        <w:pStyle w:val="1001"/>
        <w:rPr>
          <w:rFonts w:ascii="宋体" w:hAnsi="宋体" w:cs="宋体"/>
          <w:color w:val="auto"/>
          <w:sz w:val="24"/>
          <w:szCs w:val="24"/>
          <w:highlight w:val="none"/>
        </w:rPr>
      </w:pPr>
      <w:r>
        <w:rPr>
          <w:rFonts w:ascii="宋体" w:hAnsi="宋体" w:cs="宋体"/>
          <w:color w:val="auto"/>
          <w:sz w:val="24"/>
          <w:szCs w:val="24"/>
          <w:highlight w:val="none"/>
        </w:rPr>
      </w:r>
      <w:r/>
    </w:p>
    <w:p>
      <w:pPr>
        <w:pStyle w:val="1002"/>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spacing w:line="440" w:lineRule="exact"/>
        <w:rPr>
          <w:rFonts w:ascii="宋体" w:hAnsi="宋体" w:cs="宋体"/>
          <w:color w:val="auto"/>
          <w:sz w:val="24"/>
          <w:szCs w:val="24"/>
          <w:highlight w:val="none"/>
        </w:rPr>
        <w:outlineLvl w:val="1"/>
      </w:pPr>
      <w:r>
        <w:rPr>
          <w:highlight w:val="none"/>
        </w:rPr>
      </w:r>
      <w:r>
        <w:rPr>
          <w:highlight w:val="none"/>
        </w:rPr>
      </w:r>
      <w:r/>
    </w:p>
    <w:p>
      <w:pPr>
        <w:spacing w:line="440" w:lineRule="exact"/>
        <w:rPr>
          <w:highlight w:val="none"/>
        </w:rPr>
        <w:outlineLvl w:val="1"/>
      </w:pPr>
      <w:r>
        <w:rPr>
          <w:rFonts w:hint="eastAsia" w:ascii="宋体" w:hAnsi="宋体" w:cs="宋体"/>
          <w:color w:val="auto"/>
          <w:sz w:val="24"/>
          <w:szCs w:val="24"/>
          <w:highlight w:val="none"/>
        </w:rPr>
        <w:t xml:space="preserve">附件1：</w:t>
      </w:r>
      <w:bookmarkEnd w:id="863"/>
      <w:r/>
      <w:bookmarkEnd w:id="864"/>
      <w:r/>
      <w:bookmarkEnd w:id="865"/>
      <w:r/>
      <w:r/>
    </w:p>
    <w:p>
      <w:pPr>
        <w:jc w:val="center"/>
        <w:spacing w:line="440" w:lineRule="exact"/>
        <w:rPr>
          <w:rFonts w:ascii="宋体" w:hAnsi="宋体" w:cs="宋体"/>
          <w:color w:val="auto"/>
          <w:sz w:val="24"/>
          <w:szCs w:val="24"/>
          <w:highlight w:val="none"/>
        </w:rPr>
        <w:outlineLvl w:val="1"/>
      </w:pPr>
      <w:r/>
      <w:bookmarkStart w:id="866" w:name="_Toc290402072"/>
      <w:r/>
      <w:bookmarkStart w:id="867" w:name="_Toc30667"/>
      <w:r/>
      <w:bookmarkStart w:id="868" w:name="_Toc1334624912"/>
      <w:r/>
      <w:bookmarkStart w:id="869" w:name="_Toc19812"/>
      <w:r/>
      <w:bookmarkStart w:id="870" w:name="_Toc25532"/>
      <w:r/>
      <w:bookmarkStart w:id="871" w:name="_Toc8135"/>
      <w:r/>
      <w:bookmarkStart w:id="872" w:name="_Toc26207"/>
      <w:r/>
      <w:bookmarkStart w:id="873" w:name="_Toc24448"/>
      <w:r>
        <w:rPr>
          <w:rFonts w:hint="eastAsia" w:ascii="宋体" w:hAnsi="宋体" w:cs="宋体"/>
          <w:color w:val="auto"/>
          <w:sz w:val="24"/>
          <w:szCs w:val="24"/>
          <w:highlight w:val="none"/>
        </w:rPr>
        <w:t xml:space="preserve">承包人承揽工程项目一览表</w:t>
      </w:r>
      <w:bookmarkEnd w:id="866"/>
      <w:r/>
      <w:bookmarkEnd w:id="867"/>
      <w:r/>
      <w:bookmarkEnd w:id="868"/>
      <w:r/>
      <w:bookmarkEnd w:id="869"/>
      <w:r/>
      <w:bookmarkEnd w:id="870"/>
      <w:r/>
      <w:bookmarkEnd w:id="871"/>
      <w:r/>
      <w:bookmarkEnd w:id="872"/>
      <w:r/>
      <w:bookmarkEnd w:id="873"/>
      <w:r/>
      <w:r/>
    </w:p>
    <w:tbl>
      <w:tblPr>
        <w:tblStyle w:val="964"/>
        <w:tblW w:w="879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34"/>
        <w:gridCol w:w="1383"/>
        <w:gridCol w:w="1215"/>
        <w:gridCol w:w="1660"/>
        <w:gridCol w:w="1570"/>
        <w:gridCol w:w="1230"/>
      </w:tblGrid>
      <w:tr>
        <w:trPr>
          <w:jc w:val="center"/>
          <w:trHeight w:val="567"/>
        </w:trPr>
        <w:tc>
          <w:tcPr>
            <w:tcBorders>
              <w:top w:val="single" w:color="auto" w:sz="12" w:space="0"/>
              <w:bottom w:val="single" w:color="auto" w:sz="4" w:space="0"/>
              <w:right w:val="single" w:color="auto" w:sz="4" w:space="0"/>
            </w:tcBorders>
            <w:tcW w:w="173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单位工程名称</w:t>
            </w:r>
            <w:r/>
          </w:p>
        </w:tc>
        <w:tc>
          <w:tcPr>
            <w:tcBorders>
              <w:top w:val="single" w:color="auto" w:sz="12" w:space="0"/>
              <w:left w:val="single" w:color="auto" w:sz="4" w:space="0"/>
              <w:bottom w:val="single" w:color="auto" w:sz="4" w:space="0"/>
              <w:right w:val="single" w:color="auto" w:sz="4" w:space="0"/>
            </w:tcBorders>
            <w:tcW w:w="1383"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建设规模</w:t>
            </w:r>
            <w:r/>
          </w:p>
        </w:tc>
        <w:tc>
          <w:tcPr>
            <w:tcBorders>
              <w:top w:val="single" w:color="auto" w:sz="12" w:space="0"/>
              <w:left w:val="single" w:color="auto" w:sz="4" w:space="0"/>
              <w:bottom w:val="single" w:color="auto" w:sz="4" w:space="0"/>
              <w:right w:val="single" w:color="auto" w:sz="4" w:space="0"/>
            </w:tcBorders>
            <w:tcW w:w="121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主要内容</w:t>
            </w:r>
            <w:r/>
          </w:p>
        </w:tc>
        <w:tc>
          <w:tcPr>
            <w:tcBorders>
              <w:top w:val="single" w:color="auto" w:sz="12" w:space="0"/>
              <w:left w:val="single" w:color="auto" w:sz="4" w:space="0"/>
              <w:bottom w:val="single" w:color="auto" w:sz="4" w:space="0"/>
              <w:right w:val="single" w:color="auto" w:sz="4" w:space="0"/>
            </w:tcBorders>
            <w:tcW w:w="166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合同价格（元）</w:t>
            </w:r>
            <w:r/>
          </w:p>
        </w:tc>
        <w:tc>
          <w:tcPr>
            <w:tcBorders>
              <w:top w:val="single" w:color="auto" w:sz="12" w:space="0"/>
              <w:left w:val="single" w:color="auto" w:sz="4" w:space="0"/>
              <w:bottom w:val="single" w:color="auto" w:sz="4" w:space="0"/>
              <w:right w:val="single" w:color="auto" w:sz="4" w:space="0"/>
            </w:tcBorders>
            <w:tcW w:w="157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开工日期</w:t>
            </w:r>
            <w:r/>
          </w:p>
        </w:tc>
        <w:tc>
          <w:tcPr>
            <w:tcBorders>
              <w:top w:val="single" w:color="auto" w:sz="12" w:space="0"/>
              <w:left w:val="single" w:color="auto" w:sz="4" w:space="0"/>
              <w:bottom w:val="single" w:color="auto" w:sz="4" w:space="0"/>
            </w:tcBorders>
            <w:tcW w:w="12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竣工日期</w:t>
            </w:r>
            <w:r/>
          </w:p>
        </w:tc>
      </w:tr>
      <w:tr>
        <w:trPr>
          <w:jc w:val="center"/>
          <w:trHeight w:val="567"/>
        </w:trPr>
        <w:tc>
          <w:tcPr>
            <w:tcBorders>
              <w:top w:val="single" w:color="auto" w:sz="4" w:space="0"/>
              <w:bottom w:val="single" w:color="auto" w:sz="4" w:space="0"/>
              <w:right w:val="single" w:color="auto" w:sz="4" w:space="0"/>
            </w:tcBorders>
            <w:tcW w:w="173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12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Borders>
              <w:top w:val="single" w:color="auto" w:sz="4" w:space="0"/>
              <w:bottom w:val="single" w:color="auto" w:sz="4" w:space="0"/>
              <w:right w:val="single" w:color="auto" w:sz="4" w:space="0"/>
            </w:tcBorders>
            <w:tcW w:w="173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12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Borders>
              <w:top w:val="single" w:color="auto" w:sz="4" w:space="0"/>
              <w:bottom w:val="single" w:color="auto" w:sz="4" w:space="0"/>
              <w:right w:val="single" w:color="auto" w:sz="4" w:space="0"/>
            </w:tcBorders>
            <w:tcW w:w="173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12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Borders>
              <w:top w:val="single" w:color="auto" w:sz="4" w:space="0"/>
              <w:bottom w:val="single" w:color="auto" w:sz="4" w:space="0"/>
              <w:right w:val="single" w:color="auto" w:sz="4" w:space="0"/>
            </w:tcBorders>
            <w:tcW w:w="173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12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Borders>
              <w:top w:val="single" w:color="auto" w:sz="4" w:space="0"/>
              <w:bottom w:val="single" w:color="auto" w:sz="4" w:space="0"/>
              <w:right w:val="single" w:color="auto" w:sz="4" w:space="0"/>
            </w:tcBorders>
            <w:tcW w:w="173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12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Borders>
              <w:top w:val="single" w:color="auto" w:sz="4" w:space="0"/>
              <w:bottom w:val="single" w:color="auto" w:sz="4" w:space="0"/>
              <w:right w:val="single" w:color="auto" w:sz="4" w:space="0"/>
            </w:tcBorders>
            <w:tcW w:w="173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12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Borders>
              <w:top w:val="single" w:color="auto" w:sz="4" w:space="0"/>
              <w:bottom w:val="single" w:color="auto" w:sz="4" w:space="0"/>
              <w:right w:val="single" w:color="auto" w:sz="4" w:space="0"/>
            </w:tcBorders>
            <w:tcW w:w="173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12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Borders>
              <w:top w:val="single" w:color="auto" w:sz="4" w:space="0"/>
              <w:bottom w:val="single" w:color="auto" w:sz="4" w:space="0"/>
              <w:right w:val="single" w:color="auto" w:sz="4" w:space="0"/>
            </w:tcBorders>
            <w:tcW w:w="173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12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Borders>
              <w:top w:val="single" w:color="auto" w:sz="4" w:space="0"/>
              <w:bottom w:val="single" w:color="auto" w:sz="4" w:space="0"/>
              <w:right w:val="single" w:color="auto" w:sz="4" w:space="0"/>
            </w:tcBorders>
            <w:tcW w:w="173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12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40" w:lineRule="exact"/>
        <w:rPr>
          <w:rFonts w:ascii="宋体" w:hAnsi="宋体" w:cs="宋体"/>
          <w:color w:val="auto"/>
          <w:sz w:val="24"/>
          <w:szCs w:val="24"/>
          <w:highlight w:val="none"/>
        </w:rPr>
        <w:outlineLvl w:val="1"/>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sectPr>
          <w:footnotePr/>
          <w:endnotePr/>
          <w:type w:val="nextPage"/>
          <w:pgSz w:w="11906" w:h="16838" w:orient="portrait"/>
          <w:pgMar w:top="2098" w:right="1749" w:bottom="1984" w:left="1757" w:header="851" w:footer="992" w:gutter="0"/>
          <w:cols w:num="1" w:sep="0" w:space="0" w:equalWidth="1"/>
          <w:docGrid w:linePitch="360"/>
          <w:titlePg/>
        </w:sect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outlineLvl w:val="1"/>
      </w:pPr>
      <w:r/>
      <w:bookmarkStart w:id="874" w:name="_Toc87754172"/>
      <w:r/>
      <w:bookmarkStart w:id="875" w:name="_Toc48854864"/>
      <w:r/>
      <w:bookmarkStart w:id="876" w:name="_Toc381252179"/>
      <w:r>
        <w:rPr>
          <w:rFonts w:hint="eastAsia" w:ascii="宋体" w:hAnsi="宋体" w:cs="宋体"/>
          <w:color w:val="auto"/>
          <w:sz w:val="24"/>
          <w:szCs w:val="24"/>
          <w:highlight w:val="none"/>
        </w:rPr>
        <w:t xml:space="preserve">附件2：</w:t>
      </w:r>
      <w:bookmarkEnd w:id="874"/>
      <w:r/>
      <w:bookmarkEnd w:id="875"/>
      <w:r/>
      <w:bookmarkEnd w:id="876"/>
      <w:r/>
      <w:r/>
    </w:p>
    <w:p>
      <w:pPr>
        <w:jc w:val="center"/>
        <w:spacing w:line="440" w:lineRule="exact"/>
        <w:rPr>
          <w:rFonts w:ascii="宋体" w:hAnsi="宋体" w:cs="宋体"/>
          <w:color w:val="auto"/>
          <w:sz w:val="24"/>
          <w:szCs w:val="24"/>
          <w:highlight w:val="none"/>
        </w:rPr>
        <w:outlineLvl w:val="1"/>
      </w:pPr>
      <w:r/>
      <w:bookmarkStart w:id="877" w:name="_Toc32548"/>
      <w:r/>
      <w:bookmarkStart w:id="878" w:name="_Toc1905339115"/>
      <w:r/>
      <w:bookmarkStart w:id="879" w:name="_Toc5927"/>
      <w:r/>
      <w:bookmarkStart w:id="880" w:name="_Toc1215922451"/>
      <w:r/>
      <w:bookmarkStart w:id="881" w:name="_Toc21439"/>
      <w:r/>
      <w:bookmarkStart w:id="882" w:name="_Toc24383"/>
      <w:r>
        <w:rPr>
          <w:rFonts w:hint="eastAsia" w:ascii="宋体" w:hAnsi="宋体" w:cs="宋体"/>
          <w:color w:val="auto"/>
          <w:sz w:val="24"/>
          <w:szCs w:val="24"/>
          <w:highlight w:val="none"/>
        </w:rPr>
        <w:t xml:space="preserve">现状树木一览表</w:t>
      </w:r>
      <w:bookmarkEnd w:id="877"/>
      <w:r/>
      <w:bookmarkEnd w:id="878"/>
      <w:r/>
      <w:bookmarkEnd w:id="879"/>
      <w:r/>
      <w:bookmarkEnd w:id="880"/>
      <w:r/>
      <w:bookmarkEnd w:id="881"/>
      <w:r/>
      <w:bookmarkEnd w:id="882"/>
      <w:r/>
      <w:r/>
    </w:p>
    <w:tbl>
      <w:tblPr>
        <w:tblStyle w:val="964"/>
        <w:tblpPr w:horzAnchor="page" w:tblpX="1487" w:vertAnchor="text" w:tblpY="20" w:leftFromText="180" w:topFromText="0" w:rightFromText="180" w:bottomFromText="0"/>
        <w:tblW w:w="797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155"/>
        <w:gridCol w:w="904"/>
        <w:gridCol w:w="830"/>
        <w:gridCol w:w="740"/>
        <w:gridCol w:w="874"/>
        <w:gridCol w:w="1038"/>
        <w:gridCol w:w="1451"/>
        <w:gridCol w:w="978"/>
      </w:tblGrid>
      <w:tr>
        <w:trPr>
          <w:trHeight w:val="845"/>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树木名称</w:t>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规格</w:t>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生长情况</w:t>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是否古树名木</w:t>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处置情况</w:t>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605"/>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3"/>
        </w:trPr>
        <w:tc>
          <w:tcPr>
            <w:tcW w:w="1155"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0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3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4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3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51"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40" w:lineRule="exact"/>
        <w:rPr>
          <w:rFonts w:ascii="宋体" w:hAnsi="宋体" w:cs="宋体"/>
          <w:color w:val="auto"/>
          <w:sz w:val="24"/>
          <w:szCs w:val="24"/>
          <w:highlight w:val="none"/>
        </w:rPr>
        <w:sectPr>
          <w:footnotePr/>
          <w:endnotePr/>
          <w:type w:val="nextPage"/>
          <w:pgSz w:w="11906" w:h="16838" w:orient="portrait"/>
          <w:pgMar w:top="1531" w:right="1757" w:bottom="1531" w:left="1757" w:header="851" w:footer="992" w:gutter="0"/>
          <w:cols w:num="1" w:sep="0" w:space="0" w:equalWidth="1"/>
          <w:docGrid w:linePitch="360"/>
        </w:sectPr>
        <w:outlineLvl w:val="1"/>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outlineLvl w:val="1"/>
      </w:pPr>
      <w:r/>
      <w:bookmarkStart w:id="883" w:name="_Toc935379669"/>
      <w:r/>
      <w:bookmarkStart w:id="884" w:name="_Toc1616868245"/>
      <w:r/>
      <w:bookmarkStart w:id="885" w:name="_Toc41530498"/>
      <w:r>
        <w:rPr>
          <w:rFonts w:hint="eastAsia" w:ascii="宋体" w:hAnsi="宋体" w:cs="宋体"/>
          <w:color w:val="auto"/>
          <w:sz w:val="24"/>
          <w:szCs w:val="24"/>
          <w:highlight w:val="none"/>
        </w:rPr>
        <w:t xml:space="preserve">附件3：</w:t>
      </w:r>
      <w:bookmarkEnd w:id="883"/>
      <w:r/>
      <w:bookmarkEnd w:id="884"/>
      <w:r/>
      <w:bookmarkEnd w:id="885"/>
      <w:r/>
      <w:r/>
    </w:p>
    <w:p>
      <w:pPr>
        <w:jc w:val="center"/>
        <w:spacing w:line="440" w:lineRule="exact"/>
        <w:rPr>
          <w:rFonts w:ascii="宋体" w:hAnsi="宋体" w:cs="宋体"/>
          <w:color w:val="auto"/>
          <w:sz w:val="24"/>
          <w:szCs w:val="24"/>
          <w:highlight w:val="none"/>
        </w:rPr>
        <w:outlineLvl w:val="1"/>
      </w:pPr>
      <w:r/>
      <w:bookmarkStart w:id="886" w:name="_Toc608362669"/>
      <w:r/>
      <w:bookmarkStart w:id="887" w:name="_Toc698560855"/>
      <w:r/>
      <w:bookmarkStart w:id="888" w:name="_Toc1635"/>
      <w:r/>
      <w:bookmarkStart w:id="889" w:name="_Toc30400"/>
      <w:r/>
      <w:bookmarkStart w:id="890" w:name="_Toc9180"/>
      <w:r/>
      <w:bookmarkStart w:id="891" w:name="_Toc23614"/>
      <w:r/>
      <w:bookmarkStart w:id="892" w:name="_Toc1160"/>
      <w:r>
        <w:rPr>
          <w:rFonts w:hint="eastAsia" w:ascii="宋体" w:hAnsi="宋体" w:cs="宋体"/>
          <w:color w:val="auto"/>
          <w:sz w:val="24"/>
          <w:szCs w:val="24"/>
          <w:highlight w:val="none"/>
        </w:rPr>
        <w:t xml:space="preserve">暂估价一览表</w:t>
      </w:r>
      <w:bookmarkEnd w:id="886"/>
      <w:r/>
      <w:bookmarkEnd w:id="887"/>
      <w:r/>
      <w:bookmarkEnd w:id="888"/>
      <w:r/>
      <w:bookmarkEnd w:id="889"/>
      <w:r/>
      <w:bookmarkEnd w:id="890"/>
      <w:r/>
      <w:bookmarkEnd w:id="891"/>
      <w:r/>
      <w:bookmarkEnd w:id="892"/>
      <w:r/>
      <w:r/>
    </w:p>
    <w:tbl>
      <w:tblPr>
        <w:tblStyle w:val="964"/>
        <w:tblW w:w="84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98"/>
        <w:gridCol w:w="1974"/>
        <w:gridCol w:w="792"/>
        <w:gridCol w:w="721"/>
        <w:gridCol w:w="1259"/>
        <w:gridCol w:w="1320"/>
        <w:gridCol w:w="1584"/>
      </w:tblGrid>
      <w:tr>
        <w:trPr>
          <w:jc w:val="center"/>
          <w:trHeight w:val="710"/>
        </w:trPr>
        <w:tc>
          <w:tcPr>
            <w:tcW w:w="798"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7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792"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721" w:type="dxa"/>
            <w:vAlign w:val="center"/>
            <w:textDirection w:val="lrTb"/>
            <w:noWrap w:val="false"/>
          </w:tcPr>
          <w:p>
            <w:pPr>
              <w:pStyle w:val="969"/>
              <w:ind w:left="0" w:right="0"/>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259" w:type="dxa"/>
            <w:vAlign w:val="center"/>
            <w:textDirection w:val="lrTb"/>
            <w:noWrap w:val="false"/>
          </w:tcPr>
          <w:p>
            <w:pPr>
              <w:pStyle w:val="969"/>
              <w:ind w:left="0" w:right="0"/>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单价（元）</w:t>
            </w:r>
            <w:r/>
          </w:p>
        </w:tc>
        <w:tc>
          <w:tcPr>
            <w:tcW w:w="1320"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合价（元）</w:t>
            </w:r>
            <w:r/>
          </w:p>
        </w:tc>
        <w:tc>
          <w:tcPr>
            <w:tcW w:w="1584" w:type="dxa"/>
            <w:vAlign w:val="center"/>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798"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97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2"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21"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59"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0"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84" w:type="dxa"/>
            <w:textDirection w:val="lrTb"/>
            <w:noWrap w:val="false"/>
          </w:tcPr>
          <w:p>
            <w:pPr>
              <w:pStyle w:val="969"/>
              <w:ind w:left="63" w:right="63"/>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sectPr>
          <w:footnotePr/>
          <w:endnotePr/>
          <w:type w:val="nextPage"/>
          <w:pgSz w:w="11906" w:h="16838" w:orient="portrait"/>
          <w:pgMar w:top="2098" w:right="1757" w:bottom="1984" w:left="1757" w:header="851" w:footer="1417" w:gutter="0"/>
          <w:cols w:num="1" w:sep="0" w:space="0" w:equalWidth="1"/>
          <w:docGrid w:linePitch="360"/>
          <w:titlePg/>
        </w:sectPr>
        <w:outlineLvl w:val="1"/>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outlineLvl w:val="1"/>
      </w:pPr>
      <w:r/>
      <w:bookmarkStart w:id="893" w:name="_Toc245732170"/>
      <w:r/>
      <w:bookmarkStart w:id="894" w:name="_Toc785335212"/>
      <w:r/>
      <w:bookmarkStart w:id="895" w:name="_Toc1492274086"/>
      <w:r>
        <w:rPr>
          <w:rFonts w:hint="eastAsia" w:ascii="宋体" w:hAnsi="宋体" w:cs="宋体"/>
          <w:color w:val="auto"/>
          <w:sz w:val="24"/>
          <w:szCs w:val="24"/>
          <w:highlight w:val="none"/>
        </w:rPr>
        <w:t xml:space="preserve">附件4：</w:t>
      </w:r>
      <w:bookmarkEnd w:id="893"/>
      <w:r/>
      <w:bookmarkEnd w:id="894"/>
      <w:r/>
      <w:bookmarkEnd w:id="895"/>
      <w:r/>
      <w:r/>
    </w:p>
    <w:p>
      <w:pPr>
        <w:jc w:val="center"/>
        <w:spacing w:line="440" w:lineRule="exact"/>
        <w:rPr>
          <w:rFonts w:ascii="宋体" w:hAnsi="宋体" w:cs="宋体"/>
          <w:color w:val="auto"/>
          <w:sz w:val="24"/>
          <w:szCs w:val="24"/>
          <w:highlight w:val="none"/>
        </w:rPr>
        <w:outlineLvl w:val="1"/>
      </w:pPr>
      <w:r/>
      <w:bookmarkStart w:id="896" w:name="_Toc1935472469"/>
      <w:r/>
      <w:bookmarkStart w:id="897" w:name="_Toc23900"/>
      <w:r/>
      <w:bookmarkStart w:id="898" w:name="_Toc30933"/>
      <w:r/>
      <w:bookmarkStart w:id="899" w:name="_Toc101"/>
      <w:r/>
      <w:bookmarkStart w:id="900" w:name="_Toc15104"/>
      <w:r/>
      <w:bookmarkStart w:id="901" w:name="_Toc887574828"/>
      <w:r/>
      <w:bookmarkStart w:id="902" w:name="_Toc22735"/>
      <w:r>
        <w:rPr>
          <w:rFonts w:hint="eastAsia" w:ascii="宋体" w:hAnsi="宋体" w:cs="宋体"/>
          <w:bCs/>
          <w:color w:val="auto"/>
          <w:sz w:val="24"/>
          <w:szCs w:val="24"/>
          <w:highlight w:val="none"/>
        </w:rPr>
        <w:t xml:space="preserve">发包人供应材料设备一览表</w:t>
      </w:r>
      <w:bookmarkEnd w:id="896"/>
      <w:r/>
      <w:bookmarkEnd w:id="897"/>
      <w:r/>
      <w:bookmarkEnd w:id="898"/>
      <w:r/>
      <w:bookmarkEnd w:id="899"/>
      <w:r/>
      <w:bookmarkEnd w:id="900"/>
      <w:r/>
      <w:bookmarkEnd w:id="901"/>
      <w:r/>
      <w:bookmarkEnd w:id="902"/>
      <w:r/>
      <w:r/>
    </w:p>
    <w:tbl>
      <w:tblPr>
        <w:tblStyle w:val="964"/>
        <w:tblW w:w="89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676"/>
        <w:gridCol w:w="1311"/>
        <w:gridCol w:w="1325"/>
        <w:gridCol w:w="879"/>
        <w:gridCol w:w="795"/>
        <w:gridCol w:w="975"/>
        <w:gridCol w:w="927"/>
        <w:gridCol w:w="695"/>
        <w:gridCol w:w="798"/>
        <w:gridCol w:w="519"/>
      </w:tblGrid>
      <w:tr>
        <w:trPr>
          <w:jc w:val="center"/>
          <w:trHeight w:val="700"/>
        </w:trPr>
        <w:tc>
          <w:tcPr>
            <w:tcW w:w="676"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311"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材  料、</w:t>
            </w:r>
            <w:r/>
          </w:p>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设备品种</w:t>
            </w:r>
            <w:r/>
          </w:p>
        </w:tc>
        <w:tc>
          <w:tcPr>
            <w:tcW w:w="1325"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规格型号</w:t>
            </w:r>
            <w:r/>
          </w:p>
        </w:tc>
        <w:tc>
          <w:tcPr>
            <w:tcW w:w="879"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795"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975" w:type="dxa"/>
            <w:vAlign w:val="center"/>
            <w:textDirection w:val="lrTb"/>
            <w:noWrap w:val="false"/>
          </w:tcPr>
          <w:p>
            <w:pPr>
              <w:pStyle w:val="969"/>
              <w:ind w:left="0" w:right="0"/>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单价（元）</w:t>
            </w:r>
            <w:r/>
          </w:p>
        </w:tc>
        <w:tc>
          <w:tcPr>
            <w:tcW w:w="927"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质量</w:t>
            </w:r>
            <w:r/>
          </w:p>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等级</w:t>
            </w:r>
            <w:r/>
          </w:p>
        </w:tc>
        <w:tc>
          <w:tcPr>
            <w:tcW w:w="695"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w:t>
            </w:r>
            <w:r/>
          </w:p>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798"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送达</w:t>
            </w:r>
            <w:r/>
          </w:p>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地点</w:t>
            </w:r>
            <w:r/>
          </w:p>
        </w:tc>
        <w:tc>
          <w:tcPr>
            <w:tcW w:w="519" w:type="dxa"/>
            <w:vAlign w:val="center"/>
            <w:textDirection w:val="lrTb"/>
            <w:noWrap w:val="false"/>
          </w:tcPr>
          <w:p>
            <w:pPr>
              <w:pStyle w:val="969"/>
              <w:ind w:left="0" w:right="63"/>
              <w:jc w:val="right"/>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567"/>
        </w:trPr>
        <w:tc>
          <w:tcPr>
            <w:tcW w:w="676"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76"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11"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7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7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9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1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sectPr>
          <w:footnotePr/>
          <w:endnotePr/>
          <w:type w:val="nextPage"/>
          <w:pgSz w:w="11906" w:h="16838" w:orient="portrait"/>
          <w:pgMar w:top="2098" w:right="1531" w:bottom="1984" w:left="1531" w:header="851" w:footer="1417" w:gutter="0"/>
          <w:cols w:num="1" w:sep="0" w:space="0" w:equalWidth="1"/>
          <w:docGrid w:linePitch="360"/>
          <w:titlePg/>
        </w:sectPr>
        <w:outlineLvl w:val="1"/>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outlineLvl w:val="1"/>
      </w:pPr>
      <w:r/>
      <w:bookmarkStart w:id="903" w:name="_Toc283425744"/>
      <w:r/>
      <w:bookmarkStart w:id="904" w:name="_Toc1053508749"/>
      <w:r/>
      <w:bookmarkStart w:id="905" w:name="_Toc121452988"/>
      <w:r>
        <w:rPr>
          <w:rFonts w:hint="eastAsia" w:ascii="宋体" w:hAnsi="宋体" w:cs="宋体"/>
          <w:color w:val="auto"/>
          <w:sz w:val="24"/>
          <w:szCs w:val="24"/>
          <w:highlight w:val="none"/>
        </w:rPr>
        <w:t xml:space="preserve">附件5：</w:t>
      </w:r>
      <w:bookmarkEnd w:id="903"/>
      <w:r/>
      <w:bookmarkEnd w:id="904"/>
      <w:r/>
      <w:bookmarkEnd w:id="905"/>
      <w:r/>
      <w:r/>
    </w:p>
    <w:p>
      <w:pPr>
        <w:jc w:val="center"/>
        <w:spacing w:line="440" w:lineRule="exact"/>
        <w:rPr>
          <w:rFonts w:ascii="宋体" w:hAnsi="宋体" w:cs="宋体"/>
          <w:color w:val="auto"/>
          <w:sz w:val="24"/>
          <w:szCs w:val="24"/>
          <w:highlight w:val="none"/>
        </w:rPr>
        <w:outlineLvl w:val="1"/>
      </w:pPr>
      <w:r/>
      <w:bookmarkStart w:id="906" w:name="_Toc23379"/>
      <w:r/>
      <w:bookmarkStart w:id="907" w:name="_Toc1788163381"/>
      <w:r/>
      <w:bookmarkStart w:id="908" w:name="_Toc1909146247"/>
      <w:r/>
      <w:bookmarkStart w:id="909" w:name="_Toc30591"/>
      <w:r/>
      <w:bookmarkStart w:id="910" w:name="_Toc18017"/>
      <w:r/>
      <w:bookmarkStart w:id="911" w:name="_Toc936"/>
      <w:r>
        <w:rPr>
          <w:rFonts w:hint="eastAsia" w:ascii="宋体" w:hAnsi="宋体" w:cs="宋体"/>
          <w:bCs/>
          <w:color w:val="auto"/>
          <w:sz w:val="24"/>
          <w:szCs w:val="24"/>
          <w:highlight w:val="none"/>
        </w:rPr>
        <w:t xml:space="preserve">发包人供应苗木一览表</w:t>
      </w:r>
      <w:bookmarkEnd w:id="906"/>
      <w:r/>
      <w:bookmarkEnd w:id="907"/>
      <w:r/>
      <w:bookmarkEnd w:id="908"/>
      <w:r/>
      <w:bookmarkEnd w:id="909"/>
      <w:r/>
      <w:bookmarkEnd w:id="910"/>
      <w:r/>
      <w:bookmarkEnd w:id="911"/>
      <w:r/>
      <w:r/>
    </w:p>
    <w:tbl>
      <w:tblPr>
        <w:tblStyle w:val="964"/>
        <w:tblW w:w="84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627"/>
        <w:gridCol w:w="1283"/>
        <w:gridCol w:w="1425"/>
        <w:gridCol w:w="945"/>
        <w:gridCol w:w="855"/>
        <w:gridCol w:w="1049"/>
        <w:gridCol w:w="855"/>
        <w:gridCol w:w="935"/>
        <w:gridCol w:w="474"/>
      </w:tblGrid>
      <w:tr>
        <w:trPr>
          <w:jc w:val="center"/>
          <w:trHeight w:val="567"/>
        </w:trPr>
        <w:tc>
          <w:tcPr>
            <w:tcW w:w="627"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283"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苗木材料名    称</w:t>
            </w:r>
            <w:r/>
          </w:p>
        </w:tc>
        <w:tc>
          <w:tcPr>
            <w:tcW w:w="1425"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规格</w:t>
            </w:r>
            <w:r/>
          </w:p>
        </w:tc>
        <w:tc>
          <w:tcPr>
            <w:tcW w:w="945"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855"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049"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单价（元）</w:t>
            </w:r>
            <w:r/>
          </w:p>
        </w:tc>
        <w:tc>
          <w:tcPr>
            <w:tcW w:w="855"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 应</w:t>
            </w:r>
            <w:r/>
          </w:p>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时 间</w:t>
            </w:r>
            <w:r/>
          </w:p>
        </w:tc>
        <w:tc>
          <w:tcPr>
            <w:tcW w:w="935"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送 达</w:t>
            </w:r>
            <w:r/>
          </w:p>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点</w:t>
            </w:r>
            <w:r/>
          </w:p>
        </w:tc>
        <w:tc>
          <w:tcPr>
            <w:tcW w:w="474" w:type="dxa"/>
            <w:vAlign w:val="center"/>
            <w:textDirection w:val="lrTb"/>
            <w:noWrap w:val="false"/>
          </w:tcPr>
          <w:p>
            <w:pPr>
              <w:pStyle w:val="969"/>
              <w:ind w:left="0" w:right="63"/>
              <w:keepNext/>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567"/>
        </w:trPr>
        <w:tc>
          <w:tcPr>
            <w:tcW w:w="6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pStyle w:val="969"/>
              <w:ind w:left="63" w:right="63" w:firstLine="480"/>
              <w:keepNext/>
              <w:spacing w:after="0"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627"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83"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42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4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049"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85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5"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474" w:type="dxa"/>
            <w:vAlign w:val="center"/>
            <w:textDirection w:val="lrTb"/>
            <w:noWrap w:val="false"/>
          </w:tcPr>
          <w:p>
            <w:pPr>
              <w:ind w:firstLine="480"/>
              <w:jc w:val="cente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bookmarkStart w:id="912" w:name="_Toc1357349786"/>
      <w:r/>
      <w:bookmarkStart w:id="913" w:name="_Toc1799881692"/>
      <w:r/>
      <w:bookmarkStart w:id="914" w:name="_Toc2144979508"/>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spacing w:line="440" w:lineRule="exact"/>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附件6:</w:t>
      </w:r>
      <w:bookmarkEnd w:id="912"/>
      <w:r/>
      <w:bookmarkEnd w:id="913"/>
      <w:r/>
      <w:bookmarkEnd w:id="914"/>
      <w:r/>
      <w:r/>
    </w:p>
    <w:p>
      <w:pPr>
        <w:pStyle w:val="955"/>
        <w:jc w:val="center"/>
        <w:spacing w:before="0" w:line="440" w:lineRule="exact"/>
        <w:rPr>
          <w:rFonts w:ascii="宋体" w:hAnsi="宋体" w:cs="宋体"/>
          <w:b w:val="0"/>
          <w:color w:val="auto"/>
          <w:sz w:val="24"/>
          <w:szCs w:val="24"/>
          <w:highlight w:val="none"/>
        </w:rPr>
      </w:pPr>
      <w:r/>
      <w:bookmarkStart w:id="915" w:name="_Toc1792836188"/>
      <w:r/>
      <w:bookmarkStart w:id="916" w:name="_Toc2133128467"/>
      <w:r>
        <w:rPr>
          <w:rFonts w:hint="eastAsia" w:ascii="宋体" w:hAnsi="宋体" w:cs="宋体"/>
          <w:b w:val="0"/>
          <w:color w:val="auto"/>
          <w:sz w:val="24"/>
          <w:szCs w:val="24"/>
          <w:highlight w:val="none"/>
        </w:rPr>
        <w:t xml:space="preserve">绿化养护责任书</w:t>
      </w:r>
      <w:bookmarkEnd w:id="915"/>
      <w:r/>
      <w:bookmarkEnd w:id="916"/>
      <w:r/>
      <w:r/>
    </w:p>
    <w:p>
      <w:pPr>
        <w:ind w:firstLine="600"/>
        <w:jc w:val="both"/>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发包人和承包人根据《园林绿化养护标准》（CJJ/T287）或</w:t>
      </w:r>
      <w:r/>
    </w:p>
    <w:p>
      <w:pPr>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（地方标准）等相关规定，经协商一致就</w:t>
      </w:r>
      <w:r>
        <w:rPr>
          <w:rFonts w:hint="eastAsia" w:ascii="宋体" w:hAnsi="宋体" w:cs="宋体"/>
          <w:color w:val="auto"/>
          <w:sz w:val="24"/>
          <w:szCs w:val="24"/>
          <w:highlight w:val="none"/>
          <w:u w:val="single"/>
          <w:lang w:val="en-US" w:eastAsia="zh-CN"/>
        </w:rPr>
        <w:t xml:space="preserve"> 市级机关破墙透绿改造工程  </w:t>
      </w:r>
      <w:r>
        <w:rPr>
          <w:rFonts w:hint="eastAsia" w:ascii="宋体" w:hAnsi="宋体" w:cs="宋体"/>
          <w:color w:val="auto"/>
          <w:sz w:val="24"/>
          <w:szCs w:val="24"/>
          <w:highlight w:val="none"/>
        </w:rPr>
        <w:t xml:space="preserve">（工程全称）签订绿化养护责任书。</w:t>
      </w:r>
      <w:r/>
    </w:p>
    <w:p>
      <w:pPr>
        <w:ind w:firstLine="60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一、责任范围和内容</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承包人在绿化养护期内，按照有关法律规定和合同约定，承担施工范围内的绿化养护责任。</w:t>
      </w:r>
      <w:r/>
    </w:p>
    <w:p>
      <w:pPr>
        <w:ind w:firstLine="60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内容包括对养护范围内植物采取的整形修剪、松土除草、灌溉与排水、施肥、有害生物防治、改植与补植、绿地防护（如防台风、防寒）等技术措施；</w:t>
      </w:r>
      <w:r>
        <w:rPr>
          <w:rFonts w:hint="eastAsia" w:ascii="宋体" w:hAnsi="宋体" w:cs="宋体"/>
          <w:bCs/>
          <w:color w:val="auto"/>
          <w:sz w:val="24"/>
          <w:szCs w:val="24"/>
          <w:highlight w:val="none"/>
        </w:rPr>
        <w:t xml:space="preserve">其他内容</w:t>
      </w:r>
      <w:r>
        <w:rPr>
          <w:rFonts w:hint="eastAsia" w:ascii="宋体" w:hAnsi="宋体" w:cs="宋体"/>
          <w:color w:val="auto"/>
          <w:sz w:val="24"/>
          <w:szCs w:val="24"/>
          <w:highlight w:val="none"/>
        </w:rPr>
        <w:t xml:space="preserve">双方约定如下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0"/>
        <w:jc w:val="left"/>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二、养护标准</w:t>
      </w:r>
      <w:r/>
    </w:p>
    <w:p>
      <w:pPr>
        <w:ind w:firstLine="600"/>
        <w:jc w:val="both"/>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绿化养护质量按照</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《园林绿化养护标准》（CJJ/T287）或</w:t>
      </w:r>
      <w:r/>
    </w:p>
    <w:p>
      <w:pPr>
        <w:spacing w:line="440" w:lineRule="exact"/>
        <w:rPr>
          <w:rFonts w:ascii="宋体" w:hAnsi="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u w:val="single"/>
        </w:rPr>
        <w:t xml:space="preserve"> 徐州市标准 </w:t>
      </w:r>
      <w:r>
        <w:rPr>
          <w:rFonts w:hint="eastAsia" w:ascii="宋体" w:hAnsi="宋体" w:cs="宋体"/>
          <w:color w:val="auto"/>
          <w:sz w:val="24"/>
          <w:szCs w:val="24"/>
          <w:highlight w:val="none"/>
        </w:rPr>
        <w:t xml:space="preserve">（地方标准）中</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一</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级</w:t>
      </w:r>
      <w:r>
        <w:rPr>
          <w:rFonts w:hint="eastAsia" w:ascii="宋体" w:hAnsi="宋体" w:cs="宋体"/>
          <w:bCs/>
          <w:color w:val="auto"/>
          <w:sz w:val="24"/>
          <w:szCs w:val="24"/>
          <w:highlight w:val="none"/>
          <w:lang w:val="en-US" w:eastAsia="zh-CN"/>
        </w:rPr>
        <w:t xml:space="preserve">乙类</w:t>
      </w:r>
      <w:r>
        <w:rPr>
          <w:rFonts w:hint="eastAsia" w:ascii="宋体" w:hAnsi="宋体" w:cs="宋体"/>
          <w:color w:val="auto"/>
          <w:sz w:val="24"/>
          <w:szCs w:val="24"/>
          <w:highlight w:val="none"/>
        </w:rPr>
        <w:t xml:space="preserve">标准。</w:t>
      </w:r>
      <w:r/>
    </w:p>
    <w:p>
      <w:pPr>
        <w:ind w:firstLine="60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三、考核标准</w:t>
      </w:r>
      <w:r/>
    </w:p>
    <w:p>
      <w:pPr>
        <w:ind w:firstLine="453"/>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由发包人按</w:t>
      </w:r>
      <w:r>
        <w:rPr>
          <w:rFonts w:hint="eastAsia" w:ascii="宋体" w:hAnsi="宋体" w:cs="宋体"/>
          <w:color w:val="auto"/>
          <w:sz w:val="24"/>
          <w:szCs w:val="24"/>
          <w:highlight w:val="none"/>
          <w:u w:val="single"/>
        </w:rPr>
        <w:t xml:space="preserve"> 徐州市标准 </w:t>
      </w:r>
      <w:r>
        <w:rPr>
          <w:rFonts w:hint="eastAsia" w:ascii="宋体" w:hAnsi="宋体" w:cs="宋体"/>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国家标准</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行业标准</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地方标准）中</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一</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级</w:t>
      </w:r>
      <w:r>
        <w:rPr>
          <w:rFonts w:hint="eastAsia" w:ascii="宋体" w:hAnsi="宋体" w:cs="宋体"/>
          <w:bCs/>
          <w:color w:val="auto"/>
          <w:sz w:val="24"/>
          <w:szCs w:val="24"/>
          <w:highlight w:val="none"/>
          <w:lang w:val="en-US" w:eastAsia="zh-CN"/>
        </w:rPr>
        <w:t xml:space="preserve">乙类</w:t>
      </w:r>
      <w:r>
        <w:rPr>
          <w:rFonts w:hint="eastAsia" w:ascii="宋体" w:hAnsi="宋体" w:cs="宋体"/>
          <w:color w:val="auto"/>
          <w:sz w:val="24"/>
          <w:szCs w:val="24"/>
          <w:highlight w:val="none"/>
        </w:rPr>
        <w:t xml:space="preserve">标准进行考核，相关费用从质量保证金中扣除。</w:t>
      </w:r>
      <w:r/>
    </w:p>
    <w:p>
      <w:pPr>
        <w:ind w:firstLine="60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四、绿化养护期</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绿化养护期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个月，</w:t>
      </w:r>
      <w:r>
        <w:rPr>
          <w:rFonts w:hint="eastAsia" w:ascii="宋体" w:hAnsi="宋体" w:cs="宋体"/>
          <w:color w:val="auto"/>
          <w:sz w:val="24"/>
          <w:szCs w:val="24"/>
          <w:highlight w:val="none"/>
        </w:rPr>
        <w:t xml:space="preserve">从工程竣工验收合格之日起计算</w:t>
      </w:r>
      <w:r>
        <w:rPr>
          <w:rFonts w:hint="eastAsia" w:ascii="宋体" w:hAnsi="宋体" w:cs="宋体"/>
          <w:color w:val="auto"/>
          <w:sz w:val="24"/>
          <w:szCs w:val="24"/>
          <w:highlight w:val="none"/>
        </w:rPr>
        <w:t xml:space="preserve">。</w:t>
      </w:r>
      <w:r/>
    </w:p>
    <w:p>
      <w:pPr>
        <w:ind w:firstLine="60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五、养护责任</w:t>
      </w:r>
      <w:r/>
    </w:p>
    <w:p>
      <w:pPr>
        <w:ind w:left="105"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1．为确保养护质量，承包人应安排专业队伍和人员进行养护管理。</w:t>
      </w:r>
      <w:r/>
    </w:p>
    <w:p>
      <w:pPr>
        <w:ind w:left="105" w:firstLine="601"/>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p>
    <w:p>
      <w:pPr>
        <w:ind w:left="105" w:firstLine="601"/>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3．苗木成活率按合同约定执行，发生苗木等植物材料死亡，须按原设计品种和规格及时更换，更换费用由承包人承担。</w:t>
      </w:r>
      <w:r/>
    </w:p>
    <w:p>
      <w:pPr>
        <w:ind w:left="105"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4．绿化养护期满后，由发包人组织验收。</w:t>
      </w:r>
      <w:r/>
    </w:p>
    <w:p>
      <w:pPr>
        <w:ind w:left="105"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5．其他责任约定：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六、养护费用</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养护费用由承包人承担。</w:t>
      </w:r>
      <w:r/>
    </w:p>
    <w:p>
      <w:pPr>
        <w:jc w:val="left"/>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    七、其他约定</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05" w:firstLine="600"/>
        <w:spacing w:line="44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绿化养护责任书由发包人、承包人在工程竣工验收前共同签署，作为施工合同附件，其有效期限至绿化养护期满。</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2569845</wp:posOffset>
                </wp:positionH>
                <wp:positionV relativeFrom="paragraph">
                  <wp:posOffset>203200</wp:posOffset>
                </wp:positionV>
                <wp:extent cx="2865755" cy="2660650"/>
                <wp:effectExtent l="0" t="0" r="14604" b="635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2865755" cy="2660650"/>
                        </a:xfrm>
                        <a:prstGeom prst="rect">
                          <a:avLst/>
                        </a:prstGeom>
                        <a:solidFill>
                          <a:srgbClr val="FFFFFF"/>
                        </a:solidFill>
                        <a:ln>
                          <a:noFill/>
                        </a:ln>
                      </wps:spPr>
                      <wps:txbx>
                        <w:txbxContent>
                          <w:p>
                            <w:pPr>
                              <w:ind w:firstLine="561"/>
                              <w:spacing w:line="360" w:lineRule="auto"/>
                              <w:rPr>
                                <w:rFonts w:ascii="仿宋_GB2312" w:hAnsi="仿宋" w:eastAsia="仿宋_GB2312" w:cs="仿宋"/>
                                <w:sz w:val="24"/>
                                <w:szCs w:val="24"/>
                              </w:rPr>
                            </w:pPr>
                            <w:r>
                              <w:rPr>
                                <w:rFonts w:hint="eastAsia" w:ascii="仿宋_GB2312" w:hAnsi="仿宋" w:eastAsia="仿宋_GB2312" w:cs="仿宋"/>
                                <w:sz w:val="24"/>
                                <w:szCs w:val="24"/>
                              </w:rPr>
                              <w:t xml:space="preserve">承包人：（公章）</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法定代表人或其委托代理人：（签字）</w:t>
                            </w:r>
                            <w:r>
                              <w:rPr>
                                <w:rFonts w:hint="eastAsia" w:ascii="仿宋_GB2312" w:hAnsi="仿宋" w:eastAsia="仿宋_GB2312" w:cs="仿宋"/>
                                <w:sz w:val="24"/>
                                <w:szCs w:val="24"/>
                                <w:u w:val="single"/>
                              </w:rPr>
                              <w:t xml:space="preserve">                       </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地  址：</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u w:val="single"/>
                                <w:lang w:val="en-US" w:eastAsia="zh-CN"/>
                              </w:rPr>
                              <w:t xml:space="preserve">    </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 </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电  话：</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 </w:t>
                            </w:r>
                            <w:r/>
                          </w:p>
                          <w:p>
                            <w:pPr>
                              <w:ind w:firstLine="561"/>
                              <w:spacing w:line="360" w:lineRule="auto"/>
                              <w:rPr>
                                <w:sz w:val="24"/>
                                <w:szCs w:val="24"/>
                                <w:u w:val="single"/>
                              </w:rPr>
                            </w:pPr>
                            <w:r>
                              <w:rPr>
                                <w:rFonts w:hint="eastAsia" w:ascii="仿宋_GB2312" w:hAnsi="仿宋" w:eastAsia="仿宋_GB2312" w:cs="仿宋"/>
                                <w:sz w:val="24"/>
                                <w:szCs w:val="24"/>
                              </w:rPr>
                              <w:t xml:space="preserve">日  期：</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年</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月</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日</w:t>
                            </w:r>
                            <w:r/>
                          </w:p>
                        </w:txbxContent>
                      </wps:txbx>
                      <wps:bodyPr wrap="square" upright="1">
                        <a:noAutofit/>
                      </wps:bodyPr>
                    </wps:wsp>
                  </a:graphicData>
                </a:graphic>
              </wp:anchor>
            </w:drawing>
          </mc:Choice>
          <mc:Fallback>
            <w:pict>
              <v:shape id="shape 9" o:spid="_x0000_s9" o:spt="202" type="#_x0000_t202" style="position:absolute;z-index:251665408;o:allowoverlap:true;o:allowincell:true;mso-position-horizontal-relative:text;margin-left:202.3pt;mso-position-horizontal:absolute;mso-position-vertical-relative:text;margin-top:16.0pt;mso-position-vertical:absolute;width:225.6pt;height:209.5pt;mso-wrap-distance-left:9.0pt;mso-wrap-distance-top:0.0pt;mso-wrap-distance-right:9.0pt;mso-wrap-distance-bottom:0.0pt;visibility:visible;" fillcolor="#FFFFFF" stroked="f">
                <v:textbox inset="0,0,0,0">
                  <w:txbxContent>
                    <w:p>
                      <w:pPr>
                        <w:ind w:firstLine="561"/>
                        <w:spacing w:line="360" w:lineRule="auto"/>
                        <w:rPr>
                          <w:rFonts w:ascii="仿宋_GB2312" w:hAnsi="仿宋" w:eastAsia="仿宋_GB2312" w:cs="仿宋"/>
                          <w:sz w:val="24"/>
                          <w:szCs w:val="24"/>
                        </w:rPr>
                      </w:pPr>
                      <w:r>
                        <w:rPr>
                          <w:rFonts w:hint="eastAsia" w:ascii="仿宋_GB2312" w:hAnsi="仿宋" w:eastAsia="仿宋_GB2312" w:cs="仿宋"/>
                          <w:sz w:val="24"/>
                          <w:szCs w:val="24"/>
                        </w:rPr>
                        <w:t xml:space="preserve">承包人：（公章）</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法定代表人或其委托代理人：（签字）</w:t>
                      </w:r>
                      <w:r>
                        <w:rPr>
                          <w:rFonts w:hint="eastAsia" w:ascii="仿宋_GB2312" w:hAnsi="仿宋" w:eastAsia="仿宋_GB2312" w:cs="仿宋"/>
                          <w:sz w:val="24"/>
                          <w:szCs w:val="24"/>
                          <w:u w:val="single"/>
                        </w:rPr>
                        <w:t xml:space="preserve">                       </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地  址：</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u w:val="single"/>
                          <w:lang w:val="en-US" w:eastAsia="zh-CN"/>
                        </w:rPr>
                        <w:t xml:space="preserve">    </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 </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电  话：</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 </w:t>
                      </w:r>
                      <w:r/>
                    </w:p>
                    <w:p>
                      <w:pPr>
                        <w:ind w:firstLine="561"/>
                        <w:spacing w:line="360" w:lineRule="auto"/>
                        <w:rPr>
                          <w:sz w:val="24"/>
                          <w:szCs w:val="24"/>
                          <w:u w:val="single"/>
                        </w:rPr>
                      </w:pPr>
                      <w:r>
                        <w:rPr>
                          <w:rFonts w:hint="eastAsia" w:ascii="仿宋_GB2312" w:hAnsi="仿宋" w:eastAsia="仿宋_GB2312" w:cs="仿宋"/>
                          <w:sz w:val="24"/>
                          <w:szCs w:val="24"/>
                        </w:rPr>
                        <w:t xml:space="preserve">日  期：</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年</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月</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日</w:t>
                      </w:r>
                      <w:r/>
                    </w:p>
                  </w:txbxContent>
                </v:textbox>
              </v:shape>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-287020</wp:posOffset>
                </wp:positionH>
                <wp:positionV relativeFrom="paragraph">
                  <wp:posOffset>201295</wp:posOffset>
                </wp:positionV>
                <wp:extent cx="2865755" cy="2677795"/>
                <wp:effectExtent l="0" t="0" r="14604" b="4445"/>
                <wp:wrapNone/>
                <wp:docPr id="11" name="文本框 10"/>
                <wp:cNvGraphicFramePr/>
                <a:graphic xmlns:a="http://schemas.openxmlformats.org/drawingml/2006/main">
                  <a:graphicData uri="http://schemas.microsoft.com/office/word/2010/wordprocessingShape">
                    <wps:wsp>
                      <wps:cNvPr id="0" name=""/>
                      <wps:cNvSpPr txBox="1"/>
                      <wps:spPr bwMode="auto">
                        <a:xfrm>
                          <a:off x="0" y="0"/>
                          <a:ext cx="2865755" cy="2677795"/>
                        </a:xfrm>
                        <a:prstGeom prst="rect">
                          <a:avLst/>
                        </a:prstGeom>
                        <a:solidFill>
                          <a:srgbClr val="FFFFFF"/>
                        </a:solidFill>
                        <a:ln>
                          <a:noFill/>
                        </a:ln>
                      </wps:spPr>
                      <wps:txbx>
                        <w:txbxContent>
                          <w:p>
                            <w:pPr>
                              <w:ind w:firstLine="561"/>
                              <w:spacing w:line="360" w:lineRule="auto"/>
                              <w:rPr>
                                <w:rFonts w:ascii="仿宋_GB2312" w:hAnsi="仿宋" w:eastAsia="仿宋_GB2312" w:cs="仿宋"/>
                                <w:sz w:val="24"/>
                                <w:szCs w:val="24"/>
                              </w:rPr>
                            </w:pPr>
                            <w:r>
                              <w:rPr>
                                <w:rFonts w:hint="eastAsia" w:ascii="仿宋_GB2312" w:hAnsi="仿宋" w:eastAsia="仿宋_GB2312" w:cs="仿宋"/>
                                <w:sz w:val="24"/>
                                <w:szCs w:val="24"/>
                              </w:rPr>
                              <w:t xml:space="preserve">发包人：（公章）</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法定代表人或其委托代理人：（签字）</w:t>
                            </w:r>
                            <w:r>
                              <w:rPr>
                                <w:rFonts w:hint="eastAsia" w:ascii="仿宋_GB2312" w:hAnsi="仿宋" w:eastAsia="仿宋_GB2312" w:cs="仿宋"/>
                                <w:sz w:val="24"/>
                                <w:szCs w:val="24"/>
                                <w:u w:val="single"/>
                              </w:rPr>
                              <w:t xml:space="preserve">     </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地  址：</w:t>
                            </w:r>
                            <w:r>
                              <w:rPr>
                                <w:rFonts w:hint="eastAsia" w:ascii="仿宋_GB2312" w:hAnsi="仿宋" w:eastAsia="仿宋_GB2312" w:cs="仿宋"/>
                                <w:sz w:val="24"/>
                                <w:szCs w:val="24"/>
                                <w:u w:val="single"/>
                              </w:rPr>
                              <w:t xml:space="preserve"> </w:t>
                            </w:r>
                            <w:r>
                              <w:rPr>
                                <w:rFonts w:hint="eastAsia" w:ascii="宋体" w:hAnsi="宋体" w:eastAsia="仿宋_GB2312" w:cs="宋体"/>
                                <w:sz w:val="24"/>
                                <w:szCs w:val="24"/>
                                <w:u w:val="single"/>
                                <w:lang w:val="en-US" w:eastAsia="zh-CN"/>
                              </w:rPr>
                              <w:t xml:space="preserve">   </w:t>
                            </w:r>
                            <w:r>
                              <w:rPr>
                                <w:rFonts w:hint="eastAsia" w:ascii="仿宋_GB2312" w:hAnsi="仿宋" w:eastAsia="仿宋_GB2312" w:cs="仿宋"/>
                                <w:sz w:val="24"/>
                                <w:szCs w:val="24"/>
                                <w:u w:val="single"/>
                              </w:rPr>
                              <w:t xml:space="preserve">  </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电  话：</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u w:val="single"/>
                                <w:lang w:val="en-US" w:eastAsia="zh-CN"/>
                              </w:rPr>
                              <w:t xml:space="preserve">  </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 </w:t>
                            </w:r>
                            <w:r/>
                          </w:p>
                          <w:p>
                            <w:pPr>
                              <w:ind w:firstLine="561"/>
                              <w:spacing w:line="360" w:lineRule="auto"/>
                              <w:rPr>
                                <w:rFonts w:ascii="仿宋_GB2312" w:eastAsia="仿宋_GB2312"/>
                                <w:sz w:val="28"/>
                                <w:szCs w:val="28"/>
                                <w:u w:val="single"/>
                              </w:rPr>
                            </w:pPr>
                            <w:r>
                              <w:rPr>
                                <w:rFonts w:hint="eastAsia" w:ascii="仿宋_GB2312" w:hAnsi="仿宋" w:eastAsia="仿宋_GB2312" w:cs="仿宋"/>
                                <w:sz w:val="24"/>
                                <w:szCs w:val="24"/>
                              </w:rPr>
                              <w:t xml:space="preserve">日  期：</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年</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月</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日</w:t>
                            </w:r>
                            <w:r/>
                          </w:p>
                        </w:txbxContent>
                      </wps:txbx>
                      <wps:bodyPr wrap="square" upright="1"/>
                    </wps:wsp>
                  </a:graphicData>
                </a:graphic>
              </wp:anchor>
            </w:drawing>
          </mc:Choice>
          <mc:Fallback>
            <w:pict>
              <v:shape id="shape 10" o:spid="_x0000_s10" o:spt="202" type="#_x0000_t202" style="position:absolute;z-index:251664384;o:allowoverlap:true;o:allowincell:true;mso-position-horizontal-relative:text;margin-left:-22.6pt;mso-position-horizontal:absolute;mso-position-vertical-relative:text;margin-top:15.8pt;mso-position-vertical:absolute;width:225.6pt;height:210.8pt;mso-wrap-distance-left:9.0pt;mso-wrap-distance-top:0.0pt;mso-wrap-distance-right:9.0pt;mso-wrap-distance-bottom:0.0pt;visibility:visible;" fillcolor="#FFFFFF" stroked="f">
                <v:textbox inset="0,0,0,0">
                  <w:txbxContent>
                    <w:p>
                      <w:pPr>
                        <w:ind w:firstLine="561"/>
                        <w:spacing w:line="360" w:lineRule="auto"/>
                        <w:rPr>
                          <w:rFonts w:ascii="仿宋_GB2312" w:hAnsi="仿宋" w:eastAsia="仿宋_GB2312" w:cs="仿宋"/>
                          <w:sz w:val="24"/>
                          <w:szCs w:val="24"/>
                        </w:rPr>
                      </w:pPr>
                      <w:r>
                        <w:rPr>
                          <w:rFonts w:hint="eastAsia" w:ascii="仿宋_GB2312" w:hAnsi="仿宋" w:eastAsia="仿宋_GB2312" w:cs="仿宋"/>
                          <w:sz w:val="24"/>
                          <w:szCs w:val="24"/>
                        </w:rPr>
                        <w:t xml:space="preserve">发包人：（公章）</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法定代表人或其委托代理人：（签字）</w:t>
                      </w:r>
                      <w:r>
                        <w:rPr>
                          <w:rFonts w:hint="eastAsia" w:ascii="仿宋_GB2312" w:hAnsi="仿宋" w:eastAsia="仿宋_GB2312" w:cs="仿宋"/>
                          <w:sz w:val="24"/>
                          <w:szCs w:val="24"/>
                          <w:u w:val="single"/>
                        </w:rPr>
                        <w:t xml:space="preserve">     </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地  址：</w:t>
                      </w:r>
                      <w:r>
                        <w:rPr>
                          <w:rFonts w:hint="eastAsia" w:ascii="仿宋_GB2312" w:hAnsi="仿宋" w:eastAsia="仿宋_GB2312" w:cs="仿宋"/>
                          <w:sz w:val="24"/>
                          <w:szCs w:val="24"/>
                          <w:u w:val="single"/>
                        </w:rPr>
                        <w:t xml:space="preserve"> </w:t>
                      </w:r>
                      <w:r>
                        <w:rPr>
                          <w:rFonts w:hint="eastAsia" w:ascii="宋体" w:hAnsi="宋体" w:eastAsia="仿宋_GB2312" w:cs="宋体"/>
                          <w:sz w:val="24"/>
                          <w:szCs w:val="24"/>
                          <w:u w:val="single"/>
                          <w:lang w:val="en-US" w:eastAsia="zh-CN"/>
                        </w:rPr>
                        <w:t xml:space="preserve">   </w:t>
                      </w:r>
                      <w:r>
                        <w:rPr>
                          <w:rFonts w:hint="eastAsia" w:ascii="仿宋_GB2312" w:hAnsi="仿宋" w:eastAsia="仿宋_GB2312" w:cs="仿宋"/>
                          <w:sz w:val="24"/>
                          <w:szCs w:val="24"/>
                          <w:u w:val="single"/>
                        </w:rPr>
                        <w:t xml:space="preserve">  </w:t>
                      </w:r>
                      <w:r/>
                    </w:p>
                    <w:p>
                      <w:pPr>
                        <w:ind w:firstLine="561"/>
                        <w:spacing w:line="360" w:lineRule="auto"/>
                        <w:rPr>
                          <w:rFonts w:ascii="仿宋_GB2312" w:hAnsi="仿宋" w:eastAsia="仿宋_GB2312" w:cs="仿宋"/>
                          <w:sz w:val="24"/>
                          <w:szCs w:val="24"/>
                          <w:u w:val="single"/>
                        </w:rPr>
                      </w:pPr>
                      <w:r>
                        <w:rPr>
                          <w:rFonts w:hint="eastAsia" w:ascii="仿宋_GB2312" w:hAnsi="仿宋" w:eastAsia="仿宋_GB2312" w:cs="仿宋"/>
                          <w:sz w:val="24"/>
                          <w:szCs w:val="24"/>
                        </w:rPr>
                        <w:t xml:space="preserve">电  话：</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u w:val="single"/>
                          <w:lang w:val="en-US" w:eastAsia="zh-CN"/>
                        </w:rPr>
                        <w:t xml:space="preserve">  </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 </w:t>
                      </w:r>
                      <w:r/>
                    </w:p>
                    <w:p>
                      <w:pPr>
                        <w:ind w:firstLine="561"/>
                        <w:spacing w:line="360" w:lineRule="auto"/>
                        <w:rPr>
                          <w:rFonts w:ascii="仿宋_GB2312" w:eastAsia="仿宋_GB2312"/>
                          <w:sz w:val="28"/>
                          <w:szCs w:val="28"/>
                          <w:u w:val="single"/>
                        </w:rPr>
                      </w:pPr>
                      <w:r>
                        <w:rPr>
                          <w:rFonts w:hint="eastAsia" w:ascii="仿宋_GB2312" w:hAnsi="仿宋" w:eastAsia="仿宋_GB2312" w:cs="仿宋"/>
                          <w:sz w:val="24"/>
                          <w:szCs w:val="24"/>
                        </w:rPr>
                        <w:t xml:space="preserve">日  期：</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年</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月</w:t>
                      </w:r>
                      <w:r>
                        <w:rPr>
                          <w:rFonts w:hint="eastAsia" w:ascii="仿宋_GB2312" w:hAnsi="仿宋" w:eastAsia="仿宋_GB2312" w:cs="仿宋"/>
                          <w:sz w:val="24"/>
                          <w:szCs w:val="24"/>
                          <w:u w:val="single"/>
                        </w:rPr>
                        <w:t xml:space="preserve">   </w:t>
                      </w:r>
                      <w:r>
                        <w:rPr>
                          <w:rFonts w:hint="eastAsia" w:ascii="仿宋_GB2312" w:hAnsi="仿宋" w:eastAsia="仿宋_GB2312" w:cs="仿宋"/>
                          <w:sz w:val="24"/>
                          <w:szCs w:val="24"/>
                        </w:rPr>
                        <w:t xml:space="preserve">日</w:t>
                      </w:r>
                      <w:r/>
                    </w:p>
                  </w:txbxContent>
                </v:textbox>
              </v:shape>
            </w:pict>
          </mc:Fallback>
        </mc:AlternateContent>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outlineLvl w:val="1"/>
      </w:pPr>
      <w:r/>
      <w:bookmarkStart w:id="917" w:name="_Toc732104650"/>
      <w:r/>
      <w:bookmarkStart w:id="918" w:name="_Toc298211660"/>
      <w:r/>
      <w:bookmarkStart w:id="919" w:name="_Toc1831685531"/>
      <w:r>
        <w:rPr>
          <w:rFonts w:hint="eastAsia" w:ascii="宋体" w:hAnsi="宋体" w:cs="宋体"/>
          <w:color w:val="auto"/>
          <w:sz w:val="24"/>
          <w:szCs w:val="24"/>
          <w:highlight w:val="none"/>
        </w:rPr>
        <w:t xml:space="preserve">附件7：</w:t>
      </w:r>
      <w:bookmarkEnd w:id="917"/>
      <w:r/>
      <w:bookmarkEnd w:id="918"/>
      <w:r/>
      <w:bookmarkEnd w:id="919"/>
      <w:r/>
      <w:r/>
    </w:p>
    <w:p>
      <w:pPr>
        <w:pStyle w:val="955"/>
        <w:jc w:val="both"/>
        <w:spacing w:before="0" w:line="440" w:lineRule="exact"/>
        <w:rPr>
          <w:rFonts w:hint="eastAsia" w:ascii="宋体" w:hAnsi="宋体" w:cs="宋体"/>
          <w:bCs w:val="0"/>
          <w:color w:val="auto"/>
          <w:sz w:val="44"/>
          <w:szCs w:val="44"/>
          <w:highlight w:val="none"/>
        </w:rPr>
      </w:pPr>
      <w:r/>
      <w:bookmarkStart w:id="920" w:name="_Toc2084188277"/>
      <w:r/>
      <w:bookmarkStart w:id="921" w:name="_Toc358881767"/>
      <w:r/>
      <w:r/>
    </w:p>
    <w:p>
      <w:pPr>
        <w:pStyle w:val="955"/>
        <w:jc w:val="center"/>
        <w:spacing w:before="0" w:line="440" w:lineRule="exact"/>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955"/>
        <w:jc w:val="center"/>
        <w:spacing w:before="0" w:line="440" w:lineRule="exact"/>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955"/>
        <w:jc w:val="both"/>
        <w:spacing w:before="0" w:line="440" w:lineRule="exact"/>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1001"/>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1002"/>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1002"/>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955"/>
        <w:jc w:val="both"/>
        <w:spacing w:before="0" w:line="440" w:lineRule="exact"/>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1001"/>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1002"/>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1002"/>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1002"/>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rPr>
          <w:rFonts w:hint="eastAsia"/>
          <w:color w:val="auto"/>
          <w:highlight w:val="none"/>
        </w:rPr>
      </w:pPr>
      <w:r>
        <w:rPr>
          <w:rFonts w:hint="eastAsia"/>
          <w:color w:val="auto"/>
          <w:highlight w:val="none"/>
        </w:rPr>
      </w:r>
      <w:r/>
    </w:p>
    <w:p>
      <w:pPr>
        <w:pStyle w:val="955"/>
        <w:jc w:val="center"/>
        <w:spacing w:before="0" w:line="440" w:lineRule="exact"/>
        <w:rPr>
          <w:rFonts w:ascii="宋体" w:hAnsi="宋体" w:cs="宋体"/>
          <w:bCs w:val="0"/>
          <w:color w:val="auto"/>
          <w:sz w:val="44"/>
          <w:szCs w:val="44"/>
          <w:highlight w:val="none"/>
        </w:rPr>
      </w:pPr>
      <w:r>
        <w:rPr>
          <w:rFonts w:hint="eastAsia" w:ascii="宋体" w:hAnsi="宋体" w:cs="宋体"/>
          <w:bCs w:val="0"/>
          <w:color w:val="auto"/>
          <w:sz w:val="44"/>
          <w:szCs w:val="44"/>
          <w:highlight w:val="none"/>
        </w:rPr>
        <w:t xml:space="preserve">工程质量保修书</w:t>
      </w:r>
      <w:bookmarkEnd w:id="920"/>
      <w:r/>
      <w:bookmarkEnd w:id="921"/>
      <w:r/>
      <w:r/>
    </w:p>
    <w:p>
      <w:pPr>
        <w:ind w:firstLine="600"/>
        <w:spacing w:line="440" w:lineRule="exac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 xml:space="preserve">发包人和承包人根据《中华人民共和国建筑法》《建设工程质量管理条例》和《园林绿化工程施工及验收规范》</w:t>
      </w:r>
      <w:r>
        <w:rPr>
          <w:rFonts w:hint="eastAsia" w:ascii="宋体" w:hAnsi="宋体" w:cs="宋体"/>
          <w:bCs/>
          <w:color w:val="auto"/>
          <w:sz w:val="24"/>
          <w:szCs w:val="24"/>
          <w:highlight w:val="none"/>
        </w:rPr>
        <w:t xml:space="preserve">（CJJ82）以及</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徐州市</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（地方标准），</w:t>
      </w:r>
      <w:r>
        <w:rPr>
          <w:rFonts w:hint="eastAsia" w:ascii="宋体" w:hAnsi="宋体" w:cs="宋体"/>
          <w:color w:val="auto"/>
          <w:sz w:val="24"/>
          <w:szCs w:val="24"/>
          <w:highlight w:val="none"/>
        </w:rPr>
        <w:t xml:space="preserve">经协商一致就</w:t>
      </w:r>
      <w:r>
        <w:rPr>
          <w:rFonts w:hint="eastAsia" w:ascii="宋体" w:hAnsi="宋体" w:cs="宋体"/>
          <w:color w:val="auto"/>
          <w:sz w:val="24"/>
          <w:szCs w:val="24"/>
          <w:highlight w:val="none"/>
          <w:u w:val="single"/>
          <w:lang w:val="en-US" w:eastAsia="zh-CN"/>
        </w:rPr>
        <w:t xml:space="preserve">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（工程名称）签订工程质量保修书。</w:t>
      </w:r>
      <w:r/>
    </w:p>
    <w:p>
      <w:pPr>
        <w:ind w:firstLine="60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一、工程质量保修范围和内容</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承包人在质量保修期内，按照有关法律规定和合同约定，承担工程质量保修责任。</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二、质量保修期</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工程的质量保修期如下：</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1. 地基基础工程和主体结构工程为设计文件规定的工程合理使用年限；</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 屋面防水工程、有防水要求的卫生间、房间和外墙面的防渗为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年；其他防水工程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 装修工程为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 电气管线、给排水管道、设备安装工程为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5．供热与供冷系统为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个采暖期、供冷期；</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 绿化工程</w:t>
      </w:r>
      <w:r>
        <w:rPr>
          <w:rFonts w:ascii="宋体" w:hAnsi="宋体" w:eastAsia="宋体" w:cs="宋体"/>
          <w:color w:val="auto"/>
          <w:sz w:val="24"/>
          <w:highlight w:val="none"/>
        </w:rPr>
        <w:t xml:space="preserve">养护期</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rPr>
        <w:t xml:space="preserve">个月；</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 园林附属工程为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个月；</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 其他项目保修期限约定如下：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质量保修期自工程竣工验收合格之日起计算。</w:t>
      </w:r>
      <w:r/>
    </w:p>
    <w:p>
      <w:pPr>
        <w:numPr>
          <w:ilvl w:val="0"/>
          <w:numId w:val="10"/>
        </w:numPr>
        <w:ind w:firstLine="60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缺陷责任期</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工程缺陷责任期为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24</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个月，缺陷责任期自工程竣工验收合格之日起计算。单位工程先于全部工程进行验收，单位工程缺陷责任期自单位工程验收合格之日起算。</w:t>
      </w:r>
      <w:r/>
    </w:p>
    <w:p>
      <w:pPr>
        <w:rPr>
          <w:color w:val="auto"/>
          <w:highlight w:val="none"/>
        </w:rPr>
      </w:pPr>
      <w:r>
        <w:rPr>
          <w:rFonts w:ascii="宋体" w:hAnsi="宋体" w:eastAsia="宋体" w:cs="宋体"/>
          <w:color w:val="auto"/>
          <w:sz w:val="24"/>
          <w:highlight w:val="none"/>
        </w:rPr>
        <w:t xml:space="preserve">缺陷责任期届满后，承包人仍应依法承担保修责任。</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10"/>
        </w:numPr>
        <w:ind w:firstLine="60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质量保修责任</w:t>
      </w:r>
      <w:r/>
    </w:p>
    <w:p>
      <w:pPr>
        <w:numPr>
          <w:ilvl w:val="0"/>
          <w:numId w:val="11"/>
        </w:num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属于保修范围、内容的项目，承包人应当在接到保修通知之日起7天内派人保修。承包人不在约定期限内派人保修的，发包人可以委托他人修理，费用由承包人承担；发包人尚有应付款项或履约担保的，有权依法或依约从中扣除，不足部分由承包人另行支付。</w:t>
      </w:r>
      <w:r/>
    </w:p>
    <w:p>
      <w:pPr>
        <w:numPr>
          <w:ilvl w:val="0"/>
          <w:numId w:val="11"/>
        </w:num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发生紧急事故需抢修的，承包人在接到事故通知后，应当立即到达事故现场抢修。</w:t>
      </w:r>
      <w:r/>
    </w:p>
    <w:p>
      <w:pPr>
        <w:numPr>
          <w:ilvl w:val="0"/>
          <w:numId w:val="11"/>
        </w:num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numPr>
          <w:ilvl w:val="0"/>
          <w:numId w:val="11"/>
        </w:num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在工程质量保修期内，未能在合理期限对工程质量问题进行修复，或拒绝按要求进行修复的，承包人应向发包人支付修复工程支出的实际金额。</w:t>
      </w:r>
      <w:r/>
    </w:p>
    <w:p>
      <w:pPr>
        <w:numPr>
          <w:ilvl w:val="0"/>
          <w:numId w:val="11"/>
        </w:num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质量保修完成后，由发包人组织验收。</w:t>
      </w:r>
      <w:r/>
    </w:p>
    <w:p>
      <w:pPr>
        <w:ind w:left="600"/>
        <w:spacing w:line="440" w:lineRule="exact"/>
        <w:rPr>
          <w:rFonts w:ascii="宋体" w:hAnsi="宋体" w:cs="宋体"/>
          <w:color w:val="auto"/>
          <w:sz w:val="24"/>
          <w:szCs w:val="24"/>
          <w:highlight w:val="none"/>
          <w:u w:val="single"/>
        </w:rPr>
      </w:pPr>
      <w:r>
        <w:rPr>
          <w:rFonts w:hint="eastAsia" w:ascii="宋体" w:hAnsi="宋体" w:cs="宋体"/>
          <w:b/>
          <w:color w:val="auto"/>
          <w:sz w:val="24"/>
          <w:szCs w:val="24"/>
          <w:highlight w:val="none"/>
        </w:rPr>
        <w:t xml:space="preserve">五、双方约定的其他工程质量保修项</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工程质量保修书由发包人、承包人在工程竣工验收前共同签署，作为施工合同附件，其有效期限至保修期满。 </w:t>
      </w:r>
      <w:r/>
    </w:p>
    <w:p>
      <w:pPr>
        <w:pStyle w:val="100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2"/>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2"/>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40" w:lineRule="exact"/>
        <w:rPr>
          <w:rFonts w:ascii="宋体" w:hAnsi="宋体" w:cs="宋体"/>
          <w:color w:val="auto"/>
          <w:sz w:val="24"/>
          <w:szCs w:val="24"/>
          <w:highlight w:val="none"/>
        </w:rPr>
        <w:outlineLvl w:val="1"/>
      </w:pPr>
      <w:r/>
      <w:bookmarkStart w:id="922" w:name="_Toc2094516902"/>
      <w:r/>
      <w:bookmarkStart w:id="923" w:name="_Toc184263479"/>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-328930</wp:posOffset>
                </wp:positionH>
                <wp:positionV relativeFrom="paragraph">
                  <wp:posOffset>57785</wp:posOffset>
                </wp:positionV>
                <wp:extent cx="2843530" cy="4773295"/>
                <wp:effectExtent l="0" t="0" r="6350" b="12065"/>
                <wp:wrapNone/>
                <wp:docPr id="12" name="文本框 8"/>
                <wp:cNvGraphicFramePr/>
                <a:graphic xmlns:a="http://schemas.openxmlformats.org/drawingml/2006/main">
                  <a:graphicData uri="http://schemas.microsoft.com/office/word/2010/wordprocessingShape">
                    <wps:wsp>
                      <wps:cNvPr id="0" name=""/>
                      <wps:cNvSpPr txBox="1"/>
                      <wps:spPr bwMode="auto">
                        <a:xfrm>
                          <a:off x="0" y="0"/>
                          <a:ext cx="2843530" cy="4773295"/>
                        </a:xfrm>
                        <a:prstGeom prst="rect">
                          <a:avLst/>
                        </a:prstGeom>
                        <a:solidFill>
                          <a:srgbClr val="FFFFFF"/>
                        </a:solidFill>
                        <a:ln>
                          <a:noFill/>
                        </a:ln>
                      </wps:spPr>
                      <wps:txbx>
                        <w:txbxContent>
                          <w:p>
                            <w:pPr>
                              <w:spacing w:line="360" w:lineRule="auto"/>
                              <w:rPr>
                                <w:rFonts w:ascii="宋体" w:hAnsi="宋体" w:cs="宋体"/>
                                <w:sz w:val="24"/>
                                <w:szCs w:val="24"/>
                              </w:rPr>
                            </w:pPr>
                            <w:r>
                              <w:rPr>
                                <w:rFonts w:hint="eastAsia" w:ascii="宋体" w:hAnsi="宋体" w:cs="宋体"/>
                                <w:sz w:val="24"/>
                                <w:szCs w:val="24"/>
                              </w:rPr>
                              <w:t xml:space="preserve">发包人：（公章）</w:t>
                            </w:r>
                            <w:r/>
                          </w:p>
                          <w:p>
                            <w:pPr>
                              <w:spacing w:line="360" w:lineRule="auto"/>
                              <w:rPr>
                                <w:rFonts w:ascii="宋体" w:hAnsi="宋体" w:cs="宋体"/>
                                <w:sz w:val="24"/>
                                <w:szCs w:val="24"/>
                                <w:u w:val="single"/>
                              </w:rPr>
                            </w:pPr>
                            <w:r>
                              <w:rPr>
                                <w:rFonts w:hint="eastAsia" w:ascii="宋体" w:hAnsi="宋体" w:cs="宋体"/>
                                <w:sz w:val="24"/>
                                <w:szCs w:val="24"/>
                              </w:rPr>
                              <w:t xml:space="preserve">法定代表人或其委托代理人：</w:t>
                            </w:r>
                            <w:r/>
                          </w:p>
                          <w:p>
                            <w:pPr>
                              <w:spacing w:line="360" w:lineRule="auto"/>
                              <w:rPr>
                                <w:rFonts w:hint="eastAsia" w:ascii="宋体" w:hAnsi="宋体" w:eastAsia="宋体" w:cs="宋体"/>
                                <w:sz w:val="24"/>
                                <w:szCs w:val="24"/>
                                <w:u w:val="single"/>
                                <w:lang w:eastAsia="zh-CN"/>
                              </w:rPr>
                            </w:pPr>
                            <w:r>
                              <w:rPr>
                                <w:rFonts w:hint="eastAsia" w:ascii="宋体" w:hAnsi="宋体" w:cs="宋体"/>
                                <w:sz w:val="24"/>
                                <w:szCs w:val="24"/>
                              </w:rPr>
                              <w:t xml:space="preserve">社会统一信用代码证号：</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邮政编码：</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传  真：</w:t>
                            </w:r>
                            <w:r>
                              <w:rPr>
                                <w:rFonts w:hint="eastAsia" w:ascii="宋体" w:hAnsi="宋体" w:cs="宋体"/>
                                <w:sz w:val="24"/>
                                <w:szCs w:val="24"/>
                                <w:u w:val="single"/>
                              </w:rPr>
                              <w:t xml:space="preserve">                            </w:t>
                            </w:r>
                            <w:r/>
                          </w:p>
                          <w:p>
                            <w:pPr>
                              <w:spacing w:line="360" w:lineRule="auto"/>
                              <w:rPr>
                                <w:rFonts w:hint="eastAsia" w:ascii="宋体" w:hAnsi="宋体" w:eastAsia="宋体" w:cs="宋体"/>
                                <w:sz w:val="24"/>
                                <w:szCs w:val="24"/>
                                <w:u w:val="single"/>
                                <w:lang w:eastAsia="zh-CN"/>
                              </w:rPr>
                            </w:pPr>
                            <w:r>
                              <w:rPr>
                                <w:rFonts w:hint="eastAsia" w:ascii="宋体" w:hAnsi="宋体" w:cs="宋体"/>
                                <w:sz w:val="24"/>
                                <w:szCs w:val="24"/>
                              </w:rPr>
                              <w:t xml:space="preserve">开户银行：</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账  号：</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p>
                          <w:p>
                            <w:pPr>
                              <w:ind w:firstLine="0"/>
                              <w:spacing w:line="360" w:lineRule="auto"/>
                              <w:rPr>
                                <w:sz w:val="24"/>
                                <w:szCs w:val="24"/>
                                <w:u w:val="single"/>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  </w:t>
                            </w:r>
                            <w:r/>
                          </w:p>
                        </w:txbxContent>
                      </wps:txbx>
                      <wps:bodyPr wrap="square" upright="1"/>
                    </wps:wsp>
                  </a:graphicData>
                </a:graphic>
              </wp:anchor>
            </w:drawing>
          </mc:Choice>
          <mc:Fallback>
            <w:pict>
              <v:shape id="shape 11" o:spid="_x0000_s11" o:spt="202" type="#_x0000_t202" style="position:absolute;z-index:251661312;o:allowoverlap:true;o:allowincell:true;mso-position-horizontal-relative:text;margin-left:-25.9pt;mso-position-horizontal:absolute;mso-position-vertical-relative:text;margin-top:4.5pt;mso-position-vertical:absolute;width:223.9pt;height:375.8pt;mso-wrap-distance-left:9.0pt;mso-wrap-distance-top:0.0pt;mso-wrap-distance-right:9.0pt;mso-wrap-distance-bottom:0.0pt;visibility:visible;" fillcolor="#FFFFFF" stroked="f">
                <v:textbox inset="0,0,0,0">
                  <w:txbxContent>
                    <w:p>
                      <w:pPr>
                        <w:spacing w:line="360" w:lineRule="auto"/>
                        <w:rPr>
                          <w:rFonts w:ascii="宋体" w:hAnsi="宋体" w:cs="宋体"/>
                          <w:sz w:val="24"/>
                          <w:szCs w:val="24"/>
                        </w:rPr>
                      </w:pPr>
                      <w:r>
                        <w:rPr>
                          <w:rFonts w:hint="eastAsia" w:ascii="宋体" w:hAnsi="宋体" w:cs="宋体"/>
                          <w:sz w:val="24"/>
                          <w:szCs w:val="24"/>
                        </w:rPr>
                        <w:t xml:space="preserve">发包人：（公章）</w:t>
                      </w:r>
                      <w:r/>
                    </w:p>
                    <w:p>
                      <w:pPr>
                        <w:spacing w:line="360" w:lineRule="auto"/>
                        <w:rPr>
                          <w:rFonts w:ascii="宋体" w:hAnsi="宋体" w:cs="宋体"/>
                          <w:sz w:val="24"/>
                          <w:szCs w:val="24"/>
                          <w:u w:val="single"/>
                        </w:rPr>
                      </w:pPr>
                      <w:r>
                        <w:rPr>
                          <w:rFonts w:hint="eastAsia" w:ascii="宋体" w:hAnsi="宋体" w:cs="宋体"/>
                          <w:sz w:val="24"/>
                          <w:szCs w:val="24"/>
                        </w:rPr>
                        <w:t xml:space="preserve">法定代表人或其委托代理人：</w:t>
                      </w:r>
                      <w:r/>
                    </w:p>
                    <w:p>
                      <w:pPr>
                        <w:spacing w:line="360" w:lineRule="auto"/>
                        <w:rPr>
                          <w:rFonts w:hint="eastAsia" w:ascii="宋体" w:hAnsi="宋体" w:eastAsia="宋体" w:cs="宋体"/>
                          <w:sz w:val="24"/>
                          <w:szCs w:val="24"/>
                          <w:u w:val="single"/>
                          <w:lang w:eastAsia="zh-CN"/>
                        </w:rPr>
                      </w:pPr>
                      <w:r>
                        <w:rPr>
                          <w:rFonts w:hint="eastAsia" w:ascii="宋体" w:hAnsi="宋体" w:cs="宋体"/>
                          <w:sz w:val="24"/>
                          <w:szCs w:val="24"/>
                        </w:rPr>
                        <w:t xml:space="preserve">社会统一信用代码证号：</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邮政编码：</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传  真：</w:t>
                      </w:r>
                      <w:r>
                        <w:rPr>
                          <w:rFonts w:hint="eastAsia" w:ascii="宋体" w:hAnsi="宋体" w:cs="宋体"/>
                          <w:sz w:val="24"/>
                          <w:szCs w:val="24"/>
                          <w:u w:val="single"/>
                        </w:rPr>
                        <w:t xml:space="preserve">                            </w:t>
                      </w:r>
                      <w:r/>
                    </w:p>
                    <w:p>
                      <w:pPr>
                        <w:spacing w:line="360" w:lineRule="auto"/>
                        <w:rPr>
                          <w:rFonts w:hint="eastAsia" w:ascii="宋体" w:hAnsi="宋体" w:eastAsia="宋体" w:cs="宋体"/>
                          <w:sz w:val="24"/>
                          <w:szCs w:val="24"/>
                          <w:u w:val="single"/>
                          <w:lang w:eastAsia="zh-CN"/>
                        </w:rPr>
                      </w:pPr>
                      <w:r>
                        <w:rPr>
                          <w:rFonts w:hint="eastAsia" w:ascii="宋体" w:hAnsi="宋体" w:cs="宋体"/>
                          <w:sz w:val="24"/>
                          <w:szCs w:val="24"/>
                        </w:rPr>
                        <w:t xml:space="preserve">开户银行：</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账  号：</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p>
                    <w:p>
                      <w:pPr>
                        <w:ind w:firstLine="0"/>
                        <w:spacing w:line="360" w:lineRule="auto"/>
                        <w:rPr>
                          <w:sz w:val="24"/>
                          <w:szCs w:val="24"/>
                          <w:u w:val="single"/>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  </w:t>
                      </w:r>
                      <w:r/>
                    </w:p>
                  </w:txbxContent>
                </v:textbox>
              </v:shape>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2522855</wp:posOffset>
                </wp:positionH>
                <wp:positionV relativeFrom="paragraph">
                  <wp:posOffset>71755</wp:posOffset>
                </wp:positionV>
                <wp:extent cx="2829560" cy="4761865"/>
                <wp:effectExtent l="0" t="0" r="5080" b="8255"/>
                <wp:wrapNone/>
                <wp:docPr id="13" name="文本框 7"/>
                <wp:cNvGraphicFramePr/>
                <a:graphic xmlns:a="http://schemas.openxmlformats.org/drawingml/2006/main">
                  <a:graphicData uri="http://schemas.microsoft.com/office/word/2010/wordprocessingShape">
                    <wps:wsp>
                      <wps:cNvPr id="0" name=""/>
                      <wps:cNvSpPr txBox="1"/>
                      <wps:spPr bwMode="auto">
                        <a:xfrm>
                          <a:off x="0" y="0"/>
                          <a:ext cx="2829560" cy="4761865"/>
                        </a:xfrm>
                        <a:prstGeom prst="rect">
                          <a:avLst/>
                        </a:prstGeom>
                        <a:solidFill>
                          <a:srgbClr val="FFFFFF"/>
                        </a:solidFill>
                        <a:ln>
                          <a:noFill/>
                        </a:ln>
                      </wps:spPr>
                      <wps:txbx>
                        <w:txbxContent>
                          <w:p>
                            <w:pPr>
                              <w:spacing w:line="360" w:lineRule="auto"/>
                              <w:rPr>
                                <w:rFonts w:ascii="宋体" w:hAnsi="宋体" w:cs="宋体"/>
                                <w:sz w:val="24"/>
                                <w:szCs w:val="24"/>
                              </w:rPr>
                            </w:pPr>
                            <w:r>
                              <w:rPr>
                                <w:rFonts w:hint="eastAsia" w:ascii="宋体" w:hAnsi="宋体" w:cs="宋体"/>
                                <w:sz w:val="24"/>
                                <w:szCs w:val="24"/>
                              </w:rPr>
                              <w:t xml:space="preserve">承包人：（公章）</w:t>
                            </w:r>
                            <w:r/>
                          </w:p>
                          <w:p>
                            <w:pPr>
                              <w:spacing w:line="360" w:lineRule="auto"/>
                              <w:rPr>
                                <w:rFonts w:ascii="宋体" w:hAnsi="宋体" w:cs="宋体"/>
                                <w:sz w:val="24"/>
                                <w:szCs w:val="24"/>
                              </w:rPr>
                            </w:pPr>
                            <w:r>
                              <w:rPr>
                                <w:rFonts w:hint="eastAsia" w:ascii="宋体" w:hAnsi="宋体" w:cs="宋体"/>
                                <w:sz w:val="24"/>
                                <w:szCs w:val="24"/>
                              </w:rPr>
                              <w:t xml:space="preserve">法定代表人或其委托代理人：</w:t>
                            </w:r>
                            <w:r/>
                          </w:p>
                          <w:p>
                            <w:pPr>
                              <w:jc w:val="left"/>
                              <w:spacing w:line="360" w:lineRule="auto"/>
                              <w:rPr>
                                <w:rFonts w:hint="eastAsia" w:ascii="宋体" w:hAnsi="宋体" w:cs="宋体"/>
                                <w:sz w:val="24"/>
                                <w:szCs w:val="24"/>
                              </w:rPr>
                            </w:pPr>
                            <w:r>
                              <w:rPr>
                                <w:rFonts w:hint="eastAsia" w:ascii="宋体" w:hAnsi="宋体" w:cs="宋体"/>
                                <w:sz w:val="24"/>
                                <w:szCs w:val="24"/>
                              </w:rPr>
                              <w:t xml:space="preserve">社会统一信用代码：</w:t>
                            </w:r>
                            <w:r/>
                          </w:p>
                          <w:p>
                            <w:pPr>
                              <w:spacing w:line="360" w:lineRule="auto"/>
                              <w:rPr>
                                <w:rFonts w:hint="eastAsia" w:ascii="宋体" w:hAnsi="宋体" w:cs="宋体"/>
                                <w:sz w:val="24"/>
                                <w:szCs w:val="24"/>
                                <w:u w:val="single"/>
                                <w:lang w:val="en-US" w:eastAsia="zh-CN"/>
                              </w:rPr>
                            </w:pP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line="360" w:lineRule="auto"/>
                              <w:rPr>
                                <w:rFonts w:hint="default" w:ascii="宋体" w:hAnsi="宋体" w:eastAsia="宋体" w:cs="宋体"/>
                                <w:sz w:val="24"/>
                                <w:szCs w:val="24"/>
                                <w:u w:val="single"/>
                                <w:lang w:val="en-US" w:eastAsia="zh-CN"/>
                              </w:rPr>
                            </w:pPr>
                            <w:r>
                              <w:rPr>
                                <w:rFonts w:hint="eastAsia" w:ascii="宋体" w:hAnsi="宋体" w:cs="宋体"/>
                                <w:sz w:val="24"/>
                                <w:szCs w:val="24"/>
                              </w:rPr>
                              <w:t xml:space="preserve">传  真：</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p>
                          <w:p>
                            <w:pPr>
                              <w:ind w:firstLine="0"/>
                              <w:spacing w:line="360" w:lineRule="auto"/>
                              <w:rPr>
                                <w:sz w:val="28"/>
                                <w:szCs w:val="28"/>
                                <w:u w:val="single"/>
                              </w:rPr>
                            </w:pPr>
                            <w:r>
                              <w:rPr>
                                <w:rFonts w:hint="eastAsia" w:ascii="宋体" w:hAnsi="宋体" w:cs="宋体"/>
                                <w:sz w:val="24"/>
                                <w:szCs w:val="24"/>
                              </w:rPr>
                              <w:t xml:space="preserve">开户银行： </w:t>
                            </w:r>
                            <w:r>
                              <w:rPr>
                                <w:rFonts w:hint="eastAsia" w:ascii="宋体" w:hAnsi="宋体" w:cs="宋体"/>
                                <w:sz w:val="24"/>
                                <w:szCs w:val="24"/>
                                <w:u w:val="single"/>
                                <w:lang w:val="en-US" w:eastAsia="zh-CN"/>
                              </w:rPr>
                              <w:t xml:space="preserve">                        </w:t>
                            </w:r>
                            <w:r/>
                          </w:p>
                        </w:txbxContent>
                      </wps:txbx>
                      <wps:bodyPr wrap="square" upright="1"/>
                    </wps:wsp>
                  </a:graphicData>
                </a:graphic>
              </wp:anchor>
            </w:drawing>
          </mc:Choice>
          <mc:Fallback>
            <w:pict>
              <v:shape id="shape 12" o:spid="_x0000_s12" o:spt="202" type="#_x0000_t202" style="position:absolute;z-index:251660288;o:allowoverlap:true;o:allowincell:true;mso-position-horizontal-relative:text;margin-left:198.6pt;mso-position-horizontal:absolute;mso-position-vertical-relative:text;margin-top:5.6pt;mso-position-vertical:absolute;width:222.8pt;height:374.9pt;mso-wrap-distance-left:9.0pt;mso-wrap-distance-top:0.0pt;mso-wrap-distance-right:9.0pt;mso-wrap-distance-bottom:0.0pt;visibility:visible;" fillcolor="#FFFFFF" stroked="f">
                <v:textbox inset="0,0,0,0">
                  <w:txbxContent>
                    <w:p>
                      <w:pPr>
                        <w:spacing w:line="360" w:lineRule="auto"/>
                        <w:rPr>
                          <w:rFonts w:ascii="宋体" w:hAnsi="宋体" w:cs="宋体"/>
                          <w:sz w:val="24"/>
                          <w:szCs w:val="24"/>
                        </w:rPr>
                      </w:pPr>
                      <w:r>
                        <w:rPr>
                          <w:rFonts w:hint="eastAsia" w:ascii="宋体" w:hAnsi="宋体" w:cs="宋体"/>
                          <w:sz w:val="24"/>
                          <w:szCs w:val="24"/>
                        </w:rPr>
                        <w:t xml:space="preserve">承包人：（公章）</w:t>
                      </w:r>
                      <w:r/>
                    </w:p>
                    <w:p>
                      <w:pPr>
                        <w:spacing w:line="360" w:lineRule="auto"/>
                        <w:rPr>
                          <w:rFonts w:ascii="宋体" w:hAnsi="宋体" w:cs="宋体"/>
                          <w:sz w:val="24"/>
                          <w:szCs w:val="24"/>
                        </w:rPr>
                      </w:pPr>
                      <w:r>
                        <w:rPr>
                          <w:rFonts w:hint="eastAsia" w:ascii="宋体" w:hAnsi="宋体" w:cs="宋体"/>
                          <w:sz w:val="24"/>
                          <w:szCs w:val="24"/>
                        </w:rPr>
                        <w:t xml:space="preserve">法定代表人或其委托代理人：</w:t>
                      </w:r>
                      <w:r/>
                    </w:p>
                    <w:p>
                      <w:pPr>
                        <w:jc w:val="left"/>
                        <w:spacing w:line="360" w:lineRule="auto"/>
                        <w:rPr>
                          <w:rFonts w:hint="eastAsia" w:ascii="宋体" w:hAnsi="宋体" w:cs="宋体"/>
                          <w:sz w:val="24"/>
                          <w:szCs w:val="24"/>
                        </w:rPr>
                      </w:pPr>
                      <w:r>
                        <w:rPr>
                          <w:rFonts w:hint="eastAsia" w:ascii="宋体" w:hAnsi="宋体" w:cs="宋体"/>
                          <w:sz w:val="24"/>
                          <w:szCs w:val="24"/>
                        </w:rPr>
                        <w:t xml:space="preserve">社会统一信用代码：</w:t>
                      </w:r>
                      <w:r/>
                    </w:p>
                    <w:p>
                      <w:pPr>
                        <w:spacing w:line="360" w:lineRule="auto"/>
                        <w:rPr>
                          <w:rFonts w:hint="eastAsia" w:ascii="宋体" w:hAnsi="宋体" w:cs="宋体"/>
                          <w:sz w:val="24"/>
                          <w:szCs w:val="24"/>
                          <w:u w:val="single"/>
                          <w:lang w:val="en-US" w:eastAsia="zh-CN"/>
                        </w:rPr>
                      </w:pP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line="360" w:lineRule="auto"/>
                        <w:rPr>
                          <w:rFonts w:hint="default" w:ascii="宋体" w:hAnsi="宋体" w:eastAsia="宋体" w:cs="宋体"/>
                          <w:sz w:val="24"/>
                          <w:szCs w:val="24"/>
                          <w:u w:val="single"/>
                          <w:lang w:val="en-US" w:eastAsia="zh-CN"/>
                        </w:rPr>
                      </w:pPr>
                      <w:r>
                        <w:rPr>
                          <w:rFonts w:hint="eastAsia" w:ascii="宋体" w:hAnsi="宋体" w:cs="宋体"/>
                          <w:sz w:val="24"/>
                          <w:szCs w:val="24"/>
                        </w:rPr>
                        <w:t xml:space="preserve">传  真：</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p>
                    <w:p>
                      <w:pPr>
                        <w:ind w:firstLine="0"/>
                        <w:spacing w:line="360" w:lineRule="auto"/>
                        <w:rPr>
                          <w:sz w:val="28"/>
                          <w:szCs w:val="28"/>
                          <w:u w:val="single"/>
                        </w:rPr>
                      </w:pPr>
                      <w:r>
                        <w:rPr>
                          <w:rFonts w:hint="eastAsia" w:ascii="宋体" w:hAnsi="宋体" w:cs="宋体"/>
                          <w:sz w:val="24"/>
                          <w:szCs w:val="24"/>
                        </w:rPr>
                        <w:t xml:space="preserve">开户银行： </w:t>
                      </w:r>
                      <w:r>
                        <w:rPr>
                          <w:rFonts w:hint="eastAsia" w:ascii="宋体" w:hAnsi="宋体" w:cs="宋体"/>
                          <w:sz w:val="24"/>
                          <w:szCs w:val="24"/>
                          <w:u w:val="single"/>
                          <w:lang w:val="en-US" w:eastAsia="zh-CN"/>
                        </w:rPr>
                        <w:t xml:space="preserve">                        </w:t>
                      </w:r>
                      <w:r/>
                    </w:p>
                  </w:txbxContent>
                </v:textbox>
              </v:shape>
            </w:pict>
          </mc:Fallback>
        </mc:AlternateContent>
      </w:r>
      <w:r/>
    </w:p>
    <w:p>
      <w:pPr>
        <w:spacing w:line="440" w:lineRule="exact"/>
        <w:rPr>
          <w:rFonts w:ascii="宋体" w:hAnsi="宋体" w:cs="宋体"/>
          <w:color w:val="auto"/>
          <w:sz w:val="24"/>
          <w:szCs w:val="24"/>
          <w:highlight w:val="none"/>
        </w:rPr>
        <w:outlineLvl w:val="1"/>
      </w:pPr>
      <w:r>
        <w:rPr>
          <w:rFonts w:ascii="宋体" w:hAnsi="宋体" w:cs="宋体"/>
          <w:color w:val="auto"/>
          <w:sz w:val="24"/>
          <w:szCs w:val="24"/>
          <w:highlight w:val="none"/>
        </w:rPr>
      </w:r>
      <w:r/>
    </w:p>
    <w:p>
      <w:pPr>
        <w:spacing w:line="440" w:lineRule="exact"/>
        <w:rPr>
          <w:rFonts w:hint="eastAsia" w:ascii="宋体" w:hAnsi="宋体" w:cs="宋体"/>
          <w:color w:val="auto"/>
          <w:sz w:val="24"/>
          <w:szCs w:val="24"/>
          <w:highlight w:val="none"/>
        </w:rPr>
        <w:outlineLvl w:val="1"/>
      </w:pPr>
      <w:r/>
      <w:bookmarkStart w:id="924" w:name="_Toc362478915"/>
      <w:r/>
      <w:r/>
    </w:p>
    <w:p>
      <w:pPr>
        <w:spacing w:line="440" w:lineRule="exact"/>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附件8：</w:t>
      </w:r>
      <w:bookmarkEnd w:id="922"/>
      <w:r/>
      <w:bookmarkEnd w:id="923"/>
      <w:r/>
      <w:bookmarkEnd w:id="924"/>
      <w:r/>
      <w:r/>
    </w:p>
    <w:p>
      <w:pPr>
        <w:pStyle w:val="955"/>
        <w:jc w:val="center"/>
        <w:spacing w:before="0" w:line="440" w:lineRule="exact"/>
        <w:rPr>
          <w:rFonts w:hint="eastAsia" w:ascii="宋体" w:hAnsi="宋体" w:cs="宋体"/>
          <w:bCs w:val="0"/>
          <w:color w:val="auto"/>
          <w:sz w:val="36"/>
          <w:szCs w:val="36"/>
          <w:highlight w:val="none"/>
        </w:rPr>
      </w:pPr>
      <w:r/>
      <w:bookmarkStart w:id="925" w:name="_Toc41181775"/>
      <w:r/>
      <w:bookmarkStart w:id="926" w:name="_Toc1106295181"/>
      <w:r>
        <w:rPr>
          <w:rFonts w:hint="eastAsia" w:ascii="宋体" w:hAnsi="宋体" w:cs="宋体"/>
          <w:bCs w:val="0"/>
          <w:color w:val="auto"/>
          <w:sz w:val="36"/>
          <w:szCs w:val="36"/>
          <w:highlight w:val="none"/>
        </w:rPr>
        <w:t xml:space="preserve">廉政建设责任书</w:t>
      </w:r>
      <w:bookmarkEnd w:id="925"/>
      <w:r/>
      <w:bookmarkEnd w:id="926"/>
      <w:r/>
      <w:r/>
    </w:p>
    <w:p>
      <w:pPr>
        <w:rPr>
          <w:rFonts w:hint="eastAsia" w:ascii="宋体" w:hAnsi="宋体" w:cs="宋体"/>
          <w:bCs w:val="0"/>
          <w:color w:val="auto"/>
          <w:sz w:val="36"/>
          <w:szCs w:val="36"/>
          <w:highlight w:val="none"/>
        </w:rPr>
      </w:pPr>
      <w:r>
        <w:rPr>
          <w:rFonts w:hint="eastAsia" w:ascii="宋体" w:hAnsi="宋体" w:cs="宋体"/>
          <w:bCs w:val="0"/>
          <w:color w:val="auto"/>
          <w:sz w:val="36"/>
          <w:szCs w:val="36"/>
          <w:highlight w:val="none"/>
        </w:rPr>
      </w:r>
      <w:r/>
    </w:p>
    <w:p>
      <w:pPr>
        <w:pStyle w:val="1001"/>
        <w:rPr>
          <w:rFonts w:hint="eastAsia" w:ascii="宋体" w:hAnsi="宋体" w:cs="宋体"/>
          <w:bCs w:val="0"/>
          <w:color w:val="auto"/>
          <w:sz w:val="36"/>
          <w:szCs w:val="36"/>
          <w:highlight w:val="none"/>
        </w:rPr>
      </w:pPr>
      <w:r>
        <w:rPr>
          <w:rFonts w:hint="eastAsia" w:ascii="宋体" w:hAnsi="宋体" w:cs="宋体"/>
          <w:bCs w:val="0"/>
          <w:color w:val="auto"/>
          <w:sz w:val="36"/>
          <w:szCs w:val="36"/>
          <w:highlight w:val="none"/>
        </w:rPr>
      </w:r>
      <w:r/>
    </w:p>
    <w:p>
      <w:pPr>
        <w:pStyle w:val="1002"/>
        <w:rPr>
          <w:rFonts w:hint="eastAsia" w:ascii="宋体" w:hAnsi="宋体" w:cs="宋体"/>
          <w:bCs w:val="0"/>
          <w:color w:val="auto"/>
          <w:sz w:val="36"/>
          <w:szCs w:val="36"/>
          <w:highlight w:val="none"/>
        </w:rPr>
      </w:pPr>
      <w:r>
        <w:rPr>
          <w:rFonts w:hint="eastAsia" w:ascii="宋体" w:hAnsi="宋体" w:cs="宋体"/>
          <w:bCs w:val="0"/>
          <w:color w:val="auto"/>
          <w:sz w:val="36"/>
          <w:szCs w:val="36"/>
          <w:highlight w:val="none"/>
        </w:rPr>
      </w:r>
      <w:r/>
    </w:p>
    <w:p>
      <w:pPr>
        <w:pStyle w:val="1002"/>
        <w:rPr>
          <w:rFonts w:hint="eastAsia" w:ascii="宋体" w:hAnsi="宋体" w:cs="宋体"/>
          <w:bCs w:val="0"/>
          <w:color w:val="auto"/>
          <w:sz w:val="36"/>
          <w:szCs w:val="36"/>
          <w:highlight w:val="none"/>
        </w:rPr>
      </w:pPr>
      <w:r>
        <w:rPr>
          <w:rFonts w:hint="eastAsia" w:ascii="宋体" w:hAnsi="宋体" w:cs="宋体"/>
          <w:bCs w:val="0"/>
          <w:color w:val="auto"/>
          <w:sz w:val="36"/>
          <w:szCs w:val="36"/>
          <w:highlight w:val="none"/>
        </w:rPr>
      </w:r>
      <w:r/>
    </w:p>
    <w:p>
      <w:pPr>
        <w:pStyle w:val="1002"/>
        <w:rPr>
          <w:rFonts w:hint="eastAsia" w:ascii="宋体" w:hAnsi="宋体" w:cs="宋体"/>
          <w:bCs w:val="0"/>
          <w:color w:val="auto"/>
          <w:sz w:val="36"/>
          <w:szCs w:val="36"/>
          <w:highlight w:val="none"/>
        </w:rPr>
      </w:pPr>
      <w:r>
        <w:rPr>
          <w:rFonts w:hint="eastAsia" w:ascii="宋体" w:hAnsi="宋体" w:cs="宋体"/>
          <w:bCs w:val="0"/>
          <w:color w:val="auto"/>
          <w:sz w:val="36"/>
          <w:szCs w:val="36"/>
          <w:highlight w:val="none"/>
        </w:rPr>
      </w:r>
      <w:r/>
    </w:p>
    <w:p>
      <w:pPr>
        <w:pStyle w:val="1002"/>
        <w:rPr>
          <w:rFonts w:hint="eastAsia" w:ascii="宋体" w:hAnsi="宋体" w:cs="宋体"/>
          <w:bCs w:val="0"/>
          <w:color w:val="auto"/>
          <w:sz w:val="36"/>
          <w:szCs w:val="36"/>
          <w:highlight w:val="none"/>
        </w:rPr>
      </w:pPr>
      <w:r>
        <w:rPr>
          <w:rFonts w:hint="eastAsia" w:ascii="宋体" w:hAnsi="宋体" w:cs="宋体"/>
          <w:bCs w:val="0"/>
          <w:color w:val="auto"/>
          <w:sz w:val="36"/>
          <w:szCs w:val="36"/>
          <w:highlight w:val="none"/>
        </w:rPr>
      </w:r>
      <w:r/>
    </w:p>
    <w:p>
      <w:pPr>
        <w:pStyle w:val="1002"/>
        <w:jc w:val="center"/>
        <w:rPr>
          <w:rFonts w:hint="eastAsia" w:ascii="宋体" w:hAnsi="宋体" w:cs="宋体"/>
          <w:bCs w:val="0"/>
          <w:color w:val="auto"/>
          <w:sz w:val="36"/>
          <w:szCs w:val="36"/>
          <w:highlight w:val="none"/>
        </w:rPr>
      </w:pPr>
      <w:r>
        <w:rPr>
          <w:rFonts w:hint="eastAsia" w:ascii="宋体" w:hAnsi="宋体" w:cs="宋体"/>
          <w:bCs w:val="0"/>
          <w:color w:val="auto"/>
          <w:sz w:val="36"/>
          <w:szCs w:val="36"/>
          <w:highlight w:val="none"/>
        </w:rPr>
        <w:t xml:space="preserve">廉政建设责任书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一、双方的责任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1.1应严格遵守国家关于建设工程的有关法律、法规，相关政策，以及廉政建设的各项规定。</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1.2严格执行建设工程合同文件，自觉按合同办事。</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1.4发现对方在业务活动中有违规、违纪、违法行为的，应及时提醒对方，情节严重的，应向其上级主管部门或纪检监察、司法等有关机关举报。</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二、发包人责任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发包人从事该建设工程项目的负责人和工作人员，在工程建设的事前、事中、事后应遵守以下规定：</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2.1不得向承包人和相关单位索要或接受回扣、礼金、有价证券、贵重物品和好处费、感谢费等。</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2.2不得在承包人和相关单位报销任何应由发包人或个人支付的费用。</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2.3不得要求、暗示或接受承包人和相关单位为个人装修住房、婚丧嫁娶、配偶子女的工作安排以及出国(境)、旅游等提供方便。</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2.4不得参加有可能影响公正执行公务的承包人和相关单位的宴请、健身、娱乐等活动。</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三、承包人责任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3.1不得以任何理由向发包人及其工作人员索要、接受或赠送礼金、有价证券、贵重物品及回扣、好处费、感谢费等。</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3.2不得以任何理由为发包人和相关单位报销应由对方或个人支付的费用。</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3.3不得接受或暗示为发包人、相关单位或个人装修住房、婚丧嫁娶、配偶子女的工作安排以及出国(境)、旅游等提供方便。</w:t>
      </w:r>
      <w:r/>
    </w:p>
    <w:p>
      <w:pPr>
        <w:ind w:firstLine="480"/>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3.4不得以任何理由为发包人、相关单位或个人组织有可能影响公正执行公务的宴请、健身、娱乐等活动。</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四、违约责任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4.3本责任书作为本合同的组成部分，与本合同具有同等法律效力，经双方签署后立即生效。</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五、责任书有效期</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本责任书的有效期为双方签署之日起至该工程项目竣工验收合格时止。</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六、责任书份数</w:t>
      </w:r>
      <w:r/>
    </w:p>
    <w:p>
      <w:pPr>
        <w:ind w:firstLine="480"/>
        <w:spacing w:line="440" w:lineRule="exact"/>
        <w:rPr>
          <w:color w:val="auto"/>
          <w:highlight w:val="none"/>
        </w:rPr>
      </w:pPr>
      <w:r>
        <w:rPr>
          <w:rFonts w:hint="eastAsia" w:ascii="宋体" w:hAnsi="宋体" w:cs="宋体"/>
          <w:color w:val="auto"/>
          <w:sz w:val="24"/>
          <w:szCs w:val="24"/>
          <w:highlight w:val="none"/>
        </w:rPr>
        <w:t xml:space="preserve">本责任书一式两份，发包人承包人各执一份，具有同等效力。</w:t>
      </w:r>
      <w:r/>
    </w:p>
    <w:p>
      <w:pPr>
        <w:ind w:left="105"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2803525</wp:posOffset>
                </wp:positionH>
                <wp:positionV relativeFrom="paragraph">
                  <wp:posOffset>62230</wp:posOffset>
                </wp:positionV>
                <wp:extent cx="2865755" cy="2667635"/>
                <wp:effectExtent l="0" t="0" r="14604" b="14604"/>
                <wp:wrapNone/>
                <wp:docPr id="14" name="文本框 9"/>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ln>
                      </wps:spPr>
                      <wps:txbx>
                        <w:txbxContent>
                          <w:p>
                            <w:pPr>
                              <w:ind w:firstLine="561"/>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承包人：（公章）</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法定代表人或其委托代理人：（签字）</w:t>
                            </w:r>
                            <w:r>
                              <w:rPr>
                                <w:rFonts w:hint="eastAsia" w:ascii="宋体" w:hAnsi="宋体" w:eastAsia="宋体" w:cs="宋体"/>
                                <w:sz w:val="24"/>
                                <w:szCs w:val="24"/>
                                <w:u w:val="single"/>
                              </w:rPr>
                              <w:t xml:space="preserve">                       </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  址：</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561"/>
                              <w:spacing w:line="360" w:lineRule="auto"/>
                              <w:rPr>
                                <w:rFonts w:hint="eastAsia" w:ascii="宋体" w:hAnsi="宋体" w:cs="宋体"/>
                                <w:sz w:val="24"/>
                                <w:szCs w:val="24"/>
                                <w:u w:val="single"/>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txbxContent>
                      </wps:txbx>
                      <wps:bodyPr wrap="square" upright="1"/>
                    </wps:wsp>
                  </a:graphicData>
                </a:graphic>
              </wp:anchor>
            </w:drawing>
          </mc:Choice>
          <mc:Fallback>
            <w:pict>
              <v:shape id="shape 13" o:spid="_x0000_s13" o:spt="202" type="#_x0000_t202" style="position:absolute;z-index:251663360;o:allowoverlap:true;o:allowincell:true;mso-position-horizontal-relative:text;margin-left:220.8pt;mso-position-horizontal:absolute;mso-position-vertical-relative:text;margin-top:4.9pt;mso-position-vertical:absolute;width:225.6pt;height:210.0pt;mso-wrap-distance-left:9.0pt;mso-wrap-distance-top:0.0pt;mso-wrap-distance-right:9.0pt;mso-wrap-distance-bottom:0.0pt;visibility:visible;" fillcolor="#FFFFFF" stroked="f">
                <v:textbox inset="0,0,0,0">
                  <w:txbxContent>
                    <w:p>
                      <w:pPr>
                        <w:ind w:firstLine="561"/>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承包人：（公章）</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法定代表人或其委托代理人：（签字）</w:t>
                      </w:r>
                      <w:r>
                        <w:rPr>
                          <w:rFonts w:hint="eastAsia" w:ascii="宋体" w:hAnsi="宋体" w:eastAsia="宋体" w:cs="宋体"/>
                          <w:sz w:val="24"/>
                          <w:szCs w:val="24"/>
                          <w:u w:val="single"/>
                        </w:rPr>
                        <w:t xml:space="preserve">                       </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  址：</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561"/>
                        <w:spacing w:line="360" w:lineRule="auto"/>
                        <w:rPr>
                          <w:rFonts w:hint="eastAsia" w:ascii="宋体" w:hAnsi="宋体" w:cs="宋体"/>
                          <w:sz w:val="24"/>
                          <w:szCs w:val="24"/>
                          <w:u w:val="single"/>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txbxContent>
                </v:textbox>
              </v:shape>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-60960</wp:posOffset>
                </wp:positionH>
                <wp:positionV relativeFrom="paragraph">
                  <wp:posOffset>63500</wp:posOffset>
                </wp:positionV>
                <wp:extent cx="2865755" cy="2667635"/>
                <wp:effectExtent l="0" t="0" r="14604" b="14604"/>
                <wp:wrapNone/>
                <wp:docPr id="15" name="文本框 10"/>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ln>
                      </wps:spPr>
                      <wps:txbx>
                        <w:txbxContent>
                          <w:p>
                            <w:pPr>
                              <w:ind w:firstLine="561"/>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发包人：（公章）</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法定代表人或其委托代理人：（签字）</w:t>
                            </w:r>
                            <w:r>
                              <w:rPr>
                                <w:rFonts w:hint="eastAsia" w:ascii="宋体" w:hAnsi="宋体" w:eastAsia="宋体" w:cs="宋体"/>
                                <w:sz w:val="24"/>
                                <w:szCs w:val="24"/>
                                <w:u w:val="single"/>
                              </w:rPr>
                              <w:t xml:space="preserve">                       </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txbxContent>
                      </wps:txbx>
                      <wps:bodyPr wrap="square" upright="1"/>
                    </wps:wsp>
                  </a:graphicData>
                </a:graphic>
              </wp:anchor>
            </w:drawing>
          </mc:Choice>
          <mc:Fallback>
            <w:pict>
              <v:shape id="shape 14" o:spid="_x0000_s14" o:spt="202" type="#_x0000_t202" style="position:absolute;z-index:251662336;o:allowoverlap:true;o:allowincell:true;mso-position-horizontal-relative:text;margin-left:-4.8pt;mso-position-horizontal:absolute;mso-position-vertical-relative:text;margin-top:5.0pt;mso-position-vertical:absolute;width:225.6pt;height:210.0pt;mso-wrap-distance-left:9.0pt;mso-wrap-distance-top:0.0pt;mso-wrap-distance-right:9.0pt;mso-wrap-distance-bottom:0.0pt;visibility:visible;" fillcolor="#FFFFFF" stroked="f">
                <v:textbox inset="0,0,0,0">
                  <w:txbxContent>
                    <w:p>
                      <w:pPr>
                        <w:ind w:firstLine="561"/>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发包人：（公章）</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法定代表人或其委托代理人：（签字）</w:t>
                      </w:r>
                      <w:r>
                        <w:rPr>
                          <w:rFonts w:hint="eastAsia" w:ascii="宋体" w:hAnsi="宋体" w:eastAsia="宋体" w:cs="宋体"/>
                          <w:sz w:val="24"/>
                          <w:szCs w:val="24"/>
                          <w:u w:val="single"/>
                        </w:rPr>
                        <w:t xml:space="preserve">                       </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56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txbxContent>
                </v:textbox>
              </v:shape>
            </w:pict>
          </mc:Fallback>
        </mc:AlternateContent>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40" w:lineRule="exact"/>
        <w:rPr>
          <w:rFonts w:ascii="宋体" w:hAnsi="宋体" w:cs="宋体"/>
          <w:b/>
          <w:color w:val="auto"/>
          <w:sz w:val="24"/>
          <w:szCs w:val="24"/>
          <w:highlight w:val="none"/>
        </w:rPr>
      </w:pPr>
      <w:r>
        <w:rPr>
          <w:rFonts w:ascii="宋体" w:hAnsi="宋体" w:cs="宋体"/>
          <w:b/>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bookmarkEnd w:id="859"/>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5</w:t>
      </w:r>
      <w:r>
        <w:rPr>
          <w:rFonts w:hint="eastAsia" w:ascii="宋体" w:hAnsi="宋体" w:cs="宋体"/>
          <w:b/>
          <w:color w:val="auto"/>
          <w:sz w:val="36"/>
          <w:szCs w:val="36"/>
          <w:highlight w:val="none"/>
        </w:rPr>
        <w:t xml:space="preserve">、预付款保函支付条款模板</w:t>
      </w:r>
      <w:r/>
    </w:p>
    <w:p>
      <w:pPr>
        <w:pStyle w:val="1065"/>
        <w:spacing w:line="360" w:lineRule="auto"/>
        <w:rPr>
          <w:rFonts w:ascii="宋体" w:hAnsi="宋体" w:cs="宋体"/>
          <w:color w:val="auto"/>
          <w:sz w:val="24"/>
          <w:highlight w:val="none"/>
        </w:rPr>
      </w:pPr>
      <w:r>
        <w:rPr>
          <w:rFonts w:ascii="宋体" w:hAnsi="宋体" w:cs="宋体"/>
          <w:color w:val="auto"/>
          <w:sz w:val="24"/>
          <w:highlight w:val="none"/>
        </w:rPr>
      </w:r>
      <w:r/>
    </w:p>
    <w:p>
      <w:pPr>
        <w:pStyle w:val="106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1065"/>
        <w:ind w:firstLine="480"/>
        <w:spacing w:line="360" w:lineRule="auto"/>
        <w:tabs>
          <w:tab w:val="left" w:pos="5508" w:leader="none"/>
        </w:tabs>
        <w:rPr>
          <w:rFonts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106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pStyle w:val="106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1065"/>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1065"/>
        <w:ind w:firstLine="480"/>
        <w:spacing w:line="360" w:lineRule="auto"/>
        <w:tabs>
          <w:tab w:val="left" w:pos="2151" w:leader="none"/>
          <w:tab w:val="left" w:pos="4183" w:leader="none"/>
          <w:tab w:val="left" w:pos="5500" w:leader="none"/>
          <w:tab w:val="left" w:pos="8573" w:leader="none"/>
        </w:tabs>
        <w:rPr>
          <w:rFonts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106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6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6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6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10"/>
        <w:rPr>
          <w:rFonts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010"/>
        <w:rPr>
          <w:rFonts w:ascii="宋体" w:hAnsi="宋体" w:cs="宋体"/>
          <w:b/>
          <w:color w:val="auto"/>
          <w:sz w:val="36"/>
          <w:szCs w:val="36"/>
          <w:highlight w:val="none"/>
        </w:rPr>
        <w:sectPr>
          <w:headerReference w:type="default" r:id="rId13"/>
          <w:footerReference w:type="default" r:id="rId20"/>
          <w:footnotePr/>
          <w:endnotePr/>
          <w:type w:val="nextPage"/>
          <w:pgSz w:w="11906" w:h="16838" w:orient="portrait"/>
          <w:pgMar w:top="1440" w:right="1440" w:bottom="1440" w:left="1440" w:header="851" w:footer="992" w:gutter="0"/>
          <w:cols w:num="1" w:sep="0" w:space="1701" w:equalWidth="1"/>
          <w:docGrid w:linePitch="360"/>
          <w:titlePg/>
        </w:sect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p>
    <w:p>
      <w:pPr>
        <w:jc w:val="center"/>
        <w:spacing w:line="400"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t xml:space="preserve">、代理服务收费标准</w:t>
      </w:r>
      <w:r/>
    </w:p>
    <w:p>
      <w:pPr>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rPr>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本章附件：</w:t>
      </w:r>
      <w:r>
        <w:rPr>
          <w:rFonts w:ascii="SimSun" w:hAnsi="SimSun" w:eastAsia="SimSun" w:cs="SimSun"/>
          <w:b/>
          <w:color w:val="000000"/>
          <w:sz w:val="28"/>
        </w:rPr>
        <w:t xml:space="preserve">招标代理服务收费标准</w:t>
      </w:r>
      <w:r/>
    </w:p>
    <w:tbl>
      <w:tblPr>
        <w:tblStyle w:val="10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63"/>
        <w:gridCol w:w="3591"/>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 明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4.代理服务费应收取金额=代理服务费基准金额(按差额定率累进法计算)的合计数。</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6.有分包(分标段)的按一个项目计算。</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pStyle w:val="1008"/>
        <w:ind w:firstLine="505"/>
        <w:jc w:val="left"/>
        <w:spacing w:line="360" w:lineRule="auto"/>
        <w:widowControl w:val="off"/>
        <w:rPr>
          <w:rFonts w:ascii="宋体" w:hAnsi="宋体" w:eastAsia="宋体" w:cs="Times New Roman"/>
          <w:color w:val="auto"/>
          <w:spacing w:val="6"/>
          <w:sz w:val="21"/>
          <w:szCs w:val="16"/>
          <w:highlight w:val="none"/>
        </w:rPr>
      </w:pPr>
      <w:r>
        <w:rPr>
          <w:rFonts w:ascii="宋体" w:hAnsi="宋体" w:eastAsia="宋体" w:cs="Times New Roman"/>
          <w:color w:val="auto"/>
          <w:spacing w:val="6"/>
          <w:sz w:val="21"/>
          <w:szCs w:val="16"/>
          <w:highlight w:val="none"/>
        </w:rPr>
      </w:r>
      <w:r/>
    </w:p>
    <w:sectPr>
      <w:headerReference w:type="default" r:id="rId14"/>
      <w:footerReference w:type="default" r:id="rId21"/>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PMingLiU">
    <w:panose1 w:val="02020500000000000000"/>
  </w:font>
  <w:font w:name="方正楷体_GBK">
    <w:panose1 w:val="020B0503020202020204"/>
  </w:font>
  <w:font w:name="SimSun">
    <w:panose1 w:val="02010600030101010101"/>
  </w:font>
  <w:font w:name="Arial Black">
    <w:panose1 w:val="020B0A04020102020204"/>
  </w:font>
  <w:font w:name="Arial Rounded MT Bold">
    <w:panose1 w:val="020F0704030504030204"/>
  </w:font>
  <w:font w:name="Tahoma">
    <w:panose1 w:val="020B0604030504040204"/>
  </w:font>
  <w:font w:name="Symbol">
    <w:panose1 w:val="05050102010706020507"/>
  </w:font>
  <w:font w:name="新宋体">
    <w:panose1 w:val="0201060903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ind w:firstLine="5760"/>
      <w:tabs>
        <w:tab w:val="right" w:pos="4153" w:leader="none"/>
        <w:tab w:val="left" w:pos="8306" w:leader="underscor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32</w:t>
                    </w:r>
                    <w:r>
                      <w:fldChar w:fldCharType="end"/>
                    </w:r>
                    <w:r/>
                  </w:p>
                </w:txbxContent>
              </v:textbox>
            </v:shape>
          </w:pict>
        </mc:Fallback>
      </mc:AlternateContent>
    </w:r>
    <w:r>
      <w:rPr>
        <w:rFonts w:hint="eastAsi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clear" w:pos="7143" w:leader="none"/>
        <w:tab w:val="right" w:pos="8306" w:leader="none"/>
        <w:tab w:val="clear" w:pos="14287" w:leader="none"/>
      </w:tabs>
      <w:rPr>
        <w:rFonts w:ascii="宋体" w:hAnsi="宋体" w:cs="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仿宋" w:hAnsi="仿宋" w:eastAsia="仿宋" w:cs="仿宋"/>
        <w:b/>
        <w:bCs/>
        <w:i/>
        <w:iCs/>
      </w:rPr>
      <w:t xml:space="preserve">江苏润泰工程项目管理咨询有限公司编制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25"/>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26"/>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7"/>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7">
    <w:multiLevelType w:val="hybridMultilevel"/>
    <w:lvl w:ilvl="0">
      <w:start w:val="1"/>
      <w:numFmt w:val="decimal"/>
      <w:pStyle w:val="112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
  </w:num>
  <w:num w:numId="4">
    <w:abstractNumId w:val="8"/>
  </w:num>
  <w:num w:numId="5">
    <w:abstractNumId w:val="4"/>
  </w:num>
  <w:num w:numId="6">
    <w:abstractNumId w:val="2"/>
  </w:num>
  <w:num w:numId="7">
    <w:abstractNumId w:val="0"/>
  </w:num>
  <w:num w:numId="8">
    <w:abstractNumId w:val="10"/>
  </w:num>
  <w:num w:numId="9">
    <w:abstractNumId w:val="6"/>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3" w:default="1">
    <w:name w:val="Normal"/>
    <w:next w:val="965"/>
    <w:link w:val="15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name w:val="Heading 1"/>
    <w:basedOn w:val="953"/>
    <w:next w:val="953"/>
    <w:uiPriority w:val="9"/>
    <w:qFormat/>
    <w:pPr>
      <w:keepLines/>
      <w:keepNext/>
      <w:spacing w:before="480" w:after="200"/>
      <w:outlineLvl w:val="0"/>
    </w:pPr>
    <w:rPr>
      <w:rFonts w:ascii="Arial" w:hAnsi="Arial" w:eastAsia="Arial" w:cs="Arial"/>
      <w:sz w:val="40"/>
      <w:szCs w:val="40"/>
    </w:rPr>
  </w:style>
  <w:style w:type="paragraph" w:styleId="955">
    <w:name w:val="Heading 2"/>
    <w:basedOn w:val="953"/>
    <w:next w:val="953"/>
    <w:uiPriority w:val="9"/>
    <w:unhideWhenUsed/>
    <w:qFormat/>
    <w:pPr>
      <w:keepLines/>
      <w:keepNext/>
      <w:spacing w:before="360" w:after="200"/>
      <w:outlineLvl w:val="1"/>
    </w:pPr>
    <w:rPr>
      <w:rFonts w:ascii="Arial" w:hAnsi="Arial" w:eastAsia="Arial" w:cs="Arial"/>
      <w:sz w:val="34"/>
    </w:rPr>
  </w:style>
  <w:style w:type="paragraph" w:styleId="956">
    <w:name w:val="Heading 3"/>
    <w:basedOn w:val="953"/>
    <w:next w:val="953"/>
    <w:uiPriority w:val="9"/>
    <w:unhideWhenUsed/>
    <w:qFormat/>
    <w:pPr>
      <w:keepLines/>
      <w:keepNext/>
      <w:spacing w:before="320" w:after="200"/>
      <w:outlineLvl w:val="2"/>
    </w:pPr>
    <w:rPr>
      <w:rFonts w:ascii="Arial" w:hAnsi="Arial" w:eastAsia="Arial" w:cs="Arial"/>
      <w:sz w:val="30"/>
      <w:szCs w:val="30"/>
    </w:rPr>
  </w:style>
  <w:style w:type="paragraph" w:styleId="957">
    <w:name w:val="Heading 4"/>
    <w:basedOn w:val="953"/>
    <w:next w:val="953"/>
    <w:uiPriority w:val="9"/>
    <w:unhideWhenUsed/>
    <w:qFormat/>
    <w:pPr>
      <w:keepLines/>
      <w:keepNext/>
      <w:spacing w:before="320" w:after="200"/>
      <w:outlineLvl w:val="3"/>
    </w:pPr>
    <w:rPr>
      <w:rFonts w:ascii="Arial" w:hAnsi="Arial" w:eastAsia="Arial" w:cs="Arial"/>
      <w:b/>
      <w:bCs/>
      <w:sz w:val="26"/>
      <w:szCs w:val="26"/>
    </w:rPr>
  </w:style>
  <w:style w:type="paragraph" w:styleId="958">
    <w:name w:val="Heading 5"/>
    <w:basedOn w:val="953"/>
    <w:next w:val="953"/>
    <w:uiPriority w:val="9"/>
    <w:unhideWhenUsed/>
    <w:qFormat/>
    <w:pPr>
      <w:keepLines/>
      <w:keepNext/>
      <w:spacing w:before="320" w:after="200"/>
      <w:outlineLvl w:val="4"/>
    </w:pPr>
    <w:rPr>
      <w:rFonts w:ascii="Arial" w:hAnsi="Arial" w:eastAsia="Arial" w:cs="Arial"/>
      <w:b/>
      <w:bCs/>
      <w:sz w:val="24"/>
    </w:rPr>
  </w:style>
  <w:style w:type="paragraph" w:styleId="959">
    <w:name w:val="Heading 6"/>
    <w:basedOn w:val="953"/>
    <w:next w:val="953"/>
    <w:uiPriority w:val="9"/>
    <w:unhideWhenUsed/>
    <w:qFormat/>
    <w:pPr>
      <w:keepLines/>
      <w:keepNext/>
      <w:spacing w:before="320" w:after="200"/>
      <w:outlineLvl w:val="5"/>
    </w:pPr>
    <w:rPr>
      <w:rFonts w:ascii="Arial" w:hAnsi="Arial" w:eastAsia="Arial" w:cs="Arial"/>
      <w:b/>
      <w:bCs/>
      <w:sz w:val="22"/>
      <w:szCs w:val="22"/>
    </w:rPr>
  </w:style>
  <w:style w:type="paragraph" w:styleId="960">
    <w:name w:val="Heading 7"/>
    <w:basedOn w:val="953"/>
    <w:next w:val="953"/>
    <w:uiPriority w:val="9"/>
    <w:unhideWhenUsed/>
    <w:qFormat/>
    <w:pPr>
      <w:keepLines/>
      <w:keepNext/>
      <w:spacing w:before="320" w:after="200"/>
      <w:outlineLvl w:val="6"/>
    </w:pPr>
    <w:rPr>
      <w:rFonts w:ascii="Arial" w:hAnsi="Arial" w:eastAsia="Arial" w:cs="Arial"/>
      <w:b/>
      <w:bCs/>
      <w:i/>
      <w:iCs/>
      <w:sz w:val="22"/>
      <w:szCs w:val="22"/>
    </w:rPr>
  </w:style>
  <w:style w:type="paragraph" w:styleId="961">
    <w:name w:val="Heading 8"/>
    <w:basedOn w:val="953"/>
    <w:next w:val="953"/>
    <w:uiPriority w:val="9"/>
    <w:unhideWhenUsed/>
    <w:qFormat/>
    <w:pPr>
      <w:keepLines/>
      <w:keepNext/>
      <w:spacing w:before="320" w:after="200"/>
      <w:outlineLvl w:val="7"/>
    </w:pPr>
    <w:rPr>
      <w:rFonts w:ascii="Arial" w:hAnsi="Arial" w:eastAsia="Arial" w:cs="Arial"/>
      <w:i/>
      <w:iCs/>
      <w:sz w:val="22"/>
      <w:szCs w:val="22"/>
    </w:rPr>
  </w:style>
  <w:style w:type="paragraph" w:styleId="962">
    <w:name w:val="Heading 9"/>
    <w:basedOn w:val="953"/>
    <w:next w:val="953"/>
    <w:uiPriority w:val="9"/>
    <w:unhideWhenUsed/>
    <w:qFormat/>
    <w:pPr>
      <w:keepLines/>
      <w:keepNext/>
      <w:spacing w:before="320" w:after="200"/>
      <w:outlineLvl w:val="8"/>
    </w:pPr>
    <w:rPr>
      <w:rFonts w:ascii="Arial" w:hAnsi="Arial" w:eastAsia="Arial" w:cs="Arial"/>
      <w:i/>
      <w:iCs/>
      <w:szCs w:val="21"/>
    </w:rPr>
  </w:style>
  <w:style w:type="character" w:styleId="963" w:default="1">
    <w:name w:val="Default Paragraph Font"/>
    <w:uiPriority w:val="1"/>
    <w:semiHidden/>
    <w:unhideWhenUsed/>
    <w:qFormat/>
  </w:style>
  <w:style w:type="table" w:styleId="964" w:default="1">
    <w:name w:val="Normal Table"/>
    <w:uiPriority w:val="99"/>
    <w:semiHidden/>
    <w:unhideWhenUsed/>
    <w:qFormat/>
    <w:tblPr>
      <w:tblCellMar>
        <w:left w:w="108" w:type="dxa"/>
        <w:top w:w="0" w:type="dxa"/>
        <w:right w:w="108" w:type="dxa"/>
        <w:bottom w:w="0" w:type="dxa"/>
      </w:tblCellMar>
    </w:tblPr>
  </w:style>
  <w:style w:type="paragraph" w:styleId="965"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966">
    <w:name w:val="toc 7"/>
    <w:basedOn w:val="953"/>
    <w:next w:val="953"/>
    <w:uiPriority w:val="39"/>
    <w:unhideWhenUsed/>
    <w:qFormat/>
    <w:pPr>
      <w:ind w:left="1701"/>
      <w:spacing w:after="57"/>
    </w:pPr>
  </w:style>
  <w:style w:type="paragraph" w:styleId="967">
    <w:name w:val="Caption"/>
    <w:basedOn w:val="953"/>
    <w:next w:val="9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8">
    <w:name w:val="annotation text"/>
    <w:basedOn w:val="953"/>
    <w:uiPriority w:val="99"/>
    <w:semiHidden/>
    <w:unhideWhenUsed/>
    <w:qFormat/>
    <w:pPr>
      <w:jc w:val="left"/>
    </w:pPr>
  </w:style>
  <w:style w:type="paragraph" w:styleId="969">
    <w:name w:val="Body Text"/>
    <w:basedOn w:val="953"/>
    <w:next w:val="970"/>
    <w:uiPriority w:val="99"/>
    <w:qFormat/>
    <w:pPr>
      <w:spacing w:after="120"/>
    </w:pPr>
  </w:style>
  <w:style w:type="paragraph" w:styleId="970" w:customStyle="1">
    <w:name w:val="一级条标题"/>
    <w:basedOn w:val="971"/>
    <w:next w:val="975"/>
    <w:link w:val="11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1" w:customStyle="1">
    <w:name w:val="章标题"/>
    <w:basedOn w:val="972"/>
    <w:next w:val="953"/>
    <w:link w:val="113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72" w:customStyle="1">
    <w:name w:val="正文1"/>
    <w:basedOn w:val="973"/>
    <w:next w:val="974"/>
    <w:link w:val="1370"/>
    <w:uiPriority w:val="0"/>
    <w:qFormat/>
    <w:pPr>
      <w:ind w:firstLine="361"/>
      <w:spacing w:line="360" w:lineRule="auto"/>
    </w:pPr>
    <w:rPr>
      <w:rFonts w:ascii="宋体" w:hAnsi="宋体" w:eastAsia="仿宋_GB2312"/>
      <w:sz w:val="24"/>
    </w:rPr>
  </w:style>
  <w:style w:type="paragraph" w:styleId="973" w:customStyle="1">
    <w:name w:val="正文缩进11"/>
    <w:basedOn w:val="953"/>
    <w:uiPriority w:val="99"/>
    <w:qFormat/>
    <w:pPr>
      <w:ind w:firstLine="420"/>
    </w:pPr>
    <w:rPr>
      <w:rFonts w:eastAsia="Times New Roman"/>
      <w:sz w:val="24"/>
      <w:szCs w:val="20"/>
    </w:rPr>
  </w:style>
  <w:style w:type="paragraph" w:styleId="974" w:customStyle="1">
    <w:name w:val="正文文本1"/>
    <w:basedOn w:val="972"/>
    <w:next w:val="970"/>
    <w:uiPriority w:val="0"/>
    <w:qFormat/>
    <w:pPr>
      <w:spacing w:after="120"/>
    </w:pPr>
  </w:style>
  <w:style w:type="paragraph" w:styleId="975" w:customStyle="1">
    <w:name w:val="段"/>
    <w:basedOn w:val="976"/>
    <w:next w:val="953"/>
    <w:uiPriority w:val="0"/>
    <w:qFormat/>
    <w:pPr>
      <w:ind w:firstLine="200"/>
      <w:widowControl/>
    </w:pPr>
    <w:rPr>
      <w:rFonts w:hint="eastAsia" w:ascii="宋体"/>
      <w:sz w:val="20"/>
      <w:szCs w:val="20"/>
    </w:rPr>
  </w:style>
  <w:style w:type="paragraph" w:styleId="976" w:customStyle="1">
    <w:name w:val="正文13"/>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首行缩进1"/>
    <w:basedOn w:val="978"/>
    <w:next w:val="981"/>
    <w:uiPriority w:val="0"/>
    <w:qFormat/>
    <w:pPr>
      <w:ind w:firstLine="420"/>
    </w:pPr>
    <w:rPr>
      <w:sz w:val="21"/>
    </w:rPr>
  </w:style>
  <w:style w:type="paragraph" w:styleId="978" w:customStyle="1">
    <w:name w:val="正文文本11"/>
    <w:basedOn w:val="979"/>
    <w:next w:val="953"/>
    <w:uiPriority w:val="0"/>
    <w:qFormat/>
    <w:pPr>
      <w:spacing w:after="120"/>
    </w:pPr>
  </w:style>
  <w:style w:type="paragraph" w:styleId="979" w:customStyle="1">
    <w:name w:val="正文112"/>
    <w:basedOn w:val="980"/>
    <w:next w:val="9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正文111"/>
    <w:next w:val="953"/>
    <w:link w:val="11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正文首行缩进 211"/>
    <w:basedOn w:val="982"/>
    <w:next w:val="979"/>
    <w:uiPriority w:val="0"/>
    <w:qFormat/>
    <w:pPr>
      <w:ind w:firstLine="420"/>
    </w:pPr>
    <w:rPr>
      <w:sz w:val="24"/>
    </w:rPr>
  </w:style>
  <w:style w:type="paragraph" w:styleId="982" w:customStyle="1">
    <w:name w:val="正文文本缩进11"/>
    <w:basedOn w:val="980"/>
    <w:next w:val="979"/>
    <w:uiPriority w:val="0"/>
    <w:qFormat/>
    <w:pPr>
      <w:ind w:firstLine="538"/>
    </w:pPr>
    <w:rPr>
      <w:sz w:val="28"/>
    </w:rPr>
  </w:style>
  <w:style w:type="paragraph" w:styleId="983">
    <w:name w:val="Body Text Indent"/>
    <w:basedOn w:val="953"/>
    <w:uiPriority w:val="0"/>
    <w:qFormat/>
    <w:pPr>
      <w:ind w:left="420"/>
      <w:spacing w:after="120"/>
    </w:pPr>
  </w:style>
  <w:style w:type="paragraph" w:styleId="984">
    <w:name w:val="Block Text"/>
    <w:basedOn w:val="953"/>
    <w:uiPriority w:val="6"/>
    <w:qFormat/>
    <w:pPr>
      <w:ind w:left="420" w:right="33"/>
      <w:jc w:val="left"/>
    </w:pPr>
    <w:rPr>
      <w:sz w:val="24"/>
      <w:szCs w:val="20"/>
    </w:rPr>
  </w:style>
  <w:style w:type="paragraph" w:styleId="985">
    <w:name w:val="toc 5"/>
    <w:basedOn w:val="953"/>
    <w:next w:val="953"/>
    <w:uiPriority w:val="39"/>
    <w:unhideWhenUsed/>
    <w:qFormat/>
    <w:pPr>
      <w:ind w:left="1134"/>
      <w:spacing w:after="57"/>
    </w:pPr>
  </w:style>
  <w:style w:type="paragraph" w:styleId="986">
    <w:name w:val="toc 3"/>
    <w:basedOn w:val="953"/>
    <w:next w:val="953"/>
    <w:uiPriority w:val="39"/>
    <w:unhideWhenUsed/>
    <w:qFormat/>
    <w:pPr>
      <w:ind w:left="567"/>
      <w:spacing w:after="57"/>
    </w:pPr>
  </w:style>
  <w:style w:type="paragraph" w:styleId="987">
    <w:name w:val="toc 8"/>
    <w:basedOn w:val="953"/>
    <w:next w:val="953"/>
    <w:uiPriority w:val="39"/>
    <w:unhideWhenUsed/>
    <w:qFormat/>
    <w:pPr>
      <w:ind w:left="1984"/>
      <w:spacing w:after="57"/>
    </w:pPr>
  </w:style>
  <w:style w:type="paragraph" w:styleId="988">
    <w:name w:val="endnote text"/>
    <w:basedOn w:val="953"/>
    <w:uiPriority w:val="99"/>
    <w:semiHidden/>
    <w:unhideWhenUsed/>
    <w:qFormat/>
    <w:rPr>
      <w:sz w:val="20"/>
    </w:rPr>
  </w:style>
  <w:style w:type="paragraph" w:styleId="989">
    <w:name w:val="Footer"/>
    <w:basedOn w:val="953"/>
    <w:uiPriority w:val="99"/>
    <w:unhideWhenUsed/>
    <w:qFormat/>
    <w:pPr>
      <w:tabs>
        <w:tab w:val="center" w:pos="7143" w:leader="none"/>
        <w:tab w:val="right" w:pos="14287" w:leader="none"/>
      </w:tabs>
    </w:pPr>
  </w:style>
  <w:style w:type="paragraph" w:styleId="990">
    <w:name w:val="Header"/>
    <w:basedOn w:val="953"/>
    <w:uiPriority w:val="99"/>
    <w:unhideWhenUsed/>
    <w:qFormat/>
    <w:pPr>
      <w:tabs>
        <w:tab w:val="center" w:pos="7143" w:leader="none"/>
        <w:tab w:val="right" w:pos="14287" w:leader="none"/>
      </w:tabs>
    </w:pPr>
  </w:style>
  <w:style w:type="paragraph" w:styleId="991">
    <w:name w:val="toc 1"/>
    <w:basedOn w:val="953"/>
    <w:next w:val="953"/>
    <w:uiPriority w:val="39"/>
    <w:unhideWhenUsed/>
    <w:qFormat/>
    <w:pPr>
      <w:spacing w:after="57"/>
    </w:pPr>
  </w:style>
  <w:style w:type="paragraph" w:styleId="992">
    <w:name w:val="toc 4"/>
    <w:basedOn w:val="953"/>
    <w:next w:val="953"/>
    <w:uiPriority w:val="39"/>
    <w:unhideWhenUsed/>
    <w:qFormat/>
    <w:pPr>
      <w:ind w:left="850"/>
      <w:spacing w:after="57"/>
    </w:pPr>
  </w:style>
  <w:style w:type="paragraph" w:styleId="993">
    <w:name w:val="Subtitle"/>
    <w:basedOn w:val="953"/>
    <w:next w:val="953"/>
    <w:uiPriority w:val="11"/>
    <w:qFormat/>
    <w:pPr>
      <w:spacing w:before="200" w:after="200"/>
    </w:pPr>
    <w:rPr>
      <w:sz w:val="24"/>
    </w:rPr>
  </w:style>
  <w:style w:type="paragraph" w:styleId="994">
    <w:name w:val="footnote text"/>
    <w:basedOn w:val="953"/>
    <w:uiPriority w:val="99"/>
    <w:semiHidden/>
    <w:unhideWhenUsed/>
    <w:qFormat/>
    <w:pPr>
      <w:spacing w:after="40"/>
    </w:pPr>
    <w:rPr>
      <w:sz w:val="18"/>
    </w:rPr>
  </w:style>
  <w:style w:type="paragraph" w:styleId="995">
    <w:name w:val="toc 6"/>
    <w:basedOn w:val="953"/>
    <w:next w:val="953"/>
    <w:uiPriority w:val="39"/>
    <w:unhideWhenUsed/>
    <w:qFormat/>
    <w:pPr>
      <w:ind w:left="1417"/>
      <w:spacing w:after="57"/>
    </w:pPr>
  </w:style>
  <w:style w:type="paragraph" w:styleId="996">
    <w:name w:val="table of figures"/>
    <w:basedOn w:val="953"/>
    <w:next w:val="953"/>
    <w:uiPriority w:val="99"/>
    <w:unhideWhenUsed/>
    <w:qFormat/>
  </w:style>
  <w:style w:type="paragraph" w:styleId="997">
    <w:name w:val="toc 2"/>
    <w:basedOn w:val="953"/>
    <w:next w:val="953"/>
    <w:uiPriority w:val="39"/>
    <w:unhideWhenUsed/>
    <w:qFormat/>
    <w:pPr>
      <w:ind w:left="283"/>
      <w:spacing w:after="57"/>
    </w:pPr>
  </w:style>
  <w:style w:type="paragraph" w:styleId="998">
    <w:name w:val="toc 9"/>
    <w:basedOn w:val="953"/>
    <w:next w:val="953"/>
    <w:uiPriority w:val="39"/>
    <w:unhideWhenUsed/>
    <w:qFormat/>
    <w:pPr>
      <w:ind w:left="2268"/>
      <w:spacing w:after="57"/>
    </w:pPr>
  </w:style>
  <w:style w:type="paragraph" w:styleId="999">
    <w:name w:val="Normal (Web)"/>
    <w:basedOn w:val="953"/>
    <w:uiPriority w:val="99"/>
    <w:unhideWhenUsed/>
    <w:qFormat/>
    <w:pPr>
      <w:spacing w:before="100" w:beforeAutospacing="1" w:after="100" w:afterAutospacing="1"/>
    </w:pPr>
    <w:rPr>
      <w:rFonts w:ascii="宋体" w:hAnsi="宋体" w:cs="宋体"/>
      <w:sz w:val="24"/>
      <w:szCs w:val="24"/>
    </w:rPr>
  </w:style>
  <w:style w:type="paragraph" w:styleId="1000">
    <w:name w:val="Title"/>
    <w:basedOn w:val="953"/>
    <w:next w:val="953"/>
    <w:uiPriority w:val="10"/>
    <w:qFormat/>
    <w:pPr>
      <w:contextualSpacing/>
      <w:spacing w:before="300" w:after="200"/>
    </w:pPr>
    <w:rPr>
      <w:sz w:val="48"/>
      <w:szCs w:val="48"/>
    </w:rPr>
  </w:style>
  <w:style w:type="paragraph" w:styleId="1001">
    <w:name w:val="Body Text First Indent"/>
    <w:basedOn w:val="969"/>
    <w:next w:val="1002"/>
    <w:uiPriority w:val="0"/>
    <w:qFormat/>
    <w:pPr>
      <w:ind w:firstLine="200"/>
      <w:spacing w:line="360" w:lineRule="auto"/>
    </w:pPr>
    <w:rPr>
      <w:rFonts w:ascii="仿宋_GB2312" w:eastAsia="仿宋_GB2312"/>
      <w:sz w:val="30"/>
      <w:szCs w:val="30"/>
    </w:rPr>
  </w:style>
  <w:style w:type="paragraph" w:styleId="1002">
    <w:name w:val="Body Text First Indent 2"/>
    <w:basedOn w:val="983"/>
    <w:uiPriority w:val="0"/>
    <w:qFormat/>
    <w:pPr>
      <w:ind w:left="0" w:firstLine="420"/>
      <w:spacing w:after="0" w:line="360" w:lineRule="auto"/>
    </w:pPr>
    <w:rPr>
      <w:rFonts w:ascii="宋体" w:hAnsi="宋体"/>
      <w:sz w:val="20"/>
      <w:szCs w:val="20"/>
    </w:rPr>
  </w:style>
  <w:style w:type="table" w:styleId="10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4">
    <w:name w:val="endnote reference"/>
    <w:uiPriority w:val="99"/>
    <w:semiHidden/>
    <w:unhideWhenUsed/>
    <w:qFormat/>
    <w:rPr>
      <w:vertAlign w:val="superscript"/>
    </w:rPr>
  </w:style>
  <w:style w:type="character" w:styleId="1005">
    <w:name w:val="page number"/>
    <w:uiPriority w:val="0"/>
    <w:qFormat/>
    <w:rPr>
      <w:rFonts w:cs="Times New Roman"/>
    </w:rPr>
  </w:style>
  <w:style w:type="character" w:styleId="1006">
    <w:name w:val="Hyperlink"/>
    <w:uiPriority w:val="99"/>
    <w:unhideWhenUsed/>
    <w:qFormat/>
    <w:rPr>
      <w:color w:val="0000ff" w:themeColor="hyperlink"/>
      <w:u w:val="single"/>
      <w14:textFill>
        <w14:solidFill>
          <w14:schemeClr w14:val="hlink"/>
        </w14:solidFill>
      </w14:textFill>
    </w:rPr>
  </w:style>
  <w:style w:type="character" w:styleId="1007">
    <w:name w:val="footnote reference"/>
    <w:uiPriority w:val="99"/>
    <w:unhideWhenUsed/>
    <w:qFormat/>
    <w:rPr>
      <w:vertAlign w:val="superscript"/>
    </w:rPr>
  </w:style>
  <w:style w:type="paragraph" w:styleId="1008" w:customStyle="1">
    <w:name w:val="正文11"/>
    <w:next w:val="1009"/>
    <w:link w:val="1500"/>
    <w:uiPriority w:val="0"/>
    <w:qFormat/>
    <w:pPr>
      <w:jc w:val="both"/>
    </w:pPr>
    <w:rPr>
      <w:rFonts w:hint="default" w:ascii="Times New Roman" w:hAnsi="Times New Roman" w:eastAsia="宋体" w:cs="Times New Roman"/>
      <w:lang w:val="en-US" w:eastAsia="zh-CN" w:bidi="ar-SA"/>
    </w:rPr>
  </w:style>
  <w:style w:type="paragraph" w:styleId="1009" w:customStyle="1">
    <w:name w:val="目录 11"/>
    <w:basedOn w:val="979"/>
    <w:next w:val="972"/>
    <w:uiPriority w:val="39"/>
    <w:unhideWhenUsed/>
    <w:qFormat/>
    <w:pPr>
      <w:spacing w:after="57"/>
    </w:pPr>
  </w:style>
  <w:style w:type="paragraph" w:styleId="1010" w:customStyle="1">
    <w:name w:val="文本块111"/>
    <w:basedOn w:val="953"/>
    <w:uiPriority w:val="6"/>
    <w:qFormat/>
    <w:pPr>
      <w:ind w:left="420" w:right="33"/>
      <w:jc w:val="left"/>
    </w:pPr>
    <w:rPr>
      <w:sz w:val="24"/>
      <w:szCs w:val="20"/>
    </w:rPr>
  </w:style>
  <w:style w:type="table" w:styleId="1011" w:customStyle="1">
    <w:name w:val="Plain Table 1"/>
    <w:basedOn w:val="9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2"/>
    <w:basedOn w:val="9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3"/>
    <w:basedOn w:val="9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4" w:customStyle="1">
    <w:name w:val="Plain Table 4"/>
    <w:basedOn w:val="9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5" w:customStyle="1">
    <w:name w:val="Plain Table 5"/>
    <w:basedOn w:val="9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6" w:customStyle="1">
    <w:name w:val="Grid Table 1 Light"/>
    <w:basedOn w:val="9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7" w:customStyle="1">
    <w:name w:val="Grid Table 2"/>
    <w:basedOn w:val="9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3"/>
    <w:basedOn w:val="9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4"/>
    <w:basedOn w:val="9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0" w:customStyle="1">
    <w:name w:val="Grid Table 5 Dark"/>
    <w:basedOn w:val="9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1" w:customStyle="1">
    <w:name w:val="Grid Table 6 Colorful"/>
    <w:basedOn w:val="9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2" w:customStyle="1">
    <w:name w:val="Grid Table 7 Colorful"/>
    <w:basedOn w:val="9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List Table 1 Light"/>
    <w:basedOn w:val="9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2"/>
    <w:basedOn w:val="9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5" w:customStyle="1">
    <w:name w:val="List Table 3"/>
    <w:basedOn w:val="9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4"/>
    <w:basedOn w:val="9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5 Dark"/>
    <w:basedOn w:val="9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6 Colorful"/>
    <w:basedOn w:val="9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9" w:customStyle="1">
    <w:name w:val="List Table 7 Colorful"/>
    <w:basedOn w:val="9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30" w:customStyle="1">
    <w:name w:val="TOC Heading"/>
    <w:uiPriority w:val="39"/>
    <w:unhideWhenUsed/>
    <w:qFormat/>
    <w:rPr>
      <w:rFonts w:hint="default" w:ascii="Times New Roman" w:hAnsi="Times New Roman" w:eastAsia="宋体" w:cs="Times New Roman"/>
    </w:rPr>
  </w:style>
  <w:style w:type="paragraph" w:styleId="1031" w:customStyle="1">
    <w:name w:val="标题 112"/>
    <w:basedOn w:val="953"/>
    <w:next w:val="953"/>
    <w:link w:val="1042"/>
    <w:uiPriority w:val="99"/>
    <w:qFormat/>
    <w:pPr>
      <w:keepLines/>
      <w:keepNext/>
      <w:spacing w:before="340" w:after="330" w:line="578" w:lineRule="atLeast"/>
      <w:outlineLvl w:val="0"/>
    </w:pPr>
    <w:rPr>
      <w:rFonts w:eastAsia="方正仿宋_GBK"/>
      <w:b/>
      <w:sz w:val="44"/>
      <w:szCs w:val="20"/>
    </w:rPr>
  </w:style>
  <w:style w:type="paragraph" w:styleId="1032" w:customStyle="1">
    <w:name w:val="标题 2111"/>
    <w:basedOn w:val="953"/>
    <w:next w:val="953"/>
    <w:link w:val="1043"/>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33" w:customStyle="1">
    <w:name w:val="标题 311"/>
    <w:basedOn w:val="953"/>
    <w:next w:val="953"/>
    <w:link w:val="1044"/>
    <w:uiPriority w:val="9"/>
    <w:unhideWhenUsed/>
    <w:qFormat/>
    <w:pPr>
      <w:keepLines/>
      <w:keepNext/>
      <w:spacing w:before="260" w:after="260" w:line="416" w:lineRule="auto"/>
      <w:outlineLvl w:val="2"/>
    </w:pPr>
    <w:rPr>
      <w:b/>
      <w:bCs/>
      <w:sz w:val="32"/>
      <w:szCs w:val="32"/>
    </w:rPr>
  </w:style>
  <w:style w:type="paragraph" w:styleId="1034" w:customStyle="1">
    <w:name w:val="标题 4111"/>
    <w:basedOn w:val="953"/>
    <w:next w:val="953"/>
    <w:link w:val="1045"/>
    <w:uiPriority w:val="9"/>
    <w:qFormat/>
    <w:pPr>
      <w:keepLines/>
      <w:keepNext/>
      <w:spacing w:before="280" w:after="290" w:line="376" w:lineRule="auto"/>
      <w:outlineLvl w:val="3"/>
    </w:pPr>
    <w:rPr>
      <w:rFonts w:ascii="Cambria" w:hAnsi="Cambria"/>
      <w:b/>
      <w:bCs/>
      <w:sz w:val="28"/>
      <w:szCs w:val="28"/>
    </w:rPr>
  </w:style>
  <w:style w:type="paragraph" w:styleId="1035" w:customStyle="1">
    <w:name w:val="标题 511"/>
    <w:basedOn w:val="953"/>
    <w:next w:val="953"/>
    <w:link w:val="1046"/>
    <w:uiPriority w:val="99"/>
    <w:qFormat/>
    <w:pPr>
      <w:keepLines/>
      <w:keepNext/>
      <w:spacing w:before="280" w:after="290" w:line="376" w:lineRule="auto"/>
      <w:outlineLvl w:val="4"/>
    </w:pPr>
    <w:rPr>
      <w:b/>
      <w:bCs/>
      <w:sz w:val="28"/>
      <w:szCs w:val="28"/>
    </w:rPr>
  </w:style>
  <w:style w:type="paragraph" w:styleId="1036" w:customStyle="1">
    <w:name w:val="标题 611"/>
    <w:basedOn w:val="953"/>
    <w:next w:val="953"/>
    <w:link w:val="1047"/>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37" w:customStyle="1">
    <w:name w:val="标题 711"/>
    <w:basedOn w:val="953"/>
    <w:next w:val="953"/>
    <w:link w:val="1048"/>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38" w:customStyle="1">
    <w:name w:val="标题 811"/>
    <w:basedOn w:val="953"/>
    <w:next w:val="953"/>
    <w:link w:val="104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39" w:customStyle="1">
    <w:name w:val="标题 911"/>
    <w:basedOn w:val="953"/>
    <w:next w:val="953"/>
    <w:link w:val="1050"/>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040" w:customStyle="1">
    <w:name w:val="默认段落字体1"/>
    <w:uiPriority w:val="1"/>
    <w:unhideWhenUsed/>
    <w:qFormat/>
  </w:style>
  <w:style w:type="table" w:styleId="1041" w:customStyle="1">
    <w:name w:val="普通表格1"/>
    <w:uiPriority w:val="99"/>
    <w:unhideWhenUsed/>
    <w:qFormat/>
    <w:tblPr>
      <w:tblCellMar>
        <w:left w:w="0" w:type="dxa"/>
        <w:top w:w="0" w:type="dxa"/>
        <w:right w:w="0" w:type="dxa"/>
        <w:bottom w:w="0" w:type="dxa"/>
      </w:tblCellMar>
    </w:tblPr>
  </w:style>
  <w:style w:type="character" w:styleId="1042" w:customStyle="1">
    <w:name w:val="标题 1 Char"/>
    <w:basedOn w:val="1040"/>
    <w:link w:val="1031"/>
    <w:uiPriority w:val="99"/>
    <w:qFormat/>
    <w:rPr>
      <w:rFonts w:eastAsia="方正仿宋_GBK"/>
      <w:b/>
      <w:sz w:val="44"/>
    </w:rPr>
  </w:style>
  <w:style w:type="character" w:styleId="1043" w:customStyle="1">
    <w:name w:val="标题 2 Char"/>
    <w:basedOn w:val="1040"/>
    <w:link w:val="1032"/>
    <w:uiPriority w:val="99"/>
    <w:qFormat/>
    <w:rPr>
      <w:rFonts w:ascii="Cambria" w:hAnsi="Cambria"/>
      <w:b/>
      <w:bCs/>
      <w:sz w:val="32"/>
      <w:szCs w:val="32"/>
    </w:rPr>
  </w:style>
  <w:style w:type="character" w:styleId="1044" w:customStyle="1">
    <w:name w:val="标题 3 Char"/>
    <w:basedOn w:val="1040"/>
    <w:link w:val="1033"/>
    <w:uiPriority w:val="9"/>
    <w:qFormat/>
    <w:rPr>
      <w:b/>
      <w:bCs/>
      <w:sz w:val="32"/>
      <w:szCs w:val="32"/>
    </w:rPr>
  </w:style>
  <w:style w:type="character" w:styleId="1045" w:customStyle="1">
    <w:name w:val="标题 4 Char"/>
    <w:basedOn w:val="1040"/>
    <w:link w:val="1034"/>
    <w:uiPriority w:val="9"/>
    <w:qFormat/>
    <w:rPr>
      <w:rFonts w:ascii="Cambria" w:hAnsi="Cambria"/>
      <w:b/>
      <w:bCs/>
      <w:sz w:val="28"/>
      <w:szCs w:val="28"/>
    </w:rPr>
  </w:style>
  <w:style w:type="character" w:styleId="1046" w:customStyle="1">
    <w:name w:val="标题 5 Char"/>
    <w:basedOn w:val="1040"/>
    <w:link w:val="1035"/>
    <w:uiPriority w:val="99"/>
    <w:qFormat/>
    <w:rPr>
      <w:b/>
      <w:bCs/>
      <w:sz w:val="28"/>
      <w:szCs w:val="28"/>
    </w:rPr>
  </w:style>
  <w:style w:type="character" w:styleId="1047" w:customStyle="1">
    <w:name w:val="标题 6 Char"/>
    <w:basedOn w:val="1040"/>
    <w:link w:val="1036"/>
    <w:uiPriority w:val="0"/>
    <w:qFormat/>
    <w:rPr>
      <w:rFonts w:ascii="Arial" w:hAnsi="Arial" w:eastAsia="黑体"/>
      <w:b/>
      <w:bCs/>
      <w:sz w:val="24"/>
      <w:szCs w:val="24"/>
      <w:lang w:val="zh-CN" w:eastAsia="zh-CN"/>
    </w:rPr>
  </w:style>
  <w:style w:type="character" w:styleId="1048" w:customStyle="1">
    <w:name w:val="标题 7 Char"/>
    <w:basedOn w:val="1040"/>
    <w:link w:val="1037"/>
    <w:uiPriority w:val="0"/>
    <w:qFormat/>
    <w:rPr>
      <w:b/>
      <w:bCs/>
      <w:sz w:val="24"/>
      <w:szCs w:val="24"/>
      <w:lang w:val="zh-CN" w:eastAsia="zh-CN"/>
    </w:rPr>
  </w:style>
  <w:style w:type="character" w:styleId="1049" w:customStyle="1">
    <w:name w:val="标题 8 Char"/>
    <w:basedOn w:val="1040"/>
    <w:link w:val="1038"/>
    <w:uiPriority w:val="0"/>
    <w:qFormat/>
    <w:rPr>
      <w:rFonts w:ascii="Arial" w:hAnsi="Arial" w:eastAsia="黑体"/>
      <w:sz w:val="24"/>
      <w:szCs w:val="24"/>
      <w:lang w:val="zh-CN" w:eastAsia="zh-CN"/>
    </w:rPr>
  </w:style>
  <w:style w:type="character" w:styleId="1050" w:customStyle="1">
    <w:name w:val="标题 9 Char"/>
    <w:basedOn w:val="1040"/>
    <w:link w:val="1039"/>
    <w:uiPriority w:val="0"/>
    <w:qFormat/>
    <w:rPr>
      <w:rFonts w:ascii="Arial" w:hAnsi="Arial" w:eastAsia="黑体"/>
      <w:sz w:val="21"/>
      <w:szCs w:val="21"/>
      <w:lang w:val="zh-CN" w:eastAsia="zh-CN"/>
    </w:rPr>
  </w:style>
  <w:style w:type="paragraph" w:styleId="1051" w:customStyle="1">
    <w:name w:val="列表 31"/>
    <w:basedOn w:val="953"/>
    <w:link w:val="1052"/>
    <w:uiPriority w:val="0"/>
    <w:qFormat/>
    <w:pPr>
      <w:ind w:left="100" w:hanging="200"/>
    </w:pPr>
    <w:rPr>
      <w:bCs/>
      <w:sz w:val="24"/>
      <w:szCs w:val="32"/>
    </w:rPr>
  </w:style>
  <w:style w:type="character" w:styleId="1052" w:customStyle="1">
    <w:name w:val="列表 3 Char"/>
    <w:link w:val="1051"/>
    <w:uiPriority w:val="0"/>
    <w:qFormat/>
    <w:rPr>
      <w:bCs/>
      <w:sz w:val="24"/>
      <w:szCs w:val="32"/>
    </w:rPr>
  </w:style>
  <w:style w:type="paragraph" w:styleId="1053" w:customStyle="1">
    <w:name w:val="目录 71"/>
    <w:basedOn w:val="953"/>
    <w:next w:val="953"/>
    <w:uiPriority w:val="39"/>
    <w:unhideWhenUsed/>
    <w:qFormat/>
    <w:pPr>
      <w:ind w:left="1701"/>
      <w:spacing w:after="57"/>
    </w:pPr>
  </w:style>
  <w:style w:type="paragraph" w:styleId="1054" w:customStyle="1">
    <w:name w:val="正文缩进1"/>
    <w:basedOn w:val="953"/>
    <w:link w:val="1055"/>
    <w:uiPriority w:val="99"/>
    <w:qFormat/>
    <w:pPr>
      <w:ind w:firstLine="420"/>
    </w:pPr>
  </w:style>
  <w:style w:type="character" w:styleId="1055" w:customStyle="1">
    <w:name w:val="正文缩进 Char"/>
    <w:link w:val="1054"/>
    <w:uiPriority w:val="99"/>
    <w:qFormat/>
    <w:rPr>
      <w:sz w:val="21"/>
      <w:szCs w:val="24"/>
    </w:rPr>
  </w:style>
  <w:style w:type="paragraph" w:styleId="1056" w:customStyle="1">
    <w:name w:val="题注11"/>
    <w:basedOn w:val="953"/>
    <w:next w:val="953"/>
    <w:uiPriority w:val="35"/>
    <w:unhideWhenUsed/>
    <w:qFormat/>
    <w:pPr>
      <w:spacing w:line="276" w:lineRule="auto"/>
    </w:pPr>
    <w:rPr>
      <w:b/>
      <w:bCs/>
      <w:color w:val="4472c4"/>
      <w:sz w:val="18"/>
      <w:szCs w:val="18"/>
    </w:rPr>
  </w:style>
  <w:style w:type="paragraph" w:styleId="1057" w:customStyle="1">
    <w:name w:val="索引 5111"/>
    <w:basedOn w:val="953"/>
    <w:next w:val="953"/>
    <w:uiPriority w:val="0"/>
    <w:qFormat/>
    <w:pPr>
      <w:ind w:left="798"/>
      <w:jc w:val="left"/>
    </w:pPr>
    <w:rPr>
      <w:rFonts w:ascii="Calibri" w:hAnsi="Calibri"/>
    </w:rPr>
  </w:style>
  <w:style w:type="paragraph" w:styleId="1058" w:customStyle="1">
    <w:name w:val="列表项目符号1"/>
    <w:basedOn w:val="953"/>
    <w:uiPriority w:val="99"/>
    <w:unhideWhenUsed/>
    <w:qFormat/>
    <w:pPr>
      <w:ind w:left="720" w:firstLine="200"/>
      <w:tabs>
        <w:tab w:val="left" w:pos="360" w:leader="none"/>
        <w:tab w:val="left" w:pos="720" w:leader="none"/>
      </w:tabs>
    </w:pPr>
    <w:rPr>
      <w:sz w:val="20"/>
      <w:szCs w:val="20"/>
    </w:rPr>
  </w:style>
  <w:style w:type="paragraph" w:styleId="1059" w:customStyle="1">
    <w:name w:val="文档结构图1"/>
    <w:basedOn w:val="953"/>
    <w:link w:val="1060"/>
    <w:uiPriority w:val="99"/>
    <w:unhideWhenUsed/>
    <w:qFormat/>
    <w:rPr>
      <w:rFonts w:ascii="宋体"/>
      <w:sz w:val="18"/>
      <w:szCs w:val="18"/>
    </w:rPr>
  </w:style>
  <w:style w:type="character" w:styleId="1060" w:customStyle="1">
    <w:name w:val="文档结构图 Char"/>
    <w:link w:val="1059"/>
    <w:uiPriority w:val="99"/>
    <w:qFormat/>
    <w:rPr>
      <w:rFonts w:ascii="宋体"/>
      <w:sz w:val="18"/>
      <w:szCs w:val="18"/>
    </w:rPr>
  </w:style>
  <w:style w:type="paragraph" w:styleId="1061" w:customStyle="1">
    <w:name w:val="批注文字11"/>
    <w:basedOn w:val="953"/>
    <w:link w:val="1062"/>
    <w:uiPriority w:val="99"/>
    <w:qFormat/>
    <w:pPr>
      <w:jc w:val="left"/>
    </w:pPr>
  </w:style>
  <w:style w:type="character" w:styleId="1062" w:customStyle="1">
    <w:name w:val="批注文字 Char"/>
    <w:link w:val="1061"/>
    <w:uiPriority w:val="99"/>
    <w:qFormat/>
    <w:rPr>
      <w:sz w:val="21"/>
      <w:szCs w:val="24"/>
    </w:rPr>
  </w:style>
  <w:style w:type="paragraph" w:styleId="1063" w:customStyle="1">
    <w:name w:val="正文文本 31"/>
    <w:basedOn w:val="953"/>
    <w:link w:val="1064"/>
    <w:uiPriority w:val="0"/>
    <w:qFormat/>
    <w:rPr>
      <w:rFonts w:ascii="仿宋_GB2312" w:hAnsi="Arial" w:eastAsia="仿宋_GB2312"/>
      <w:sz w:val="32"/>
      <w:szCs w:val="32"/>
    </w:rPr>
  </w:style>
  <w:style w:type="character" w:styleId="1064" w:customStyle="1">
    <w:name w:val="正文文本 3 Char"/>
    <w:link w:val="1063"/>
    <w:uiPriority w:val="0"/>
    <w:qFormat/>
    <w:rPr>
      <w:rFonts w:ascii="仿宋_GB2312" w:hAnsi="Arial" w:eastAsia="仿宋_GB2312"/>
      <w:sz w:val="32"/>
      <w:szCs w:val="32"/>
    </w:rPr>
  </w:style>
  <w:style w:type="paragraph" w:styleId="1065" w:customStyle="1">
    <w:name w:val="正文文本12"/>
    <w:basedOn w:val="953"/>
    <w:next w:val="953"/>
    <w:link w:val="1066"/>
    <w:uiPriority w:val="0"/>
    <w:qFormat/>
    <w:pPr>
      <w:spacing w:after="120"/>
    </w:pPr>
  </w:style>
  <w:style w:type="character" w:styleId="1066" w:customStyle="1">
    <w:name w:val="正文文本 Char1"/>
    <w:basedOn w:val="1040"/>
    <w:link w:val="1065"/>
    <w:uiPriority w:val="0"/>
    <w:qFormat/>
    <w:rPr>
      <w:sz w:val="21"/>
      <w:szCs w:val="24"/>
    </w:rPr>
  </w:style>
  <w:style w:type="paragraph" w:styleId="1067" w:customStyle="1">
    <w:name w:val="正文文本缩进12"/>
    <w:basedOn w:val="953"/>
    <w:next w:val="1068"/>
    <w:link w:val="1069"/>
    <w:uiPriority w:val="99"/>
    <w:qFormat/>
    <w:pPr>
      <w:ind w:left="420"/>
      <w:spacing w:after="120"/>
    </w:pPr>
  </w:style>
  <w:style w:type="paragraph" w:styleId="1068" w:customStyle="1">
    <w:name w:val="寄信人地址11"/>
    <w:basedOn w:val="953"/>
    <w:uiPriority w:val="0"/>
    <w:qFormat/>
    <w:rPr>
      <w:rFonts w:ascii="Arial" w:hAnsi="Arial"/>
    </w:rPr>
  </w:style>
  <w:style w:type="character" w:styleId="1069" w:customStyle="1">
    <w:name w:val="正文文本缩进 Char"/>
    <w:link w:val="1067"/>
    <w:uiPriority w:val="99"/>
    <w:qFormat/>
    <w:rPr>
      <w:sz w:val="21"/>
      <w:szCs w:val="24"/>
    </w:rPr>
  </w:style>
  <w:style w:type="paragraph" w:styleId="1070" w:customStyle="1">
    <w:name w:val="HTML 地址1"/>
    <w:basedOn w:val="953"/>
    <w:link w:val="1071"/>
    <w:uiPriority w:val="0"/>
    <w:qFormat/>
    <w:rPr>
      <w:rFonts w:ascii="宋体"/>
      <w:i/>
      <w:iCs/>
      <w:sz w:val="20"/>
      <w:szCs w:val="21"/>
    </w:rPr>
  </w:style>
  <w:style w:type="character" w:styleId="1071" w:customStyle="1">
    <w:name w:val="HTML 地址 Char"/>
    <w:link w:val="1070"/>
    <w:uiPriority w:val="0"/>
    <w:qFormat/>
    <w:rPr>
      <w:rFonts w:ascii="宋体"/>
      <w:i/>
      <w:iCs/>
      <w:sz w:val="21"/>
      <w:szCs w:val="21"/>
    </w:rPr>
  </w:style>
  <w:style w:type="paragraph" w:styleId="1072" w:customStyle="1">
    <w:name w:val="目录 51"/>
    <w:basedOn w:val="953"/>
    <w:next w:val="953"/>
    <w:uiPriority w:val="39"/>
    <w:unhideWhenUsed/>
    <w:qFormat/>
    <w:pPr>
      <w:ind w:left="1134"/>
      <w:spacing w:after="57"/>
    </w:pPr>
  </w:style>
  <w:style w:type="paragraph" w:styleId="1073" w:customStyle="1">
    <w:name w:val="目录 31"/>
    <w:basedOn w:val="953"/>
    <w:next w:val="953"/>
    <w:uiPriority w:val="39"/>
    <w:unhideWhenUsed/>
    <w:qFormat/>
    <w:pPr>
      <w:ind w:left="567"/>
      <w:spacing w:after="57"/>
    </w:pPr>
  </w:style>
  <w:style w:type="paragraph" w:styleId="1074" w:customStyle="1">
    <w:name w:val="纯文本1"/>
    <w:basedOn w:val="953"/>
    <w:link w:val="1075"/>
    <w:uiPriority w:val="0"/>
    <w:qFormat/>
    <w:rPr>
      <w:rFonts w:ascii="宋体" w:hAnsi="Courier New"/>
      <w:szCs w:val="21"/>
    </w:rPr>
  </w:style>
  <w:style w:type="character" w:styleId="1075" w:customStyle="1">
    <w:name w:val="纯文本 Char"/>
    <w:link w:val="1074"/>
    <w:uiPriority w:val="0"/>
    <w:qFormat/>
    <w:rPr>
      <w:rFonts w:ascii="宋体" w:hAnsi="Courier New" w:eastAsia="宋体"/>
      <w:sz w:val="21"/>
      <w:szCs w:val="21"/>
      <w:lang w:bidi="ar-SA"/>
    </w:rPr>
  </w:style>
  <w:style w:type="paragraph" w:styleId="1076" w:customStyle="1">
    <w:name w:val="目录 81"/>
    <w:basedOn w:val="953"/>
    <w:next w:val="953"/>
    <w:uiPriority w:val="39"/>
    <w:unhideWhenUsed/>
    <w:qFormat/>
    <w:pPr>
      <w:ind w:left="1984"/>
      <w:spacing w:after="57"/>
    </w:pPr>
  </w:style>
  <w:style w:type="paragraph" w:styleId="1077" w:customStyle="1">
    <w:name w:val="日期1"/>
    <w:basedOn w:val="953"/>
    <w:next w:val="953"/>
    <w:link w:val="1078"/>
    <w:uiPriority w:val="99"/>
    <w:qFormat/>
    <w:rPr>
      <w:sz w:val="24"/>
    </w:rPr>
  </w:style>
  <w:style w:type="character" w:styleId="1078" w:customStyle="1">
    <w:name w:val="日期 Char"/>
    <w:link w:val="1077"/>
    <w:uiPriority w:val="99"/>
    <w:qFormat/>
    <w:rPr>
      <w:sz w:val="24"/>
      <w:szCs w:val="24"/>
    </w:rPr>
  </w:style>
  <w:style w:type="paragraph" w:styleId="1079" w:customStyle="1">
    <w:name w:val="正文文本缩进 21"/>
    <w:basedOn w:val="953"/>
    <w:link w:val="1080"/>
    <w:uiPriority w:val="99"/>
    <w:qFormat/>
    <w:pPr>
      <w:ind w:left="630" w:firstLine="645"/>
    </w:pPr>
    <w:rPr>
      <w:rFonts w:ascii="Arial" w:hAnsi="Arial" w:eastAsia="仿宋_GB2312"/>
      <w:sz w:val="32"/>
      <w:szCs w:val="32"/>
    </w:rPr>
  </w:style>
  <w:style w:type="character" w:styleId="1080" w:customStyle="1">
    <w:name w:val="正文文本缩进 2 Char"/>
    <w:link w:val="1079"/>
    <w:uiPriority w:val="99"/>
    <w:qFormat/>
    <w:rPr>
      <w:rFonts w:ascii="Arial" w:hAnsi="Arial" w:eastAsia="仿宋_GB2312"/>
      <w:sz w:val="32"/>
      <w:szCs w:val="32"/>
      <w:lang w:val="en-US" w:eastAsia="zh-CN"/>
    </w:rPr>
  </w:style>
  <w:style w:type="paragraph" w:styleId="1081" w:customStyle="1">
    <w:name w:val="尾注文本1"/>
    <w:basedOn w:val="953"/>
    <w:link w:val="1082"/>
    <w:uiPriority w:val="0"/>
    <w:unhideWhenUsed/>
    <w:qFormat/>
    <w:rPr>
      <w:sz w:val="20"/>
    </w:rPr>
  </w:style>
  <w:style w:type="character" w:styleId="1082" w:customStyle="1">
    <w:name w:val="尾注文本 Char"/>
    <w:link w:val="1081"/>
    <w:uiPriority w:val="0"/>
    <w:qFormat/>
    <w:rPr>
      <w:sz w:val="20"/>
    </w:rPr>
  </w:style>
  <w:style w:type="paragraph" w:styleId="1083" w:customStyle="1">
    <w:name w:val="批注框文本1"/>
    <w:basedOn w:val="953"/>
    <w:link w:val="1084"/>
    <w:uiPriority w:val="99"/>
    <w:qFormat/>
    <w:rPr>
      <w:sz w:val="18"/>
      <w:szCs w:val="18"/>
    </w:rPr>
  </w:style>
  <w:style w:type="character" w:styleId="1084" w:customStyle="1">
    <w:name w:val="批注框文本 Char"/>
    <w:link w:val="1083"/>
    <w:uiPriority w:val="99"/>
    <w:qFormat/>
    <w:rPr>
      <w:sz w:val="18"/>
      <w:szCs w:val="18"/>
    </w:rPr>
  </w:style>
  <w:style w:type="paragraph" w:styleId="1085" w:customStyle="1">
    <w:name w:val="页脚11"/>
    <w:basedOn w:val="953"/>
    <w:link w:val="1086"/>
    <w:uiPriority w:val="99"/>
    <w:unhideWhenUsed/>
    <w:qFormat/>
    <w:pPr>
      <w:jc w:val="left"/>
      <w:tabs>
        <w:tab w:val="center" w:pos="4153" w:leader="none"/>
        <w:tab w:val="right" w:pos="8306" w:leader="none"/>
      </w:tabs>
    </w:pPr>
    <w:rPr>
      <w:sz w:val="18"/>
      <w:szCs w:val="18"/>
    </w:rPr>
  </w:style>
  <w:style w:type="character" w:styleId="1086" w:customStyle="1">
    <w:name w:val="页脚 Char"/>
    <w:basedOn w:val="1040"/>
    <w:link w:val="1085"/>
    <w:uiPriority w:val="99"/>
    <w:qFormat/>
    <w:rPr>
      <w:sz w:val="18"/>
      <w:szCs w:val="18"/>
    </w:rPr>
  </w:style>
  <w:style w:type="paragraph" w:styleId="1087" w:customStyle="1">
    <w:name w:val="页眉11"/>
    <w:basedOn w:val="953"/>
    <w:link w:val="108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88" w:customStyle="1">
    <w:name w:val="页眉 Char"/>
    <w:basedOn w:val="1040"/>
    <w:link w:val="1087"/>
    <w:uiPriority w:val="99"/>
    <w:qFormat/>
    <w:rPr>
      <w:sz w:val="18"/>
      <w:szCs w:val="18"/>
    </w:rPr>
  </w:style>
  <w:style w:type="paragraph" w:styleId="1089" w:customStyle="1">
    <w:name w:val="目录 111"/>
    <w:basedOn w:val="953"/>
    <w:next w:val="953"/>
    <w:uiPriority w:val="39"/>
    <w:unhideWhenUsed/>
    <w:qFormat/>
    <w:pPr>
      <w:spacing w:after="57"/>
    </w:pPr>
  </w:style>
  <w:style w:type="paragraph" w:styleId="1090" w:customStyle="1">
    <w:name w:val="目录 41"/>
    <w:basedOn w:val="953"/>
    <w:next w:val="953"/>
    <w:uiPriority w:val="39"/>
    <w:unhideWhenUsed/>
    <w:qFormat/>
    <w:pPr>
      <w:ind w:left="850"/>
      <w:spacing w:after="57"/>
    </w:pPr>
  </w:style>
  <w:style w:type="paragraph" w:styleId="1091" w:customStyle="1">
    <w:name w:val="副标题1"/>
    <w:basedOn w:val="953"/>
    <w:next w:val="953"/>
    <w:link w:val="1092"/>
    <w:uiPriority w:val="11"/>
    <w:qFormat/>
    <w:pPr>
      <w:spacing w:before="200" w:after="200"/>
    </w:pPr>
    <w:rPr>
      <w:sz w:val="24"/>
    </w:rPr>
  </w:style>
  <w:style w:type="character" w:styleId="1092" w:customStyle="1">
    <w:name w:val="副标题 Char"/>
    <w:basedOn w:val="1040"/>
    <w:link w:val="1091"/>
    <w:uiPriority w:val="11"/>
    <w:qFormat/>
    <w:rPr>
      <w:sz w:val="24"/>
      <w:szCs w:val="24"/>
    </w:rPr>
  </w:style>
  <w:style w:type="paragraph" w:styleId="1093" w:customStyle="1">
    <w:name w:val="脚注文本111"/>
    <w:basedOn w:val="953"/>
    <w:next w:val="1057"/>
    <w:link w:val="1094"/>
    <w:uiPriority w:val="0"/>
    <w:unhideWhenUsed/>
    <w:qFormat/>
    <w:pPr>
      <w:spacing w:after="40"/>
    </w:pPr>
    <w:rPr>
      <w:sz w:val="18"/>
    </w:rPr>
  </w:style>
  <w:style w:type="character" w:styleId="1094" w:customStyle="1">
    <w:name w:val="脚注文本 Char"/>
    <w:link w:val="1093"/>
    <w:uiPriority w:val="99"/>
    <w:qFormat/>
    <w:rPr>
      <w:sz w:val="18"/>
    </w:rPr>
  </w:style>
  <w:style w:type="paragraph" w:styleId="1095" w:customStyle="1">
    <w:name w:val="目录 61"/>
    <w:basedOn w:val="953"/>
    <w:next w:val="953"/>
    <w:uiPriority w:val="39"/>
    <w:unhideWhenUsed/>
    <w:qFormat/>
    <w:pPr>
      <w:ind w:left="1417"/>
      <w:spacing w:after="57"/>
    </w:pPr>
  </w:style>
  <w:style w:type="paragraph" w:styleId="1096" w:customStyle="1">
    <w:name w:val="正文文本缩进 31"/>
    <w:basedOn w:val="953"/>
    <w:link w:val="1097"/>
    <w:uiPriority w:val="0"/>
    <w:qFormat/>
    <w:pPr>
      <w:ind w:left="645" w:firstLine="645"/>
    </w:pPr>
    <w:rPr>
      <w:rFonts w:ascii="Arial" w:hAnsi="Arial" w:eastAsia="仿宋_GB2312"/>
      <w:color w:val="ffff00"/>
      <w:sz w:val="32"/>
      <w:szCs w:val="32"/>
    </w:rPr>
  </w:style>
  <w:style w:type="character" w:styleId="1097" w:customStyle="1">
    <w:name w:val="正文文本缩进 3 Char"/>
    <w:link w:val="1096"/>
    <w:uiPriority w:val="0"/>
    <w:qFormat/>
    <w:rPr>
      <w:rFonts w:ascii="Arial" w:hAnsi="Arial" w:eastAsia="仿宋_GB2312"/>
      <w:color w:val="ffff00"/>
      <w:sz w:val="32"/>
      <w:szCs w:val="32"/>
    </w:rPr>
  </w:style>
  <w:style w:type="paragraph" w:styleId="1098" w:customStyle="1">
    <w:name w:val="图表目录1"/>
    <w:basedOn w:val="953"/>
    <w:next w:val="953"/>
    <w:uiPriority w:val="99"/>
    <w:unhideWhenUsed/>
    <w:qFormat/>
  </w:style>
  <w:style w:type="paragraph" w:styleId="1099" w:customStyle="1">
    <w:name w:val="目录 21"/>
    <w:basedOn w:val="953"/>
    <w:next w:val="953"/>
    <w:uiPriority w:val="39"/>
    <w:unhideWhenUsed/>
    <w:qFormat/>
    <w:pPr>
      <w:ind w:left="283"/>
      <w:spacing w:after="57"/>
    </w:pPr>
  </w:style>
  <w:style w:type="paragraph" w:styleId="1100" w:customStyle="1">
    <w:name w:val="目录 91"/>
    <w:basedOn w:val="953"/>
    <w:next w:val="953"/>
    <w:uiPriority w:val="39"/>
    <w:unhideWhenUsed/>
    <w:qFormat/>
    <w:pPr>
      <w:ind w:left="2268"/>
      <w:spacing w:after="57"/>
    </w:pPr>
  </w:style>
  <w:style w:type="paragraph" w:styleId="1101" w:customStyle="1">
    <w:name w:val="正文文本 21"/>
    <w:basedOn w:val="953"/>
    <w:link w:val="1102"/>
    <w:uiPriority w:val="0"/>
    <w:qFormat/>
    <w:pPr>
      <w:jc w:val="center"/>
      <w:widowControl/>
    </w:pPr>
    <w:rPr>
      <w:rFonts w:ascii="楷体_GB2312" w:eastAsia="楷体_GB2312"/>
      <w:sz w:val="28"/>
      <w:szCs w:val="28"/>
    </w:rPr>
  </w:style>
  <w:style w:type="character" w:styleId="1102" w:customStyle="1">
    <w:name w:val="正文文本 2 Char"/>
    <w:link w:val="1101"/>
    <w:uiPriority w:val="0"/>
    <w:qFormat/>
    <w:rPr>
      <w:rFonts w:ascii="楷体_GB2312" w:eastAsia="楷体_GB2312"/>
      <w:sz w:val="28"/>
      <w:szCs w:val="28"/>
    </w:rPr>
  </w:style>
  <w:style w:type="paragraph" w:styleId="1103" w:customStyle="1">
    <w:name w:val="HTML 预设格式1"/>
    <w:basedOn w:val="953"/>
    <w:link w:val="110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4" w:customStyle="1">
    <w:name w:val="HTML 预设格式 Char"/>
    <w:link w:val="1103"/>
    <w:uiPriority w:val="99"/>
    <w:qFormat/>
    <w:rPr>
      <w:rFonts w:ascii="宋体" w:hAnsi="宋体"/>
      <w:sz w:val="24"/>
      <w:szCs w:val="24"/>
    </w:rPr>
  </w:style>
  <w:style w:type="paragraph" w:styleId="1105" w:customStyle="1">
    <w:name w:val="普通(网站)11"/>
    <w:basedOn w:val="953"/>
    <w:link w:val="1106"/>
    <w:uiPriority w:val="0"/>
    <w:qFormat/>
    <w:pPr>
      <w:jc w:val="left"/>
      <w:spacing w:before="100" w:beforeAutospacing="1" w:after="100" w:afterAutospacing="1"/>
      <w:widowControl/>
    </w:pPr>
    <w:rPr>
      <w:rFonts w:ascii="宋体" w:hAnsi="宋体"/>
      <w:sz w:val="24"/>
    </w:rPr>
  </w:style>
  <w:style w:type="character" w:styleId="1106" w:customStyle="1">
    <w:name w:val="普通(网站) Char"/>
    <w:link w:val="1105"/>
    <w:uiPriority w:val="99"/>
    <w:qFormat/>
    <w:rPr>
      <w:rFonts w:ascii="宋体" w:hAnsi="宋体" w:cs="宋体"/>
      <w:sz w:val="24"/>
      <w:szCs w:val="24"/>
    </w:rPr>
  </w:style>
  <w:style w:type="paragraph" w:styleId="1107" w:customStyle="1">
    <w:name w:val="标题1"/>
    <w:basedOn w:val="953"/>
    <w:next w:val="953"/>
    <w:link w:val="1108"/>
    <w:uiPriority w:val="10"/>
    <w:qFormat/>
    <w:pPr>
      <w:contextualSpacing/>
      <w:spacing w:before="300" w:after="200"/>
    </w:pPr>
    <w:rPr>
      <w:sz w:val="48"/>
      <w:szCs w:val="48"/>
    </w:rPr>
  </w:style>
  <w:style w:type="character" w:styleId="1108" w:customStyle="1">
    <w:name w:val="标题 Char"/>
    <w:basedOn w:val="1040"/>
    <w:link w:val="1107"/>
    <w:uiPriority w:val="10"/>
    <w:qFormat/>
    <w:rPr>
      <w:sz w:val="48"/>
      <w:szCs w:val="48"/>
    </w:rPr>
  </w:style>
  <w:style w:type="paragraph" w:styleId="1109" w:customStyle="1">
    <w:name w:val="批注主题1"/>
    <w:basedOn w:val="1061"/>
    <w:next w:val="1061"/>
    <w:link w:val="1110"/>
    <w:uiPriority w:val="99"/>
    <w:qFormat/>
    <w:rPr>
      <w:b/>
      <w:bCs/>
    </w:rPr>
  </w:style>
  <w:style w:type="character" w:styleId="1110" w:customStyle="1">
    <w:name w:val="批注主题 Char"/>
    <w:link w:val="1109"/>
    <w:uiPriority w:val="99"/>
    <w:qFormat/>
    <w:rPr>
      <w:b/>
      <w:bCs/>
      <w:sz w:val="21"/>
      <w:szCs w:val="24"/>
    </w:rPr>
  </w:style>
  <w:style w:type="paragraph" w:styleId="1111" w:customStyle="1">
    <w:name w:val="正文首行缩进11"/>
    <w:basedOn w:val="978"/>
    <w:next w:val="981"/>
    <w:link w:val="1113"/>
    <w:uiPriority w:val="0"/>
    <w:qFormat/>
    <w:pPr>
      <w:ind w:firstLine="200"/>
      <w:spacing w:line="360" w:lineRule="auto"/>
    </w:pPr>
    <w:rPr>
      <w:rFonts w:ascii="仿宋_GB2312" w:eastAsia="仿宋_GB2312"/>
      <w:sz w:val="30"/>
      <w:szCs w:val="30"/>
    </w:rPr>
  </w:style>
  <w:style w:type="paragraph" w:styleId="1112" w:customStyle="1">
    <w:name w:val="样式 正文文本缩进 + 首行缩进:  2 字符 行距: 1.5 倍行距"/>
    <w:basedOn w:val="982"/>
    <w:uiPriority w:val="0"/>
    <w:qFormat/>
    <w:pPr>
      <w:ind w:firstLine="645"/>
      <w:spacing w:before="156" w:after="120"/>
    </w:pPr>
    <w:rPr>
      <w:rFonts w:ascii="Calibri" w:hAnsi="Calibri"/>
      <w:sz w:val="28"/>
    </w:rPr>
  </w:style>
  <w:style w:type="character" w:styleId="1113" w:customStyle="1">
    <w:name w:val="正文首行缩进 Char"/>
    <w:link w:val="1111"/>
    <w:uiPriority w:val="0"/>
    <w:qFormat/>
    <w:rPr>
      <w:rFonts w:ascii="仿宋_GB2312" w:eastAsia="仿宋_GB2312"/>
      <w:sz w:val="30"/>
      <w:szCs w:val="30"/>
    </w:rPr>
  </w:style>
  <w:style w:type="paragraph" w:styleId="1114" w:customStyle="1">
    <w:name w:val="正文首行缩进 212"/>
    <w:basedOn w:val="1067"/>
    <w:link w:val="1115"/>
    <w:uiPriority w:val="99"/>
    <w:qFormat/>
    <w:pPr>
      <w:ind w:left="0" w:firstLine="420"/>
      <w:spacing w:after="0" w:line="360" w:lineRule="auto"/>
    </w:pPr>
    <w:rPr>
      <w:rFonts w:ascii="宋体" w:hAnsi="宋体"/>
    </w:rPr>
  </w:style>
  <w:style w:type="character" w:styleId="1115" w:customStyle="1">
    <w:name w:val="正文首行缩进 2 Char"/>
    <w:link w:val="1114"/>
    <w:uiPriority w:val="99"/>
    <w:qFormat/>
    <w:rPr>
      <w:rFonts w:ascii="宋体" w:hAnsi="宋体"/>
      <w:sz w:val="21"/>
      <w:szCs w:val="24"/>
      <w:lang w:val="en-US" w:eastAsia="zh-CN"/>
    </w:rPr>
  </w:style>
  <w:style w:type="table" w:styleId="1116" w:customStyle="1">
    <w:name w:val="网格型1"/>
    <w:basedOn w:val="1041"/>
    <w:uiPriority w:val="0"/>
    <w:qFormat/>
    <w:tblPr>
      <w:tblCellMar>
        <w:left w:w="0" w:type="dxa"/>
        <w:top w:w="0" w:type="dxa"/>
        <w:right w:w="0" w:type="dxa"/>
        <w:bottom w:w="0" w:type="dxa"/>
      </w:tblCellMar>
    </w:tblPr>
  </w:style>
  <w:style w:type="character" w:styleId="1117" w:customStyle="1">
    <w:name w:val="要点1"/>
    <w:uiPriority w:val="22"/>
    <w:qFormat/>
    <w:rPr>
      <w:b/>
      <w:sz w:val="21"/>
    </w:rPr>
  </w:style>
  <w:style w:type="character" w:styleId="1118" w:customStyle="1">
    <w:name w:val="尾注引用1"/>
    <w:basedOn w:val="1040"/>
    <w:uiPriority w:val="99"/>
    <w:unhideWhenUsed/>
    <w:qFormat/>
    <w:rPr>
      <w:vertAlign w:val="superscript"/>
    </w:rPr>
  </w:style>
  <w:style w:type="character" w:styleId="1119" w:customStyle="1">
    <w:name w:val="页码11"/>
    <w:uiPriority w:val="0"/>
    <w:qFormat/>
  </w:style>
  <w:style w:type="character" w:styleId="1120" w:customStyle="1">
    <w:name w:val="已访问的超链接1"/>
    <w:basedOn w:val="1040"/>
    <w:uiPriority w:val="99"/>
    <w:unhideWhenUsed/>
    <w:qFormat/>
    <w:rPr>
      <w:color w:val="954f72"/>
      <w:u w:val="single"/>
    </w:rPr>
  </w:style>
  <w:style w:type="character" w:styleId="1121" w:customStyle="1">
    <w:name w:val="强调1"/>
    <w:uiPriority w:val="0"/>
    <w:qFormat/>
    <w:rPr>
      <w:i/>
      <w:iCs/>
    </w:rPr>
  </w:style>
  <w:style w:type="character" w:styleId="1122" w:customStyle="1">
    <w:name w:val="超链接11"/>
    <w:basedOn w:val="1040"/>
    <w:uiPriority w:val="0"/>
    <w:unhideWhenUsed/>
    <w:qFormat/>
    <w:rPr>
      <w:color w:val="0563c1"/>
      <w:u w:val="single"/>
    </w:rPr>
  </w:style>
  <w:style w:type="character" w:styleId="1123" w:customStyle="1">
    <w:name w:val="批注引用1"/>
    <w:uiPriority w:val="0"/>
    <w:qFormat/>
    <w:rPr>
      <w:sz w:val="21"/>
      <w:szCs w:val="21"/>
    </w:rPr>
  </w:style>
  <w:style w:type="character" w:styleId="1124" w:customStyle="1">
    <w:name w:val="脚注引用1"/>
    <w:basedOn w:val="1040"/>
    <w:uiPriority w:val="99"/>
    <w:unhideWhenUsed/>
    <w:qFormat/>
    <w:rPr>
      <w:vertAlign w:val="superscript"/>
    </w:rPr>
  </w:style>
  <w:style w:type="paragraph" w:styleId="1125" w:customStyle="1">
    <w:name w:val="BlockQuote1"/>
    <w:basedOn w:val="953"/>
    <w:uiPriority w:val="0"/>
    <w:qFormat/>
    <w:pPr>
      <w:ind w:left="256" w:right="6" w:firstLine="624"/>
    </w:pPr>
    <w:rPr>
      <w:rFonts w:eastAsia="仿宋_GB2312"/>
      <w:sz w:val="28"/>
    </w:rPr>
  </w:style>
  <w:style w:type="paragraph" w:styleId="1126" w:customStyle="1">
    <w:name w:val="标题 21"/>
    <w:basedOn w:val="980"/>
    <w:next w:val="1127"/>
    <w:link w:val="113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127" w:customStyle="1">
    <w:name w:val="正文12"/>
    <w:next w:val="112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28" w:customStyle="1">
    <w:name w:val="无间隔1"/>
    <w:uiPriority w:val="1"/>
    <w:qFormat/>
    <w:rPr>
      <w:rFonts w:hint="default" w:ascii="Times New Roman" w:hAnsi="Times New Roman" w:eastAsia="宋体" w:cs="Times New Roman"/>
      <w:lang w:val="en-US" w:eastAsia="zh-CN" w:bidi="ar-SA"/>
    </w:rPr>
  </w:style>
  <w:style w:type="paragraph" w:styleId="112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30" w:customStyle="1">
    <w:name w:val="正文文本缩进1"/>
    <w:basedOn w:val="1008"/>
    <w:next w:val="1131"/>
    <w:uiPriority w:val="0"/>
    <w:qFormat/>
    <w:pPr>
      <w:ind w:left="420"/>
      <w:spacing w:after="120"/>
    </w:pPr>
  </w:style>
  <w:style w:type="paragraph" w:styleId="1131" w:customStyle="1">
    <w:name w:val="寄信人地址1"/>
    <w:basedOn w:val="1127"/>
    <w:uiPriority w:val="0"/>
    <w:qFormat/>
    <w:rPr>
      <w:rFonts w:ascii="Arial" w:hAnsi="Arial"/>
    </w:rPr>
  </w:style>
  <w:style w:type="paragraph" w:styleId="1132" w:customStyle="1">
    <w:name w:val="正文1111"/>
    <w:next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文本块1"/>
    <w:basedOn w:val="980"/>
    <w:next w:val="1134"/>
    <w:uiPriority w:val="0"/>
    <w:qFormat/>
    <w:pPr>
      <w:ind w:left="256" w:right="6" w:firstLine="624"/>
    </w:pPr>
    <w:rPr>
      <w:rFonts w:eastAsia="仿宋_GB2312"/>
      <w:sz w:val="28"/>
      <w:szCs w:val="20"/>
    </w:rPr>
  </w:style>
  <w:style w:type="paragraph" w:styleId="1134" w:customStyle="1">
    <w:name w:val="标题 41"/>
    <w:basedOn w:val="1127"/>
    <w:next w:val="1008"/>
    <w:link w:val="1140"/>
    <w:uiPriority w:val="0"/>
    <w:qFormat/>
    <w:pPr>
      <w:keepLines/>
      <w:keepNext/>
      <w:spacing w:before="280" w:after="290" w:line="376" w:lineRule="auto"/>
      <w:outlineLvl w:val="3"/>
    </w:pPr>
    <w:rPr>
      <w:rFonts w:ascii="Arial" w:hAnsi="Arial" w:eastAsia="黑体"/>
      <w:b/>
      <w:bCs/>
      <w:sz w:val="28"/>
      <w:szCs w:val="28"/>
    </w:rPr>
  </w:style>
  <w:style w:type="character" w:styleId="1135" w:customStyle="1">
    <w:name w:val="标题 2 字符"/>
    <w:link w:val="1126"/>
    <w:uiPriority w:val="0"/>
    <w:qFormat/>
    <w:rPr>
      <w:rFonts w:ascii="Cambria" w:hAnsi="Cambria"/>
      <w:b/>
      <w:bCs/>
      <w:sz w:val="28"/>
      <w:szCs w:val="32"/>
    </w:rPr>
  </w:style>
  <w:style w:type="character" w:styleId="1136" w:customStyle="1">
    <w:name w:val="页码1"/>
    <w:link w:val="980"/>
    <w:uiPriority w:val="0"/>
    <w:qFormat/>
    <w:rPr>
      <w:rFonts w:hint="default" w:ascii="Times New Roman" w:hAnsi="Times New Roman" w:eastAsia="宋体" w:cs="Times New Roman"/>
      <w:sz w:val="21"/>
      <w:szCs w:val="24"/>
      <w:lang w:val="en-US" w:eastAsia="zh-CN" w:bidi="ar-SA"/>
    </w:rPr>
  </w:style>
  <w:style w:type="character" w:styleId="1137" w:customStyle="1">
    <w:name w:val="超链接1"/>
    <w:uiPriority w:val="0"/>
    <w:qFormat/>
    <w:rPr>
      <w:rFonts w:ascii="Times New Roman" w:hAnsi="Times New Roman" w:eastAsia="宋体"/>
      <w:sz w:val="21"/>
      <w:szCs w:val="24"/>
      <w:lang w:val="en-US" w:eastAsia="zh-CN" w:bidi="ar-SA"/>
    </w:rPr>
  </w:style>
  <w:style w:type="character" w:styleId="1138" w:customStyle="1">
    <w:name w:val="章标题 Char"/>
    <w:link w:val="971"/>
    <w:uiPriority w:val="0"/>
    <w:qFormat/>
    <w:rPr>
      <w:rFonts w:ascii="黑体" w:eastAsia="黑体"/>
      <w:sz w:val="21"/>
      <w:szCs w:val="22"/>
    </w:rPr>
  </w:style>
  <w:style w:type="character" w:styleId="1139" w:customStyle="1">
    <w:name w:val="一级条标题 Char"/>
    <w:link w:val="970"/>
    <w:uiPriority w:val="0"/>
    <w:qFormat/>
    <w:rPr>
      <w:rFonts w:ascii="黑体" w:hAnsi="宋体" w:eastAsia="黑体"/>
    </w:rPr>
  </w:style>
  <w:style w:type="character" w:styleId="1140" w:customStyle="1">
    <w:name w:val="Heading 4 Char"/>
    <w:basedOn w:val="1040"/>
    <w:link w:val="1134"/>
    <w:uiPriority w:val="9"/>
    <w:qFormat/>
    <w:rPr>
      <w:rFonts w:ascii="Arial" w:hAnsi="Arial" w:eastAsia="Arial" w:cs="Arial"/>
      <w:b/>
      <w:bCs/>
      <w:sz w:val="26"/>
      <w:szCs w:val="26"/>
    </w:rPr>
  </w:style>
  <w:style w:type="paragraph" w:styleId="1141" w:customStyle="1">
    <w:name w:val="脚注文本1"/>
    <w:basedOn w:val="972"/>
    <w:next w:val="1142"/>
    <w:uiPriority w:val="0"/>
    <w:qFormat/>
    <w:rPr>
      <w:sz w:val="18"/>
      <w:szCs w:val="18"/>
    </w:rPr>
  </w:style>
  <w:style w:type="paragraph" w:styleId="1142" w:customStyle="1">
    <w:name w:val="索引 51"/>
    <w:basedOn w:val="1127"/>
    <w:next w:val="972"/>
    <w:uiPriority w:val="0"/>
    <w:qFormat/>
    <w:pPr>
      <w:ind w:left="798"/>
      <w:jc w:val="left"/>
    </w:pPr>
  </w:style>
  <w:style w:type="paragraph" w:styleId="1143" w:customStyle="1">
    <w:name w:val="标题 411"/>
    <w:basedOn w:val="1127"/>
    <w:next w:val="1008"/>
    <w:uiPriority w:val="0"/>
    <w:qFormat/>
    <w:pPr>
      <w:keepLines/>
      <w:keepNext/>
      <w:spacing w:before="280" w:after="290" w:line="376" w:lineRule="auto"/>
      <w:outlineLvl w:val="3"/>
    </w:pPr>
    <w:rPr>
      <w:rFonts w:ascii="Arial" w:hAnsi="Arial" w:eastAsia="黑体"/>
      <w:b/>
      <w:bCs/>
      <w:sz w:val="28"/>
      <w:szCs w:val="28"/>
    </w:rPr>
  </w:style>
  <w:style w:type="paragraph" w:styleId="1144" w:customStyle="1">
    <w:name w:val="正文文本111"/>
    <w:basedOn w:val="1145"/>
    <w:next w:val="1127"/>
    <w:uiPriority w:val="0"/>
    <w:qFormat/>
    <w:rPr>
      <w:rFonts w:ascii="楷体_GB2312" w:hAnsi="Arial" w:eastAsia="楷体_GB2312"/>
      <w:sz w:val="28"/>
      <w:szCs w:val="28"/>
      <w:lang w:eastAsia="en-US"/>
    </w:rPr>
  </w:style>
  <w:style w:type="paragraph" w:styleId="1145" w:customStyle="1">
    <w:name w:val="正文1121"/>
    <w:next w:val="1144"/>
    <w:uiPriority w:val="0"/>
    <w:qFormat/>
    <w:pPr>
      <w:jc w:val="both"/>
      <w:widowControl w:val="off"/>
    </w:pPr>
    <w:rPr>
      <w:rFonts w:hint="default" w:ascii="Calibri" w:hAnsi="Calibri" w:eastAsia="宋体" w:cs="Times New Roman"/>
      <w:sz w:val="21"/>
      <w:szCs w:val="24"/>
      <w:lang w:val="en-US" w:eastAsia="zh-CN" w:bidi="ar-SA"/>
    </w:rPr>
  </w:style>
  <w:style w:type="paragraph" w:styleId="1146" w:customStyle="1">
    <w:name w:val="标题 211"/>
    <w:basedOn w:val="1008"/>
    <w:next w:val="1132"/>
    <w:uiPriority w:val="0"/>
    <w:qFormat/>
    <w:pPr>
      <w:keepLines/>
      <w:keepNext/>
      <w:spacing w:before="260" w:after="260" w:line="416" w:lineRule="auto"/>
      <w:outlineLvl w:val="1"/>
    </w:pPr>
    <w:rPr>
      <w:rFonts w:ascii="Calibri Light" w:hAnsi="Calibri Light"/>
      <w:b/>
      <w:bCs/>
      <w:sz w:val="32"/>
      <w:szCs w:val="32"/>
    </w:rPr>
  </w:style>
  <w:style w:type="paragraph" w:styleId="1147" w:customStyle="1">
    <w:name w:val="标题 111"/>
    <w:basedOn w:val="1008"/>
    <w:next w:val="1008"/>
    <w:uiPriority w:val="0"/>
    <w:qFormat/>
    <w:pPr>
      <w:jc w:val="center"/>
      <w:keepLines/>
      <w:keepNext/>
      <w:spacing w:line="578" w:lineRule="auto"/>
      <w:outlineLvl w:val="0"/>
    </w:pPr>
    <w:rPr>
      <w:rFonts w:eastAsia="新宋体"/>
      <w:b/>
      <w:bCs/>
      <w:sz w:val="30"/>
      <w:szCs w:val="44"/>
    </w:rPr>
  </w:style>
  <w:style w:type="paragraph" w:styleId="1148" w:customStyle="1">
    <w:name w:val="正文首行缩进 21"/>
    <w:basedOn w:val="1130"/>
    <w:next w:val="953"/>
    <w:uiPriority w:val="0"/>
    <w:qFormat/>
    <w:pPr>
      <w:ind w:firstLine="420"/>
    </w:pPr>
    <w:rPr>
      <w:rFonts w:ascii="仿宋_GB2312"/>
      <w:color w:val="ff6600"/>
      <w:sz w:val="21"/>
    </w:rPr>
  </w:style>
  <w:style w:type="character" w:styleId="1149" w:customStyle="1">
    <w:name w:val="Title Char"/>
    <w:basedOn w:val="1040"/>
    <w:uiPriority w:val="10"/>
    <w:qFormat/>
    <w:rPr>
      <w:sz w:val="48"/>
      <w:szCs w:val="48"/>
    </w:rPr>
  </w:style>
  <w:style w:type="character" w:styleId="1150" w:customStyle="1">
    <w:name w:val="Subtitle Char"/>
    <w:basedOn w:val="1040"/>
    <w:uiPriority w:val="11"/>
    <w:qFormat/>
    <w:rPr>
      <w:sz w:val="24"/>
      <w:szCs w:val="24"/>
    </w:rPr>
  </w:style>
  <w:style w:type="character" w:styleId="1151" w:customStyle="1">
    <w:name w:val="Quote Char"/>
    <w:uiPriority w:val="29"/>
    <w:qFormat/>
    <w:rPr>
      <w:i/>
    </w:rPr>
  </w:style>
  <w:style w:type="character" w:styleId="1152" w:customStyle="1">
    <w:name w:val="Intense Quote Char"/>
    <w:uiPriority w:val="30"/>
    <w:qFormat/>
    <w:rPr>
      <w:i/>
    </w:rPr>
  </w:style>
  <w:style w:type="character" w:styleId="1153" w:customStyle="1">
    <w:name w:val="Footnote Text Char"/>
    <w:uiPriority w:val="99"/>
    <w:qFormat/>
    <w:rPr>
      <w:sz w:val="18"/>
    </w:rPr>
  </w:style>
  <w:style w:type="character" w:styleId="1154" w:customStyle="1">
    <w:name w:val="Endnote Text Char"/>
    <w:uiPriority w:val="99"/>
    <w:qFormat/>
    <w:rPr>
      <w:sz w:val="20"/>
    </w:rPr>
  </w:style>
  <w:style w:type="paragraph" w:styleId="1155" w:customStyle="1">
    <w:name w:val="TOC 标题1"/>
    <w:uiPriority w:val="39"/>
    <w:unhideWhenUsed/>
    <w:qFormat/>
    <w:rPr>
      <w:rFonts w:hint="default" w:ascii="Times New Roman" w:hAnsi="Times New Roman" w:eastAsia="宋体" w:cs="Times New Roman"/>
      <w:lang w:val="en-US" w:eastAsia="zh-CN" w:bidi="ar-SA"/>
    </w:rPr>
  </w:style>
  <w:style w:type="character" w:styleId="1156" w:customStyle="1">
    <w:name w:val="Heading 1 Char"/>
    <w:basedOn w:val="1040"/>
    <w:link w:val="1157"/>
    <w:uiPriority w:val="9"/>
    <w:qFormat/>
    <w:rPr>
      <w:rFonts w:ascii="Arial" w:hAnsi="Arial" w:eastAsia="Arial" w:cs="Arial"/>
      <w:sz w:val="40"/>
      <w:szCs w:val="40"/>
    </w:rPr>
  </w:style>
  <w:style w:type="paragraph" w:styleId="1157" w:customStyle="1">
    <w:name w:val="标题 11"/>
    <w:basedOn w:val="953"/>
    <w:next w:val="953"/>
    <w:link w:val="1156"/>
    <w:uiPriority w:val="0"/>
    <w:qFormat/>
    <w:pPr>
      <w:jc w:val="center"/>
      <w:keepLines/>
      <w:keepNext/>
      <w:spacing w:before="340" w:after="330" w:line="578" w:lineRule="auto"/>
      <w:outlineLvl w:val="0"/>
    </w:pPr>
    <w:rPr>
      <w:rFonts w:eastAsia="仿宋"/>
      <w:bCs/>
      <w:sz w:val="30"/>
      <w:szCs w:val="44"/>
    </w:rPr>
  </w:style>
  <w:style w:type="character" w:styleId="1158" w:customStyle="1">
    <w:name w:val="Heading 2 Char"/>
    <w:basedOn w:val="1040"/>
    <w:uiPriority w:val="9"/>
    <w:qFormat/>
    <w:rPr>
      <w:rFonts w:ascii="Arial" w:hAnsi="Arial" w:eastAsia="Arial" w:cs="Arial"/>
      <w:sz w:val="34"/>
    </w:rPr>
  </w:style>
  <w:style w:type="paragraph" w:styleId="1159" w:customStyle="1">
    <w:name w:val="标题 31"/>
    <w:basedOn w:val="1008"/>
    <w:next w:val="1008"/>
    <w:link w:val="1160"/>
    <w:uiPriority w:val="9"/>
    <w:unhideWhenUsed/>
    <w:qFormat/>
    <w:pPr>
      <w:keepLines/>
      <w:keepNext/>
      <w:spacing w:before="320" w:after="200"/>
      <w:outlineLvl w:val="2"/>
    </w:pPr>
    <w:rPr>
      <w:rFonts w:ascii="Arial" w:hAnsi="Arial" w:eastAsia="Arial" w:cs="Arial"/>
      <w:sz w:val="30"/>
      <w:szCs w:val="30"/>
    </w:rPr>
  </w:style>
  <w:style w:type="character" w:styleId="1160" w:customStyle="1">
    <w:name w:val="Heading 3 Char"/>
    <w:basedOn w:val="1040"/>
    <w:link w:val="1159"/>
    <w:uiPriority w:val="9"/>
    <w:qFormat/>
    <w:rPr>
      <w:rFonts w:ascii="Arial" w:hAnsi="Arial" w:eastAsia="Arial" w:cs="Arial"/>
      <w:sz w:val="30"/>
      <w:szCs w:val="30"/>
    </w:rPr>
  </w:style>
  <w:style w:type="character" w:styleId="1161" w:customStyle="1">
    <w:name w:val="Heading 5 Char"/>
    <w:basedOn w:val="1040"/>
    <w:uiPriority w:val="9"/>
    <w:qFormat/>
    <w:rPr>
      <w:rFonts w:ascii="Arial" w:hAnsi="Arial" w:eastAsia="Arial" w:cs="Arial"/>
      <w:b/>
      <w:bCs/>
      <w:sz w:val="24"/>
      <w:szCs w:val="24"/>
    </w:rPr>
  </w:style>
  <w:style w:type="paragraph" w:styleId="1162" w:customStyle="1">
    <w:name w:val="标题 61"/>
    <w:basedOn w:val="953"/>
    <w:next w:val="953"/>
    <w:link w:val="1163"/>
    <w:uiPriority w:val="9"/>
    <w:unhideWhenUsed/>
    <w:qFormat/>
    <w:pPr>
      <w:keepLines/>
      <w:keepNext/>
      <w:spacing w:before="320" w:after="200"/>
      <w:outlineLvl w:val="5"/>
    </w:pPr>
    <w:rPr>
      <w:rFonts w:ascii="Arial" w:hAnsi="Arial" w:eastAsia="Arial" w:cs="Arial"/>
      <w:b/>
      <w:bCs/>
      <w:sz w:val="22"/>
      <w:szCs w:val="22"/>
    </w:rPr>
  </w:style>
  <w:style w:type="character" w:styleId="1163" w:customStyle="1">
    <w:name w:val="Heading 6 Char"/>
    <w:basedOn w:val="1040"/>
    <w:link w:val="1162"/>
    <w:uiPriority w:val="9"/>
    <w:qFormat/>
    <w:rPr>
      <w:rFonts w:ascii="Arial" w:hAnsi="Arial" w:eastAsia="Arial" w:cs="Arial"/>
      <w:b/>
      <w:bCs/>
      <w:sz w:val="22"/>
      <w:szCs w:val="22"/>
    </w:rPr>
  </w:style>
  <w:style w:type="paragraph" w:styleId="1164" w:customStyle="1">
    <w:name w:val="标题 71"/>
    <w:basedOn w:val="953"/>
    <w:next w:val="953"/>
    <w:link w:val="1165"/>
    <w:uiPriority w:val="9"/>
    <w:unhideWhenUsed/>
    <w:qFormat/>
    <w:pPr>
      <w:keepLines/>
      <w:keepNext/>
      <w:spacing w:before="320" w:after="200"/>
      <w:outlineLvl w:val="6"/>
    </w:pPr>
    <w:rPr>
      <w:rFonts w:ascii="Arial" w:hAnsi="Arial" w:eastAsia="Arial" w:cs="Arial"/>
      <w:b/>
      <w:bCs/>
      <w:i/>
      <w:iCs/>
      <w:sz w:val="22"/>
      <w:szCs w:val="22"/>
    </w:rPr>
  </w:style>
  <w:style w:type="character" w:styleId="1165" w:customStyle="1">
    <w:name w:val="Heading 7 Char"/>
    <w:basedOn w:val="1040"/>
    <w:link w:val="1164"/>
    <w:uiPriority w:val="9"/>
    <w:qFormat/>
    <w:rPr>
      <w:rFonts w:ascii="Arial" w:hAnsi="Arial" w:eastAsia="Arial" w:cs="Arial"/>
      <w:b/>
      <w:bCs/>
      <w:i/>
      <w:iCs/>
      <w:sz w:val="22"/>
      <w:szCs w:val="22"/>
    </w:rPr>
  </w:style>
  <w:style w:type="paragraph" w:styleId="1166" w:customStyle="1">
    <w:name w:val="标题 81"/>
    <w:basedOn w:val="953"/>
    <w:next w:val="953"/>
    <w:link w:val="1167"/>
    <w:uiPriority w:val="9"/>
    <w:unhideWhenUsed/>
    <w:qFormat/>
    <w:pPr>
      <w:keepLines/>
      <w:keepNext/>
      <w:spacing w:before="320" w:after="200"/>
      <w:outlineLvl w:val="7"/>
    </w:pPr>
    <w:rPr>
      <w:rFonts w:ascii="Arial" w:hAnsi="Arial" w:eastAsia="Arial" w:cs="Arial"/>
      <w:i/>
      <w:iCs/>
      <w:sz w:val="22"/>
      <w:szCs w:val="22"/>
    </w:rPr>
  </w:style>
  <w:style w:type="character" w:styleId="1167" w:customStyle="1">
    <w:name w:val="Heading 8 Char"/>
    <w:basedOn w:val="1040"/>
    <w:link w:val="1166"/>
    <w:uiPriority w:val="9"/>
    <w:qFormat/>
    <w:rPr>
      <w:rFonts w:ascii="Arial" w:hAnsi="Arial" w:eastAsia="Arial" w:cs="Arial"/>
      <w:i/>
      <w:iCs/>
      <w:sz w:val="22"/>
      <w:szCs w:val="22"/>
    </w:rPr>
  </w:style>
  <w:style w:type="paragraph" w:styleId="1168" w:customStyle="1">
    <w:name w:val="标题 91"/>
    <w:basedOn w:val="953"/>
    <w:next w:val="953"/>
    <w:link w:val="1169"/>
    <w:uiPriority w:val="9"/>
    <w:unhideWhenUsed/>
    <w:qFormat/>
    <w:pPr>
      <w:keepLines/>
      <w:keepNext/>
      <w:spacing w:before="320" w:after="200"/>
      <w:outlineLvl w:val="8"/>
    </w:pPr>
    <w:rPr>
      <w:rFonts w:ascii="Arial" w:hAnsi="Arial" w:eastAsia="Arial" w:cs="Arial"/>
      <w:i/>
      <w:iCs/>
      <w:szCs w:val="21"/>
    </w:rPr>
  </w:style>
  <w:style w:type="character" w:styleId="1169" w:customStyle="1">
    <w:name w:val="Heading 9 Char"/>
    <w:basedOn w:val="1040"/>
    <w:link w:val="1168"/>
    <w:uiPriority w:val="9"/>
    <w:qFormat/>
    <w:rPr>
      <w:rFonts w:ascii="Arial" w:hAnsi="Arial" w:eastAsia="Arial" w:cs="Arial"/>
      <w:i/>
      <w:iCs/>
      <w:sz w:val="21"/>
      <w:szCs w:val="21"/>
    </w:rPr>
  </w:style>
  <w:style w:type="paragraph" w:styleId="1170">
    <w:name w:val="List Paragraph"/>
    <w:basedOn w:val="953"/>
    <w:link w:val="1171"/>
    <w:uiPriority w:val="0"/>
    <w:qFormat/>
    <w:pPr>
      <w:contextualSpacing/>
      <w:ind w:left="720"/>
    </w:pPr>
  </w:style>
  <w:style w:type="character" w:styleId="1171" w:customStyle="1">
    <w:name w:val="列出段落 字符"/>
    <w:link w:val="1170"/>
    <w:uiPriority w:val="0"/>
    <w:qFormat/>
    <w:rPr>
      <w:sz w:val="21"/>
      <w:szCs w:val="24"/>
    </w:rPr>
  </w:style>
  <w:style w:type="paragraph" w:styleId="1172">
    <w:name w:val="No Spacing"/>
    <w:uiPriority w:val="1"/>
    <w:qFormat/>
    <w:rPr>
      <w:rFonts w:hint="default" w:ascii="Times New Roman" w:hAnsi="Times New Roman" w:eastAsia="宋体" w:cs="Times New Roman"/>
      <w:lang w:val="en-US" w:eastAsia="zh-CN" w:bidi="ar-SA"/>
    </w:rPr>
  </w:style>
  <w:style w:type="paragraph" w:styleId="1173">
    <w:name w:val="Quote"/>
    <w:basedOn w:val="953"/>
    <w:next w:val="953"/>
    <w:link w:val="1174"/>
    <w:uiPriority w:val="29"/>
    <w:qFormat/>
    <w:pPr>
      <w:ind w:left="720" w:right="720"/>
    </w:pPr>
    <w:rPr>
      <w:i/>
    </w:rPr>
  </w:style>
  <w:style w:type="character" w:styleId="1174" w:customStyle="1">
    <w:name w:val="引用 字符"/>
    <w:link w:val="1173"/>
    <w:uiPriority w:val="29"/>
    <w:qFormat/>
    <w:rPr>
      <w:i/>
    </w:rPr>
  </w:style>
  <w:style w:type="paragraph" w:styleId="1175">
    <w:name w:val="Intense Quote"/>
    <w:basedOn w:val="953"/>
    <w:next w:val="953"/>
    <w:link w:val="11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6" w:customStyle="1">
    <w:name w:val="明显引用 字符"/>
    <w:link w:val="1175"/>
    <w:uiPriority w:val="30"/>
    <w:qFormat/>
    <w:rPr>
      <w:i/>
    </w:rPr>
  </w:style>
  <w:style w:type="character" w:styleId="1177" w:customStyle="1">
    <w:name w:val="Header Char"/>
    <w:basedOn w:val="1040"/>
    <w:link w:val="1178"/>
    <w:uiPriority w:val="99"/>
    <w:qFormat/>
  </w:style>
  <w:style w:type="paragraph" w:styleId="1178" w:customStyle="1">
    <w:name w:val="页眉1"/>
    <w:basedOn w:val="1127"/>
    <w:link w:val="1177"/>
    <w:uiPriority w:val="0"/>
    <w:qFormat/>
    <w:pPr>
      <w:jc w:val="center"/>
      <w:tabs>
        <w:tab w:val="center" w:pos="4153" w:leader="none"/>
        <w:tab w:val="right" w:pos="8306" w:leader="none"/>
      </w:tabs>
      <w:pBdr>
        <w:bottom w:val="single" w:color="000000" w:sz="6" w:space="1"/>
      </w:pBdr>
    </w:pPr>
    <w:rPr>
      <w:sz w:val="18"/>
      <w:szCs w:val="18"/>
    </w:rPr>
  </w:style>
  <w:style w:type="character" w:styleId="1179" w:customStyle="1">
    <w:name w:val="Footer Char"/>
    <w:basedOn w:val="1040"/>
    <w:uiPriority w:val="99"/>
    <w:qFormat/>
  </w:style>
  <w:style w:type="paragraph" w:styleId="1180" w:customStyle="1">
    <w:name w:val="题注1"/>
    <w:basedOn w:val="953"/>
    <w:next w:val="953"/>
    <w:uiPriority w:val="35"/>
    <w:unhideWhenUsed/>
    <w:qFormat/>
    <w:pPr>
      <w:spacing w:line="276" w:lineRule="auto"/>
    </w:pPr>
    <w:rPr>
      <w:b/>
      <w:bCs/>
      <w:color w:val="4472c4"/>
      <w:sz w:val="18"/>
      <w:szCs w:val="18"/>
    </w:rPr>
  </w:style>
  <w:style w:type="character" w:styleId="1181" w:customStyle="1">
    <w:name w:val="Caption Char"/>
    <w:uiPriority w:val="99"/>
    <w:qFormat/>
  </w:style>
  <w:style w:type="table" w:styleId="1182" w:customStyle="1">
    <w:name w:val="Table Grid Light"/>
    <w:basedOn w:val="1041"/>
    <w:uiPriority w:val="59"/>
    <w:qFormat/>
    <w:tblPr>
      <w:tblCellMar>
        <w:left w:w="0" w:type="dxa"/>
        <w:top w:w="0" w:type="dxa"/>
        <w:right w:w="0" w:type="dxa"/>
        <w:bottom w:w="0" w:type="dxa"/>
      </w:tblCellMar>
    </w:tblPr>
  </w:style>
  <w:style w:type="table" w:styleId="1183" w:customStyle="1">
    <w:name w:val="无格式表格 11"/>
    <w:basedOn w:val="1041"/>
    <w:uiPriority w:val="59"/>
    <w:qFormat/>
    <w:tblPr>
      <w:tblCellMar>
        <w:left w:w="0" w:type="dxa"/>
        <w:top w:w="0" w:type="dxa"/>
        <w:right w:w="0" w:type="dxa"/>
        <w:bottom w:w="0" w:type="dxa"/>
      </w:tblCellMar>
    </w:tblPr>
  </w:style>
  <w:style w:type="table" w:styleId="1184" w:customStyle="1">
    <w:name w:val="无格式表格 21"/>
    <w:basedOn w:val="1041"/>
    <w:uiPriority w:val="59"/>
    <w:qFormat/>
    <w:tblPr>
      <w:tblCellMar>
        <w:left w:w="0" w:type="dxa"/>
        <w:top w:w="0" w:type="dxa"/>
        <w:right w:w="0" w:type="dxa"/>
        <w:bottom w:w="0" w:type="dxa"/>
      </w:tblCellMar>
    </w:tblPr>
  </w:style>
  <w:style w:type="table" w:styleId="1185" w:customStyle="1">
    <w:name w:val="无格式表格 31"/>
    <w:basedOn w:val="1041"/>
    <w:uiPriority w:val="99"/>
    <w:qFormat/>
    <w:tblPr>
      <w:tblCellMar>
        <w:left w:w="0" w:type="dxa"/>
        <w:top w:w="0" w:type="dxa"/>
        <w:right w:w="0" w:type="dxa"/>
        <w:bottom w:w="0" w:type="dxa"/>
      </w:tblCellMar>
    </w:tblPr>
  </w:style>
  <w:style w:type="table" w:styleId="1186" w:customStyle="1">
    <w:name w:val="无格式表格 41"/>
    <w:basedOn w:val="1041"/>
    <w:uiPriority w:val="99"/>
    <w:qFormat/>
    <w:tblPr>
      <w:tblCellMar>
        <w:left w:w="0" w:type="dxa"/>
        <w:top w:w="0" w:type="dxa"/>
        <w:right w:w="0" w:type="dxa"/>
        <w:bottom w:w="0" w:type="dxa"/>
      </w:tblCellMar>
    </w:tblPr>
  </w:style>
  <w:style w:type="table" w:styleId="1187" w:customStyle="1">
    <w:name w:val="无格式表格 51"/>
    <w:basedOn w:val="1041"/>
    <w:uiPriority w:val="99"/>
    <w:qFormat/>
    <w:tblPr>
      <w:tblCellMar>
        <w:left w:w="0" w:type="dxa"/>
        <w:top w:w="0" w:type="dxa"/>
        <w:right w:w="0" w:type="dxa"/>
        <w:bottom w:w="0" w:type="dxa"/>
      </w:tblCellMar>
    </w:tblPr>
  </w:style>
  <w:style w:type="table" w:styleId="1188" w:customStyle="1">
    <w:name w:val="网格表 1 浅色1"/>
    <w:basedOn w:val="1041"/>
    <w:uiPriority w:val="99"/>
    <w:qFormat/>
    <w:tblPr>
      <w:tblCellMar>
        <w:left w:w="0" w:type="dxa"/>
        <w:top w:w="0" w:type="dxa"/>
        <w:right w:w="0" w:type="dxa"/>
        <w:bottom w:w="0" w:type="dxa"/>
      </w:tblCellMar>
    </w:tblPr>
  </w:style>
  <w:style w:type="table" w:styleId="1189" w:customStyle="1">
    <w:name w:val="Grid Table 1 Light - Accent 1"/>
    <w:basedOn w:val="1041"/>
    <w:uiPriority w:val="99"/>
    <w:qFormat/>
    <w:tblPr>
      <w:tblCellMar>
        <w:left w:w="0" w:type="dxa"/>
        <w:top w:w="0" w:type="dxa"/>
        <w:right w:w="0" w:type="dxa"/>
        <w:bottom w:w="0" w:type="dxa"/>
      </w:tblCellMar>
    </w:tblPr>
  </w:style>
  <w:style w:type="table" w:styleId="1190" w:customStyle="1">
    <w:name w:val="Grid Table 1 Light - Accent 2"/>
    <w:basedOn w:val="1041"/>
    <w:uiPriority w:val="99"/>
    <w:qFormat/>
    <w:tblPr>
      <w:tblCellMar>
        <w:left w:w="0" w:type="dxa"/>
        <w:top w:w="0" w:type="dxa"/>
        <w:right w:w="0" w:type="dxa"/>
        <w:bottom w:w="0" w:type="dxa"/>
      </w:tblCellMar>
    </w:tblPr>
  </w:style>
  <w:style w:type="table" w:styleId="1191" w:customStyle="1">
    <w:name w:val="Grid Table 1 Light - Accent 3"/>
    <w:basedOn w:val="1041"/>
    <w:uiPriority w:val="99"/>
    <w:qFormat/>
    <w:tblPr>
      <w:tblCellMar>
        <w:left w:w="0" w:type="dxa"/>
        <w:top w:w="0" w:type="dxa"/>
        <w:right w:w="0" w:type="dxa"/>
        <w:bottom w:w="0" w:type="dxa"/>
      </w:tblCellMar>
    </w:tblPr>
  </w:style>
  <w:style w:type="table" w:styleId="1192" w:customStyle="1">
    <w:name w:val="Grid Table 1 Light - Accent 4"/>
    <w:basedOn w:val="1041"/>
    <w:uiPriority w:val="99"/>
    <w:qFormat/>
    <w:tblPr>
      <w:tblCellMar>
        <w:left w:w="0" w:type="dxa"/>
        <w:top w:w="0" w:type="dxa"/>
        <w:right w:w="0" w:type="dxa"/>
        <w:bottom w:w="0" w:type="dxa"/>
      </w:tblCellMar>
    </w:tblPr>
  </w:style>
  <w:style w:type="table" w:styleId="1193" w:customStyle="1">
    <w:name w:val="Grid Table 1 Light - Accent 5"/>
    <w:basedOn w:val="1041"/>
    <w:uiPriority w:val="99"/>
    <w:qFormat/>
    <w:tblPr>
      <w:tblCellMar>
        <w:left w:w="0" w:type="dxa"/>
        <w:top w:w="0" w:type="dxa"/>
        <w:right w:w="0" w:type="dxa"/>
        <w:bottom w:w="0" w:type="dxa"/>
      </w:tblCellMar>
    </w:tblPr>
  </w:style>
  <w:style w:type="table" w:styleId="1194" w:customStyle="1">
    <w:name w:val="Grid Table 1 Light - Accent 6"/>
    <w:basedOn w:val="1041"/>
    <w:uiPriority w:val="99"/>
    <w:qFormat/>
    <w:tblPr>
      <w:tblCellMar>
        <w:left w:w="0" w:type="dxa"/>
        <w:top w:w="0" w:type="dxa"/>
        <w:right w:w="0" w:type="dxa"/>
        <w:bottom w:w="0" w:type="dxa"/>
      </w:tblCellMar>
    </w:tblPr>
  </w:style>
  <w:style w:type="table" w:styleId="1195" w:customStyle="1">
    <w:name w:val="网格表 21"/>
    <w:basedOn w:val="1041"/>
    <w:uiPriority w:val="99"/>
    <w:qFormat/>
    <w:tblPr>
      <w:tblCellMar>
        <w:left w:w="0" w:type="dxa"/>
        <w:top w:w="0" w:type="dxa"/>
        <w:right w:w="0" w:type="dxa"/>
        <w:bottom w:w="0" w:type="dxa"/>
      </w:tblCellMar>
    </w:tblPr>
  </w:style>
  <w:style w:type="table" w:styleId="1196" w:customStyle="1">
    <w:name w:val="Grid Table 2 - Accent 1"/>
    <w:basedOn w:val="1041"/>
    <w:uiPriority w:val="99"/>
    <w:qFormat/>
    <w:tblPr>
      <w:tblCellMar>
        <w:left w:w="0" w:type="dxa"/>
        <w:top w:w="0" w:type="dxa"/>
        <w:right w:w="0" w:type="dxa"/>
        <w:bottom w:w="0" w:type="dxa"/>
      </w:tblCellMar>
    </w:tblPr>
  </w:style>
  <w:style w:type="table" w:styleId="1197" w:customStyle="1">
    <w:name w:val="Grid Table 2 - Accent 2"/>
    <w:basedOn w:val="1041"/>
    <w:uiPriority w:val="99"/>
    <w:qFormat/>
    <w:tblPr>
      <w:tblCellMar>
        <w:left w:w="0" w:type="dxa"/>
        <w:top w:w="0" w:type="dxa"/>
        <w:right w:w="0" w:type="dxa"/>
        <w:bottom w:w="0" w:type="dxa"/>
      </w:tblCellMar>
    </w:tblPr>
  </w:style>
  <w:style w:type="table" w:styleId="1198" w:customStyle="1">
    <w:name w:val="Grid Table 2 - Accent 3"/>
    <w:basedOn w:val="1041"/>
    <w:uiPriority w:val="99"/>
    <w:qFormat/>
    <w:tblPr>
      <w:tblCellMar>
        <w:left w:w="0" w:type="dxa"/>
        <w:top w:w="0" w:type="dxa"/>
        <w:right w:w="0" w:type="dxa"/>
        <w:bottom w:w="0" w:type="dxa"/>
      </w:tblCellMar>
    </w:tblPr>
  </w:style>
  <w:style w:type="table" w:styleId="1199" w:customStyle="1">
    <w:name w:val="Grid Table 2 - Accent 4"/>
    <w:basedOn w:val="1041"/>
    <w:uiPriority w:val="99"/>
    <w:qFormat/>
    <w:tblPr>
      <w:tblCellMar>
        <w:left w:w="0" w:type="dxa"/>
        <w:top w:w="0" w:type="dxa"/>
        <w:right w:w="0" w:type="dxa"/>
        <w:bottom w:w="0" w:type="dxa"/>
      </w:tblCellMar>
    </w:tblPr>
  </w:style>
  <w:style w:type="table" w:styleId="1200" w:customStyle="1">
    <w:name w:val="Grid Table 2 - Accent 5"/>
    <w:basedOn w:val="1041"/>
    <w:uiPriority w:val="99"/>
    <w:qFormat/>
    <w:tblPr>
      <w:tblCellMar>
        <w:left w:w="0" w:type="dxa"/>
        <w:top w:w="0" w:type="dxa"/>
        <w:right w:w="0" w:type="dxa"/>
        <w:bottom w:w="0" w:type="dxa"/>
      </w:tblCellMar>
    </w:tblPr>
  </w:style>
  <w:style w:type="table" w:styleId="1201" w:customStyle="1">
    <w:name w:val="Grid Table 2 - Accent 6"/>
    <w:basedOn w:val="1041"/>
    <w:uiPriority w:val="99"/>
    <w:qFormat/>
    <w:tblPr>
      <w:tblCellMar>
        <w:left w:w="0" w:type="dxa"/>
        <w:top w:w="0" w:type="dxa"/>
        <w:right w:w="0" w:type="dxa"/>
        <w:bottom w:w="0" w:type="dxa"/>
      </w:tblCellMar>
    </w:tblPr>
  </w:style>
  <w:style w:type="table" w:styleId="1202" w:customStyle="1">
    <w:name w:val="网格表 31"/>
    <w:basedOn w:val="1041"/>
    <w:uiPriority w:val="99"/>
    <w:qFormat/>
    <w:tblPr>
      <w:tblCellMar>
        <w:left w:w="0" w:type="dxa"/>
        <w:top w:w="0" w:type="dxa"/>
        <w:right w:w="0" w:type="dxa"/>
        <w:bottom w:w="0" w:type="dxa"/>
      </w:tblCellMar>
    </w:tblPr>
  </w:style>
  <w:style w:type="table" w:styleId="1203" w:customStyle="1">
    <w:name w:val="Grid Table 3 - Accent 1"/>
    <w:basedOn w:val="1041"/>
    <w:uiPriority w:val="99"/>
    <w:qFormat/>
    <w:tblPr>
      <w:tblCellMar>
        <w:left w:w="0" w:type="dxa"/>
        <w:top w:w="0" w:type="dxa"/>
        <w:right w:w="0" w:type="dxa"/>
        <w:bottom w:w="0" w:type="dxa"/>
      </w:tblCellMar>
    </w:tblPr>
  </w:style>
  <w:style w:type="table" w:styleId="1204" w:customStyle="1">
    <w:name w:val="Grid Table 3 - Accent 2"/>
    <w:basedOn w:val="1041"/>
    <w:uiPriority w:val="99"/>
    <w:qFormat/>
    <w:tblPr>
      <w:tblCellMar>
        <w:left w:w="0" w:type="dxa"/>
        <w:top w:w="0" w:type="dxa"/>
        <w:right w:w="0" w:type="dxa"/>
        <w:bottom w:w="0" w:type="dxa"/>
      </w:tblCellMar>
    </w:tblPr>
  </w:style>
  <w:style w:type="table" w:styleId="1205" w:customStyle="1">
    <w:name w:val="Grid Table 3 - Accent 3"/>
    <w:basedOn w:val="1041"/>
    <w:uiPriority w:val="99"/>
    <w:qFormat/>
    <w:tblPr>
      <w:tblCellMar>
        <w:left w:w="0" w:type="dxa"/>
        <w:top w:w="0" w:type="dxa"/>
        <w:right w:w="0" w:type="dxa"/>
        <w:bottom w:w="0" w:type="dxa"/>
      </w:tblCellMar>
    </w:tblPr>
  </w:style>
  <w:style w:type="table" w:styleId="1206" w:customStyle="1">
    <w:name w:val="Grid Table 3 - Accent 4"/>
    <w:basedOn w:val="1041"/>
    <w:uiPriority w:val="99"/>
    <w:qFormat/>
    <w:tblPr>
      <w:tblCellMar>
        <w:left w:w="0" w:type="dxa"/>
        <w:top w:w="0" w:type="dxa"/>
        <w:right w:w="0" w:type="dxa"/>
        <w:bottom w:w="0" w:type="dxa"/>
      </w:tblCellMar>
    </w:tblPr>
  </w:style>
  <w:style w:type="table" w:styleId="1207" w:customStyle="1">
    <w:name w:val="Grid Table 3 - Accent 5"/>
    <w:basedOn w:val="1041"/>
    <w:uiPriority w:val="99"/>
    <w:qFormat/>
    <w:tblPr>
      <w:tblCellMar>
        <w:left w:w="0" w:type="dxa"/>
        <w:top w:w="0" w:type="dxa"/>
        <w:right w:w="0" w:type="dxa"/>
        <w:bottom w:w="0" w:type="dxa"/>
      </w:tblCellMar>
    </w:tblPr>
  </w:style>
  <w:style w:type="table" w:styleId="1208" w:customStyle="1">
    <w:name w:val="Grid Table 3 - Accent 6"/>
    <w:basedOn w:val="1041"/>
    <w:uiPriority w:val="99"/>
    <w:qFormat/>
    <w:tblPr>
      <w:tblCellMar>
        <w:left w:w="0" w:type="dxa"/>
        <w:top w:w="0" w:type="dxa"/>
        <w:right w:w="0" w:type="dxa"/>
        <w:bottom w:w="0" w:type="dxa"/>
      </w:tblCellMar>
    </w:tblPr>
  </w:style>
  <w:style w:type="table" w:styleId="1209" w:customStyle="1">
    <w:name w:val="网格表 41"/>
    <w:basedOn w:val="1041"/>
    <w:uiPriority w:val="59"/>
    <w:qFormat/>
    <w:tblPr>
      <w:tblCellMar>
        <w:left w:w="0" w:type="dxa"/>
        <w:top w:w="0" w:type="dxa"/>
        <w:right w:w="0" w:type="dxa"/>
        <w:bottom w:w="0" w:type="dxa"/>
      </w:tblCellMar>
    </w:tblPr>
  </w:style>
  <w:style w:type="table" w:styleId="1210" w:customStyle="1">
    <w:name w:val="Grid Table 4 - Accent 1"/>
    <w:basedOn w:val="1041"/>
    <w:uiPriority w:val="59"/>
    <w:qFormat/>
    <w:tblPr>
      <w:tblCellMar>
        <w:left w:w="0" w:type="dxa"/>
        <w:top w:w="0" w:type="dxa"/>
        <w:right w:w="0" w:type="dxa"/>
        <w:bottom w:w="0" w:type="dxa"/>
      </w:tblCellMar>
    </w:tblPr>
  </w:style>
  <w:style w:type="table" w:styleId="1211" w:customStyle="1">
    <w:name w:val="Grid Table 4 - Accent 2"/>
    <w:basedOn w:val="1041"/>
    <w:uiPriority w:val="59"/>
    <w:qFormat/>
    <w:tblPr>
      <w:tblCellMar>
        <w:left w:w="0" w:type="dxa"/>
        <w:top w:w="0" w:type="dxa"/>
        <w:right w:w="0" w:type="dxa"/>
        <w:bottom w:w="0" w:type="dxa"/>
      </w:tblCellMar>
    </w:tblPr>
  </w:style>
  <w:style w:type="table" w:styleId="1212" w:customStyle="1">
    <w:name w:val="Grid Table 4 - Accent 3"/>
    <w:basedOn w:val="1041"/>
    <w:uiPriority w:val="59"/>
    <w:qFormat/>
    <w:tblPr>
      <w:tblCellMar>
        <w:left w:w="0" w:type="dxa"/>
        <w:top w:w="0" w:type="dxa"/>
        <w:right w:w="0" w:type="dxa"/>
        <w:bottom w:w="0" w:type="dxa"/>
      </w:tblCellMar>
    </w:tblPr>
  </w:style>
  <w:style w:type="table" w:styleId="1213" w:customStyle="1">
    <w:name w:val="Grid Table 4 - Accent 4"/>
    <w:basedOn w:val="1041"/>
    <w:uiPriority w:val="59"/>
    <w:qFormat/>
    <w:tblPr>
      <w:tblCellMar>
        <w:left w:w="0" w:type="dxa"/>
        <w:top w:w="0" w:type="dxa"/>
        <w:right w:w="0" w:type="dxa"/>
        <w:bottom w:w="0" w:type="dxa"/>
      </w:tblCellMar>
    </w:tblPr>
  </w:style>
  <w:style w:type="table" w:styleId="1214" w:customStyle="1">
    <w:name w:val="Grid Table 4 - Accent 5"/>
    <w:basedOn w:val="1041"/>
    <w:uiPriority w:val="59"/>
    <w:qFormat/>
    <w:tblPr>
      <w:tblCellMar>
        <w:left w:w="0" w:type="dxa"/>
        <w:top w:w="0" w:type="dxa"/>
        <w:right w:w="0" w:type="dxa"/>
        <w:bottom w:w="0" w:type="dxa"/>
      </w:tblCellMar>
    </w:tblPr>
  </w:style>
  <w:style w:type="table" w:styleId="1215" w:customStyle="1">
    <w:name w:val="Grid Table 4 - Accent 6"/>
    <w:basedOn w:val="1041"/>
    <w:uiPriority w:val="59"/>
    <w:qFormat/>
    <w:tblPr>
      <w:tblCellMar>
        <w:left w:w="0" w:type="dxa"/>
        <w:top w:w="0" w:type="dxa"/>
        <w:right w:w="0" w:type="dxa"/>
        <w:bottom w:w="0" w:type="dxa"/>
      </w:tblCellMar>
    </w:tblPr>
  </w:style>
  <w:style w:type="table" w:styleId="1216" w:customStyle="1">
    <w:name w:val="网格表 5 深色1"/>
    <w:basedOn w:val="1041"/>
    <w:uiPriority w:val="99"/>
    <w:qFormat/>
    <w:tblPr>
      <w:tblCellMar>
        <w:left w:w="0" w:type="dxa"/>
        <w:top w:w="0" w:type="dxa"/>
        <w:right w:w="0" w:type="dxa"/>
        <w:bottom w:w="0" w:type="dxa"/>
      </w:tblCellMar>
    </w:tblPr>
  </w:style>
  <w:style w:type="table" w:styleId="1217" w:customStyle="1">
    <w:name w:val="Grid Table 5 Dark- Accent 1"/>
    <w:basedOn w:val="1041"/>
    <w:uiPriority w:val="99"/>
    <w:qFormat/>
    <w:tblPr>
      <w:tblCellMar>
        <w:left w:w="0" w:type="dxa"/>
        <w:top w:w="0" w:type="dxa"/>
        <w:right w:w="0" w:type="dxa"/>
        <w:bottom w:w="0" w:type="dxa"/>
      </w:tblCellMar>
    </w:tblPr>
  </w:style>
  <w:style w:type="table" w:styleId="1218" w:customStyle="1">
    <w:name w:val="Grid Table 5 Dark - Accent 2"/>
    <w:basedOn w:val="1041"/>
    <w:uiPriority w:val="99"/>
    <w:qFormat/>
    <w:tblPr>
      <w:tblCellMar>
        <w:left w:w="0" w:type="dxa"/>
        <w:top w:w="0" w:type="dxa"/>
        <w:right w:w="0" w:type="dxa"/>
        <w:bottom w:w="0" w:type="dxa"/>
      </w:tblCellMar>
    </w:tblPr>
  </w:style>
  <w:style w:type="table" w:styleId="1219" w:customStyle="1">
    <w:name w:val="Grid Table 5 Dark - Accent 3"/>
    <w:basedOn w:val="1041"/>
    <w:uiPriority w:val="99"/>
    <w:qFormat/>
    <w:tblPr>
      <w:tblCellMar>
        <w:left w:w="0" w:type="dxa"/>
        <w:top w:w="0" w:type="dxa"/>
        <w:right w:w="0" w:type="dxa"/>
        <w:bottom w:w="0" w:type="dxa"/>
      </w:tblCellMar>
    </w:tblPr>
  </w:style>
  <w:style w:type="table" w:styleId="1220" w:customStyle="1">
    <w:name w:val="Grid Table 5 Dark- Accent 4"/>
    <w:basedOn w:val="1041"/>
    <w:uiPriority w:val="99"/>
    <w:qFormat/>
    <w:tblPr>
      <w:tblCellMar>
        <w:left w:w="0" w:type="dxa"/>
        <w:top w:w="0" w:type="dxa"/>
        <w:right w:w="0" w:type="dxa"/>
        <w:bottom w:w="0" w:type="dxa"/>
      </w:tblCellMar>
    </w:tblPr>
  </w:style>
  <w:style w:type="table" w:styleId="1221" w:customStyle="1">
    <w:name w:val="Grid Table 5 Dark - Accent 5"/>
    <w:basedOn w:val="1041"/>
    <w:uiPriority w:val="99"/>
    <w:qFormat/>
    <w:tblPr>
      <w:tblCellMar>
        <w:left w:w="0" w:type="dxa"/>
        <w:top w:w="0" w:type="dxa"/>
        <w:right w:w="0" w:type="dxa"/>
        <w:bottom w:w="0" w:type="dxa"/>
      </w:tblCellMar>
    </w:tblPr>
  </w:style>
  <w:style w:type="table" w:styleId="1222" w:customStyle="1">
    <w:name w:val="Grid Table 5 Dark - Accent 6"/>
    <w:basedOn w:val="1041"/>
    <w:uiPriority w:val="99"/>
    <w:qFormat/>
    <w:tblPr>
      <w:tblCellMar>
        <w:left w:w="0" w:type="dxa"/>
        <w:top w:w="0" w:type="dxa"/>
        <w:right w:w="0" w:type="dxa"/>
        <w:bottom w:w="0" w:type="dxa"/>
      </w:tblCellMar>
    </w:tblPr>
  </w:style>
  <w:style w:type="table" w:styleId="1223" w:customStyle="1">
    <w:name w:val="网格表 6 彩色1"/>
    <w:basedOn w:val="1041"/>
    <w:uiPriority w:val="99"/>
    <w:qFormat/>
    <w:tblPr>
      <w:tblCellMar>
        <w:left w:w="0" w:type="dxa"/>
        <w:top w:w="0" w:type="dxa"/>
        <w:right w:w="0" w:type="dxa"/>
        <w:bottom w:w="0" w:type="dxa"/>
      </w:tblCellMar>
    </w:tblPr>
  </w:style>
  <w:style w:type="table" w:styleId="1224" w:customStyle="1">
    <w:name w:val="Grid Table 6 Colorful - Accent 1"/>
    <w:basedOn w:val="1041"/>
    <w:uiPriority w:val="99"/>
    <w:qFormat/>
    <w:tblPr>
      <w:tblCellMar>
        <w:left w:w="0" w:type="dxa"/>
        <w:top w:w="0" w:type="dxa"/>
        <w:right w:w="0" w:type="dxa"/>
        <w:bottom w:w="0" w:type="dxa"/>
      </w:tblCellMar>
    </w:tblPr>
  </w:style>
  <w:style w:type="table" w:styleId="1225" w:customStyle="1">
    <w:name w:val="Grid Table 6 Colorful - Accent 2"/>
    <w:basedOn w:val="1041"/>
    <w:uiPriority w:val="99"/>
    <w:qFormat/>
    <w:tblPr>
      <w:tblCellMar>
        <w:left w:w="0" w:type="dxa"/>
        <w:top w:w="0" w:type="dxa"/>
        <w:right w:w="0" w:type="dxa"/>
        <w:bottom w:w="0" w:type="dxa"/>
      </w:tblCellMar>
    </w:tblPr>
  </w:style>
  <w:style w:type="table" w:styleId="1226" w:customStyle="1">
    <w:name w:val="Grid Table 6 Colorful - Accent 3"/>
    <w:basedOn w:val="1041"/>
    <w:uiPriority w:val="99"/>
    <w:qFormat/>
    <w:tblPr>
      <w:tblCellMar>
        <w:left w:w="0" w:type="dxa"/>
        <w:top w:w="0" w:type="dxa"/>
        <w:right w:w="0" w:type="dxa"/>
        <w:bottom w:w="0" w:type="dxa"/>
      </w:tblCellMar>
    </w:tblPr>
  </w:style>
  <w:style w:type="table" w:styleId="1227" w:customStyle="1">
    <w:name w:val="Grid Table 6 Colorful - Accent 4"/>
    <w:basedOn w:val="1041"/>
    <w:uiPriority w:val="99"/>
    <w:qFormat/>
    <w:tblPr>
      <w:tblCellMar>
        <w:left w:w="0" w:type="dxa"/>
        <w:top w:w="0" w:type="dxa"/>
        <w:right w:w="0" w:type="dxa"/>
        <w:bottom w:w="0" w:type="dxa"/>
      </w:tblCellMar>
    </w:tblPr>
  </w:style>
  <w:style w:type="table" w:styleId="1228" w:customStyle="1">
    <w:name w:val="Grid Table 6 Colorful - Accent 5"/>
    <w:basedOn w:val="1041"/>
    <w:uiPriority w:val="99"/>
    <w:qFormat/>
    <w:tblPr>
      <w:tblCellMar>
        <w:left w:w="0" w:type="dxa"/>
        <w:top w:w="0" w:type="dxa"/>
        <w:right w:w="0" w:type="dxa"/>
        <w:bottom w:w="0" w:type="dxa"/>
      </w:tblCellMar>
    </w:tblPr>
  </w:style>
  <w:style w:type="table" w:styleId="1229" w:customStyle="1">
    <w:name w:val="Grid Table 6 Colorful - Accent 6"/>
    <w:basedOn w:val="1041"/>
    <w:uiPriority w:val="99"/>
    <w:qFormat/>
    <w:tblPr>
      <w:tblCellMar>
        <w:left w:w="0" w:type="dxa"/>
        <w:top w:w="0" w:type="dxa"/>
        <w:right w:w="0" w:type="dxa"/>
        <w:bottom w:w="0" w:type="dxa"/>
      </w:tblCellMar>
    </w:tblPr>
  </w:style>
  <w:style w:type="table" w:styleId="1230" w:customStyle="1">
    <w:name w:val="网格表 7 彩色1"/>
    <w:basedOn w:val="1041"/>
    <w:uiPriority w:val="99"/>
    <w:qFormat/>
    <w:tblPr>
      <w:tblCellMar>
        <w:left w:w="0" w:type="dxa"/>
        <w:top w:w="0" w:type="dxa"/>
        <w:right w:w="0" w:type="dxa"/>
        <w:bottom w:w="0" w:type="dxa"/>
      </w:tblCellMar>
    </w:tblPr>
  </w:style>
  <w:style w:type="table" w:styleId="1231" w:customStyle="1">
    <w:name w:val="Grid Table 7 Colorful - Accent 1"/>
    <w:basedOn w:val="1041"/>
    <w:uiPriority w:val="99"/>
    <w:qFormat/>
    <w:tblPr>
      <w:tblCellMar>
        <w:left w:w="0" w:type="dxa"/>
        <w:top w:w="0" w:type="dxa"/>
        <w:right w:w="0" w:type="dxa"/>
        <w:bottom w:w="0" w:type="dxa"/>
      </w:tblCellMar>
    </w:tblPr>
  </w:style>
  <w:style w:type="table" w:styleId="1232" w:customStyle="1">
    <w:name w:val="Grid Table 7 Colorful - Accent 2"/>
    <w:basedOn w:val="1041"/>
    <w:uiPriority w:val="99"/>
    <w:qFormat/>
    <w:tblPr>
      <w:tblCellMar>
        <w:left w:w="0" w:type="dxa"/>
        <w:top w:w="0" w:type="dxa"/>
        <w:right w:w="0" w:type="dxa"/>
        <w:bottom w:w="0" w:type="dxa"/>
      </w:tblCellMar>
    </w:tblPr>
  </w:style>
  <w:style w:type="table" w:styleId="1233" w:customStyle="1">
    <w:name w:val="Grid Table 7 Colorful - Accent 3"/>
    <w:basedOn w:val="1041"/>
    <w:uiPriority w:val="99"/>
    <w:qFormat/>
    <w:tblPr>
      <w:tblCellMar>
        <w:left w:w="0" w:type="dxa"/>
        <w:top w:w="0" w:type="dxa"/>
        <w:right w:w="0" w:type="dxa"/>
        <w:bottom w:w="0" w:type="dxa"/>
      </w:tblCellMar>
    </w:tblPr>
  </w:style>
  <w:style w:type="table" w:styleId="1234" w:customStyle="1">
    <w:name w:val="Grid Table 7 Colorful - Accent 4"/>
    <w:basedOn w:val="1041"/>
    <w:uiPriority w:val="99"/>
    <w:qFormat/>
    <w:tblPr>
      <w:tblCellMar>
        <w:left w:w="0" w:type="dxa"/>
        <w:top w:w="0" w:type="dxa"/>
        <w:right w:w="0" w:type="dxa"/>
        <w:bottom w:w="0" w:type="dxa"/>
      </w:tblCellMar>
    </w:tblPr>
  </w:style>
  <w:style w:type="table" w:styleId="1235" w:customStyle="1">
    <w:name w:val="Grid Table 7 Colorful - Accent 5"/>
    <w:basedOn w:val="1041"/>
    <w:uiPriority w:val="99"/>
    <w:qFormat/>
    <w:tblPr>
      <w:tblCellMar>
        <w:left w:w="0" w:type="dxa"/>
        <w:top w:w="0" w:type="dxa"/>
        <w:right w:w="0" w:type="dxa"/>
        <w:bottom w:w="0" w:type="dxa"/>
      </w:tblCellMar>
    </w:tblPr>
  </w:style>
  <w:style w:type="table" w:styleId="1236" w:customStyle="1">
    <w:name w:val="Grid Table 7 Colorful - Accent 6"/>
    <w:basedOn w:val="1041"/>
    <w:uiPriority w:val="99"/>
    <w:qFormat/>
    <w:tblPr>
      <w:tblCellMar>
        <w:left w:w="0" w:type="dxa"/>
        <w:top w:w="0" w:type="dxa"/>
        <w:right w:w="0" w:type="dxa"/>
        <w:bottom w:w="0" w:type="dxa"/>
      </w:tblCellMar>
    </w:tblPr>
  </w:style>
  <w:style w:type="table" w:styleId="1237" w:customStyle="1">
    <w:name w:val="清单表 1 浅色1"/>
    <w:basedOn w:val="1041"/>
    <w:uiPriority w:val="99"/>
    <w:qFormat/>
    <w:tblPr>
      <w:tblCellMar>
        <w:left w:w="0" w:type="dxa"/>
        <w:top w:w="0" w:type="dxa"/>
        <w:right w:w="0" w:type="dxa"/>
        <w:bottom w:w="0" w:type="dxa"/>
      </w:tblCellMar>
    </w:tblPr>
  </w:style>
  <w:style w:type="table" w:styleId="1238" w:customStyle="1">
    <w:name w:val="List Table 1 Light - Accent 1"/>
    <w:basedOn w:val="1041"/>
    <w:uiPriority w:val="99"/>
    <w:qFormat/>
    <w:tblPr>
      <w:tblCellMar>
        <w:left w:w="0" w:type="dxa"/>
        <w:top w:w="0" w:type="dxa"/>
        <w:right w:w="0" w:type="dxa"/>
        <w:bottom w:w="0" w:type="dxa"/>
      </w:tblCellMar>
    </w:tblPr>
  </w:style>
  <w:style w:type="table" w:styleId="1239" w:customStyle="1">
    <w:name w:val="List Table 1 Light - Accent 2"/>
    <w:basedOn w:val="1041"/>
    <w:uiPriority w:val="99"/>
    <w:qFormat/>
    <w:tblPr>
      <w:tblCellMar>
        <w:left w:w="0" w:type="dxa"/>
        <w:top w:w="0" w:type="dxa"/>
        <w:right w:w="0" w:type="dxa"/>
        <w:bottom w:w="0" w:type="dxa"/>
      </w:tblCellMar>
    </w:tblPr>
  </w:style>
  <w:style w:type="table" w:styleId="1240" w:customStyle="1">
    <w:name w:val="List Table 1 Light - Accent 3"/>
    <w:basedOn w:val="1041"/>
    <w:uiPriority w:val="99"/>
    <w:qFormat/>
    <w:tblPr>
      <w:tblCellMar>
        <w:left w:w="0" w:type="dxa"/>
        <w:top w:w="0" w:type="dxa"/>
        <w:right w:w="0" w:type="dxa"/>
        <w:bottom w:w="0" w:type="dxa"/>
      </w:tblCellMar>
    </w:tblPr>
  </w:style>
  <w:style w:type="table" w:styleId="1241" w:customStyle="1">
    <w:name w:val="List Table 1 Light - Accent 4"/>
    <w:basedOn w:val="1041"/>
    <w:uiPriority w:val="99"/>
    <w:qFormat/>
    <w:tblPr>
      <w:tblCellMar>
        <w:left w:w="0" w:type="dxa"/>
        <w:top w:w="0" w:type="dxa"/>
        <w:right w:w="0" w:type="dxa"/>
        <w:bottom w:w="0" w:type="dxa"/>
      </w:tblCellMar>
    </w:tblPr>
  </w:style>
  <w:style w:type="table" w:styleId="1242" w:customStyle="1">
    <w:name w:val="List Table 1 Light - Accent 5"/>
    <w:basedOn w:val="1041"/>
    <w:uiPriority w:val="99"/>
    <w:qFormat/>
    <w:tblPr>
      <w:tblCellMar>
        <w:left w:w="0" w:type="dxa"/>
        <w:top w:w="0" w:type="dxa"/>
        <w:right w:w="0" w:type="dxa"/>
        <w:bottom w:w="0" w:type="dxa"/>
      </w:tblCellMar>
    </w:tblPr>
  </w:style>
  <w:style w:type="table" w:styleId="1243" w:customStyle="1">
    <w:name w:val="List Table 1 Light - Accent 6"/>
    <w:basedOn w:val="1041"/>
    <w:uiPriority w:val="99"/>
    <w:qFormat/>
    <w:tblPr>
      <w:tblCellMar>
        <w:left w:w="0" w:type="dxa"/>
        <w:top w:w="0" w:type="dxa"/>
        <w:right w:w="0" w:type="dxa"/>
        <w:bottom w:w="0" w:type="dxa"/>
      </w:tblCellMar>
    </w:tblPr>
  </w:style>
  <w:style w:type="table" w:styleId="1244" w:customStyle="1">
    <w:name w:val="清单表 21"/>
    <w:basedOn w:val="1041"/>
    <w:uiPriority w:val="99"/>
    <w:qFormat/>
    <w:tblPr>
      <w:tblCellMar>
        <w:left w:w="0" w:type="dxa"/>
        <w:top w:w="0" w:type="dxa"/>
        <w:right w:w="0" w:type="dxa"/>
        <w:bottom w:w="0" w:type="dxa"/>
      </w:tblCellMar>
    </w:tblPr>
  </w:style>
  <w:style w:type="table" w:styleId="1245" w:customStyle="1">
    <w:name w:val="List Table 2 - Accent 1"/>
    <w:basedOn w:val="1041"/>
    <w:uiPriority w:val="99"/>
    <w:qFormat/>
    <w:tblPr>
      <w:tblCellMar>
        <w:left w:w="0" w:type="dxa"/>
        <w:top w:w="0" w:type="dxa"/>
        <w:right w:w="0" w:type="dxa"/>
        <w:bottom w:w="0" w:type="dxa"/>
      </w:tblCellMar>
    </w:tblPr>
  </w:style>
  <w:style w:type="table" w:styleId="1246" w:customStyle="1">
    <w:name w:val="List Table 2 - Accent 2"/>
    <w:basedOn w:val="1041"/>
    <w:uiPriority w:val="99"/>
    <w:qFormat/>
    <w:tblPr>
      <w:tblCellMar>
        <w:left w:w="0" w:type="dxa"/>
        <w:top w:w="0" w:type="dxa"/>
        <w:right w:w="0" w:type="dxa"/>
        <w:bottom w:w="0" w:type="dxa"/>
      </w:tblCellMar>
    </w:tblPr>
  </w:style>
  <w:style w:type="table" w:styleId="1247" w:customStyle="1">
    <w:name w:val="List Table 2 - Accent 3"/>
    <w:basedOn w:val="1041"/>
    <w:uiPriority w:val="99"/>
    <w:qFormat/>
    <w:tblPr>
      <w:tblCellMar>
        <w:left w:w="0" w:type="dxa"/>
        <w:top w:w="0" w:type="dxa"/>
        <w:right w:w="0" w:type="dxa"/>
        <w:bottom w:w="0" w:type="dxa"/>
      </w:tblCellMar>
    </w:tblPr>
  </w:style>
  <w:style w:type="table" w:styleId="1248" w:customStyle="1">
    <w:name w:val="List Table 2 - Accent 4"/>
    <w:basedOn w:val="1041"/>
    <w:uiPriority w:val="99"/>
    <w:qFormat/>
    <w:tblPr>
      <w:tblCellMar>
        <w:left w:w="0" w:type="dxa"/>
        <w:top w:w="0" w:type="dxa"/>
        <w:right w:w="0" w:type="dxa"/>
        <w:bottom w:w="0" w:type="dxa"/>
      </w:tblCellMar>
    </w:tblPr>
  </w:style>
  <w:style w:type="table" w:styleId="1249" w:customStyle="1">
    <w:name w:val="List Table 2 - Accent 5"/>
    <w:basedOn w:val="1041"/>
    <w:uiPriority w:val="99"/>
    <w:qFormat/>
    <w:tblPr>
      <w:tblCellMar>
        <w:left w:w="0" w:type="dxa"/>
        <w:top w:w="0" w:type="dxa"/>
        <w:right w:w="0" w:type="dxa"/>
        <w:bottom w:w="0" w:type="dxa"/>
      </w:tblCellMar>
    </w:tblPr>
  </w:style>
  <w:style w:type="table" w:styleId="1250" w:customStyle="1">
    <w:name w:val="List Table 2 - Accent 6"/>
    <w:basedOn w:val="1041"/>
    <w:uiPriority w:val="99"/>
    <w:qFormat/>
    <w:tblPr>
      <w:tblCellMar>
        <w:left w:w="0" w:type="dxa"/>
        <w:top w:w="0" w:type="dxa"/>
        <w:right w:w="0" w:type="dxa"/>
        <w:bottom w:w="0" w:type="dxa"/>
      </w:tblCellMar>
    </w:tblPr>
  </w:style>
  <w:style w:type="table" w:styleId="1251" w:customStyle="1">
    <w:name w:val="清单表 31"/>
    <w:basedOn w:val="1041"/>
    <w:uiPriority w:val="99"/>
    <w:qFormat/>
    <w:tblPr>
      <w:tblCellMar>
        <w:left w:w="0" w:type="dxa"/>
        <w:top w:w="0" w:type="dxa"/>
        <w:right w:w="0" w:type="dxa"/>
        <w:bottom w:w="0" w:type="dxa"/>
      </w:tblCellMar>
    </w:tblPr>
  </w:style>
  <w:style w:type="table" w:styleId="1252" w:customStyle="1">
    <w:name w:val="List Table 3 - Accent 1"/>
    <w:basedOn w:val="1041"/>
    <w:uiPriority w:val="99"/>
    <w:qFormat/>
    <w:tblPr>
      <w:tblCellMar>
        <w:left w:w="0" w:type="dxa"/>
        <w:top w:w="0" w:type="dxa"/>
        <w:right w:w="0" w:type="dxa"/>
        <w:bottom w:w="0" w:type="dxa"/>
      </w:tblCellMar>
    </w:tblPr>
  </w:style>
  <w:style w:type="table" w:styleId="1253" w:customStyle="1">
    <w:name w:val="List Table 3 - Accent 2"/>
    <w:basedOn w:val="1041"/>
    <w:uiPriority w:val="99"/>
    <w:qFormat/>
    <w:tblPr>
      <w:tblCellMar>
        <w:left w:w="0" w:type="dxa"/>
        <w:top w:w="0" w:type="dxa"/>
        <w:right w:w="0" w:type="dxa"/>
        <w:bottom w:w="0" w:type="dxa"/>
      </w:tblCellMar>
    </w:tblPr>
  </w:style>
  <w:style w:type="table" w:styleId="1254" w:customStyle="1">
    <w:name w:val="List Table 3 - Accent 3"/>
    <w:basedOn w:val="1041"/>
    <w:uiPriority w:val="99"/>
    <w:qFormat/>
    <w:tblPr>
      <w:tblCellMar>
        <w:left w:w="0" w:type="dxa"/>
        <w:top w:w="0" w:type="dxa"/>
        <w:right w:w="0" w:type="dxa"/>
        <w:bottom w:w="0" w:type="dxa"/>
      </w:tblCellMar>
    </w:tblPr>
  </w:style>
  <w:style w:type="table" w:styleId="1255" w:customStyle="1">
    <w:name w:val="List Table 3 - Accent 4"/>
    <w:basedOn w:val="1041"/>
    <w:uiPriority w:val="99"/>
    <w:qFormat/>
    <w:tblPr>
      <w:tblCellMar>
        <w:left w:w="0" w:type="dxa"/>
        <w:top w:w="0" w:type="dxa"/>
        <w:right w:w="0" w:type="dxa"/>
        <w:bottom w:w="0" w:type="dxa"/>
      </w:tblCellMar>
    </w:tblPr>
  </w:style>
  <w:style w:type="table" w:styleId="1256" w:customStyle="1">
    <w:name w:val="List Table 3 - Accent 5"/>
    <w:basedOn w:val="1041"/>
    <w:uiPriority w:val="99"/>
    <w:qFormat/>
    <w:tblPr>
      <w:tblCellMar>
        <w:left w:w="0" w:type="dxa"/>
        <w:top w:w="0" w:type="dxa"/>
        <w:right w:w="0" w:type="dxa"/>
        <w:bottom w:w="0" w:type="dxa"/>
      </w:tblCellMar>
    </w:tblPr>
  </w:style>
  <w:style w:type="table" w:styleId="1257" w:customStyle="1">
    <w:name w:val="List Table 3 - Accent 6"/>
    <w:basedOn w:val="1041"/>
    <w:uiPriority w:val="99"/>
    <w:qFormat/>
    <w:tblPr>
      <w:tblCellMar>
        <w:left w:w="0" w:type="dxa"/>
        <w:top w:w="0" w:type="dxa"/>
        <w:right w:w="0" w:type="dxa"/>
        <w:bottom w:w="0" w:type="dxa"/>
      </w:tblCellMar>
    </w:tblPr>
  </w:style>
  <w:style w:type="table" w:styleId="1258" w:customStyle="1">
    <w:name w:val="清单表 41"/>
    <w:basedOn w:val="1041"/>
    <w:uiPriority w:val="99"/>
    <w:qFormat/>
    <w:tblPr>
      <w:tblCellMar>
        <w:left w:w="0" w:type="dxa"/>
        <w:top w:w="0" w:type="dxa"/>
        <w:right w:w="0" w:type="dxa"/>
        <w:bottom w:w="0" w:type="dxa"/>
      </w:tblCellMar>
    </w:tblPr>
  </w:style>
  <w:style w:type="table" w:styleId="1259" w:customStyle="1">
    <w:name w:val="List Table 4 - Accent 1"/>
    <w:basedOn w:val="1041"/>
    <w:uiPriority w:val="99"/>
    <w:qFormat/>
    <w:tblPr>
      <w:tblCellMar>
        <w:left w:w="0" w:type="dxa"/>
        <w:top w:w="0" w:type="dxa"/>
        <w:right w:w="0" w:type="dxa"/>
        <w:bottom w:w="0" w:type="dxa"/>
      </w:tblCellMar>
    </w:tblPr>
  </w:style>
  <w:style w:type="table" w:styleId="1260" w:customStyle="1">
    <w:name w:val="List Table 4 - Accent 2"/>
    <w:basedOn w:val="1041"/>
    <w:uiPriority w:val="99"/>
    <w:qFormat/>
    <w:tblPr>
      <w:tblCellMar>
        <w:left w:w="0" w:type="dxa"/>
        <w:top w:w="0" w:type="dxa"/>
        <w:right w:w="0" w:type="dxa"/>
        <w:bottom w:w="0" w:type="dxa"/>
      </w:tblCellMar>
    </w:tblPr>
  </w:style>
  <w:style w:type="table" w:styleId="1261" w:customStyle="1">
    <w:name w:val="List Table 4 - Accent 3"/>
    <w:basedOn w:val="1041"/>
    <w:uiPriority w:val="99"/>
    <w:qFormat/>
    <w:tblPr>
      <w:tblCellMar>
        <w:left w:w="0" w:type="dxa"/>
        <w:top w:w="0" w:type="dxa"/>
        <w:right w:w="0" w:type="dxa"/>
        <w:bottom w:w="0" w:type="dxa"/>
      </w:tblCellMar>
    </w:tblPr>
  </w:style>
  <w:style w:type="table" w:styleId="1262" w:customStyle="1">
    <w:name w:val="List Table 4 - Accent 4"/>
    <w:basedOn w:val="1041"/>
    <w:uiPriority w:val="99"/>
    <w:qFormat/>
    <w:tblPr>
      <w:tblCellMar>
        <w:left w:w="0" w:type="dxa"/>
        <w:top w:w="0" w:type="dxa"/>
        <w:right w:w="0" w:type="dxa"/>
        <w:bottom w:w="0" w:type="dxa"/>
      </w:tblCellMar>
    </w:tblPr>
  </w:style>
  <w:style w:type="table" w:styleId="1263" w:customStyle="1">
    <w:name w:val="List Table 4 - Accent 5"/>
    <w:basedOn w:val="1041"/>
    <w:uiPriority w:val="99"/>
    <w:qFormat/>
    <w:tblPr>
      <w:tblCellMar>
        <w:left w:w="0" w:type="dxa"/>
        <w:top w:w="0" w:type="dxa"/>
        <w:right w:w="0" w:type="dxa"/>
        <w:bottom w:w="0" w:type="dxa"/>
      </w:tblCellMar>
    </w:tblPr>
  </w:style>
  <w:style w:type="table" w:styleId="1264" w:customStyle="1">
    <w:name w:val="List Table 4 - Accent 6"/>
    <w:basedOn w:val="1041"/>
    <w:uiPriority w:val="99"/>
    <w:qFormat/>
    <w:tblPr>
      <w:tblCellMar>
        <w:left w:w="0" w:type="dxa"/>
        <w:top w:w="0" w:type="dxa"/>
        <w:right w:w="0" w:type="dxa"/>
        <w:bottom w:w="0" w:type="dxa"/>
      </w:tblCellMar>
    </w:tblPr>
  </w:style>
  <w:style w:type="table" w:styleId="1265" w:customStyle="1">
    <w:name w:val="清单表 5 深色1"/>
    <w:basedOn w:val="1041"/>
    <w:uiPriority w:val="99"/>
    <w:qFormat/>
    <w:tblPr>
      <w:tblCellMar>
        <w:left w:w="0" w:type="dxa"/>
        <w:top w:w="0" w:type="dxa"/>
        <w:right w:w="0" w:type="dxa"/>
        <w:bottom w:w="0" w:type="dxa"/>
      </w:tblCellMar>
    </w:tblPr>
  </w:style>
  <w:style w:type="table" w:styleId="1266" w:customStyle="1">
    <w:name w:val="List Table 5 Dark - Accent 1"/>
    <w:basedOn w:val="1041"/>
    <w:uiPriority w:val="99"/>
    <w:qFormat/>
    <w:tblPr>
      <w:tblCellMar>
        <w:left w:w="0" w:type="dxa"/>
        <w:top w:w="0" w:type="dxa"/>
        <w:right w:w="0" w:type="dxa"/>
        <w:bottom w:w="0" w:type="dxa"/>
      </w:tblCellMar>
    </w:tblPr>
  </w:style>
  <w:style w:type="table" w:styleId="1267" w:customStyle="1">
    <w:name w:val="List Table 5 Dark - Accent 2"/>
    <w:basedOn w:val="1041"/>
    <w:uiPriority w:val="99"/>
    <w:qFormat/>
    <w:tblPr>
      <w:tblCellMar>
        <w:left w:w="0" w:type="dxa"/>
        <w:top w:w="0" w:type="dxa"/>
        <w:right w:w="0" w:type="dxa"/>
        <w:bottom w:w="0" w:type="dxa"/>
      </w:tblCellMar>
    </w:tblPr>
  </w:style>
  <w:style w:type="table" w:styleId="1268" w:customStyle="1">
    <w:name w:val="List Table 5 Dark - Accent 3"/>
    <w:basedOn w:val="1041"/>
    <w:uiPriority w:val="99"/>
    <w:qFormat/>
    <w:tblPr>
      <w:tblCellMar>
        <w:left w:w="0" w:type="dxa"/>
        <w:top w:w="0" w:type="dxa"/>
        <w:right w:w="0" w:type="dxa"/>
        <w:bottom w:w="0" w:type="dxa"/>
      </w:tblCellMar>
    </w:tblPr>
  </w:style>
  <w:style w:type="table" w:styleId="1269" w:customStyle="1">
    <w:name w:val="List Table 5 Dark - Accent 4"/>
    <w:basedOn w:val="1041"/>
    <w:uiPriority w:val="99"/>
    <w:qFormat/>
    <w:tblPr>
      <w:tblCellMar>
        <w:left w:w="0" w:type="dxa"/>
        <w:top w:w="0" w:type="dxa"/>
        <w:right w:w="0" w:type="dxa"/>
        <w:bottom w:w="0" w:type="dxa"/>
      </w:tblCellMar>
    </w:tblPr>
  </w:style>
  <w:style w:type="table" w:styleId="1270" w:customStyle="1">
    <w:name w:val="List Table 5 Dark - Accent 5"/>
    <w:basedOn w:val="1041"/>
    <w:uiPriority w:val="99"/>
    <w:qFormat/>
    <w:tblPr>
      <w:tblCellMar>
        <w:left w:w="0" w:type="dxa"/>
        <w:top w:w="0" w:type="dxa"/>
        <w:right w:w="0" w:type="dxa"/>
        <w:bottom w:w="0" w:type="dxa"/>
      </w:tblCellMar>
    </w:tblPr>
  </w:style>
  <w:style w:type="table" w:styleId="1271" w:customStyle="1">
    <w:name w:val="List Table 5 Dark - Accent 6"/>
    <w:basedOn w:val="1041"/>
    <w:uiPriority w:val="99"/>
    <w:qFormat/>
    <w:tblPr>
      <w:tblCellMar>
        <w:left w:w="0" w:type="dxa"/>
        <w:top w:w="0" w:type="dxa"/>
        <w:right w:w="0" w:type="dxa"/>
        <w:bottom w:w="0" w:type="dxa"/>
      </w:tblCellMar>
    </w:tblPr>
  </w:style>
  <w:style w:type="table" w:styleId="1272" w:customStyle="1">
    <w:name w:val="清单表 6 彩色1"/>
    <w:basedOn w:val="1041"/>
    <w:uiPriority w:val="99"/>
    <w:qFormat/>
    <w:tblPr>
      <w:tblCellMar>
        <w:left w:w="0" w:type="dxa"/>
        <w:top w:w="0" w:type="dxa"/>
        <w:right w:w="0" w:type="dxa"/>
        <w:bottom w:w="0" w:type="dxa"/>
      </w:tblCellMar>
    </w:tblPr>
  </w:style>
  <w:style w:type="table" w:styleId="1273" w:customStyle="1">
    <w:name w:val="List Table 6 Colorful - Accent 1"/>
    <w:basedOn w:val="1041"/>
    <w:uiPriority w:val="99"/>
    <w:qFormat/>
    <w:tblPr>
      <w:tblCellMar>
        <w:left w:w="0" w:type="dxa"/>
        <w:top w:w="0" w:type="dxa"/>
        <w:right w:w="0" w:type="dxa"/>
        <w:bottom w:w="0" w:type="dxa"/>
      </w:tblCellMar>
    </w:tblPr>
  </w:style>
  <w:style w:type="table" w:styleId="1274" w:customStyle="1">
    <w:name w:val="List Table 6 Colorful - Accent 2"/>
    <w:basedOn w:val="1041"/>
    <w:uiPriority w:val="99"/>
    <w:qFormat/>
    <w:tblPr>
      <w:tblCellMar>
        <w:left w:w="0" w:type="dxa"/>
        <w:top w:w="0" w:type="dxa"/>
        <w:right w:w="0" w:type="dxa"/>
        <w:bottom w:w="0" w:type="dxa"/>
      </w:tblCellMar>
    </w:tblPr>
  </w:style>
  <w:style w:type="table" w:styleId="1275" w:customStyle="1">
    <w:name w:val="List Table 6 Colorful - Accent 3"/>
    <w:basedOn w:val="1041"/>
    <w:uiPriority w:val="99"/>
    <w:qFormat/>
    <w:tblPr>
      <w:tblCellMar>
        <w:left w:w="0" w:type="dxa"/>
        <w:top w:w="0" w:type="dxa"/>
        <w:right w:w="0" w:type="dxa"/>
        <w:bottom w:w="0" w:type="dxa"/>
      </w:tblCellMar>
    </w:tblPr>
  </w:style>
  <w:style w:type="table" w:styleId="1276" w:customStyle="1">
    <w:name w:val="List Table 6 Colorful - Accent 4"/>
    <w:basedOn w:val="1041"/>
    <w:uiPriority w:val="99"/>
    <w:qFormat/>
    <w:tblPr>
      <w:tblCellMar>
        <w:left w:w="0" w:type="dxa"/>
        <w:top w:w="0" w:type="dxa"/>
        <w:right w:w="0" w:type="dxa"/>
        <w:bottom w:w="0" w:type="dxa"/>
      </w:tblCellMar>
    </w:tblPr>
  </w:style>
  <w:style w:type="table" w:styleId="1277" w:customStyle="1">
    <w:name w:val="List Table 6 Colorful - Accent 5"/>
    <w:basedOn w:val="1041"/>
    <w:uiPriority w:val="99"/>
    <w:qFormat/>
    <w:tblPr>
      <w:tblCellMar>
        <w:left w:w="0" w:type="dxa"/>
        <w:top w:w="0" w:type="dxa"/>
        <w:right w:w="0" w:type="dxa"/>
        <w:bottom w:w="0" w:type="dxa"/>
      </w:tblCellMar>
    </w:tblPr>
  </w:style>
  <w:style w:type="table" w:styleId="1278" w:customStyle="1">
    <w:name w:val="List Table 6 Colorful - Accent 6"/>
    <w:basedOn w:val="1041"/>
    <w:uiPriority w:val="99"/>
    <w:qFormat/>
    <w:tblPr>
      <w:tblCellMar>
        <w:left w:w="0" w:type="dxa"/>
        <w:top w:w="0" w:type="dxa"/>
        <w:right w:w="0" w:type="dxa"/>
        <w:bottom w:w="0" w:type="dxa"/>
      </w:tblCellMar>
    </w:tblPr>
  </w:style>
  <w:style w:type="table" w:styleId="1279" w:customStyle="1">
    <w:name w:val="清单表 7 彩色1"/>
    <w:basedOn w:val="1041"/>
    <w:uiPriority w:val="99"/>
    <w:qFormat/>
    <w:tblPr>
      <w:tblCellMar>
        <w:left w:w="0" w:type="dxa"/>
        <w:top w:w="0" w:type="dxa"/>
        <w:right w:w="0" w:type="dxa"/>
        <w:bottom w:w="0" w:type="dxa"/>
      </w:tblCellMar>
    </w:tblPr>
  </w:style>
  <w:style w:type="table" w:styleId="1280" w:customStyle="1">
    <w:name w:val="List Table 7 Colorful - Accent 1"/>
    <w:basedOn w:val="1041"/>
    <w:uiPriority w:val="99"/>
    <w:qFormat/>
    <w:tblPr>
      <w:tblCellMar>
        <w:left w:w="0" w:type="dxa"/>
        <w:top w:w="0" w:type="dxa"/>
        <w:right w:w="0" w:type="dxa"/>
        <w:bottom w:w="0" w:type="dxa"/>
      </w:tblCellMar>
    </w:tblPr>
  </w:style>
  <w:style w:type="table" w:styleId="1281" w:customStyle="1">
    <w:name w:val="List Table 7 Colorful - Accent 2"/>
    <w:basedOn w:val="1041"/>
    <w:uiPriority w:val="99"/>
    <w:qFormat/>
    <w:tblPr>
      <w:tblCellMar>
        <w:left w:w="0" w:type="dxa"/>
        <w:top w:w="0" w:type="dxa"/>
        <w:right w:w="0" w:type="dxa"/>
        <w:bottom w:w="0" w:type="dxa"/>
      </w:tblCellMar>
    </w:tblPr>
  </w:style>
  <w:style w:type="table" w:styleId="1282" w:customStyle="1">
    <w:name w:val="List Table 7 Colorful - Accent 3"/>
    <w:basedOn w:val="1041"/>
    <w:uiPriority w:val="99"/>
    <w:qFormat/>
    <w:tblPr>
      <w:tblCellMar>
        <w:left w:w="0" w:type="dxa"/>
        <w:top w:w="0" w:type="dxa"/>
        <w:right w:w="0" w:type="dxa"/>
        <w:bottom w:w="0" w:type="dxa"/>
      </w:tblCellMar>
    </w:tblPr>
  </w:style>
  <w:style w:type="table" w:styleId="1283" w:customStyle="1">
    <w:name w:val="List Table 7 Colorful - Accent 4"/>
    <w:basedOn w:val="1041"/>
    <w:uiPriority w:val="99"/>
    <w:qFormat/>
    <w:tblPr>
      <w:tblCellMar>
        <w:left w:w="0" w:type="dxa"/>
        <w:top w:w="0" w:type="dxa"/>
        <w:right w:w="0" w:type="dxa"/>
        <w:bottom w:w="0" w:type="dxa"/>
      </w:tblCellMar>
    </w:tblPr>
  </w:style>
  <w:style w:type="table" w:styleId="1284" w:customStyle="1">
    <w:name w:val="List Table 7 Colorful - Accent 5"/>
    <w:basedOn w:val="1041"/>
    <w:uiPriority w:val="99"/>
    <w:qFormat/>
    <w:tblPr>
      <w:tblCellMar>
        <w:left w:w="0" w:type="dxa"/>
        <w:top w:w="0" w:type="dxa"/>
        <w:right w:w="0" w:type="dxa"/>
        <w:bottom w:w="0" w:type="dxa"/>
      </w:tblCellMar>
    </w:tblPr>
  </w:style>
  <w:style w:type="table" w:styleId="1285" w:customStyle="1">
    <w:name w:val="List Table 7 Colorful - Accent 6"/>
    <w:basedOn w:val="1041"/>
    <w:uiPriority w:val="99"/>
    <w:qFormat/>
    <w:tblPr>
      <w:tblCellMar>
        <w:left w:w="0" w:type="dxa"/>
        <w:top w:w="0" w:type="dxa"/>
        <w:right w:w="0" w:type="dxa"/>
        <w:bottom w:w="0" w:type="dxa"/>
      </w:tblCellMar>
    </w:tblPr>
  </w:style>
  <w:style w:type="table" w:styleId="1286" w:customStyle="1">
    <w:name w:val="Lined - Accent"/>
    <w:basedOn w:val="1041"/>
    <w:uiPriority w:val="99"/>
    <w:qFormat/>
    <w:rPr>
      <w:color w:val="404040"/>
    </w:rPr>
    <w:tblPr>
      <w:tblCellMar>
        <w:left w:w="0" w:type="dxa"/>
        <w:top w:w="0" w:type="dxa"/>
        <w:right w:w="0" w:type="dxa"/>
        <w:bottom w:w="0" w:type="dxa"/>
      </w:tblCellMar>
    </w:tblPr>
  </w:style>
  <w:style w:type="table" w:styleId="1287" w:customStyle="1">
    <w:name w:val="Lined - Accent 1"/>
    <w:basedOn w:val="1041"/>
    <w:uiPriority w:val="99"/>
    <w:qFormat/>
    <w:rPr>
      <w:color w:val="404040"/>
    </w:rPr>
    <w:tblPr>
      <w:tblCellMar>
        <w:left w:w="0" w:type="dxa"/>
        <w:top w:w="0" w:type="dxa"/>
        <w:right w:w="0" w:type="dxa"/>
        <w:bottom w:w="0" w:type="dxa"/>
      </w:tblCellMar>
    </w:tblPr>
  </w:style>
  <w:style w:type="table" w:styleId="1288" w:customStyle="1">
    <w:name w:val="Lined - Accent 2"/>
    <w:basedOn w:val="1041"/>
    <w:uiPriority w:val="99"/>
    <w:qFormat/>
    <w:rPr>
      <w:color w:val="404040"/>
    </w:rPr>
    <w:tblPr>
      <w:tblCellMar>
        <w:left w:w="0" w:type="dxa"/>
        <w:top w:w="0" w:type="dxa"/>
        <w:right w:w="0" w:type="dxa"/>
        <w:bottom w:w="0" w:type="dxa"/>
      </w:tblCellMar>
    </w:tblPr>
  </w:style>
  <w:style w:type="table" w:styleId="1289" w:customStyle="1">
    <w:name w:val="Lined - Accent 3"/>
    <w:basedOn w:val="1041"/>
    <w:uiPriority w:val="99"/>
    <w:qFormat/>
    <w:rPr>
      <w:color w:val="404040"/>
    </w:rPr>
    <w:tblPr>
      <w:tblCellMar>
        <w:left w:w="0" w:type="dxa"/>
        <w:top w:w="0" w:type="dxa"/>
        <w:right w:w="0" w:type="dxa"/>
        <w:bottom w:w="0" w:type="dxa"/>
      </w:tblCellMar>
    </w:tblPr>
  </w:style>
  <w:style w:type="table" w:styleId="1290" w:customStyle="1">
    <w:name w:val="Lined - Accent 4"/>
    <w:basedOn w:val="1041"/>
    <w:uiPriority w:val="99"/>
    <w:qFormat/>
    <w:rPr>
      <w:color w:val="404040"/>
    </w:rPr>
    <w:tblPr>
      <w:tblCellMar>
        <w:left w:w="0" w:type="dxa"/>
        <w:top w:w="0" w:type="dxa"/>
        <w:right w:w="0" w:type="dxa"/>
        <w:bottom w:w="0" w:type="dxa"/>
      </w:tblCellMar>
    </w:tblPr>
  </w:style>
  <w:style w:type="table" w:styleId="1291" w:customStyle="1">
    <w:name w:val="Lined - Accent 5"/>
    <w:basedOn w:val="1041"/>
    <w:uiPriority w:val="99"/>
    <w:qFormat/>
    <w:rPr>
      <w:color w:val="404040"/>
    </w:rPr>
    <w:tblPr>
      <w:tblCellMar>
        <w:left w:w="0" w:type="dxa"/>
        <w:top w:w="0" w:type="dxa"/>
        <w:right w:w="0" w:type="dxa"/>
        <w:bottom w:w="0" w:type="dxa"/>
      </w:tblCellMar>
    </w:tblPr>
  </w:style>
  <w:style w:type="table" w:styleId="1292" w:customStyle="1">
    <w:name w:val="Lined - Accent 6"/>
    <w:basedOn w:val="1041"/>
    <w:uiPriority w:val="99"/>
    <w:qFormat/>
    <w:rPr>
      <w:color w:val="404040"/>
    </w:rPr>
    <w:tblPr>
      <w:tblCellMar>
        <w:left w:w="0" w:type="dxa"/>
        <w:top w:w="0" w:type="dxa"/>
        <w:right w:w="0" w:type="dxa"/>
        <w:bottom w:w="0" w:type="dxa"/>
      </w:tblCellMar>
    </w:tblPr>
  </w:style>
  <w:style w:type="table" w:styleId="1293" w:customStyle="1">
    <w:name w:val="Bordered &amp; Lined - Accent"/>
    <w:basedOn w:val="1041"/>
    <w:uiPriority w:val="99"/>
    <w:qFormat/>
    <w:rPr>
      <w:color w:val="404040"/>
    </w:rPr>
    <w:tblPr>
      <w:tblCellMar>
        <w:left w:w="0" w:type="dxa"/>
        <w:top w:w="0" w:type="dxa"/>
        <w:right w:w="0" w:type="dxa"/>
        <w:bottom w:w="0" w:type="dxa"/>
      </w:tblCellMar>
    </w:tblPr>
  </w:style>
  <w:style w:type="table" w:styleId="1294" w:customStyle="1">
    <w:name w:val="Bordered &amp; Lined - Accent 1"/>
    <w:basedOn w:val="1041"/>
    <w:uiPriority w:val="99"/>
    <w:qFormat/>
    <w:rPr>
      <w:color w:val="404040"/>
    </w:rPr>
    <w:tblPr>
      <w:tblCellMar>
        <w:left w:w="0" w:type="dxa"/>
        <w:top w:w="0" w:type="dxa"/>
        <w:right w:w="0" w:type="dxa"/>
        <w:bottom w:w="0" w:type="dxa"/>
      </w:tblCellMar>
    </w:tblPr>
  </w:style>
  <w:style w:type="table" w:styleId="1295" w:customStyle="1">
    <w:name w:val="Bordered &amp; Lined - Accent 2"/>
    <w:basedOn w:val="1041"/>
    <w:uiPriority w:val="99"/>
    <w:qFormat/>
    <w:rPr>
      <w:color w:val="404040"/>
    </w:rPr>
    <w:tblPr>
      <w:tblCellMar>
        <w:left w:w="0" w:type="dxa"/>
        <w:top w:w="0" w:type="dxa"/>
        <w:right w:w="0" w:type="dxa"/>
        <w:bottom w:w="0" w:type="dxa"/>
      </w:tblCellMar>
    </w:tblPr>
  </w:style>
  <w:style w:type="table" w:styleId="1296" w:customStyle="1">
    <w:name w:val="Bordered &amp; Lined - Accent 3"/>
    <w:basedOn w:val="1041"/>
    <w:uiPriority w:val="99"/>
    <w:qFormat/>
    <w:rPr>
      <w:color w:val="404040"/>
    </w:rPr>
    <w:tblPr>
      <w:tblCellMar>
        <w:left w:w="0" w:type="dxa"/>
        <w:top w:w="0" w:type="dxa"/>
        <w:right w:w="0" w:type="dxa"/>
        <w:bottom w:w="0" w:type="dxa"/>
      </w:tblCellMar>
    </w:tblPr>
  </w:style>
  <w:style w:type="table" w:styleId="1297" w:customStyle="1">
    <w:name w:val="Bordered &amp; Lined - Accent 4"/>
    <w:basedOn w:val="1041"/>
    <w:uiPriority w:val="99"/>
    <w:qFormat/>
    <w:rPr>
      <w:color w:val="404040"/>
    </w:rPr>
    <w:tblPr>
      <w:tblCellMar>
        <w:left w:w="0" w:type="dxa"/>
        <w:top w:w="0" w:type="dxa"/>
        <w:right w:w="0" w:type="dxa"/>
        <w:bottom w:w="0" w:type="dxa"/>
      </w:tblCellMar>
    </w:tblPr>
  </w:style>
  <w:style w:type="table" w:styleId="1298" w:customStyle="1">
    <w:name w:val="Bordered &amp; Lined - Accent 5"/>
    <w:basedOn w:val="1041"/>
    <w:uiPriority w:val="99"/>
    <w:qFormat/>
    <w:rPr>
      <w:color w:val="404040"/>
    </w:rPr>
    <w:tblPr>
      <w:tblCellMar>
        <w:left w:w="0" w:type="dxa"/>
        <w:top w:w="0" w:type="dxa"/>
        <w:right w:w="0" w:type="dxa"/>
        <w:bottom w:w="0" w:type="dxa"/>
      </w:tblCellMar>
    </w:tblPr>
  </w:style>
  <w:style w:type="table" w:styleId="1299" w:customStyle="1">
    <w:name w:val="Bordered &amp; Lined - Accent 6"/>
    <w:basedOn w:val="1041"/>
    <w:uiPriority w:val="99"/>
    <w:qFormat/>
    <w:rPr>
      <w:color w:val="404040"/>
    </w:rPr>
    <w:tblPr>
      <w:tblCellMar>
        <w:left w:w="0" w:type="dxa"/>
        <w:top w:w="0" w:type="dxa"/>
        <w:right w:w="0" w:type="dxa"/>
        <w:bottom w:w="0" w:type="dxa"/>
      </w:tblCellMar>
    </w:tblPr>
  </w:style>
  <w:style w:type="table" w:styleId="1300" w:customStyle="1">
    <w:name w:val="Bordered"/>
    <w:basedOn w:val="1041"/>
    <w:uiPriority w:val="99"/>
    <w:qFormat/>
    <w:tblPr>
      <w:tblCellMar>
        <w:left w:w="0" w:type="dxa"/>
        <w:top w:w="0" w:type="dxa"/>
        <w:right w:w="0" w:type="dxa"/>
        <w:bottom w:w="0" w:type="dxa"/>
      </w:tblCellMar>
    </w:tblPr>
  </w:style>
  <w:style w:type="table" w:styleId="1301" w:customStyle="1">
    <w:name w:val="Bordered - Accent 1"/>
    <w:basedOn w:val="1041"/>
    <w:uiPriority w:val="99"/>
    <w:qFormat/>
    <w:tblPr>
      <w:tblCellMar>
        <w:left w:w="0" w:type="dxa"/>
        <w:top w:w="0" w:type="dxa"/>
        <w:right w:w="0" w:type="dxa"/>
        <w:bottom w:w="0" w:type="dxa"/>
      </w:tblCellMar>
    </w:tblPr>
  </w:style>
  <w:style w:type="table" w:styleId="1302" w:customStyle="1">
    <w:name w:val="Bordered - Accent 2"/>
    <w:basedOn w:val="1041"/>
    <w:uiPriority w:val="99"/>
    <w:qFormat/>
    <w:tblPr>
      <w:tblCellMar>
        <w:left w:w="0" w:type="dxa"/>
        <w:top w:w="0" w:type="dxa"/>
        <w:right w:w="0" w:type="dxa"/>
        <w:bottom w:w="0" w:type="dxa"/>
      </w:tblCellMar>
    </w:tblPr>
  </w:style>
  <w:style w:type="table" w:styleId="1303" w:customStyle="1">
    <w:name w:val="Bordered - Accent 3"/>
    <w:basedOn w:val="1041"/>
    <w:uiPriority w:val="99"/>
    <w:qFormat/>
    <w:tblPr>
      <w:tblCellMar>
        <w:left w:w="0" w:type="dxa"/>
        <w:top w:w="0" w:type="dxa"/>
        <w:right w:w="0" w:type="dxa"/>
        <w:bottom w:w="0" w:type="dxa"/>
      </w:tblCellMar>
    </w:tblPr>
  </w:style>
  <w:style w:type="table" w:styleId="1304" w:customStyle="1">
    <w:name w:val="Bordered - Accent 4"/>
    <w:basedOn w:val="1041"/>
    <w:uiPriority w:val="99"/>
    <w:qFormat/>
    <w:tblPr>
      <w:tblCellMar>
        <w:left w:w="0" w:type="dxa"/>
        <w:top w:w="0" w:type="dxa"/>
        <w:right w:w="0" w:type="dxa"/>
        <w:bottom w:w="0" w:type="dxa"/>
      </w:tblCellMar>
    </w:tblPr>
  </w:style>
  <w:style w:type="table" w:styleId="1305" w:customStyle="1">
    <w:name w:val="Bordered - Accent 5"/>
    <w:basedOn w:val="1041"/>
    <w:uiPriority w:val="99"/>
    <w:qFormat/>
    <w:tblPr>
      <w:tblCellMar>
        <w:left w:w="0" w:type="dxa"/>
        <w:top w:w="0" w:type="dxa"/>
        <w:right w:w="0" w:type="dxa"/>
        <w:bottom w:w="0" w:type="dxa"/>
      </w:tblCellMar>
    </w:tblPr>
  </w:style>
  <w:style w:type="table" w:styleId="1306" w:customStyle="1">
    <w:name w:val="Bordered - Accent 6"/>
    <w:basedOn w:val="1041"/>
    <w:uiPriority w:val="99"/>
    <w:qFormat/>
    <w:tblPr>
      <w:tblCellMar>
        <w:left w:w="0" w:type="dxa"/>
        <w:top w:w="0" w:type="dxa"/>
        <w:right w:w="0" w:type="dxa"/>
        <w:bottom w:w="0" w:type="dxa"/>
      </w:tblCellMar>
    </w:tblPr>
  </w:style>
  <w:style w:type="paragraph" w:styleId="1307" w:customStyle="1">
    <w:name w:val="TOC 标题11"/>
    <w:uiPriority w:val="39"/>
    <w:unhideWhenUsed/>
    <w:qFormat/>
    <w:rPr>
      <w:rFonts w:hint="default" w:ascii="Times New Roman" w:hAnsi="Times New Roman" w:eastAsia="宋体" w:cs="Times New Roman"/>
      <w:lang w:val="en-US" w:eastAsia="zh-CN" w:bidi="ar-SA"/>
    </w:rPr>
  </w:style>
  <w:style w:type="paragraph" w:styleId="1308" w:customStyle="1">
    <w:name w:val="标题 51"/>
    <w:basedOn w:val="953"/>
    <w:next w:val="953"/>
    <w:link w:val="1309"/>
    <w:uiPriority w:val="0"/>
    <w:unhideWhenUsed/>
    <w:qFormat/>
    <w:pPr>
      <w:keepLines/>
      <w:keepNext/>
      <w:spacing w:before="280" w:after="290" w:line="376" w:lineRule="auto"/>
      <w:outlineLvl w:val="4"/>
    </w:pPr>
    <w:rPr>
      <w:b/>
      <w:bCs/>
      <w:sz w:val="28"/>
      <w:szCs w:val="28"/>
    </w:rPr>
  </w:style>
  <w:style w:type="character" w:styleId="1309" w:customStyle="1">
    <w:name w:val="标题 5 字符"/>
    <w:link w:val="1308"/>
    <w:uiPriority w:val="0"/>
    <w:qFormat/>
    <w:rPr>
      <w:b/>
      <w:bCs/>
      <w:sz w:val="28"/>
      <w:szCs w:val="28"/>
    </w:rPr>
  </w:style>
  <w:style w:type="paragraph" w:styleId="1310" w:customStyle="1">
    <w:name w:val="页脚1"/>
    <w:basedOn w:val="953"/>
    <w:link w:val="1311"/>
    <w:uiPriority w:val="99"/>
    <w:qFormat/>
    <w:pPr>
      <w:jc w:val="left"/>
      <w:tabs>
        <w:tab w:val="center" w:pos="4153" w:leader="none"/>
        <w:tab w:val="right" w:pos="8306" w:leader="none"/>
      </w:tabs>
    </w:pPr>
    <w:rPr>
      <w:sz w:val="18"/>
      <w:szCs w:val="18"/>
    </w:rPr>
  </w:style>
  <w:style w:type="character" w:styleId="1311" w:customStyle="1">
    <w:name w:val="页脚 字符"/>
    <w:link w:val="1310"/>
    <w:uiPriority w:val="0"/>
    <w:qFormat/>
    <w:rPr>
      <w:sz w:val="18"/>
      <w:szCs w:val="18"/>
    </w:rPr>
  </w:style>
  <w:style w:type="character" w:styleId="1312" w:customStyle="1">
    <w:name w:val="font112"/>
    <w:uiPriority w:val="0"/>
    <w:qFormat/>
    <w:rPr>
      <w:rFonts w:hint="eastAsia" w:ascii="宋体" w:hAnsi="宋体" w:eastAsia="宋体" w:cs="宋体"/>
      <w:b/>
      <w:color w:val="000000"/>
      <w:sz w:val="20"/>
      <w:szCs w:val="20"/>
      <w:u w:val="none"/>
    </w:rPr>
  </w:style>
  <w:style w:type="character" w:styleId="1313" w:customStyle="1">
    <w:name w:val="10"/>
    <w:uiPriority w:val="0"/>
    <w:qFormat/>
  </w:style>
  <w:style w:type="character" w:styleId="1314" w:customStyle="1">
    <w:name w:val="font101"/>
    <w:uiPriority w:val="99"/>
    <w:qFormat/>
    <w:rPr>
      <w:rFonts w:hint="eastAsia" w:ascii="宋体" w:hAnsi="宋体" w:eastAsia="宋体" w:cs="宋体"/>
      <w:b/>
      <w:color w:val="000000"/>
      <w:sz w:val="20"/>
      <w:szCs w:val="20"/>
      <w:u w:val="none"/>
    </w:rPr>
  </w:style>
  <w:style w:type="paragraph" w:styleId="1315" w:customStyle="1">
    <w:name w:val="默认段落字体 Para Char Char Char Char Char Char Char"/>
    <w:basedOn w:val="953"/>
    <w:uiPriority w:val="0"/>
    <w:qFormat/>
    <w:rPr>
      <w:rFonts w:ascii="Tahoma" w:hAnsi="Tahoma"/>
      <w:sz w:val="24"/>
      <w:szCs w:val="20"/>
    </w:rPr>
  </w:style>
  <w:style w:type="paragraph" w:styleId="1316" w:customStyle="1">
    <w:name w:val="正文缩进2字符"/>
    <w:basedOn w:val="953"/>
    <w:uiPriority w:val="0"/>
    <w:qFormat/>
    <w:pPr>
      <w:ind w:firstLine="200"/>
      <w:jc w:val="left"/>
      <w:spacing w:line="360" w:lineRule="auto"/>
    </w:pPr>
    <w:rPr>
      <w:sz w:val="24"/>
      <w:szCs w:val="20"/>
    </w:rPr>
  </w:style>
  <w:style w:type="paragraph" w:styleId="1317" w:customStyle="1">
    <w:name w:val="BodyText1"/>
    <w:basedOn w:val="953"/>
    <w:uiPriority w:val="0"/>
    <w:qFormat/>
    <w:pPr>
      <w:spacing w:line="380" w:lineRule="exact"/>
    </w:pPr>
  </w:style>
  <w:style w:type="paragraph" w:styleId="1318" w:customStyle="1">
    <w:name w:val="p0"/>
    <w:basedOn w:val="953"/>
    <w:uiPriority w:val="0"/>
    <w:qFormat/>
    <w:pPr>
      <w:widowControl/>
    </w:pPr>
    <w:rPr>
      <w:szCs w:val="21"/>
    </w:rPr>
  </w:style>
  <w:style w:type="paragraph" w:styleId="1319" w:customStyle="1">
    <w:name w:val="并列样式"/>
    <w:basedOn w:val="953"/>
    <w:uiPriority w:val="0"/>
    <w:qFormat/>
    <w:pPr>
      <w:spacing w:before="60" w:after="60"/>
    </w:pPr>
    <w:rPr>
      <w:sz w:val="24"/>
      <w:szCs w:val="20"/>
    </w:rPr>
  </w:style>
  <w:style w:type="paragraph" w:styleId="1320"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321" w:customStyle="1">
    <w:name w:val="Blockquote"/>
    <w:basedOn w:val="1132"/>
    <w:uiPriority w:val="0"/>
    <w:qFormat/>
    <w:pPr>
      <w:ind w:left="764" w:right="567"/>
      <w:jc w:val="left"/>
      <w:spacing w:before="100" w:after="100"/>
    </w:pPr>
    <w:rPr>
      <w:sz w:val="24"/>
    </w:rPr>
  </w:style>
  <w:style w:type="paragraph" w:styleId="132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23" w:customStyle="1">
    <w:name w:val="表格3"/>
    <w:basedOn w:val="953"/>
    <w:uiPriority w:val="0"/>
    <w:qFormat/>
    <w:pPr>
      <w:jc w:val="center"/>
    </w:pPr>
  </w:style>
  <w:style w:type="paragraph" w:styleId="1324" w:customStyle="1">
    <w:name w:val="Char"/>
    <w:basedOn w:val="953"/>
    <w:uiPriority w:val="0"/>
    <w:qFormat/>
    <w:pPr>
      <w:tabs>
        <w:tab w:val="left" w:pos="360" w:leader="none"/>
      </w:tabs>
    </w:pPr>
    <w:rPr>
      <w:sz w:val="24"/>
    </w:rPr>
  </w:style>
  <w:style w:type="paragraph" w:styleId="1325" w:customStyle="1">
    <w:name w:val="一级无"/>
    <w:basedOn w:val="953"/>
    <w:uiPriority w:val="0"/>
    <w:qFormat/>
    <w:pPr>
      <w:numPr>
        <w:ilvl w:val="1"/>
        <w:numId w:val="2"/>
      </w:numPr>
      <w:jc w:val="left"/>
      <w:widowControl/>
      <w:tabs>
        <w:tab w:val="left" w:pos="1440" w:leader="none"/>
      </w:tabs>
      <w:outlineLvl w:val="2"/>
    </w:pPr>
    <w:rPr>
      <w:rFonts w:ascii="宋体"/>
      <w:szCs w:val="21"/>
    </w:rPr>
  </w:style>
  <w:style w:type="paragraph" w:styleId="1326" w:customStyle="1">
    <w:name w:val="MM Topic 4"/>
    <w:basedOn w:val="1308"/>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27"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28" w:customStyle="1">
    <w:name w:val="正文_0_0"/>
    <w:uiPriority w:val="99"/>
    <w:unhideWhenUsed/>
    <w:qFormat/>
    <w:rPr>
      <w:rFonts w:hint="default" w:ascii="Calibri" w:hAnsi="Calibri" w:eastAsia="宋体" w:cs="Times New Roman"/>
      <w:sz w:val="21"/>
      <w:lang w:val="en-US" w:eastAsia="zh-CN" w:bidi="ar-SA"/>
    </w:rPr>
  </w:style>
  <w:style w:type="paragraph" w:styleId="1329" w:customStyle="1">
    <w:name w:val="正文_0"/>
    <w:uiPriority w:val="0"/>
    <w:unhideWhenUsed/>
    <w:qFormat/>
    <w:rPr>
      <w:rFonts w:hint="eastAsia" w:ascii="Times New Roman" w:hAnsi="Times New Roman" w:eastAsia="宋体" w:cs="Times New Roman"/>
      <w:sz w:val="21"/>
      <w:lang w:val="en-US" w:eastAsia="zh-CN" w:bidi="ar-SA"/>
    </w:rPr>
  </w:style>
  <w:style w:type="paragraph" w:styleId="1330" w:customStyle="1">
    <w:name w:val="xc正文"/>
    <w:basedOn w:val="953"/>
    <w:uiPriority w:val="0"/>
    <w:qFormat/>
    <w:pPr>
      <w:ind w:firstLine="200"/>
      <w:spacing w:line="360" w:lineRule="auto"/>
    </w:pPr>
    <w:rPr>
      <w:rFonts w:ascii="Calibri" w:hAnsi="Calibri" w:eastAsia="仿宋_GB2312"/>
      <w:sz w:val="24"/>
      <w:lang w:val="zh-CN"/>
    </w:rPr>
  </w:style>
  <w:style w:type="character" w:styleId="1331" w:customStyle="1">
    <w:name w:val="列表段落 字符"/>
    <w:link w:val="1332"/>
    <w:uiPriority w:val="0"/>
    <w:qFormat/>
    <w:rPr>
      <w:sz w:val="21"/>
      <w:szCs w:val="24"/>
      <w:lang w:val="en-US" w:eastAsia="zh-CN"/>
    </w:rPr>
  </w:style>
  <w:style w:type="paragraph" w:styleId="1332" w:customStyle="1">
    <w:name w:val="_Style 34"/>
    <w:basedOn w:val="953"/>
    <w:next w:val="1170"/>
    <w:link w:val="1331"/>
    <w:uiPriority w:val="0"/>
    <w:qFormat/>
    <w:pPr>
      <w:ind w:firstLine="420"/>
      <w:spacing w:line="274" w:lineRule="auto"/>
    </w:pPr>
  </w:style>
  <w:style w:type="paragraph" w:styleId="1333"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334" w:customStyle="1">
    <w:name w:val="正文文本 字符"/>
    <w:uiPriority w:val="0"/>
    <w:qFormat/>
    <w:rPr>
      <w:sz w:val="20"/>
    </w:rPr>
  </w:style>
  <w:style w:type="character" w:styleId="1335" w:customStyle="1">
    <w:name w:val="font71"/>
    <w:uiPriority w:val="99"/>
    <w:qFormat/>
    <w:rPr>
      <w:rFonts w:ascii="仿宋_GB2312" w:eastAsia="仿宋_GB2312" w:cs="仿宋_GB2312"/>
      <w:color w:val="000000"/>
      <w:sz w:val="24"/>
      <w:szCs w:val="24"/>
      <w:u w:val="none"/>
    </w:rPr>
  </w:style>
  <w:style w:type="character" w:styleId="1336" w:customStyle="1">
    <w:name w:val="正文文本 (2)_"/>
    <w:link w:val="1337"/>
    <w:uiPriority w:val="0"/>
    <w:qFormat/>
    <w:rPr>
      <w:rFonts w:ascii="MingLiU" w:hAnsi="MingLiU" w:eastAsia="MingLiU"/>
      <w:spacing w:val="10"/>
      <w:sz w:val="18"/>
      <w:szCs w:val="18"/>
      <w:shd w:val="clear" w:color="auto" w:fill="ffffff"/>
    </w:rPr>
  </w:style>
  <w:style w:type="paragraph" w:styleId="1337" w:customStyle="1">
    <w:name w:val="正文文本 (2)11"/>
    <w:basedOn w:val="953"/>
    <w:link w:val="133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338" w:customStyle="1">
    <w:name w:val="标题 3 字符"/>
    <w:uiPriority w:val="0"/>
    <w:qFormat/>
    <w:rPr>
      <w:b/>
      <w:sz w:val="20"/>
    </w:rPr>
  </w:style>
  <w:style w:type="character" w:styleId="1339" w:customStyle="1">
    <w:name w:val="二级条标题 Char"/>
    <w:link w:val="1340"/>
    <w:uiPriority w:val="0"/>
    <w:qFormat/>
    <w:rPr>
      <w:rFonts w:ascii="黑体" w:hAnsi="宋体" w:eastAsia="黑体"/>
    </w:rPr>
  </w:style>
  <w:style w:type="paragraph" w:styleId="1340" w:customStyle="1">
    <w:name w:val="二级条标题"/>
    <w:basedOn w:val="970"/>
    <w:next w:val="975"/>
    <w:link w:val="1339"/>
    <w:uiPriority w:val="0"/>
    <w:qFormat/>
    <w:pPr>
      <w:outlineLvl w:val="3"/>
    </w:pPr>
  </w:style>
  <w:style w:type="character" w:styleId="1341" w:customStyle="1">
    <w:name w:val="font111"/>
    <w:uiPriority w:val="99"/>
    <w:qFormat/>
    <w:rPr>
      <w:rFonts w:ascii="Verdana" w:hAnsi="Verdana" w:cs="Verdana"/>
      <w:color w:val="333333"/>
      <w:sz w:val="20"/>
      <w:szCs w:val="20"/>
      <w:u w:val="none"/>
    </w:rPr>
  </w:style>
  <w:style w:type="character" w:styleId="1342" w:customStyle="1">
    <w:name w:val="标题 B Char"/>
    <w:link w:val="1343"/>
    <w:uiPriority w:val="0"/>
    <w:qFormat/>
    <w:rPr>
      <w:rFonts w:ascii="Arial Rounded MT Bold" w:hAnsi="Arial Rounded MT Bold" w:eastAsia="黑体"/>
      <w:spacing w:val="8"/>
      <w:sz w:val="32"/>
    </w:rPr>
  </w:style>
  <w:style w:type="paragraph" w:styleId="1343" w:customStyle="1">
    <w:name w:val="标题 B"/>
    <w:basedOn w:val="1032"/>
    <w:link w:val="1342"/>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344" w:customStyle="1">
    <w:name w:val="纯文本 字符"/>
    <w:uiPriority w:val="0"/>
    <w:qFormat/>
    <w:rPr>
      <w:sz w:val="20"/>
    </w:rPr>
  </w:style>
  <w:style w:type="character" w:styleId="1345" w:customStyle="1">
    <w:name w:val="Item List Char"/>
    <w:link w:val="1346"/>
    <w:uiPriority w:val="0"/>
    <w:qFormat/>
    <w:rPr>
      <w:rFonts w:eastAsia="Times New Roman" w:cs="Arial"/>
      <w:sz w:val="21"/>
      <w:szCs w:val="21"/>
    </w:rPr>
  </w:style>
  <w:style w:type="paragraph" w:styleId="1346" w:customStyle="1">
    <w:name w:val="Item List"/>
    <w:link w:val="134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347" w:customStyle="1">
    <w:name w:val="font131"/>
    <w:uiPriority w:val="99"/>
    <w:qFormat/>
    <w:rPr>
      <w:rFonts w:ascii="Tahoma" w:hAnsi="Tahoma" w:cs="Tahoma"/>
      <w:color w:val="333333"/>
      <w:sz w:val="20"/>
      <w:szCs w:val="20"/>
      <w:u w:val="none"/>
    </w:rPr>
  </w:style>
  <w:style w:type="character" w:styleId="1348" w:customStyle="1">
    <w:name w:val="批注主题 字符"/>
    <w:uiPriority w:val="0"/>
    <w:qFormat/>
    <w:rPr>
      <w:b/>
      <w:sz w:val="20"/>
    </w:rPr>
  </w:style>
  <w:style w:type="character" w:styleId="1349" w:customStyle="1">
    <w:name w:val="font21"/>
    <w:uiPriority w:val="99"/>
    <w:qFormat/>
    <w:rPr>
      <w:rFonts w:ascii="仿宋_GB2312" w:eastAsia="仿宋_GB2312" w:cs="仿宋_GB2312"/>
      <w:b/>
      <w:color w:val="000000"/>
      <w:sz w:val="24"/>
      <w:szCs w:val="24"/>
      <w:u w:val="none"/>
    </w:rPr>
  </w:style>
  <w:style w:type="character" w:styleId="1350" w:customStyle="1">
    <w:name w:val="标题 字符"/>
    <w:uiPriority w:val="0"/>
    <w:qFormat/>
    <w:rPr>
      <w:sz w:val="20"/>
    </w:rPr>
  </w:style>
  <w:style w:type="character" w:styleId="1351" w:customStyle="1">
    <w:name w:val="曹阿龙 Char"/>
    <w:link w:val="1352"/>
    <w:uiPriority w:val="0"/>
    <w:qFormat/>
    <w:rPr>
      <w:rFonts w:ascii="宋体" w:hAnsi="宋体" w:eastAsia="幼圆"/>
      <w:b/>
      <w:bCs/>
      <w:sz w:val="28"/>
      <w:szCs w:val="28"/>
    </w:rPr>
  </w:style>
  <w:style w:type="paragraph" w:styleId="1352" w:customStyle="1">
    <w:name w:val="曹阿龙"/>
    <w:basedOn w:val="1032"/>
    <w:link w:val="1351"/>
    <w:uiPriority w:val="0"/>
    <w:qFormat/>
    <w:pPr>
      <w:ind w:firstLine="561"/>
      <w:jc w:val="left"/>
      <w:spacing w:line="400" w:lineRule="exact"/>
    </w:pPr>
    <w:rPr>
      <w:rFonts w:ascii="宋体" w:hAnsi="宋体" w:eastAsia="幼圆"/>
      <w:sz w:val="28"/>
      <w:szCs w:val="28"/>
    </w:rPr>
  </w:style>
  <w:style w:type="character" w:styleId="1353" w:customStyle="1">
    <w:name w:val="日期 字符"/>
    <w:uiPriority w:val="0"/>
    <w:qFormat/>
    <w:rPr>
      <w:sz w:val="20"/>
    </w:rPr>
  </w:style>
  <w:style w:type="character" w:styleId="1354" w:customStyle="1">
    <w:name w:val="尾注文本 字符"/>
    <w:uiPriority w:val="0"/>
    <w:qFormat/>
    <w:rPr>
      <w:sz w:val="20"/>
    </w:rPr>
  </w:style>
  <w:style w:type="character" w:styleId="1355" w:customStyle="1">
    <w:name w:val="彩色列表 - 强调文字颜色 1 Char1"/>
    <w:link w:val="1356"/>
    <w:uiPriority w:val="0"/>
    <w:qFormat/>
    <w:rPr>
      <w:rFonts w:ascii="Calibri" w:hAnsi="Calibri"/>
      <w:sz w:val="24"/>
      <w:szCs w:val="24"/>
      <w:lang w:eastAsia="en-US" w:bidi="en-US"/>
    </w:rPr>
  </w:style>
  <w:style w:type="paragraph" w:styleId="1356" w:customStyle="1">
    <w:name w:val="彩色列表 - 强调文字颜色 11"/>
    <w:basedOn w:val="953"/>
    <w:link w:val="1355"/>
    <w:uiPriority w:val="0"/>
    <w:qFormat/>
    <w:pPr>
      <w:contextualSpacing/>
      <w:ind w:left="720"/>
      <w:jc w:val="left"/>
      <w:widowControl/>
    </w:pPr>
    <w:rPr>
      <w:rFonts w:ascii="Calibri" w:hAnsi="Calibri"/>
      <w:sz w:val="24"/>
      <w:lang w:eastAsia="en-US" w:bidi="en-US"/>
    </w:rPr>
  </w:style>
  <w:style w:type="character" w:styleId="1357" w:customStyle="1">
    <w:name w:val="书籍标题1"/>
    <w:uiPriority w:val="0"/>
    <w:qFormat/>
    <w:rPr>
      <w:b/>
      <w:i/>
      <w:sz w:val="21"/>
    </w:rPr>
  </w:style>
  <w:style w:type="character" w:styleId="1358" w:customStyle="1">
    <w:name w:val="表头 Char"/>
    <w:link w:val="1359"/>
    <w:uiPriority w:val="0"/>
    <w:qFormat/>
    <w:rPr>
      <w:rFonts w:eastAsia="黑体"/>
      <w:spacing w:val="-10"/>
    </w:rPr>
  </w:style>
  <w:style w:type="paragraph" w:styleId="1359" w:customStyle="1">
    <w:name w:val="表头"/>
    <w:basedOn w:val="953"/>
    <w:link w:val="1358"/>
    <w:uiPriority w:val="0"/>
    <w:qFormat/>
    <w:pPr>
      <w:jc w:val="center"/>
      <w:spacing w:line="320" w:lineRule="atLeast"/>
    </w:pPr>
    <w:rPr>
      <w:rFonts w:eastAsia="黑体"/>
      <w:spacing w:val="-10"/>
      <w:sz w:val="20"/>
      <w:szCs w:val="20"/>
    </w:rPr>
  </w:style>
  <w:style w:type="character" w:styleId="1360" w:customStyle="1">
    <w:name w:val="文档结构图 字符"/>
    <w:uiPriority w:val="0"/>
    <w:semiHidden/>
    <w:qFormat/>
    <w:rPr>
      <w:sz w:val="20"/>
    </w:rPr>
  </w:style>
  <w:style w:type="character" w:styleId="1361" w:customStyle="1">
    <w:name w:val="12black1"/>
    <w:uiPriority w:val="0"/>
    <w:qFormat/>
    <w:rPr>
      <w:color w:val="000000"/>
      <w:sz w:val="24"/>
      <w:szCs w:val="24"/>
      <w:u w:val="none"/>
    </w:rPr>
  </w:style>
  <w:style w:type="character" w:styleId="1362" w:customStyle="1">
    <w:name w:val="标题 9 字符"/>
    <w:uiPriority w:val="0"/>
    <w:qFormat/>
    <w:rPr>
      <w:sz w:val="20"/>
    </w:rPr>
  </w:style>
  <w:style w:type="character" w:styleId="1363" w:customStyle="1">
    <w:name w:val="普通正文 Char"/>
    <w:link w:val="1364"/>
    <w:uiPriority w:val="0"/>
    <w:qFormat/>
    <w:rPr>
      <w:rFonts w:ascii="Arial" w:hAnsi="Arial"/>
      <w:sz w:val="24"/>
      <w:szCs w:val="24"/>
    </w:rPr>
  </w:style>
  <w:style w:type="paragraph" w:styleId="1364" w:customStyle="1">
    <w:name w:val="普通正文"/>
    <w:basedOn w:val="953"/>
    <w:link w:val="1363"/>
    <w:uiPriority w:val="0"/>
    <w:qFormat/>
    <w:pPr>
      <w:ind w:firstLine="480"/>
      <w:jc w:val="left"/>
      <w:spacing w:before="120" w:after="120" w:line="360" w:lineRule="auto"/>
    </w:pPr>
    <w:rPr>
      <w:rFonts w:ascii="Arial" w:hAnsi="Arial"/>
      <w:sz w:val="24"/>
    </w:rPr>
  </w:style>
  <w:style w:type="character" w:styleId="1365" w:customStyle="1">
    <w:name w:val="fix161 Char"/>
    <w:link w:val="1366"/>
    <w:uiPriority w:val="0"/>
    <w:qFormat/>
    <w:rPr>
      <w:rFonts w:ascii="宋体" w:hAnsi="宋体"/>
      <w:sz w:val="24"/>
      <w:szCs w:val="24"/>
    </w:rPr>
  </w:style>
  <w:style w:type="paragraph" w:styleId="1366" w:customStyle="1">
    <w:name w:val="fix161"/>
    <w:basedOn w:val="953"/>
    <w:link w:val="1365"/>
    <w:uiPriority w:val="0"/>
    <w:qFormat/>
    <w:pPr>
      <w:jc w:val="left"/>
      <w:spacing w:before="100" w:beforeAutospacing="1" w:after="100" w:afterAutospacing="1"/>
      <w:widowControl/>
    </w:pPr>
    <w:rPr>
      <w:rFonts w:ascii="宋体" w:hAnsi="宋体"/>
      <w:sz w:val="24"/>
    </w:rPr>
  </w:style>
  <w:style w:type="character" w:styleId="1367" w:customStyle="1">
    <w:name w:val="Char Char17"/>
    <w:uiPriority w:val="0"/>
    <w:qFormat/>
    <w:rPr>
      <w:rFonts w:eastAsia="宋体"/>
      <w:sz w:val="18"/>
      <w:szCs w:val="18"/>
      <w:lang w:bidi="ar-SA"/>
    </w:rPr>
  </w:style>
  <w:style w:type="character" w:styleId="1368" w:customStyle="1">
    <w:name w:val="DeltaView Insertion"/>
    <w:uiPriority w:val="0"/>
    <w:qFormat/>
    <w:rPr>
      <w:color w:val="0000ff"/>
      <w:spacing w:val="0"/>
      <w:u w:val="single"/>
    </w:rPr>
  </w:style>
  <w:style w:type="character" w:styleId="1369" w:customStyle="1">
    <w:name w:val="apple-converted-space"/>
    <w:basedOn w:val="1040"/>
    <w:uiPriority w:val="0"/>
    <w:qFormat/>
  </w:style>
  <w:style w:type="character" w:styleId="1370" w:customStyle="1">
    <w:name w:val="正文1 Char"/>
    <w:link w:val="972"/>
    <w:uiPriority w:val="0"/>
    <w:qFormat/>
    <w:rPr>
      <w:rFonts w:ascii="宋体" w:hAnsi="宋体" w:eastAsia="仿宋_GB2312"/>
      <w:sz w:val="24"/>
      <w:szCs w:val="24"/>
    </w:rPr>
  </w:style>
  <w:style w:type="character" w:styleId="1371" w:customStyle="1">
    <w:name w:val="Char Char33"/>
    <w:uiPriority w:val="0"/>
    <w:qFormat/>
    <w:rPr>
      <w:rFonts w:eastAsia="方正仿宋_GBK"/>
      <w:b/>
      <w:sz w:val="44"/>
      <w:lang w:val="en-US" w:eastAsia="zh-CN" w:bidi="ar-SA"/>
    </w:rPr>
  </w:style>
  <w:style w:type="character" w:styleId="1372" w:customStyle="1">
    <w:name w:val="批注框文本 字符"/>
    <w:uiPriority w:val="0"/>
    <w:semiHidden/>
    <w:qFormat/>
    <w:rPr>
      <w:sz w:val="20"/>
    </w:rPr>
  </w:style>
  <w:style w:type="character" w:styleId="1373" w:customStyle="1">
    <w:name w:val="HTML 预设格式 字符"/>
    <w:uiPriority w:val="0"/>
    <w:qFormat/>
    <w:rPr>
      <w:sz w:val="20"/>
    </w:rPr>
  </w:style>
  <w:style w:type="character" w:styleId="1374" w:customStyle="1">
    <w:name w:val="美标题3 Char Char"/>
    <w:link w:val="1375"/>
    <w:uiPriority w:val="0"/>
    <w:qFormat/>
    <w:rPr>
      <w:rFonts w:ascii="宋体" w:hAnsi="宋体"/>
      <w:b/>
    </w:rPr>
  </w:style>
  <w:style w:type="paragraph" w:styleId="1375" w:customStyle="1">
    <w:name w:val="美标题3"/>
    <w:basedOn w:val="953"/>
    <w:link w:val="1374"/>
    <w:uiPriority w:val="0"/>
    <w:qFormat/>
    <w:pPr>
      <w:spacing w:line="360" w:lineRule="auto"/>
    </w:pPr>
    <w:rPr>
      <w:rFonts w:ascii="宋体" w:hAnsi="宋体"/>
      <w:b/>
      <w:sz w:val="20"/>
      <w:szCs w:val="20"/>
    </w:rPr>
  </w:style>
  <w:style w:type="character" w:styleId="1376" w:customStyle="1">
    <w:name w:val="font11"/>
    <w:uiPriority w:val="0"/>
    <w:qFormat/>
    <w:rPr>
      <w:rFonts w:ascii="Times New Roman" w:hAnsi="Times New Roman" w:cs="Times New Roman"/>
      <w:color w:val="000000"/>
      <w:sz w:val="24"/>
      <w:szCs w:val="24"/>
      <w:u w:val="none"/>
    </w:rPr>
  </w:style>
  <w:style w:type="character" w:styleId="1377" w:customStyle="1">
    <w:name w:val="不明显强调1"/>
    <w:uiPriority w:val="0"/>
    <w:qFormat/>
    <w:rPr>
      <w:i/>
      <w:color w:val="000000"/>
      <w:sz w:val="21"/>
    </w:rPr>
  </w:style>
  <w:style w:type="character" w:styleId="1378" w:customStyle="1">
    <w:name w:val="不明显参考1"/>
    <w:uiPriority w:val="0"/>
    <w:qFormat/>
    <w:rPr>
      <w:smallCaps/>
      <w:color w:val="c0504d"/>
      <w:u w:val="single"/>
    </w:rPr>
  </w:style>
  <w:style w:type="character" w:styleId="1379" w:customStyle="1">
    <w:name w:val="标题 8 字符"/>
    <w:uiPriority w:val="0"/>
    <w:qFormat/>
    <w:rPr>
      <w:sz w:val="20"/>
    </w:rPr>
  </w:style>
  <w:style w:type="character" w:styleId="1380" w:customStyle="1">
    <w:name w:val="缺省文本 Char"/>
    <w:link w:val="1381"/>
    <w:uiPriority w:val="0"/>
    <w:qFormat/>
    <w:rPr>
      <w:rFonts w:ascii="Arial" w:hAnsi="Arial"/>
      <w:sz w:val="24"/>
      <w:szCs w:val="21"/>
    </w:rPr>
  </w:style>
  <w:style w:type="paragraph" w:styleId="1381" w:customStyle="1">
    <w:name w:val="缺省文本"/>
    <w:basedOn w:val="953"/>
    <w:link w:val="1380"/>
    <w:uiPriority w:val="0"/>
    <w:qFormat/>
    <w:pPr>
      <w:jc w:val="left"/>
      <w:spacing w:line="360" w:lineRule="auto"/>
    </w:pPr>
    <w:rPr>
      <w:rFonts w:ascii="Arial" w:hAnsi="Arial"/>
      <w:sz w:val="24"/>
      <w:szCs w:val="21"/>
    </w:rPr>
  </w:style>
  <w:style w:type="character" w:styleId="1382" w:customStyle="1">
    <w:name w:val="正文文本首行缩进 字符"/>
    <w:uiPriority w:val="0"/>
    <w:qFormat/>
    <w:rPr>
      <w:sz w:val="20"/>
    </w:rPr>
  </w:style>
  <w:style w:type="character" w:styleId="1383" w:customStyle="1">
    <w:name w:val="表蕊 Char1"/>
    <w:link w:val="1384"/>
    <w:uiPriority w:val="0"/>
    <w:qFormat/>
    <w:rPr>
      <w:rFonts w:eastAsia="楷体_GB2312"/>
      <w:spacing w:val="-10"/>
    </w:rPr>
  </w:style>
  <w:style w:type="paragraph" w:styleId="1384" w:customStyle="1">
    <w:name w:val="表蕊"/>
    <w:basedOn w:val="953"/>
    <w:link w:val="1383"/>
    <w:uiPriority w:val="0"/>
    <w:qFormat/>
    <w:pPr>
      <w:jc w:val="left"/>
      <w:spacing w:line="320" w:lineRule="atLeast"/>
    </w:pPr>
    <w:rPr>
      <w:rFonts w:eastAsia="楷体_GB2312"/>
      <w:spacing w:val="-10"/>
      <w:sz w:val="20"/>
      <w:szCs w:val="20"/>
    </w:rPr>
  </w:style>
  <w:style w:type="character" w:styleId="1385" w:customStyle="1">
    <w:name w:val="正文文本缩进 字符"/>
    <w:uiPriority w:val="0"/>
    <w:qFormat/>
    <w:rPr>
      <w:sz w:val="20"/>
    </w:rPr>
  </w:style>
  <w:style w:type="character" w:styleId="1386" w:customStyle="1">
    <w:name w:val="批注文字 字符"/>
    <w:uiPriority w:val="0"/>
    <w:qFormat/>
    <w:rPr>
      <w:sz w:val="20"/>
    </w:rPr>
  </w:style>
  <w:style w:type="character" w:styleId="1387" w:customStyle="1">
    <w:name w:val="Table Heading Char"/>
    <w:link w:val="1388"/>
    <w:uiPriority w:val="0"/>
    <w:qFormat/>
    <w:rPr>
      <w:rFonts w:ascii="Arial" w:hAnsi="Arial" w:eastAsia="黑体"/>
      <w:sz w:val="18"/>
      <w:szCs w:val="22"/>
      <w:lang w:eastAsia="en-US"/>
    </w:rPr>
  </w:style>
  <w:style w:type="paragraph" w:styleId="1388" w:customStyle="1">
    <w:name w:val="Table Heading"/>
    <w:link w:val="138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389" w:customStyle="1">
    <w:name w:val="明显参考1"/>
    <w:uiPriority w:val="0"/>
    <w:qFormat/>
    <w:rPr>
      <w:b/>
      <w:bCs/>
      <w:smallCaps/>
      <w:color w:val="c0504d"/>
      <w:spacing w:val="5"/>
      <w:u w:val="single"/>
    </w:rPr>
  </w:style>
  <w:style w:type="character" w:styleId="1390" w:customStyle="1">
    <w:name w:val="Char Char30"/>
    <w:uiPriority w:val="0"/>
    <w:qFormat/>
    <w:rPr>
      <w:rFonts w:eastAsia="宋体"/>
      <w:b/>
      <w:bCs/>
      <w:sz w:val="32"/>
      <w:szCs w:val="32"/>
      <w:lang w:val="en-US" w:eastAsia="zh-CN" w:bidi="ar-SA"/>
    </w:rPr>
  </w:style>
  <w:style w:type="character" w:styleId="1391" w:customStyle="1">
    <w:name w:val="标题 6 字符"/>
    <w:uiPriority w:val="0"/>
    <w:qFormat/>
    <w:rPr>
      <w:b/>
      <w:sz w:val="20"/>
    </w:rPr>
  </w:style>
  <w:style w:type="character" w:styleId="1392" w:customStyle="1">
    <w:name w:val="正文文本缩进 3 字符"/>
    <w:uiPriority w:val="0"/>
    <w:qFormat/>
    <w:rPr>
      <w:color w:val="ffff00"/>
      <w:sz w:val="20"/>
    </w:rPr>
  </w:style>
  <w:style w:type="character" w:styleId="1393" w:customStyle="1">
    <w:name w:val="Table Text Char1"/>
    <w:link w:val="1394"/>
    <w:uiPriority w:val="0"/>
    <w:qFormat/>
    <w:rPr>
      <w:rFonts w:ascii="Arial" w:hAnsi="Arial" w:eastAsia="Times New Roman"/>
      <w:sz w:val="18"/>
      <w:szCs w:val="18"/>
    </w:rPr>
  </w:style>
  <w:style w:type="paragraph" w:styleId="1394" w:customStyle="1">
    <w:name w:val="Table Text"/>
    <w:link w:val="1393"/>
    <w:uiPriority w:val="0"/>
    <w:qFormat/>
    <w:pPr>
      <w:spacing w:before="80" w:after="80"/>
    </w:pPr>
    <w:rPr>
      <w:rFonts w:hint="default" w:ascii="Arial" w:hAnsi="Arial" w:eastAsia="Times New Roman" w:cs="Times New Roman"/>
      <w:sz w:val="18"/>
      <w:szCs w:val="18"/>
      <w:lang w:val="en-US" w:eastAsia="zh-CN" w:bidi="ar-SA"/>
    </w:rPr>
  </w:style>
  <w:style w:type="character" w:styleId="1395" w:customStyle="1">
    <w:name w:val="首行缩进正文 Char"/>
    <w:link w:val="1396"/>
    <w:uiPriority w:val="0"/>
    <w:qFormat/>
    <w:rPr>
      <w:rFonts w:ascii="微软雅黑" w:hAnsi="微软雅黑" w:eastAsia="微软雅黑"/>
      <w:sz w:val="24"/>
      <w:szCs w:val="24"/>
    </w:rPr>
  </w:style>
  <w:style w:type="paragraph" w:styleId="1396" w:customStyle="1">
    <w:name w:val="首行缩进正文"/>
    <w:basedOn w:val="953"/>
    <w:link w:val="1395"/>
    <w:uiPriority w:val="0"/>
    <w:qFormat/>
    <w:pPr>
      <w:ind w:firstLine="420"/>
      <w:jc w:val="left"/>
      <w:spacing w:line="400" w:lineRule="exact"/>
      <w:widowControl/>
    </w:pPr>
    <w:rPr>
      <w:rFonts w:ascii="微软雅黑" w:hAnsi="微软雅黑" w:eastAsia="微软雅黑"/>
      <w:sz w:val="20"/>
    </w:rPr>
  </w:style>
  <w:style w:type="character" w:styleId="1397" w:customStyle="1">
    <w:name w:val="二级目录 Char"/>
    <w:link w:val="1398"/>
    <w:uiPriority w:val="0"/>
    <w:qFormat/>
    <w:rPr>
      <w:rFonts w:eastAsia="Times New Roman"/>
      <w:b/>
      <w:sz w:val="30"/>
      <w:szCs w:val="28"/>
    </w:rPr>
  </w:style>
  <w:style w:type="paragraph" w:styleId="1398" w:customStyle="1">
    <w:name w:val="二级目录"/>
    <w:next w:val="953"/>
    <w:link w:val="139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399" w:customStyle="1">
    <w:name w:val="HTML 地址 Char1"/>
    <w:uiPriority w:val="0"/>
    <w:qFormat/>
    <w:rPr>
      <w:i/>
      <w:iCs/>
      <w:sz w:val="21"/>
      <w:szCs w:val="21"/>
    </w:rPr>
  </w:style>
  <w:style w:type="character" w:styleId="1400" w:customStyle="1">
    <w:name w:val="表格标题 Char"/>
    <w:link w:val="1401"/>
    <w:uiPriority w:val="0"/>
    <w:qFormat/>
    <w:rPr>
      <w:rFonts w:ascii="Arial Black" w:hAnsi="Arial Black" w:eastAsia="黑体"/>
      <w:sz w:val="24"/>
      <w:szCs w:val="24"/>
    </w:rPr>
  </w:style>
  <w:style w:type="paragraph" w:styleId="1401" w:customStyle="1">
    <w:name w:val="表格标题"/>
    <w:basedOn w:val="953"/>
    <w:link w:val="1400"/>
    <w:uiPriority w:val="0"/>
    <w:qFormat/>
    <w:pPr>
      <w:jc w:val="center"/>
      <w:spacing w:after="156" w:line="400" w:lineRule="exact"/>
    </w:pPr>
    <w:rPr>
      <w:rFonts w:ascii="Arial Black" w:hAnsi="Arial Black" w:eastAsia="黑体"/>
      <w:sz w:val="24"/>
    </w:rPr>
  </w:style>
  <w:style w:type="character" w:styleId="1402" w:customStyle="1">
    <w:name w:val="正文缩进 字符"/>
    <w:uiPriority w:val="0"/>
    <w:qFormat/>
    <w:rPr>
      <w:sz w:val="20"/>
    </w:rPr>
  </w:style>
  <w:style w:type="character" w:styleId="1403" w:customStyle="1">
    <w:name w:val="font91"/>
    <w:uiPriority w:val="99"/>
    <w:qFormat/>
    <w:rPr>
      <w:rFonts w:ascii="仿宋_GB2312" w:eastAsia="仿宋_GB2312" w:cs="仿宋_GB2312"/>
      <w:color w:val="ff0000"/>
      <w:sz w:val="24"/>
      <w:szCs w:val="24"/>
      <w:u w:val="none"/>
    </w:rPr>
  </w:style>
  <w:style w:type="character" w:styleId="1404" w:customStyle="1">
    <w:name w:val="正文4 Char"/>
    <w:link w:val="1405"/>
    <w:uiPriority w:val="0"/>
    <w:qFormat/>
    <w:rPr>
      <w:rFonts w:eastAsia="楷体_GB2312"/>
      <w:spacing w:val="8"/>
      <w:sz w:val="28"/>
    </w:rPr>
  </w:style>
  <w:style w:type="paragraph" w:styleId="1405" w:customStyle="1">
    <w:name w:val="正文4"/>
    <w:basedOn w:val="953"/>
    <w:link w:val="1404"/>
    <w:uiPriority w:val="0"/>
    <w:qFormat/>
    <w:pPr>
      <w:ind w:firstLine="601"/>
      <w:spacing w:line="440" w:lineRule="exact"/>
    </w:pPr>
    <w:rPr>
      <w:rFonts w:eastAsia="楷体_GB2312"/>
      <w:spacing w:val="8"/>
      <w:sz w:val="28"/>
      <w:szCs w:val="20"/>
    </w:rPr>
  </w:style>
  <w:style w:type="character" w:styleId="1406" w:customStyle="1">
    <w:name w:val="Plain Text Char"/>
    <w:uiPriority w:val="99"/>
    <w:qFormat/>
    <w:rPr>
      <w:rFonts w:ascii="宋体" w:hAnsi="Courier New"/>
      <w:sz w:val="21"/>
    </w:rPr>
  </w:style>
  <w:style w:type="character" w:styleId="1407" w:customStyle="1">
    <w:name w:val="标题 1 字符"/>
    <w:uiPriority w:val="0"/>
    <w:qFormat/>
    <w:rPr>
      <w:b/>
      <w:sz w:val="20"/>
    </w:rPr>
  </w:style>
  <w:style w:type="character" w:styleId="1408" w:customStyle="1">
    <w:name w:val="正文（首行缩进2字符） Char"/>
    <w:link w:val="1409"/>
    <w:uiPriority w:val="0"/>
    <w:qFormat/>
    <w:rPr>
      <w:sz w:val="21"/>
      <w:szCs w:val="21"/>
    </w:rPr>
  </w:style>
  <w:style w:type="paragraph" w:styleId="1409" w:customStyle="1">
    <w:name w:val="正文（首行缩进2字符）"/>
    <w:basedOn w:val="953"/>
    <w:link w:val="1408"/>
    <w:uiPriority w:val="0"/>
    <w:qFormat/>
    <w:pPr>
      <w:ind w:firstLine="420"/>
      <w:spacing w:line="360" w:lineRule="auto"/>
    </w:pPr>
    <w:rPr>
      <w:sz w:val="20"/>
      <w:szCs w:val="21"/>
    </w:rPr>
  </w:style>
  <w:style w:type="character" w:styleId="1410" w:customStyle="1">
    <w:name w:val="HTML 预设格式 Char1"/>
    <w:uiPriority w:val="99"/>
    <w:semiHidden/>
    <w:qFormat/>
    <w:rPr>
      <w:rFonts w:ascii="Courier New" w:hAnsi="Courier New" w:eastAsia="仿宋_GB2312" w:cs="Courier New"/>
    </w:rPr>
  </w:style>
  <w:style w:type="character" w:styleId="1411" w:customStyle="1">
    <w:name w:val="三级条标题 Char"/>
    <w:link w:val="1412"/>
    <w:uiPriority w:val="0"/>
    <w:qFormat/>
    <w:rPr>
      <w:rFonts w:ascii="黑体" w:hAnsi="宋体" w:eastAsia="黑体"/>
    </w:rPr>
  </w:style>
  <w:style w:type="paragraph" w:styleId="1412" w:customStyle="1">
    <w:name w:val="三级条标题"/>
    <w:basedOn w:val="1340"/>
    <w:next w:val="975"/>
    <w:link w:val="1411"/>
    <w:uiPriority w:val="0"/>
    <w:qFormat/>
    <w:pPr>
      <w:outlineLvl w:val="4"/>
    </w:pPr>
  </w:style>
  <w:style w:type="character" w:styleId="1413" w:customStyle="1">
    <w:name w:val="font141"/>
    <w:uiPriority w:val="99"/>
    <w:qFormat/>
    <w:rPr>
      <w:rFonts w:ascii="Tahoma" w:hAnsi="Tahoma" w:cs="Tahoma"/>
      <w:color w:val="000000"/>
      <w:sz w:val="20"/>
      <w:szCs w:val="20"/>
      <w:u w:val="none"/>
    </w:rPr>
  </w:style>
  <w:style w:type="character" w:styleId="1414" w:customStyle="1">
    <w:name w:val="Para head"/>
    <w:basedOn w:val="1040"/>
    <w:uiPriority w:val="0"/>
    <w:qFormat/>
  </w:style>
  <w:style w:type="character" w:styleId="1415" w:customStyle="1">
    <w:name w:val="font81"/>
    <w:uiPriority w:val="99"/>
    <w:qFormat/>
    <w:rPr>
      <w:rFonts w:ascii="仿宋_GB2312" w:eastAsia="仿宋_GB2312" w:cs="仿宋_GB2312"/>
      <w:b/>
      <w:color w:val="000000"/>
      <w:sz w:val="24"/>
      <w:szCs w:val="24"/>
      <w:u w:val="none"/>
    </w:rPr>
  </w:style>
  <w:style w:type="character" w:styleId="1416" w:customStyle="1">
    <w:name w:val="美标题一 Char Char"/>
    <w:link w:val="1417"/>
    <w:uiPriority w:val="0"/>
    <w:qFormat/>
    <w:rPr>
      <w:rFonts w:ascii="Calibri" w:hAnsi="Calibri"/>
      <w:b/>
      <w:sz w:val="36"/>
      <w:szCs w:val="24"/>
    </w:rPr>
  </w:style>
  <w:style w:type="paragraph" w:styleId="1417" w:customStyle="1">
    <w:name w:val="美标题一"/>
    <w:basedOn w:val="953"/>
    <w:link w:val="1416"/>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418" w:customStyle="1">
    <w:name w:val="标题2 Char Char"/>
    <w:link w:val="1419"/>
    <w:uiPriority w:val="0"/>
    <w:qFormat/>
    <w:rPr>
      <w:rFonts w:eastAsia="方正楷体_GBK"/>
      <w:sz w:val="32"/>
    </w:rPr>
  </w:style>
  <w:style w:type="paragraph" w:styleId="1419" w:customStyle="1">
    <w:name w:val="标题2"/>
    <w:basedOn w:val="953"/>
    <w:next w:val="953"/>
    <w:link w:val="1418"/>
    <w:uiPriority w:val="0"/>
    <w:qFormat/>
    <w:pPr>
      <w:jc w:val="center"/>
    </w:pPr>
    <w:rPr>
      <w:rFonts w:eastAsia="方正楷体_GBK"/>
      <w:sz w:val="32"/>
      <w:szCs w:val="20"/>
    </w:rPr>
  </w:style>
  <w:style w:type="character" w:styleId="1420" w:customStyle="1">
    <w:name w:val="正文文本 3 字符"/>
    <w:uiPriority w:val="0"/>
    <w:qFormat/>
    <w:rPr>
      <w:sz w:val="20"/>
    </w:rPr>
  </w:style>
  <w:style w:type="character" w:styleId="1421" w:customStyle="1">
    <w:name w:val="纯文本 Char1"/>
    <w:uiPriority w:val="0"/>
    <w:semiHidden/>
    <w:qFormat/>
    <w:rPr>
      <w:rFonts w:ascii="宋体" w:hAnsi="Courier New" w:cs="Courier New"/>
      <w:sz w:val="21"/>
      <w:szCs w:val="21"/>
    </w:rPr>
  </w:style>
  <w:style w:type="character" w:styleId="1422" w:customStyle="1">
    <w:name w:val="明显强调1"/>
    <w:uiPriority w:val="0"/>
    <w:qFormat/>
    <w:rPr>
      <w:i/>
      <w:color w:val="000000"/>
      <w:sz w:val="21"/>
    </w:rPr>
  </w:style>
  <w:style w:type="character" w:styleId="1423" w:customStyle="1">
    <w:name w:val="标题 7 字符"/>
    <w:uiPriority w:val="0"/>
    <w:qFormat/>
    <w:rPr>
      <w:b/>
      <w:sz w:val="20"/>
    </w:rPr>
  </w:style>
  <w:style w:type="character" w:styleId="1424" w:customStyle="1">
    <w:name w:val="Plain Text Char1"/>
    <w:uiPriority w:val="99"/>
    <w:semiHidden/>
    <w:qFormat/>
    <w:rPr>
      <w:rFonts w:ascii="宋体" w:hAnsi="Courier New" w:cs="Courier New"/>
      <w:sz w:val="21"/>
      <w:szCs w:val="21"/>
    </w:rPr>
  </w:style>
  <w:style w:type="character" w:styleId="1425" w:customStyle="1">
    <w:name w:val="正文文本缩进 Char1"/>
    <w:uiPriority w:val="0"/>
    <w:semiHidden/>
    <w:qFormat/>
    <w:rPr>
      <w:sz w:val="21"/>
      <w:szCs w:val="24"/>
    </w:rPr>
  </w:style>
  <w:style w:type="character" w:styleId="1426" w:customStyle="1">
    <w:name w:val="正文文本 (9)_"/>
    <w:link w:val="1427"/>
    <w:uiPriority w:val="0"/>
    <w:qFormat/>
    <w:rPr>
      <w:rFonts w:ascii="MingLiU" w:hAnsi="MingLiU" w:eastAsia="MingLiU"/>
      <w:spacing w:val="20"/>
      <w:sz w:val="16"/>
      <w:szCs w:val="16"/>
      <w:shd w:val="clear" w:color="auto" w:fill="ffffff"/>
    </w:rPr>
  </w:style>
  <w:style w:type="paragraph" w:styleId="1427" w:customStyle="1">
    <w:name w:val="正文文本 (9)3"/>
    <w:basedOn w:val="953"/>
    <w:link w:val="142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428" w:customStyle="1">
    <w:name w:val="正文文本 Char"/>
    <w:uiPriority w:val="0"/>
    <w:qFormat/>
    <w:rPr>
      <w:rFonts w:ascii="楷体_GB2312" w:hAnsi="Arial" w:eastAsia="楷体_GB2312"/>
      <w:sz w:val="28"/>
      <w:szCs w:val="28"/>
      <w:lang w:bidi="ar-SA"/>
    </w:rPr>
  </w:style>
  <w:style w:type="character" w:styleId="1429" w:customStyle="1">
    <w:name w:val="wwwww Char"/>
    <w:link w:val="1430"/>
    <w:uiPriority w:val="0"/>
    <w:qFormat/>
    <w:rPr>
      <w:rFonts w:ascii="宋体" w:hAnsi="宋体"/>
      <w:sz w:val="24"/>
      <w:szCs w:val="21"/>
    </w:rPr>
  </w:style>
  <w:style w:type="paragraph" w:styleId="1430" w:customStyle="1">
    <w:name w:val="wwwww"/>
    <w:basedOn w:val="953"/>
    <w:link w:val="1429"/>
    <w:uiPriority w:val="0"/>
    <w:qFormat/>
    <w:pPr>
      <w:spacing w:line="400" w:lineRule="exact"/>
      <w:widowControl/>
    </w:pPr>
    <w:rPr>
      <w:rFonts w:ascii="宋体" w:hAnsi="宋体"/>
      <w:sz w:val="24"/>
      <w:szCs w:val="21"/>
    </w:rPr>
  </w:style>
  <w:style w:type="character" w:styleId="1431" w:customStyle="1">
    <w:name w:val="Char Char7"/>
    <w:uiPriority w:val="0"/>
    <w:qFormat/>
    <w:rPr>
      <w:rFonts w:ascii="Arial" w:hAnsi="Arial" w:eastAsia="幼圆"/>
      <w:b/>
      <w:bCs/>
      <w:sz w:val="44"/>
      <w:szCs w:val="44"/>
      <w:lang w:val="en-US" w:eastAsia="zh-CN" w:bidi="ar-SA"/>
    </w:rPr>
  </w:style>
  <w:style w:type="character" w:styleId="1432" w:customStyle="1">
    <w:name w:val="二级条标题 + 宋体 Char"/>
    <w:link w:val="1433"/>
    <w:uiPriority w:val="0"/>
    <w:qFormat/>
    <w:rPr>
      <w:rFonts w:ascii="宋体" w:hAnsi="宋体" w:eastAsia="黑体"/>
    </w:rPr>
  </w:style>
  <w:style w:type="paragraph" w:styleId="1433" w:customStyle="1">
    <w:name w:val="二级条标题 + 宋体"/>
    <w:basedOn w:val="1340"/>
    <w:link w:val="1432"/>
    <w:uiPriority w:val="0"/>
    <w:qFormat/>
    <w:pPr>
      <w:ind w:left="0" w:firstLine="0"/>
    </w:pPr>
    <w:rPr>
      <w:rFonts w:ascii="宋体"/>
    </w:rPr>
  </w:style>
  <w:style w:type="character" w:styleId="1434" w:customStyle="1">
    <w:name w:val="方案文档 Char Char"/>
    <w:link w:val="1435"/>
    <w:uiPriority w:val="0"/>
    <w:qFormat/>
    <w:rPr>
      <w:rFonts w:ascii="宋体" w:hAnsi="宋体"/>
      <w:b/>
    </w:rPr>
  </w:style>
  <w:style w:type="paragraph" w:styleId="1435" w:customStyle="1">
    <w:name w:val="方案文档"/>
    <w:basedOn w:val="953"/>
    <w:link w:val="1434"/>
    <w:uiPriority w:val="0"/>
    <w:qFormat/>
    <w:pPr>
      <w:ind w:left="420"/>
      <w:spacing w:line="360" w:lineRule="auto"/>
      <w:tabs>
        <w:tab w:val="left" w:pos="420" w:leader="none"/>
      </w:tabs>
    </w:pPr>
    <w:rPr>
      <w:rFonts w:ascii="宋体" w:hAnsi="宋体"/>
      <w:b/>
      <w:sz w:val="20"/>
      <w:szCs w:val="20"/>
    </w:rPr>
  </w:style>
  <w:style w:type="character" w:styleId="1436" w:customStyle="1">
    <w:name w:val="HTML 地址 字符"/>
    <w:uiPriority w:val="0"/>
    <w:qFormat/>
    <w:rPr>
      <w:i/>
      <w:sz w:val="20"/>
    </w:rPr>
  </w:style>
  <w:style w:type="character" w:styleId="1437" w:customStyle="1">
    <w:name w:val="font01"/>
    <w:uiPriority w:val="99"/>
    <w:qFormat/>
    <w:rPr>
      <w:rFonts w:ascii="仿宋_GB2312" w:eastAsia="仿宋_GB2312" w:cs="仿宋_GB2312"/>
      <w:color w:val="000000"/>
      <w:sz w:val="24"/>
      <w:szCs w:val="24"/>
      <w:u w:val="none"/>
    </w:rPr>
  </w:style>
  <w:style w:type="character" w:styleId="1438" w:customStyle="1">
    <w:name w:val="表格 Char Char"/>
    <w:link w:val="1439"/>
    <w:uiPriority w:val="0"/>
    <w:qFormat/>
    <w:rPr>
      <w:rFonts w:ascii="宋体" w:hAnsi="宋体"/>
    </w:rPr>
  </w:style>
  <w:style w:type="paragraph" w:styleId="1439" w:customStyle="1">
    <w:name w:val="表格"/>
    <w:basedOn w:val="953"/>
    <w:link w:val="1438"/>
    <w:uiPriority w:val="0"/>
    <w:qFormat/>
    <w:pPr>
      <w:ind w:firstLine="42"/>
    </w:pPr>
    <w:rPr>
      <w:rFonts w:ascii="宋体" w:hAnsi="宋体"/>
      <w:sz w:val="20"/>
      <w:szCs w:val="20"/>
    </w:rPr>
  </w:style>
  <w:style w:type="character" w:styleId="1440" w:customStyle="1">
    <w:name w:val="Char Char31"/>
    <w:uiPriority w:val="0"/>
    <w:qFormat/>
    <w:rPr>
      <w:rFonts w:ascii="Arial" w:hAnsi="Arial" w:eastAsia="幼圆"/>
      <w:b/>
      <w:bCs/>
      <w:sz w:val="44"/>
      <w:szCs w:val="44"/>
      <w:lang w:val="en-US" w:eastAsia="zh-CN" w:bidi="ar-SA"/>
    </w:rPr>
  </w:style>
  <w:style w:type="character" w:styleId="1441" w:customStyle="1">
    <w:name w:val="页眉 字符"/>
    <w:uiPriority w:val="0"/>
    <w:qFormat/>
    <w:rPr>
      <w:sz w:val="20"/>
    </w:rPr>
  </w:style>
  <w:style w:type="character" w:styleId="1442" w:customStyle="1">
    <w:name w:val="正文文本 (10)_"/>
    <w:link w:val="1443"/>
    <w:uiPriority w:val="0"/>
    <w:qFormat/>
    <w:rPr>
      <w:rFonts w:ascii="MingLiU" w:hAnsi="MingLiU" w:eastAsia="MingLiU"/>
      <w:spacing w:val="40"/>
      <w:sz w:val="19"/>
      <w:szCs w:val="19"/>
      <w:shd w:val="clear" w:color="auto" w:fill="ffffff"/>
    </w:rPr>
  </w:style>
  <w:style w:type="paragraph" w:styleId="1443" w:customStyle="1">
    <w:name w:val="正文文本 (10)6"/>
    <w:basedOn w:val="953"/>
    <w:link w:val="144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444" w:customStyle="1">
    <w:name w:val="列表 3 字符"/>
    <w:uiPriority w:val="0"/>
    <w:qFormat/>
    <w:rPr>
      <w:sz w:val="20"/>
    </w:rPr>
  </w:style>
  <w:style w:type="character" w:styleId="1445" w:customStyle="1">
    <w:name w:val="美标题2 Char Char"/>
    <w:link w:val="1446"/>
    <w:uiPriority w:val="0"/>
    <w:qFormat/>
    <w:rPr>
      <w:rFonts w:ascii="宋体" w:hAnsi="宋体"/>
      <w:b/>
      <w:sz w:val="28"/>
    </w:rPr>
  </w:style>
  <w:style w:type="paragraph" w:styleId="1446" w:customStyle="1">
    <w:name w:val="美标题2"/>
    <w:basedOn w:val="953"/>
    <w:link w:val="1445"/>
    <w:uiPriority w:val="0"/>
    <w:qFormat/>
    <w:rPr>
      <w:rFonts w:ascii="宋体" w:hAnsi="宋体"/>
      <w:b/>
      <w:sz w:val="28"/>
      <w:szCs w:val="20"/>
    </w:rPr>
  </w:style>
  <w:style w:type="character" w:styleId="1447" w:customStyle="1">
    <w:name w:val="标题 4 字符"/>
    <w:uiPriority w:val="0"/>
    <w:qFormat/>
    <w:rPr>
      <w:b/>
      <w:sz w:val="20"/>
    </w:rPr>
  </w:style>
  <w:style w:type="character" w:styleId="1448" w:customStyle="1">
    <w:name w:val="fontstyle01"/>
    <w:uiPriority w:val="0"/>
    <w:qFormat/>
    <w:rPr>
      <w:rFonts w:hint="eastAsia" w:ascii="宋体" w:hAnsi="宋体" w:eastAsia="宋体"/>
      <w:color w:val="000000"/>
      <w:sz w:val="24"/>
      <w:szCs w:val="24"/>
    </w:rPr>
  </w:style>
  <w:style w:type="character" w:styleId="1449" w:customStyle="1">
    <w:name w:val="正文文本 2 字符"/>
    <w:uiPriority w:val="0"/>
    <w:qFormat/>
    <w:rPr>
      <w:sz w:val="20"/>
    </w:rPr>
  </w:style>
  <w:style w:type="character" w:styleId="1450" w:customStyle="1">
    <w:name w:val="Char Char29"/>
    <w:uiPriority w:val="0"/>
    <w:qFormat/>
    <w:rPr>
      <w:rFonts w:ascii="Arial" w:hAnsi="Arial" w:eastAsia="黑体"/>
      <w:b/>
      <w:bCs/>
      <w:sz w:val="28"/>
      <w:szCs w:val="28"/>
      <w:lang w:val="en-US" w:eastAsia="zh-CN" w:bidi="ar-SA"/>
    </w:rPr>
  </w:style>
  <w:style w:type="character" w:styleId="1451" w:customStyle="1">
    <w:name w:val="正文文本缩进 2 Char1"/>
    <w:basedOn w:val="1040"/>
    <w:uiPriority w:val="99"/>
    <w:semiHidden/>
    <w:qFormat/>
    <w:rPr>
      <w:sz w:val="21"/>
      <w:szCs w:val="24"/>
    </w:rPr>
  </w:style>
  <w:style w:type="character" w:styleId="1452" w:customStyle="1">
    <w:name w:val="正文首行缩进 Char1"/>
    <w:basedOn w:val="1066"/>
    <w:uiPriority w:val="99"/>
    <w:semiHidden/>
    <w:qFormat/>
    <w:rPr>
      <w:sz w:val="21"/>
      <w:szCs w:val="24"/>
    </w:rPr>
  </w:style>
  <w:style w:type="character" w:styleId="1453" w:customStyle="1">
    <w:name w:val="正文文本 2 Char1"/>
    <w:basedOn w:val="1040"/>
    <w:uiPriority w:val="99"/>
    <w:semiHidden/>
    <w:qFormat/>
    <w:rPr>
      <w:sz w:val="21"/>
      <w:szCs w:val="24"/>
    </w:rPr>
  </w:style>
  <w:style w:type="character" w:styleId="1454" w:customStyle="1">
    <w:name w:val="正文文本缩进 Char2"/>
    <w:basedOn w:val="1040"/>
    <w:uiPriority w:val="99"/>
    <w:semiHidden/>
    <w:qFormat/>
    <w:rPr>
      <w:sz w:val="21"/>
      <w:szCs w:val="24"/>
    </w:rPr>
  </w:style>
  <w:style w:type="character" w:styleId="1455" w:customStyle="1">
    <w:name w:val="日期 Char1"/>
    <w:basedOn w:val="1040"/>
    <w:uiPriority w:val="99"/>
    <w:semiHidden/>
    <w:qFormat/>
    <w:rPr>
      <w:sz w:val="21"/>
      <w:szCs w:val="24"/>
    </w:rPr>
  </w:style>
  <w:style w:type="character" w:styleId="1456" w:customStyle="1">
    <w:name w:val="正文首行缩进 2 Char1"/>
    <w:basedOn w:val="1454"/>
    <w:uiPriority w:val="99"/>
    <w:semiHidden/>
    <w:qFormat/>
    <w:rPr>
      <w:sz w:val="21"/>
      <w:szCs w:val="24"/>
    </w:rPr>
  </w:style>
  <w:style w:type="character" w:styleId="1457" w:customStyle="1">
    <w:name w:val="文档结构图 Char1"/>
    <w:basedOn w:val="1040"/>
    <w:uiPriority w:val="99"/>
    <w:semiHidden/>
    <w:qFormat/>
    <w:rPr>
      <w:rFonts w:ascii="宋体"/>
      <w:sz w:val="18"/>
      <w:szCs w:val="18"/>
    </w:rPr>
  </w:style>
  <w:style w:type="character" w:styleId="1458" w:customStyle="1">
    <w:name w:val="正文文本 3 Char1"/>
    <w:basedOn w:val="1040"/>
    <w:uiPriority w:val="99"/>
    <w:semiHidden/>
    <w:qFormat/>
    <w:rPr>
      <w:sz w:val="16"/>
      <w:szCs w:val="16"/>
    </w:rPr>
  </w:style>
  <w:style w:type="character" w:styleId="1459" w:customStyle="1">
    <w:name w:val="HTML 地址 Char2"/>
    <w:basedOn w:val="1040"/>
    <w:uiPriority w:val="99"/>
    <w:semiHidden/>
    <w:qFormat/>
    <w:rPr>
      <w:i/>
      <w:iCs/>
      <w:sz w:val="21"/>
      <w:szCs w:val="24"/>
    </w:rPr>
  </w:style>
  <w:style w:type="character" w:styleId="1460" w:customStyle="1">
    <w:name w:val="正文文本缩进 3 Char1"/>
    <w:basedOn w:val="1040"/>
    <w:uiPriority w:val="99"/>
    <w:semiHidden/>
    <w:qFormat/>
    <w:rPr>
      <w:sz w:val="16"/>
      <w:szCs w:val="16"/>
    </w:rPr>
  </w:style>
  <w:style w:type="character" w:styleId="1461" w:customStyle="1">
    <w:name w:val="HTML 预设格式 Char2"/>
    <w:basedOn w:val="1040"/>
    <w:uiPriority w:val="99"/>
    <w:semiHidden/>
    <w:qFormat/>
    <w:rPr>
      <w:rFonts w:ascii="Courier New" w:hAnsi="Courier New" w:cs="Courier New"/>
    </w:rPr>
  </w:style>
  <w:style w:type="paragraph" w:styleId="1462" w:customStyle="1">
    <w:name w:val="正文2"/>
    <w:next w:val="14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3"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464" w:customStyle="1">
    <w:name w:val="_Style 10"/>
    <w:basedOn w:val="953"/>
    <w:uiPriority w:val="0"/>
    <w:qFormat/>
    <w:rPr>
      <w:rFonts w:ascii="Tahoma" w:hAnsi="Tahoma"/>
      <w:sz w:val="24"/>
      <w:szCs w:val="20"/>
    </w:rPr>
  </w:style>
  <w:style w:type="paragraph" w:styleId="1465" w:customStyle="1">
    <w:name w:val="正文缩进编号"/>
    <w:basedOn w:val="953"/>
    <w:uiPriority w:val="0"/>
    <w:qFormat/>
    <w:pPr>
      <w:ind w:left="840"/>
      <w:spacing w:line="360" w:lineRule="auto"/>
    </w:pPr>
    <w:rPr>
      <w:rFonts w:ascii="Calibri" w:hAnsi="Calibri"/>
      <w:sz w:val="24"/>
      <w:szCs w:val="21"/>
    </w:rPr>
  </w:style>
  <w:style w:type="paragraph" w:styleId="1466" w:customStyle="1">
    <w:name w:val="Char1"/>
    <w:basedOn w:val="953"/>
    <w:uiPriority w:val="0"/>
    <w:qFormat/>
    <w:pPr>
      <w:ind w:left="432" w:hanging="432"/>
      <w:spacing w:before="156" w:after="156"/>
      <w:tabs>
        <w:tab w:val="left" w:pos="432" w:leader="none"/>
      </w:tabs>
    </w:pPr>
  </w:style>
  <w:style w:type="paragraph" w:styleId="1467" w:customStyle="1">
    <w:name w:val="jx标题1"/>
    <w:basedOn w:val="1031"/>
    <w:uiPriority w:val="0"/>
    <w:qFormat/>
    <w:pPr>
      <w:spacing w:line="360" w:lineRule="auto"/>
      <w:tabs>
        <w:tab w:val="left" w:pos="425" w:leader="none"/>
      </w:tabs>
    </w:pPr>
    <w:rPr>
      <w:rFonts w:ascii="Calibri" w:hAnsi="Calibri" w:eastAsia="黑体"/>
      <w:bCs/>
      <w:szCs w:val="44"/>
    </w:rPr>
  </w:style>
  <w:style w:type="paragraph" w:styleId="1468" w:customStyle="1">
    <w:name w:val="GP（表格）"/>
    <w:basedOn w:val="953"/>
    <w:uiPriority w:val="0"/>
    <w:qFormat/>
    <w:rPr>
      <w:rFonts w:ascii="Arial" w:hAnsi="Arial"/>
      <w:sz w:val="18"/>
    </w:rPr>
  </w:style>
  <w:style w:type="paragraph" w:styleId="1469" w:customStyle="1">
    <w:name w:val="列出段落1"/>
    <w:basedOn w:val="953"/>
    <w:uiPriority w:val="0"/>
    <w:qFormat/>
    <w:pPr>
      <w:ind w:left="480"/>
      <w:jc w:val="left"/>
    </w:pPr>
    <w:rPr>
      <w:rFonts w:ascii="Calibri" w:hAnsi="Calibri" w:eastAsia="PMingLiU"/>
      <w:sz w:val="24"/>
      <w:szCs w:val="20"/>
      <w:lang w:val="zh-CN" w:eastAsia="zh-TW"/>
    </w:rPr>
  </w:style>
  <w:style w:type="paragraph" w:styleId="1470" w:customStyle="1">
    <w:name w:val="Default Text"/>
    <w:basedOn w:val="953"/>
    <w:uiPriority w:val="0"/>
    <w:qFormat/>
    <w:pPr>
      <w:jc w:val="left"/>
      <w:widowControl/>
    </w:pPr>
    <w:rPr>
      <w:rFonts w:ascii="Calibri" w:hAnsi="Calibri"/>
      <w:sz w:val="20"/>
      <w:szCs w:val="20"/>
      <w:lang w:eastAsia="en-US"/>
    </w:rPr>
  </w:style>
  <w:style w:type="paragraph" w:styleId="1471"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2" w:customStyle="1">
    <w:name w:val="彩色列表 - 着色 11"/>
    <w:basedOn w:val="953"/>
    <w:uiPriority w:val="99"/>
    <w:qFormat/>
    <w:pPr>
      <w:ind w:firstLine="420"/>
      <w:spacing w:line="274" w:lineRule="auto"/>
    </w:pPr>
    <w:rPr>
      <w:rFonts w:ascii="仿宋_GB2312" w:hAnsi="Calibri" w:eastAsia="仿宋_GB2312"/>
      <w:sz w:val="20"/>
    </w:rPr>
  </w:style>
  <w:style w:type="paragraph" w:styleId="1473"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47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5"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47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477" w:customStyle="1">
    <w:name w:val="xl70"/>
    <w:basedOn w:val="953"/>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478" w:customStyle="1">
    <w:name w:val="列出段落3"/>
    <w:basedOn w:val="1462"/>
    <w:uiPriority w:val="34"/>
    <w:qFormat/>
    <w:pPr>
      <w:ind w:firstLine="420"/>
    </w:pPr>
    <w:rPr>
      <w:rFonts w:ascii="Calibri" w:hAnsi="Calibri"/>
      <w:sz w:val="22"/>
      <w:szCs w:val="22"/>
    </w:rPr>
  </w:style>
  <w:style w:type="paragraph" w:styleId="1479" w:customStyle="1">
    <w:name w:val="样式2"/>
    <w:basedOn w:val="1031"/>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480"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8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82" w:customStyle="1">
    <w:name w:val="正文图标题"/>
    <w:basedOn w:val="953"/>
    <w:next w:val="975"/>
    <w:uiPriority w:val="0"/>
    <w:qFormat/>
    <w:pPr>
      <w:ind w:left="720" w:hanging="720"/>
      <w:jc w:val="center"/>
      <w:widowControl/>
      <w:tabs>
        <w:tab w:val="left" w:pos="480" w:leader="none"/>
      </w:tabs>
    </w:pPr>
    <w:rPr>
      <w:rFonts w:hint="eastAsia" w:ascii="黑体" w:eastAsia="黑体"/>
      <w:sz w:val="20"/>
      <w:szCs w:val="20"/>
    </w:rPr>
  </w:style>
  <w:style w:type="paragraph" w:styleId="1483" w:customStyle="1">
    <w:name w:val="正文编号"/>
    <w:basedOn w:val="953"/>
    <w:uiPriority w:val="0"/>
    <w:qFormat/>
    <w:pPr>
      <w:spacing w:line="400" w:lineRule="exact"/>
      <w:tabs>
        <w:tab w:val="left" w:pos="720" w:leader="none"/>
      </w:tabs>
    </w:pPr>
    <w:rPr>
      <w:rFonts w:eastAsia="楷体_GB2312"/>
      <w:spacing w:val="8"/>
      <w:sz w:val="28"/>
      <w:szCs w:val="20"/>
    </w:rPr>
  </w:style>
  <w:style w:type="paragraph" w:styleId="1484" w:customStyle="1">
    <w:name w:val="样式 Numbered list 2.1 +"/>
    <w:basedOn w:val="953"/>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485" w:customStyle="1">
    <w:name w:val="Section VII Header2"/>
    <w:basedOn w:val="1031"/>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486" w:customStyle="1">
    <w:name w:val="HPC正文"/>
    <w:basedOn w:val="953"/>
    <w:uiPriority w:val="0"/>
    <w:qFormat/>
    <w:pPr>
      <w:ind w:firstLine="424"/>
      <w:spacing w:line="360" w:lineRule="auto"/>
    </w:pPr>
    <w:rPr>
      <w:sz w:val="24"/>
    </w:rPr>
  </w:style>
  <w:style w:type="paragraph" w:styleId="1487" w:customStyle="1">
    <w:name w:val="示例"/>
    <w:next w:val="97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488" w:customStyle="1">
    <w:name w:val="Sub Item List"/>
    <w:basedOn w:val="953"/>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489" w:customStyle="1">
    <w:name w:val="xl62"/>
    <w:basedOn w:val="953"/>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490" w:customStyle="1">
    <w:name w:val="一级项目符号"/>
    <w:basedOn w:val="953"/>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491"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492" w:customStyle="1">
    <w:name w:val="Char Char1 Char Char Char Char Char Char Char Char Char Char Char Char Char Char Char"/>
    <w:basedOn w:val="953"/>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493" w:customStyle="1">
    <w:name w:val="Char11"/>
    <w:basedOn w:val="953"/>
    <w:uiPriority w:val="0"/>
    <w:qFormat/>
    <w:pPr>
      <w:spacing w:line="360" w:lineRule="auto"/>
    </w:pPr>
    <w:rPr>
      <w:sz w:val="24"/>
      <w:szCs w:val="20"/>
    </w:rPr>
  </w:style>
  <w:style w:type="paragraph" w:styleId="1494" w:customStyle="1">
    <w:name w:val="xl134"/>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495" w:customStyle="1">
    <w:name w:val="Body text|3"/>
    <w:basedOn w:val="953"/>
    <w:uiPriority w:val="0"/>
    <w:qFormat/>
    <w:pPr>
      <w:ind w:left="260" w:hanging="260"/>
      <w:jc w:val="left"/>
    </w:pPr>
    <w:rPr>
      <w:color w:val="000000"/>
      <w:sz w:val="26"/>
      <w:szCs w:val="26"/>
    </w:rPr>
  </w:style>
  <w:style w:type="paragraph" w:styleId="1496" w:customStyle="1">
    <w:name w:val="Body text|1"/>
    <w:basedOn w:val="953"/>
    <w:uiPriority w:val="0"/>
    <w:qFormat/>
    <w:pPr>
      <w:ind w:firstLine="400"/>
      <w:jc w:val="left"/>
      <w:spacing w:line="417" w:lineRule="auto"/>
    </w:pPr>
    <w:rPr>
      <w:rFonts w:ascii="宋体" w:hAnsi="宋体" w:cs="宋体"/>
      <w:color w:val="000000"/>
      <w:sz w:val="30"/>
      <w:szCs w:val="30"/>
    </w:rPr>
  </w:style>
  <w:style w:type="character" w:styleId="1497" w:customStyle="1">
    <w:name w:val="font51"/>
    <w:basedOn w:val="1040"/>
    <w:uiPriority w:val="0"/>
    <w:qFormat/>
    <w:rPr>
      <w:rFonts w:hint="eastAsia" w:ascii="宋体" w:hAnsi="宋体" w:eastAsia="宋体" w:cs="宋体"/>
      <w:b/>
      <w:color w:val="000000"/>
      <w:sz w:val="36"/>
      <w:szCs w:val="36"/>
      <w:u w:val="none"/>
    </w:rPr>
  </w:style>
  <w:style w:type="character" w:styleId="1498" w:customStyle="1">
    <w:name w:val="font41"/>
    <w:basedOn w:val="1040"/>
    <w:uiPriority w:val="0"/>
    <w:qFormat/>
    <w:rPr>
      <w:rFonts w:hint="eastAsia" w:ascii="宋体" w:hAnsi="宋体" w:eastAsia="宋体" w:cs="宋体"/>
      <w:color w:val="000000"/>
      <w:sz w:val="22"/>
      <w:szCs w:val="22"/>
      <w:u w:val="none"/>
    </w:rPr>
  </w:style>
  <w:style w:type="character" w:styleId="1499" w:customStyle="1">
    <w:name w:val="font31"/>
    <w:basedOn w:val="1040"/>
    <w:uiPriority w:val="0"/>
    <w:qFormat/>
    <w:rPr>
      <w:rFonts w:ascii="Calibri" w:hAnsi="Calibri" w:eastAsia="宋体" w:cs="Calibri"/>
      <w:color w:val="000000"/>
      <w:sz w:val="22"/>
      <w:szCs w:val="22"/>
      <w:u w:val="none"/>
    </w:rPr>
  </w:style>
  <w:style w:type="character" w:styleId="1500" w:customStyle="1">
    <w:name w:val="NormalCharacter1"/>
    <w:link w:val="1008"/>
    <w:uiPriority w:val="0"/>
    <w:semiHidden/>
    <w:qFormat/>
    <w:rPr>
      <w:rFonts w:ascii="Times New Roman" w:hAnsi="Times New Roman" w:eastAsia="宋体" w:cs="Times New Roman"/>
      <w:sz w:val="21"/>
      <w:szCs w:val="24"/>
    </w:rPr>
  </w:style>
  <w:style w:type="character" w:styleId="1501" w:customStyle="1">
    <w:name w:val="bsharetext"/>
    <w:basedOn w:val="1040"/>
    <w:uiPriority w:val="0"/>
    <w:qFormat/>
  </w:style>
  <w:style w:type="paragraph" w:styleId="1502" w:customStyle="1">
    <w:name w:val="普通(网站)1"/>
    <w:basedOn w:val="1008"/>
    <w:uiPriority w:val="0"/>
    <w:qFormat/>
    <w:pPr>
      <w:jc w:val="left"/>
      <w:spacing w:before="100" w:beforeAutospacing="1" w:after="100" w:afterAutospacing="1"/>
    </w:pPr>
    <w:rPr>
      <w:rFonts w:ascii="宋体" w:hAnsi="宋体"/>
      <w:sz w:val="24"/>
      <w:szCs w:val="24"/>
    </w:rPr>
  </w:style>
  <w:style w:type="paragraph" w:styleId="1503" w:customStyle="1">
    <w:name w:val="Fließtext"/>
    <w:basedOn w:val="953"/>
    <w:uiPriority w:val="99"/>
    <w:qFormat/>
    <w:rPr>
      <w:rFonts w:ascii="Calibri" w:hAnsi="Calibri"/>
    </w:rPr>
  </w:style>
  <w:style w:type="paragraph" w:styleId="1504" w:customStyle="1">
    <w:name w:val="批注文字1"/>
    <w:basedOn w:val="1008"/>
    <w:uiPriority w:val="0"/>
    <w:semiHidden/>
    <w:qFormat/>
    <w:pPr>
      <w:jc w:val="left"/>
    </w:pPr>
    <w:rPr>
      <w:sz w:val="21"/>
    </w:rPr>
  </w:style>
  <w:style w:type="table" w:styleId="1505" w:customStyle="1">
    <w:name w:val="Table Normal"/>
    <w:uiPriority w:val="0"/>
    <w:unhideWhenUsed/>
    <w:qFormat/>
    <w:tblPr>
      <w:tblCellMar>
        <w:left w:w="0" w:type="dxa"/>
        <w:top w:w="0" w:type="dxa"/>
        <w:right w:w="0" w:type="dxa"/>
        <w:bottom w:w="0" w:type="dxa"/>
      </w:tblCellMar>
    </w:tblPr>
  </w:style>
  <w:style w:type="paragraph" w:styleId="1506" w:customStyle="1">
    <w:name w:val="x_msonormal"/>
    <w:basedOn w:val="953"/>
    <w:uiPriority w:val="0"/>
    <w:qFormat/>
    <w:pPr>
      <w:jc w:val="left"/>
      <w:spacing w:before="100" w:beforeAutospacing="1" w:after="100" w:afterAutospacing="1"/>
      <w:widowControl/>
    </w:pPr>
    <w:rPr>
      <w:rFonts w:ascii="宋体" w:hAnsi="宋体" w:cs="宋体"/>
      <w:sz w:val="24"/>
    </w:rPr>
  </w:style>
  <w:style w:type="paragraph" w:styleId="1507" w:customStyle="1">
    <w:name w:val="首行缩进"/>
    <w:basedOn w:val="953"/>
    <w:uiPriority w:val="0"/>
    <w:qFormat/>
    <w:pPr>
      <w:ind w:firstLine="200"/>
      <w:jc w:val="left"/>
      <w:spacing w:line="360" w:lineRule="auto"/>
    </w:pPr>
    <w:rPr>
      <w:rFonts w:ascii="宋体"/>
      <w:sz w:val="24"/>
    </w:rPr>
  </w:style>
  <w:style w:type="paragraph" w:styleId="1508" w:customStyle="1">
    <w:name w:val="文本块11"/>
    <w:basedOn w:val="953"/>
    <w:uiPriority w:val="6"/>
    <w:qFormat/>
    <w:pPr>
      <w:ind w:left="420" w:right="33"/>
      <w:jc w:val="left"/>
    </w:pPr>
    <w:rPr>
      <w:sz w:val="24"/>
      <w:szCs w:val="20"/>
    </w:rPr>
  </w:style>
  <w:style w:type="paragraph" w:styleId="1509" w:customStyle="1">
    <w:name w:val="文本块21"/>
    <w:basedOn w:val="953"/>
    <w:uiPriority w:val="6"/>
    <w:qFormat/>
    <w:pPr>
      <w:ind w:left="420" w:right="33"/>
      <w:jc w:val="left"/>
    </w:pPr>
    <w:rPr>
      <w:sz w:val="24"/>
      <w:szCs w:val="20"/>
    </w:rPr>
  </w:style>
  <w:style w:type="paragraph" w:styleId="1510" w:customStyle="1">
    <w:name w:val="脚注文本11"/>
    <w:basedOn w:val="953"/>
    <w:next w:val="1511"/>
    <w:uiPriority w:val="0"/>
    <w:unhideWhenUsed/>
    <w:qFormat/>
    <w:pPr>
      <w:spacing w:after="40"/>
    </w:pPr>
    <w:rPr>
      <w:sz w:val="18"/>
    </w:rPr>
  </w:style>
  <w:style w:type="paragraph" w:styleId="1511" w:customStyle="1">
    <w:name w:val="索引 511"/>
    <w:basedOn w:val="953"/>
    <w:next w:val="1127"/>
    <w:uiPriority w:val="0"/>
    <w:qFormat/>
    <w:pPr>
      <w:ind w:left="798"/>
      <w:jc w:val="left"/>
    </w:pPr>
    <w:rPr>
      <w:rFonts w:ascii="Calibri" w:hAnsi="Calibri"/>
    </w:rPr>
  </w:style>
  <w:style w:type="paragraph" w:styleId="1512" w:customStyle="1">
    <w:name w:val="列表段落1"/>
    <w:basedOn w:val="953"/>
    <w:next w:val="953"/>
    <w:uiPriority w:val="99"/>
    <w:qFormat/>
    <w:rPr>
      <w:szCs w:val="22"/>
    </w:rPr>
  </w:style>
  <w:style w:type="paragraph" w:styleId="1513" w:customStyle="1">
    <w:name w:val="_HT_正文"/>
    <w:basedOn w:val="953"/>
    <w:uiPriority w:val="0"/>
    <w:qFormat/>
    <w:pPr>
      <w:ind w:firstLine="200"/>
      <w:spacing w:line="360" w:lineRule="auto"/>
    </w:pPr>
    <w:rPr>
      <w:sz w:val="24"/>
    </w:rPr>
  </w:style>
  <w:style w:type="paragraph" w:styleId="1514" w:customStyle="1">
    <w:name w:val="Table Paragraph"/>
    <w:basedOn w:val="953"/>
    <w:uiPriority w:val="1"/>
    <w:qFormat/>
    <w:rPr>
      <w:rFonts w:ascii="宋体" w:hAnsi="宋体" w:cs="宋体"/>
    </w:rPr>
  </w:style>
  <w:style w:type="paragraph" w:styleId="1515" w:customStyle="1">
    <w:name w:val="脚注文本12"/>
    <w:basedOn w:val="953"/>
    <w:next w:val="1516"/>
    <w:uiPriority w:val="99"/>
    <w:unhideWhenUsed/>
    <w:qFormat/>
    <w:pPr>
      <w:spacing w:after="40"/>
    </w:pPr>
    <w:rPr>
      <w:sz w:val="18"/>
    </w:rPr>
  </w:style>
  <w:style w:type="paragraph" w:styleId="1516" w:customStyle="1">
    <w:name w:val="索引 512"/>
    <w:basedOn w:val="953"/>
    <w:next w:val="953"/>
    <w:uiPriority w:val="0"/>
    <w:qFormat/>
    <w:pPr>
      <w:ind w:left="798"/>
    </w:pPr>
    <w:rPr>
      <w:rFonts w:ascii="Calibri" w:hAnsi="Calibri" w:eastAsia="Times New Roman"/>
    </w:rPr>
  </w:style>
  <w:style w:type="paragraph" w:styleId="1517" w:customStyle="1">
    <w:name w:val="HtmlNormal1"/>
    <w:basedOn w:val="953"/>
    <w:uiPriority w:val="0"/>
    <w:qFormat/>
    <w:pPr>
      <w:spacing w:before="100" w:beforeAutospacing="1" w:after="100" w:afterAutospacing="1"/>
    </w:pPr>
    <w:rPr>
      <w:rFonts w:ascii="宋体" w:hAnsi="宋体"/>
      <w:sz w:val="24"/>
    </w:rPr>
  </w:style>
  <w:style w:type="character" w:styleId="1518" w:customStyle="1">
    <w:name w:val="超链接2"/>
    <w:uiPriority w:val="99"/>
    <w:unhideWhenUsed/>
    <w:qFormat/>
    <w:rPr>
      <w:color w:val="0000ff"/>
      <w:u w:val="single"/>
    </w:rPr>
  </w:style>
  <w:style w:type="character" w:styleId="1519" w:customStyle="1">
    <w:name w:val="NormalCharacter"/>
    <w:link w:val="953"/>
    <w:uiPriority w:val="0"/>
    <w:semiHidden/>
    <w:qFormat/>
    <w:rPr>
      <w:rFonts w:hint="default" w:ascii="Times New Roman" w:hAnsi="Times New Roman" w:eastAsia="宋体" w:cs="Times New Roman"/>
      <w:sz w:val="21"/>
      <w:szCs w:val="24"/>
      <w:lang w:val="en-US" w:eastAsia="zh-CN" w:bidi="ar-SA"/>
    </w:rPr>
  </w:style>
  <w:style w:type="paragraph" w:styleId="1520" w:customStyle="1">
    <w:name w:val="列出段落11"/>
    <w:basedOn w:val="980"/>
    <w:uiPriority w:val="0"/>
    <w:qFormat/>
    <w:pPr>
      <w:ind w:firstLine="420"/>
    </w:pPr>
  </w:style>
  <w:style w:type="paragraph" w:styleId="1521" w:customStyle="1">
    <w:name w:val="BlockQuote"/>
    <w:basedOn w:val="980"/>
    <w:uiPriority w:val="0"/>
    <w:qFormat/>
    <w:pPr>
      <w:ind w:left="256" w:right="6" w:firstLine="624"/>
    </w:pPr>
    <w:rPr>
      <w:rFonts w:eastAsia="仿宋_GB2312"/>
      <w:sz w:val="28"/>
    </w:rPr>
  </w:style>
  <w:style w:type="paragraph" w:styleId="1522" w:customStyle="1">
    <w:name w:val="WPSOffice手动目录 1"/>
    <w:uiPriority w:val="0"/>
    <w:qFormat/>
    <w:rPr>
      <w:rFonts w:ascii="Times New Roman" w:hAnsi="Times New Roman" w:eastAsia="宋体" w:cs="Times New Roman"/>
      <w:lang w:val="en-US" w:eastAsia="zh-CN" w:bidi="ar-SA"/>
    </w:rPr>
  </w:style>
  <w:style w:type="numbering" w:styleId="15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2e6f3fb1-2890-45a5-96b1-549d9253665a}"/>
        <w:description w:val=""/>
        <w:category>
          <w:name w:val="常规"/>
          <w:gallery w:val="placeholder"/>
        </w:category>
        <w:types>
          <w:type w:val="bbPlcHdr"/>
        </w:types>
        <w:behaviors>
          <w:behavior w:val="content"/>
        </w:behaviors>
        <w:guid w:val="{2e6f3fb1-2890-45a5-96b1-549d9253665a}"/>
      </w:docPartPr>
      <w:docPartBody>
        <w:p>
          <w:r>
            <w:rPr>
              <w:color w:val="808080"/>
            </w:rPr>
            <w:t xml:space="preserve">单击此处输入文字。</w:t>
          </w:r>
          <w:r/>
        </w:p>
      </w:docPartBody>
    </w:docPart>
    <w:docPart>
      <w:docPartPr>
        <w:name w:val="{559612e1-e74c-47de-82e1-1eccc9e63e91}"/>
        <w:description w:val=""/>
        <w:category>
          <w:name w:val="常规"/>
          <w:gallery w:val="placeholder"/>
        </w:category>
        <w:types>
          <w:type w:val="bbPlcHdr"/>
        </w:types>
        <w:behaviors>
          <w:behavior w:val="content"/>
        </w:behaviors>
        <w:guid w:val="{559612e1-e74c-47de-82e1-1eccc9e63e91}"/>
      </w:docPartPr>
      <w:docPartBody>
        <w:p>
          <w:r>
            <w:rPr>
              <w:color w:val="808080"/>
            </w:rPr>
            <w:t xml:space="preserve">单击此处输入文字。</w:t>
          </w:r>
          <w:r/>
        </w:p>
      </w:docPartBody>
    </w:docPart>
    <w:docPart>
      <w:docPartPr>
        <w:name w:val="{79d9b778-edd0-47e6-a047-168c590887a5}"/>
        <w:description w:val=""/>
        <w:category>
          <w:name w:val="常规"/>
          <w:gallery w:val="placeholder"/>
        </w:category>
        <w:types>
          <w:type w:val="bbPlcHdr"/>
        </w:types>
        <w:behaviors>
          <w:behavior w:val="content"/>
        </w:behaviors>
        <w:guid w:val="{79d9b778-edd0-47e6-a047-168c590887a5}"/>
      </w:docPartPr>
      <w:docPartBody>
        <w:p>
          <w:r>
            <w:rPr>
              <w:color w:val="808080"/>
            </w:rPr>
            <w:t xml:space="preserve">单击此处输入文字。</w:t>
          </w:r>
          <w:r/>
        </w:p>
      </w:docPartBody>
    </w:docPart>
    <w:docPart>
      <w:docPartPr>
        <w:name w:val="{2a617686-b00f-43cf-ac3e-e5e428a53734}"/>
        <w:description w:val=""/>
        <w:category>
          <w:name w:val="常规"/>
          <w:gallery w:val="placeholder"/>
        </w:category>
        <w:types>
          <w:type w:val="bbPlcHdr"/>
        </w:types>
        <w:behaviors>
          <w:behavior w:val="content"/>
        </w:behaviors>
        <w:guid w:val="{2a617686-b00f-43cf-ac3e-e5e428a53734}"/>
      </w:docPartPr>
      <w:docPartBody>
        <w:p>
          <w:r>
            <w:rPr>
              <w:color w:val="808080"/>
            </w:rPr>
            <w:t xml:space="preserve">单击此处输入文字。</w:t>
          </w:r>
          <w:r/>
        </w:p>
      </w:docPartBody>
    </w:docPart>
    <w:docPart>
      <w:docPartPr>
        <w:name w:val="{12c76f02-6807-4dd0-9327-6612a7432028}"/>
        <w:description w:val=""/>
        <w:category>
          <w:name w:val="常规"/>
          <w:gallery w:val="placeholder"/>
        </w:category>
        <w:types>
          <w:type w:val="bbPlcHdr"/>
        </w:types>
        <w:behaviors>
          <w:behavior w:val="content"/>
        </w:behaviors>
        <w:guid w:val="{12c76f02-6807-4dd0-9327-6612a7432028}"/>
      </w:docPartPr>
      <w:docPartBody>
        <w:p>
          <w:r>
            <w:rPr>
              <w:color w:val="808080"/>
            </w:rPr>
            <w:t xml:space="preserve">单击此处输入文字。</w:t>
          </w:r>
          <w:r/>
        </w:p>
      </w:docPartBody>
    </w:docPart>
    <w:docPart>
      <w:docPartPr>
        <w:name w:val="{9fc497c5-1342-4b47-abe4-012ed0ead5b0}"/>
        <w:description w:val=""/>
        <w:category>
          <w:name w:val="常规"/>
          <w:gallery w:val="placeholder"/>
        </w:category>
        <w:types>
          <w:type w:val="bbPlcHdr"/>
        </w:types>
        <w:behaviors>
          <w:behavior w:val="content"/>
        </w:behaviors>
        <w:guid w:val="{9fc497c5-1342-4b47-abe4-012ed0ead5b0}"/>
      </w:docPartPr>
      <w:docPartBody>
        <w:p>
          <w:r>
            <w:rPr>
              <w:color w:val="808080"/>
            </w:rPr>
            <w:t xml:space="preserve">单击此处输入文字。</w:t>
          </w:r>
          <w:r/>
        </w:p>
      </w:docPartBody>
    </w:docPart>
    <w:docPart>
      <w:docPartPr>
        <w:name w:val="{fa9290b1-8259-4453-8b63-d98d392da19d}"/>
        <w:description w:val=""/>
        <w:category>
          <w:name w:val="常规"/>
          <w:gallery w:val="placeholder"/>
        </w:category>
        <w:types>
          <w:type w:val="bbPlcHdr"/>
        </w:types>
        <w:behaviors>
          <w:behavior w:val="content"/>
        </w:behaviors>
        <w:guid w:val="{fa9290b1-8259-4453-8b63-d98d392da19d}"/>
      </w:docPartPr>
      <w:docPartBody>
        <w:p>
          <w:r>
            <w:rPr>
              <w:color w:val="808080"/>
            </w:rPr>
            <w:t xml:space="preserve">单击此处输入文字。</w:t>
          </w:r>
          <w:r/>
        </w:p>
      </w:docPartBody>
    </w:docPart>
    <w:docPart>
      <w:docPartPr>
        <w:name w:val="{758d6a54-5d9e-4d92-a4ee-bde62a5ed673}"/>
        <w:description w:val=""/>
        <w:category>
          <w:name w:val="常规"/>
          <w:gallery w:val="placeholder"/>
        </w:category>
        <w:types>
          <w:type w:val="bbPlcHdr"/>
        </w:types>
        <w:behaviors>
          <w:behavior w:val="content"/>
        </w:behaviors>
        <w:guid w:val="{758d6a54-5d9e-4d92-a4ee-bde62a5ed673}"/>
      </w:docPartPr>
      <w:docPartBody>
        <w:p>
          <w:r>
            <w:rPr>
              <w:color w:val="808080"/>
            </w:rPr>
            <w:t xml:space="preserve">单击此处输入文字。</w:t>
          </w:r>
          <w:r/>
        </w:p>
      </w:docPartBody>
    </w:docPart>
    <w:docPart>
      <w:docPartPr>
        <w:name w:val="{c83b2cc6-8401-4bfd-b179-a6d836802db3}"/>
        <w:description w:val=""/>
        <w:category>
          <w:name w:val="常规"/>
          <w:gallery w:val="placeholder"/>
        </w:category>
        <w:types>
          <w:type w:val="bbPlcHdr"/>
        </w:types>
        <w:behaviors>
          <w:behavior w:val="content"/>
        </w:behaviors>
        <w:guid w:val="{c83b2cc6-8401-4bfd-b179-a6d836802db3}"/>
      </w:docPartPr>
      <w:docPartBody>
        <w:p>
          <w:r>
            <w:rPr>
              <w:color w:val="808080"/>
            </w:rPr>
            <w:t xml:space="preserve">单击此处输入文字。</w:t>
          </w:r>
          <w:r/>
        </w:p>
      </w:docPartBody>
    </w:docPart>
    <w:docPart>
      <w:docPartPr>
        <w:name w:val="{900fca85-b0f3-41d1-991e-8d1a7f5ed185}"/>
        <w:description w:val=""/>
        <w:category>
          <w:name w:val="常规"/>
          <w:gallery w:val="placeholder"/>
        </w:category>
        <w:types>
          <w:type w:val="bbPlcHdr"/>
        </w:types>
        <w:behaviors>
          <w:behavior w:val="content"/>
        </w:behaviors>
        <w:guid w:val="{900fca85-b0f3-41d1-991e-8d1a7f5ed185}"/>
      </w:docPartPr>
      <w:docPartBody>
        <w:p>
          <w:r>
            <w:rPr>
              <w:color w:val="808080"/>
            </w:rPr>
            <w:t xml:space="preserve">单击此处输入文字。</w:t>
          </w:r>
          <w:r/>
        </w:p>
      </w:docPartBody>
    </w:docPart>
    <w:docPart>
      <w:docPartPr>
        <w:name w:val="{b968330b-6902-48be-a40e-907b2a17cc64}"/>
        <w:description w:val=""/>
        <w:category>
          <w:name w:val="常规"/>
          <w:gallery w:val="placeholder"/>
        </w:category>
        <w:types>
          <w:type w:val="bbPlcHdr"/>
        </w:types>
        <w:behaviors>
          <w:behavior w:val="content"/>
        </w:behaviors>
        <w:guid w:val="{b968330b-6902-48be-a40e-907b2a17cc64}"/>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972">
    <w:name w:val="Heading 1"/>
    <w:basedOn w:val="2150"/>
    <w:next w:val="2150"/>
    <w:link w:val="1973"/>
    <w:uiPriority w:val="9"/>
    <w:qFormat/>
    <w:pPr>
      <w:keepLines/>
      <w:keepNext/>
      <w:spacing w:before="480" w:after="200"/>
      <w:outlineLvl w:val="0"/>
    </w:pPr>
    <w:rPr>
      <w:rFonts w:ascii="Arial" w:hAnsi="Arial" w:eastAsia="Arial" w:cs="Arial"/>
      <w:sz w:val="40"/>
      <w:szCs w:val="40"/>
    </w:rPr>
  </w:style>
  <w:style w:type="character" w:styleId="1973">
    <w:name w:val="Heading 1 Char"/>
    <w:link w:val="1972"/>
    <w:uiPriority w:val="9"/>
    <w:rPr>
      <w:rFonts w:ascii="Arial" w:hAnsi="Arial" w:eastAsia="Arial" w:cs="Arial"/>
      <w:sz w:val="40"/>
      <w:szCs w:val="40"/>
    </w:rPr>
  </w:style>
  <w:style w:type="paragraph" w:styleId="1974">
    <w:name w:val="Heading 2"/>
    <w:basedOn w:val="2150"/>
    <w:next w:val="2150"/>
    <w:link w:val="1975"/>
    <w:uiPriority w:val="9"/>
    <w:unhideWhenUsed/>
    <w:qFormat/>
    <w:pPr>
      <w:keepLines/>
      <w:keepNext/>
      <w:spacing w:before="360" w:after="200"/>
      <w:outlineLvl w:val="1"/>
    </w:pPr>
    <w:rPr>
      <w:rFonts w:ascii="Arial" w:hAnsi="Arial" w:eastAsia="Arial" w:cs="Arial"/>
      <w:sz w:val="34"/>
    </w:rPr>
  </w:style>
  <w:style w:type="character" w:styleId="1975">
    <w:name w:val="Heading 2 Char"/>
    <w:link w:val="1974"/>
    <w:uiPriority w:val="9"/>
    <w:rPr>
      <w:rFonts w:ascii="Arial" w:hAnsi="Arial" w:eastAsia="Arial" w:cs="Arial"/>
      <w:sz w:val="34"/>
    </w:rPr>
  </w:style>
  <w:style w:type="paragraph" w:styleId="1976">
    <w:name w:val="Heading 3"/>
    <w:basedOn w:val="2150"/>
    <w:next w:val="2150"/>
    <w:link w:val="1977"/>
    <w:uiPriority w:val="9"/>
    <w:unhideWhenUsed/>
    <w:qFormat/>
    <w:pPr>
      <w:keepLines/>
      <w:keepNext/>
      <w:spacing w:before="320" w:after="200"/>
      <w:outlineLvl w:val="2"/>
    </w:pPr>
    <w:rPr>
      <w:rFonts w:ascii="Arial" w:hAnsi="Arial" w:eastAsia="Arial" w:cs="Arial"/>
      <w:sz w:val="30"/>
      <w:szCs w:val="30"/>
    </w:rPr>
  </w:style>
  <w:style w:type="character" w:styleId="1977">
    <w:name w:val="Heading 3 Char"/>
    <w:link w:val="1976"/>
    <w:uiPriority w:val="9"/>
    <w:rPr>
      <w:rFonts w:ascii="Arial" w:hAnsi="Arial" w:eastAsia="Arial" w:cs="Arial"/>
      <w:sz w:val="30"/>
      <w:szCs w:val="30"/>
    </w:rPr>
  </w:style>
  <w:style w:type="paragraph" w:styleId="1978">
    <w:name w:val="Heading 4"/>
    <w:basedOn w:val="2150"/>
    <w:next w:val="2150"/>
    <w:link w:val="1979"/>
    <w:uiPriority w:val="9"/>
    <w:unhideWhenUsed/>
    <w:qFormat/>
    <w:pPr>
      <w:keepLines/>
      <w:keepNext/>
      <w:spacing w:before="320" w:after="200"/>
      <w:outlineLvl w:val="3"/>
    </w:pPr>
    <w:rPr>
      <w:rFonts w:ascii="Arial" w:hAnsi="Arial" w:eastAsia="Arial" w:cs="Arial"/>
      <w:b/>
      <w:bCs/>
      <w:sz w:val="26"/>
      <w:szCs w:val="26"/>
    </w:rPr>
  </w:style>
  <w:style w:type="character" w:styleId="1979">
    <w:name w:val="Heading 4 Char"/>
    <w:link w:val="1978"/>
    <w:uiPriority w:val="9"/>
    <w:rPr>
      <w:rFonts w:ascii="Arial" w:hAnsi="Arial" w:eastAsia="Arial" w:cs="Arial"/>
      <w:b/>
      <w:bCs/>
      <w:sz w:val="26"/>
      <w:szCs w:val="26"/>
    </w:rPr>
  </w:style>
  <w:style w:type="paragraph" w:styleId="1980">
    <w:name w:val="Heading 5"/>
    <w:basedOn w:val="2150"/>
    <w:next w:val="2150"/>
    <w:link w:val="1981"/>
    <w:uiPriority w:val="9"/>
    <w:unhideWhenUsed/>
    <w:qFormat/>
    <w:pPr>
      <w:keepLines/>
      <w:keepNext/>
      <w:spacing w:before="320" w:after="200"/>
      <w:outlineLvl w:val="4"/>
    </w:pPr>
    <w:rPr>
      <w:rFonts w:ascii="Arial" w:hAnsi="Arial" w:eastAsia="Arial" w:cs="Arial"/>
      <w:b/>
      <w:bCs/>
      <w:sz w:val="24"/>
      <w:szCs w:val="24"/>
    </w:rPr>
  </w:style>
  <w:style w:type="character" w:styleId="1981">
    <w:name w:val="Heading 5 Char"/>
    <w:link w:val="1980"/>
    <w:uiPriority w:val="9"/>
    <w:rPr>
      <w:rFonts w:ascii="Arial" w:hAnsi="Arial" w:eastAsia="Arial" w:cs="Arial"/>
      <w:b/>
      <w:bCs/>
      <w:sz w:val="24"/>
      <w:szCs w:val="24"/>
    </w:rPr>
  </w:style>
  <w:style w:type="paragraph" w:styleId="1982">
    <w:name w:val="Heading 6"/>
    <w:basedOn w:val="2150"/>
    <w:next w:val="2150"/>
    <w:link w:val="1983"/>
    <w:uiPriority w:val="9"/>
    <w:unhideWhenUsed/>
    <w:qFormat/>
    <w:pPr>
      <w:keepLines/>
      <w:keepNext/>
      <w:spacing w:before="320" w:after="200"/>
      <w:outlineLvl w:val="5"/>
    </w:pPr>
    <w:rPr>
      <w:rFonts w:ascii="Arial" w:hAnsi="Arial" w:eastAsia="Arial" w:cs="Arial"/>
      <w:b/>
      <w:bCs/>
      <w:sz w:val="22"/>
      <w:szCs w:val="22"/>
    </w:rPr>
  </w:style>
  <w:style w:type="character" w:styleId="1983">
    <w:name w:val="Heading 6 Char"/>
    <w:link w:val="1982"/>
    <w:uiPriority w:val="9"/>
    <w:rPr>
      <w:rFonts w:ascii="Arial" w:hAnsi="Arial" w:eastAsia="Arial" w:cs="Arial"/>
      <w:b/>
      <w:bCs/>
      <w:sz w:val="22"/>
      <w:szCs w:val="22"/>
    </w:rPr>
  </w:style>
  <w:style w:type="paragraph" w:styleId="1984">
    <w:name w:val="Heading 7"/>
    <w:basedOn w:val="2150"/>
    <w:next w:val="2150"/>
    <w:link w:val="1985"/>
    <w:uiPriority w:val="9"/>
    <w:unhideWhenUsed/>
    <w:qFormat/>
    <w:pPr>
      <w:keepLines/>
      <w:keepNext/>
      <w:spacing w:before="320" w:after="200"/>
      <w:outlineLvl w:val="6"/>
    </w:pPr>
    <w:rPr>
      <w:rFonts w:ascii="Arial" w:hAnsi="Arial" w:eastAsia="Arial" w:cs="Arial"/>
      <w:b/>
      <w:bCs/>
      <w:i/>
      <w:iCs/>
      <w:sz w:val="22"/>
      <w:szCs w:val="22"/>
    </w:rPr>
  </w:style>
  <w:style w:type="character" w:styleId="1985">
    <w:name w:val="Heading 7 Char"/>
    <w:link w:val="1984"/>
    <w:uiPriority w:val="9"/>
    <w:rPr>
      <w:rFonts w:ascii="Arial" w:hAnsi="Arial" w:eastAsia="Arial" w:cs="Arial"/>
      <w:b/>
      <w:bCs/>
      <w:i/>
      <w:iCs/>
      <w:sz w:val="22"/>
      <w:szCs w:val="22"/>
    </w:rPr>
  </w:style>
  <w:style w:type="paragraph" w:styleId="1986">
    <w:name w:val="Heading 8"/>
    <w:basedOn w:val="2150"/>
    <w:next w:val="2150"/>
    <w:link w:val="1987"/>
    <w:uiPriority w:val="9"/>
    <w:unhideWhenUsed/>
    <w:qFormat/>
    <w:pPr>
      <w:keepLines/>
      <w:keepNext/>
      <w:spacing w:before="320" w:after="200"/>
      <w:outlineLvl w:val="7"/>
    </w:pPr>
    <w:rPr>
      <w:rFonts w:ascii="Arial" w:hAnsi="Arial" w:eastAsia="Arial" w:cs="Arial"/>
      <w:i/>
      <w:iCs/>
      <w:sz w:val="22"/>
      <w:szCs w:val="22"/>
    </w:rPr>
  </w:style>
  <w:style w:type="character" w:styleId="1987">
    <w:name w:val="Heading 8 Char"/>
    <w:link w:val="1986"/>
    <w:uiPriority w:val="9"/>
    <w:rPr>
      <w:rFonts w:ascii="Arial" w:hAnsi="Arial" w:eastAsia="Arial" w:cs="Arial"/>
      <w:i/>
      <w:iCs/>
      <w:sz w:val="22"/>
      <w:szCs w:val="22"/>
    </w:rPr>
  </w:style>
  <w:style w:type="paragraph" w:styleId="1988">
    <w:name w:val="Heading 9"/>
    <w:basedOn w:val="2150"/>
    <w:next w:val="2150"/>
    <w:link w:val="1989"/>
    <w:uiPriority w:val="9"/>
    <w:unhideWhenUsed/>
    <w:qFormat/>
    <w:pPr>
      <w:keepLines/>
      <w:keepNext/>
      <w:spacing w:before="320" w:after="200"/>
      <w:outlineLvl w:val="8"/>
    </w:pPr>
    <w:rPr>
      <w:rFonts w:ascii="Arial" w:hAnsi="Arial" w:eastAsia="Arial" w:cs="Arial"/>
      <w:i/>
      <w:iCs/>
      <w:sz w:val="21"/>
      <w:szCs w:val="21"/>
    </w:rPr>
  </w:style>
  <w:style w:type="character" w:styleId="1989">
    <w:name w:val="Heading 9 Char"/>
    <w:link w:val="1988"/>
    <w:uiPriority w:val="9"/>
    <w:rPr>
      <w:rFonts w:ascii="Arial" w:hAnsi="Arial" w:eastAsia="Arial" w:cs="Arial"/>
      <w:i/>
      <w:iCs/>
      <w:sz w:val="21"/>
      <w:szCs w:val="21"/>
    </w:rPr>
  </w:style>
  <w:style w:type="paragraph" w:styleId="1990">
    <w:name w:val="List Paragraph"/>
    <w:basedOn w:val="2150"/>
    <w:uiPriority w:val="34"/>
    <w:qFormat/>
    <w:pPr>
      <w:contextualSpacing/>
      <w:ind w:left="720"/>
    </w:pPr>
  </w:style>
  <w:style w:type="paragraph" w:styleId="1991">
    <w:name w:val="No Spacing"/>
    <w:uiPriority w:val="1"/>
    <w:qFormat/>
    <w:pPr>
      <w:spacing w:before="0" w:after="0" w:line="240" w:lineRule="auto"/>
    </w:pPr>
  </w:style>
  <w:style w:type="paragraph" w:styleId="1992">
    <w:name w:val="Title"/>
    <w:basedOn w:val="2150"/>
    <w:next w:val="2150"/>
    <w:link w:val="1993"/>
    <w:uiPriority w:val="10"/>
    <w:qFormat/>
    <w:pPr>
      <w:contextualSpacing/>
      <w:spacing w:before="300" w:after="200"/>
    </w:pPr>
    <w:rPr>
      <w:sz w:val="48"/>
      <w:szCs w:val="48"/>
    </w:rPr>
  </w:style>
  <w:style w:type="character" w:styleId="1993">
    <w:name w:val="Title Char"/>
    <w:link w:val="1992"/>
    <w:uiPriority w:val="10"/>
    <w:rPr>
      <w:sz w:val="48"/>
      <w:szCs w:val="48"/>
    </w:rPr>
  </w:style>
  <w:style w:type="paragraph" w:styleId="1994">
    <w:name w:val="Subtitle"/>
    <w:basedOn w:val="2150"/>
    <w:next w:val="2150"/>
    <w:link w:val="1995"/>
    <w:uiPriority w:val="11"/>
    <w:qFormat/>
    <w:pPr>
      <w:spacing w:before="200" w:after="200"/>
    </w:pPr>
    <w:rPr>
      <w:sz w:val="24"/>
      <w:szCs w:val="24"/>
    </w:rPr>
  </w:style>
  <w:style w:type="character" w:styleId="1995">
    <w:name w:val="Subtitle Char"/>
    <w:link w:val="1994"/>
    <w:uiPriority w:val="11"/>
    <w:rPr>
      <w:sz w:val="24"/>
      <w:szCs w:val="24"/>
    </w:rPr>
  </w:style>
  <w:style w:type="paragraph" w:styleId="1996">
    <w:name w:val="Quote"/>
    <w:basedOn w:val="2150"/>
    <w:next w:val="2150"/>
    <w:link w:val="1997"/>
    <w:uiPriority w:val="29"/>
    <w:qFormat/>
    <w:pPr>
      <w:ind w:left="720" w:right="720"/>
    </w:pPr>
    <w:rPr>
      <w:i/>
    </w:rPr>
  </w:style>
  <w:style w:type="character" w:styleId="1997">
    <w:name w:val="Quote Char"/>
    <w:link w:val="1996"/>
    <w:uiPriority w:val="29"/>
    <w:rPr>
      <w:i/>
    </w:rPr>
  </w:style>
  <w:style w:type="paragraph" w:styleId="1998">
    <w:name w:val="Intense Quote"/>
    <w:basedOn w:val="2150"/>
    <w:next w:val="2150"/>
    <w:link w:val="19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99">
    <w:name w:val="Intense Quote Char"/>
    <w:link w:val="1998"/>
    <w:uiPriority w:val="30"/>
    <w:rPr>
      <w:i/>
    </w:rPr>
  </w:style>
  <w:style w:type="paragraph" w:styleId="2000">
    <w:name w:val="Header"/>
    <w:basedOn w:val="2150"/>
    <w:link w:val="2001"/>
    <w:uiPriority w:val="99"/>
    <w:unhideWhenUsed/>
    <w:pPr>
      <w:spacing w:after="0" w:line="240" w:lineRule="auto"/>
      <w:tabs>
        <w:tab w:val="center" w:pos="7143" w:leader="none"/>
        <w:tab w:val="right" w:pos="14287" w:leader="none"/>
      </w:tabs>
    </w:pPr>
  </w:style>
  <w:style w:type="character" w:styleId="2001">
    <w:name w:val="Header Char"/>
    <w:link w:val="2000"/>
    <w:uiPriority w:val="99"/>
  </w:style>
  <w:style w:type="paragraph" w:styleId="2002">
    <w:name w:val="Footer"/>
    <w:basedOn w:val="2150"/>
    <w:link w:val="2005"/>
    <w:uiPriority w:val="99"/>
    <w:unhideWhenUsed/>
    <w:pPr>
      <w:spacing w:after="0" w:line="240" w:lineRule="auto"/>
      <w:tabs>
        <w:tab w:val="center" w:pos="7143" w:leader="none"/>
        <w:tab w:val="right" w:pos="14287" w:leader="none"/>
      </w:tabs>
    </w:pPr>
  </w:style>
  <w:style w:type="character" w:styleId="2003">
    <w:name w:val="Footer Char"/>
    <w:link w:val="2002"/>
    <w:uiPriority w:val="99"/>
  </w:style>
  <w:style w:type="paragraph" w:styleId="2004">
    <w:name w:val="Caption"/>
    <w:basedOn w:val="2150"/>
    <w:next w:val="2150"/>
    <w:uiPriority w:val="35"/>
    <w:semiHidden/>
    <w:unhideWhenUsed/>
    <w:qFormat/>
    <w:pPr>
      <w:spacing w:line="276" w:lineRule="auto"/>
    </w:pPr>
    <w:rPr>
      <w:b/>
      <w:bCs/>
      <w:color w:val="4f81bd" w:themeColor="accent1"/>
      <w:sz w:val="18"/>
      <w:szCs w:val="18"/>
    </w:rPr>
  </w:style>
  <w:style w:type="character" w:styleId="2005">
    <w:name w:val="Caption Char"/>
    <w:basedOn w:val="2004"/>
    <w:link w:val="2002"/>
    <w:uiPriority w:val="99"/>
  </w:style>
  <w:style w:type="table" w:styleId="20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0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0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0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0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0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0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0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0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0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0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0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0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0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0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0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0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0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0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0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0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0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0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0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0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0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0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0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20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20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20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20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20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20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0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20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20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20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20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20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20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0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0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0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0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0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0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0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0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0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0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0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0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0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0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0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0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0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0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0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0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0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20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20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20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20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20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0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20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20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20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20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20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0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20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21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21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21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21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21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1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21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21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21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21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21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21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1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1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1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1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1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1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1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1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1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1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1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1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1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1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1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1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1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1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1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1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132">
    <w:name w:val="Hyperlink"/>
    <w:uiPriority w:val="99"/>
    <w:unhideWhenUsed/>
    <w:rPr>
      <w:color w:val="0000ff" w:themeColor="hyperlink"/>
      <w:u w:val="single"/>
    </w:rPr>
  </w:style>
  <w:style w:type="paragraph" w:styleId="2133">
    <w:name w:val="footnote text"/>
    <w:basedOn w:val="2150"/>
    <w:link w:val="2134"/>
    <w:uiPriority w:val="99"/>
    <w:semiHidden/>
    <w:unhideWhenUsed/>
    <w:pPr>
      <w:spacing w:after="40" w:line="240" w:lineRule="auto"/>
    </w:pPr>
    <w:rPr>
      <w:sz w:val="18"/>
    </w:rPr>
  </w:style>
  <w:style w:type="character" w:styleId="2134">
    <w:name w:val="Footnote Text Char"/>
    <w:link w:val="2133"/>
    <w:uiPriority w:val="99"/>
    <w:rPr>
      <w:sz w:val="18"/>
    </w:rPr>
  </w:style>
  <w:style w:type="character" w:styleId="2135">
    <w:name w:val="footnote reference"/>
    <w:uiPriority w:val="99"/>
    <w:unhideWhenUsed/>
    <w:rPr>
      <w:vertAlign w:val="superscript"/>
    </w:rPr>
  </w:style>
  <w:style w:type="paragraph" w:styleId="2136">
    <w:name w:val="endnote text"/>
    <w:basedOn w:val="2150"/>
    <w:link w:val="2137"/>
    <w:uiPriority w:val="99"/>
    <w:semiHidden/>
    <w:unhideWhenUsed/>
    <w:pPr>
      <w:spacing w:after="0" w:line="240" w:lineRule="auto"/>
    </w:pPr>
    <w:rPr>
      <w:sz w:val="20"/>
    </w:rPr>
  </w:style>
  <w:style w:type="character" w:styleId="2137">
    <w:name w:val="Endnote Text Char"/>
    <w:link w:val="2136"/>
    <w:uiPriority w:val="99"/>
    <w:rPr>
      <w:sz w:val="20"/>
    </w:rPr>
  </w:style>
  <w:style w:type="character" w:styleId="2138">
    <w:name w:val="endnote reference"/>
    <w:uiPriority w:val="99"/>
    <w:semiHidden/>
    <w:unhideWhenUsed/>
    <w:rPr>
      <w:vertAlign w:val="superscript"/>
    </w:rPr>
  </w:style>
  <w:style w:type="paragraph" w:styleId="2139">
    <w:name w:val="toc 1"/>
    <w:basedOn w:val="2150"/>
    <w:next w:val="2150"/>
    <w:uiPriority w:val="39"/>
    <w:unhideWhenUsed/>
    <w:pPr>
      <w:ind w:left="0" w:right="0" w:firstLine="0"/>
      <w:spacing w:after="57"/>
    </w:pPr>
  </w:style>
  <w:style w:type="paragraph" w:styleId="2140">
    <w:name w:val="toc 2"/>
    <w:basedOn w:val="2150"/>
    <w:next w:val="2150"/>
    <w:uiPriority w:val="39"/>
    <w:unhideWhenUsed/>
    <w:pPr>
      <w:ind w:left="283" w:right="0" w:firstLine="0"/>
      <w:spacing w:after="57"/>
    </w:pPr>
  </w:style>
  <w:style w:type="paragraph" w:styleId="2141">
    <w:name w:val="toc 3"/>
    <w:basedOn w:val="2150"/>
    <w:next w:val="2150"/>
    <w:uiPriority w:val="39"/>
    <w:unhideWhenUsed/>
    <w:pPr>
      <w:ind w:left="567" w:right="0" w:firstLine="0"/>
      <w:spacing w:after="57"/>
    </w:pPr>
  </w:style>
  <w:style w:type="paragraph" w:styleId="2142">
    <w:name w:val="toc 4"/>
    <w:basedOn w:val="2150"/>
    <w:next w:val="2150"/>
    <w:uiPriority w:val="39"/>
    <w:unhideWhenUsed/>
    <w:pPr>
      <w:ind w:left="850" w:right="0" w:firstLine="0"/>
      <w:spacing w:after="57"/>
    </w:pPr>
  </w:style>
  <w:style w:type="paragraph" w:styleId="2143">
    <w:name w:val="toc 5"/>
    <w:basedOn w:val="2150"/>
    <w:next w:val="2150"/>
    <w:uiPriority w:val="39"/>
    <w:unhideWhenUsed/>
    <w:pPr>
      <w:ind w:left="1134" w:right="0" w:firstLine="0"/>
      <w:spacing w:after="57"/>
    </w:pPr>
  </w:style>
  <w:style w:type="paragraph" w:styleId="2144">
    <w:name w:val="toc 6"/>
    <w:basedOn w:val="2150"/>
    <w:next w:val="2150"/>
    <w:uiPriority w:val="39"/>
    <w:unhideWhenUsed/>
    <w:pPr>
      <w:ind w:left="1417" w:right="0" w:firstLine="0"/>
      <w:spacing w:after="57"/>
    </w:pPr>
  </w:style>
  <w:style w:type="paragraph" w:styleId="2145">
    <w:name w:val="toc 7"/>
    <w:basedOn w:val="2150"/>
    <w:next w:val="2150"/>
    <w:uiPriority w:val="39"/>
    <w:unhideWhenUsed/>
    <w:pPr>
      <w:ind w:left="1701" w:right="0" w:firstLine="0"/>
      <w:spacing w:after="57"/>
    </w:pPr>
  </w:style>
  <w:style w:type="paragraph" w:styleId="2146">
    <w:name w:val="toc 8"/>
    <w:basedOn w:val="2150"/>
    <w:next w:val="2150"/>
    <w:uiPriority w:val="39"/>
    <w:unhideWhenUsed/>
    <w:pPr>
      <w:ind w:left="1984" w:right="0" w:firstLine="0"/>
      <w:spacing w:after="57"/>
    </w:pPr>
  </w:style>
  <w:style w:type="paragraph" w:styleId="2147">
    <w:name w:val="toc 9"/>
    <w:basedOn w:val="2150"/>
    <w:next w:val="2150"/>
    <w:uiPriority w:val="39"/>
    <w:unhideWhenUsed/>
    <w:pPr>
      <w:ind w:left="2268" w:right="0" w:firstLine="0"/>
      <w:spacing w:after="57"/>
    </w:pPr>
  </w:style>
  <w:style w:type="paragraph" w:styleId="2148">
    <w:name w:val="TOC Heading"/>
    <w:uiPriority w:val="39"/>
    <w:unhideWhenUsed/>
  </w:style>
  <w:style w:type="paragraph" w:styleId="2149">
    <w:name w:val="table of figures"/>
    <w:basedOn w:val="2150"/>
    <w:next w:val="2150"/>
    <w:uiPriority w:val="99"/>
    <w:unhideWhenUsed/>
    <w:pPr>
      <w:spacing w:after="0" w:afterAutospacing="0"/>
    </w:pPr>
  </w:style>
  <w:style w:type="paragraph" w:styleId="2150" w:default="1">
    <w:name w:val="Normal"/>
    <w:uiPriority w:val="0"/>
    <w:qFormat/>
    <w:pPr>
      <w:jc w:val="both"/>
      <w:widowControl w:val="off"/>
    </w:pPr>
    <w:rPr>
      <w:rFonts w:asciiTheme="minorHAnsi" w:hAnsiTheme="minorHAnsi" w:eastAsiaTheme="minorEastAsia" w:cstheme="minorBidi"/>
      <w:lang w:val="en-US" w:eastAsia="zh-CN" w:bidi="ar-SA"/>
    </w:rPr>
  </w:style>
  <w:style w:type="character" w:styleId="2151" w:default="1">
    <w:name w:val="Default Paragraph Font"/>
    <w:uiPriority w:val="1"/>
    <w:semiHidden/>
    <w:unhideWhenUsed/>
  </w:style>
  <w:style w:type="numbering" w:styleId="2152" w:default="1">
    <w:name w:val="No List"/>
    <w:uiPriority w:val="99"/>
    <w:semiHidden/>
    <w:unhideWhenUsed/>
  </w:style>
  <w:style w:type="table" w:styleId="2153"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李振</cp:lastModifiedBy>
  <cp:revision>19</cp:revision>
  <dcterms:created xsi:type="dcterms:W3CDTF">2021-09-07T07:04:00Z</dcterms:created>
  <dcterms:modified xsi:type="dcterms:W3CDTF">2026-08-28T03:17:49Z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eyJoZGlkIjoiYjZlZThmOTZkNDg2NTE5YzQ1ZjQ0MDY2M2FhZWI4MGIiLCJ1c2VySWQiOiIxNTc0MzYxMTQ0In0=</vt:lpwstr>
  </property>
  <property fmtid="{D5CDD505-2E9C-101B-9397-08002B2CF9AE}" pid="3" name="KSOProductBuildVer">
    <vt:lpwstr>2052-12.1.0.28043</vt:lpwstr>
  </property>
  <property fmtid="{D5CDD505-2E9C-101B-9397-08002B2CF9AE}" pid="4" name="ICV">
    <vt:lpwstr>A35F5E2333404ABB982DA43177CAE491_13</vt:lpwstr>
  </property>
</Properties>
</file>