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jc w:val="center"/>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jc w:val="center"/>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jc w:val="center"/>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t xml:space="preserve">招标文件</w:t>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91"/>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91"/>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91"/>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u w:val="none"/>
          <w:lang w:eastAsia="zh-CN"/>
          <w14:textFill>
            <w14:solidFill>
              <w14:schemeClr w14:val="tx1"/>
            </w14:solidFill>
          </w14:textFill>
        </w:rPr>
        <w:t xml:space="preserve">JSZC-320324-JSKJ-G2026-0037</w:t>
      </w: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z w:val="30"/>
          <w:szCs w:val="30"/>
          <w:highlight w:val="none"/>
          <w:u w:val="none"/>
          <w:lang w:eastAsia="zh-CN"/>
          <w14:textFill>
            <w14:solidFill>
              <w14:schemeClr w14:val="tx1"/>
            </w14:solidFill>
          </w14:textFill>
        </w:rPr>
        <w:t xml:space="preserve">睢宁县人民医院临床服务中心服务外包项目</w:t>
      </w:r>
      <w:r/>
    </w:p>
    <w:p>
      <w:pPr>
        <w:ind w:firstLine="1281"/>
        <w:keepLines w:val="0"/>
        <w:keepNext w:val="0"/>
        <w:pageBreakBefore w:val="0"/>
        <w:spacing w:line="480" w:lineRule="auto"/>
        <w:widowControl w:val="off"/>
        <w:rPr>
          <w:rFonts w:hint="eastAsia" w:ascii="宋体" w:hAnsi="宋体" w:eastAsia="宋体" w:cs="宋体"/>
          <w:color w:val="000000" w:themeColor="text1"/>
          <w:sz w:val="30"/>
          <w:szCs w:val="30"/>
          <w:highlight w:val="none"/>
          <w:u w:val="singl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采购人：</w:t>
      </w:r>
      <w:r>
        <w:rPr>
          <w:rFonts w:hint="eastAsia" w:ascii="宋体" w:hAnsi="宋体" w:cs="宋体"/>
          <w:color w:val="000000" w:themeColor="text1"/>
          <w:sz w:val="30"/>
          <w:szCs w:val="30"/>
          <w:highlight w:val="none"/>
          <w:u w:val="none"/>
          <w:lang w:eastAsia="zh-CN"/>
          <w14:textFill>
            <w14:solidFill>
              <w14:schemeClr w14:val="tx1"/>
            </w14:solidFill>
          </w14:textFill>
        </w:rPr>
        <w:t xml:space="preserve">睢宁县人民医院</w:t>
      </w:r>
      <w:r/>
    </w:p>
    <w:p>
      <w:pP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r>
      <w:r/>
    </w:p>
    <w:p>
      <w:pPr>
        <w:ind w:right="-159" w:firstLine="2112"/>
        <w:rPr>
          <w:rFonts w:hint="eastAsia" w:ascii="宋体" w:hAnsi="宋体" w:eastAsia="宋体" w:cs="宋体"/>
          <w:color w:val="000000" w:themeColor="text1"/>
          <w:sz w:val="44"/>
          <w:highlight w:val="none"/>
          <w:lang w:val="en-US" w:eastAsia="zh-CN"/>
          <w14:textFill>
            <w14:solidFill>
              <w14:schemeClr w14:val="tx1"/>
            </w14:solidFill>
          </w14:textFill>
        </w:rPr>
      </w:pPr>
      <w:r>
        <w:rPr>
          <w:rFonts w:hint="eastAsia" w:ascii="宋体" w:hAnsi="宋体" w:cs="宋体"/>
          <w:color w:val="000000" w:themeColor="text1"/>
          <w:sz w:val="44"/>
          <w:highlight w:val="none"/>
          <w:lang w:val="en-US" w:eastAsia="zh-CN"/>
          <w14:textFill>
            <w14:solidFill>
              <w14:schemeClr w14:val="tx1"/>
            </w14:solidFill>
          </w14:textFill>
        </w:rPr>
        <w:t xml:space="preserve"> </w:t>
      </w:r>
      <w:r/>
    </w:p>
    <w:p>
      <w:pPr>
        <w:ind w:right="-159"/>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r>
      <w:r/>
    </w:p>
    <w:p>
      <w:pPr>
        <w:jc w:val="center"/>
        <w:rPr>
          <w:rFonts w:hint="eastAsia" w:ascii="宋体" w:hAnsi="宋体" w:eastAsia="宋体" w:cs="宋体"/>
          <w:color w:val="000000" w:themeColor="text1"/>
          <w:sz w:val="30"/>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mc:AlternateContent>
          <mc:Choice Requires="wpg">
            <w:drawing>
              <wp:inline xmlns:wp="http://schemas.openxmlformats.org/drawingml/2006/wordprocessingDrawing" distT="0" distB="0" distL="0" distR="0">
                <wp:extent cx="4762500" cy="6858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5.0pt;height:54.0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0"/>
          <w:szCs w:val="30"/>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0"/>
          <w:szCs w:val="30"/>
          <w:highlight w:val="none"/>
          <w:lang w:val="en-US" w:eastAsia="zh-CN"/>
          <w14:textFill>
            <w14:solidFill>
              <w14:schemeClr w14:val="tx1"/>
            </w14:solidFill>
          </w14:textFill>
        </w:rPr>
        <w:t xml:space="preserve">二〇二六年</w:t>
      </w:r>
      <w:r>
        <w:rPr>
          <w:rFonts w:hint="eastAsia" w:ascii="宋体" w:hAnsi="宋体" w:cs="宋体"/>
          <w:bCs/>
          <w:color w:val="000000" w:themeColor="text1"/>
          <w:sz w:val="30"/>
          <w:szCs w:val="30"/>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30"/>
          <w:szCs w:val="30"/>
          <w:highlight w:val="none"/>
          <w:lang w:val="en-US" w:eastAsia="zh-CN"/>
          <w14:textFill>
            <w14:solidFill>
              <w14:schemeClr w14:val="tx1"/>
            </w14:solidFill>
          </w14:textFill>
        </w:rPr>
        <w:t xml:space="preserve">月</w:t>
      </w:r>
      <w:r/>
    </w:p>
    <w:p>
      <w:pPr>
        <w:jc w:val="center"/>
        <w:spacing w:line="360" w:lineRule="auto"/>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 xml:space="preserve">目录</w:t>
      </w:r>
      <w:r/>
    </w:p>
    <w:p>
      <w:pPr>
        <w:pStyle w:val="994"/>
        <w:spacing w:line="360" w:lineRule="auto"/>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"_Toc25213"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第一章投标邀请</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_Toc25213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994"/>
        <w:spacing w:line="360" w:lineRule="auto"/>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"_Toc18613"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第二章投标人须知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_Toc18613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994"/>
        <w:spacing w:line="360" w:lineRule="auto"/>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"_Toc31944"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第三章投标资料表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_Toc31944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994"/>
        <w:spacing w:line="360" w:lineRule="auto"/>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"_Toc29967"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第四章</w:t>
      </w:r>
      <w:r>
        <w:rPr>
          <w:rFonts w:hint="eastAsia" w:ascii="宋体" w:hAnsi="宋体" w:eastAsia="宋体" w:cs="宋体"/>
          <w:color w:val="000000" w:themeColor="text1"/>
          <w:sz w:val="28"/>
          <w:szCs w:val="28"/>
          <w:highlight w:val="none"/>
          <w14:textFill>
            <w14:solidFill>
              <w14:schemeClr w14:val="tx1"/>
            </w14:solidFill>
          </w14:textFill>
        </w:rPr>
        <w:t xml:space="preserve">评标标准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_Toc29967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994"/>
        <w:spacing w:line="360" w:lineRule="auto"/>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"_Toc13480"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第五章采购需求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_Toc13480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994"/>
        <w:spacing w:line="360" w:lineRule="auto"/>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"_Toc2754"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第六章拟签订的合同文本</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_Toc2754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994"/>
        <w:spacing w:line="360" w:lineRule="auto"/>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"_Toc24368"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第七章投标文件相关格式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_Toc24368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977"/>
        <w:spacing w:line="360" w:lineRule="auto"/>
        <w:rPr>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jc w:val="center"/>
        <w:spacing w:line="312" w:lineRule="auto"/>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睢宁县人民医院</w:t>
      </w:r>
      <w:r/>
    </w:p>
    <w:p>
      <w:pPr>
        <w:jc w:val="center"/>
        <w:spacing w:line="312"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lang w:eastAsia="zh-CN"/>
          <w14:textFill>
            <w14:solidFill>
              <w14:schemeClr w14:val="tx1"/>
            </w14:solidFill>
          </w14:textFill>
        </w:rPr>
        <w:t xml:space="preserve">睢宁县人民医院临床服务中心服务外包项目</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p>
    <w:p>
      <w:pPr>
        <w:pStyle w:val="1151"/>
        <w:ind w:left="0" w:right="0" w:firstLine="0"/>
        <w:jc w:val="center"/>
        <w:spacing w:line="312" w:lineRule="auto"/>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招标文件</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0" w:name="_Toc25213"/>
      <w:r>
        <w:rPr>
          <w:rFonts w:hint="eastAsia" w:ascii="宋体" w:hAnsi="宋体" w:eastAsia="宋体" w:cs="宋体"/>
          <w:b/>
          <w:bCs/>
          <w:color w:val="000000" w:themeColor="text1"/>
          <w:sz w:val="32"/>
          <w:szCs w:val="32"/>
          <w:highlight w:val="none"/>
          <w14:textFill>
            <w14:solidFill>
              <w14:schemeClr w14:val="tx1"/>
            </w14:solidFill>
          </w14:textFill>
        </w:rPr>
        <w:t xml:space="preserve">第一章投标邀请</w:t>
      </w:r>
      <w:bookmarkEnd w:id="0"/>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江苏科建工程项目管理有限公司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睢宁县人民医院临床服务中心服务外包项目</w:t>
      </w:r>
      <w:r>
        <w:rPr>
          <w:rFonts w:hint="eastAsia" w:ascii="宋体" w:hAnsi="宋体" w:eastAsia="宋体" w:cs="宋体"/>
          <w:color w:val="000000" w:themeColor="text1"/>
          <w:sz w:val="24"/>
          <w:highlight w:val="none"/>
          <w14:textFill>
            <w14:solidFill>
              <w14:schemeClr w14:val="tx1"/>
            </w14:solidFill>
          </w14:textFill>
        </w:rPr>
        <w:t xml:space="preserve">进行公开招标采购，现欢迎符合相关条件的投标人投标。</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一、项目名称和项目编号</w:t>
      </w:r>
      <w:r/>
    </w:p>
    <w:p>
      <w:pPr>
        <w:ind w:firstLine="480"/>
        <w:jc w:val="left"/>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1、项目名称：</w:t>
      </w:r>
      <w:r>
        <w:rPr>
          <w:rFonts w:hint="eastAsia" w:ascii="宋体" w:hAnsi="宋体" w:cs="宋体"/>
          <w:color w:val="000000" w:themeColor="text1"/>
          <w:sz w:val="24"/>
          <w:highlight w:val="none"/>
          <w:lang w:eastAsia="zh-CN"/>
          <w14:textFill>
            <w14:solidFill>
              <w14:schemeClr w14:val="tx1"/>
            </w14:solidFill>
          </w14:textFill>
        </w:rPr>
        <w:t xml:space="preserve">睢宁县人民医院临床服务中心服务外包项目</w:t>
      </w:r>
      <w:r/>
    </w:p>
    <w:p>
      <w:pPr>
        <w:ind w:firstLine="480"/>
        <w:jc w:val="left"/>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2、项目编号：</w:t>
      </w:r>
      <w:r>
        <w:rPr>
          <w:rFonts w:hint="eastAsia" w:ascii="宋体" w:hAnsi="宋体" w:cs="宋体"/>
          <w:color w:val="000000" w:themeColor="text1"/>
          <w:sz w:val="24"/>
          <w:highlight w:val="none"/>
          <w:lang w:eastAsia="zh-CN"/>
          <w14:textFill>
            <w14:solidFill>
              <w14:schemeClr w14:val="tx1"/>
            </w14:solidFill>
          </w14:textFill>
        </w:rPr>
        <w:t xml:space="preserve">JSZC-320324-JSKJ-G2026-0037</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二、投标人的资格要求：</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三、获取招标文件</w:t>
      </w:r>
      <w:r/>
    </w:p>
    <w:p>
      <w:pPr>
        <w:pStyle w:val="820"/>
        <w:ind w:firstLine="480"/>
        <w:jc w:val="left"/>
        <w:spacing w:line="312" w:lineRule="auto"/>
        <w:rPr>
          <w:rFonts w:hint="eastAsia" w:ascii="宋体" w:hAnsi="宋体" w:eastAsia="宋体" w:cs="宋体"/>
          <w:bCs/>
          <w:color w:val="000000" w:themeColor="text1"/>
          <w:sz w:val="24"/>
          <w:szCs w:val="28"/>
          <w:highlight w:val="none"/>
          <w14:textFill>
            <w14:solidFill>
              <w14:schemeClr w14:val="tx1"/>
            </w14:solidFill>
          </w14:textFill>
        </w:rPr>
      </w:pPr>
      <w:r>
        <w:rPr>
          <w:rFonts w:hint="eastAsia" w:ascii="宋体" w:hAnsi="宋体" w:eastAsia="宋体" w:cs="宋体"/>
          <w:bCs/>
          <w:color w:val="000000" w:themeColor="text1"/>
          <w:sz w:val="24"/>
          <w:szCs w:val="28"/>
          <w:highlight w:val="none"/>
          <w14:textFill>
            <w14:solidFill>
              <w14:schemeClr w14:val="tx1"/>
            </w14:solidFill>
          </w14:textFill>
        </w:rPr>
        <w:t xml:space="preserve">（1）潜在投标人访问电子招标投标交易平台的网络地址和方法：</w:t>
      </w:r>
      <w:r/>
    </w:p>
    <w:p>
      <w:pPr>
        <w:pStyle w:val="820"/>
        <w:ind w:firstLine="480"/>
        <w:jc w:val="left"/>
        <w:spacing w:line="312" w:lineRule="auto"/>
        <w:rPr>
          <w:rFonts w:hint="eastAsia" w:ascii="宋体" w:hAnsi="宋体" w:eastAsia="宋体" w:cs="宋体"/>
          <w:bCs/>
          <w:color w:val="000000" w:themeColor="text1"/>
          <w:sz w:val="24"/>
          <w:szCs w:val="28"/>
          <w:highlight w:val="none"/>
          <w14:textFill>
            <w14:solidFill>
              <w14:schemeClr w14:val="tx1"/>
            </w14:solidFill>
          </w14:textFill>
        </w:rPr>
      </w:pPr>
      <w:r>
        <w:rPr>
          <w:rFonts w:hint="eastAsia" w:ascii="宋体" w:hAnsi="宋体" w:eastAsia="宋体" w:cs="宋体"/>
          <w:bCs/>
          <w:color w:val="000000" w:themeColor="text1"/>
          <w:sz w:val="24"/>
          <w:szCs w:val="28"/>
          <w:highlight w:val="none"/>
          <w14:textFill>
            <w14:solidFill>
              <w14:schemeClr w14:val="tx1"/>
            </w14:solidFill>
          </w14:textFill>
        </w:rPr>
        <w:t xml:space="preserve">①登录http://jszfcg.jsczt.cn/。</w:t>
      </w:r>
      <w:r/>
    </w:p>
    <w:p>
      <w:pPr>
        <w:pStyle w:val="820"/>
        <w:ind w:firstLine="482"/>
        <w:jc w:val="left"/>
        <w:spacing w:line="312" w:lineRule="auto"/>
        <w:rPr>
          <w:rFonts w:hint="eastAsia" w:ascii="宋体" w:hAnsi="宋体" w:eastAsia="宋体" w:cs="宋体"/>
          <w:bCs/>
          <w:color w:val="000000" w:themeColor="text1"/>
          <w:sz w:val="24"/>
          <w:szCs w:val="28"/>
          <w:highlight w:val="none"/>
          <w14:textFill>
            <w14:solidFill>
              <w14:schemeClr w14:val="tx1"/>
            </w14:solidFill>
          </w14:textFill>
        </w:rPr>
      </w:pPr>
      <w:r>
        <w:rPr>
          <w:rFonts w:hint="eastAsia" w:ascii="宋体" w:hAnsi="宋体" w:eastAsia="宋体" w:cs="宋体"/>
          <w:bCs/>
          <w:color w:val="000000" w:themeColor="text1"/>
          <w:sz w:val="24"/>
          <w:szCs w:val="28"/>
          <w:highlight w:val="none"/>
          <w14:textFill>
            <w14:solidFill>
              <w14:schemeClr w14:val="tx1"/>
            </w14:solidFill>
          </w14:textFill>
        </w:rPr>
        <w:t xml:space="preserve">②“CA数字证书”的获取：投标人需办理CA锁，“苏采云”系统目前仅支持“苏采云”系统下的政务CA，省内各地区办理的“苏采云”系统下的政务CA全省通用。</w:t>
      </w:r>
      <w:r>
        <w:rPr>
          <w:rFonts w:hint="eastAsia" w:ascii="宋体" w:hAnsi="宋体" w:eastAsia="宋体" w:cs="宋体"/>
          <w:bCs/>
          <w:color w:val="000000" w:themeColor="text1"/>
          <w:sz w:val="24"/>
          <w:highlight w:val="none"/>
          <w14:textFill>
            <w14:solidFill>
              <w14:schemeClr w14:val="tx1"/>
            </w14:solidFill>
          </w14:textFill>
        </w:rPr>
        <w:t xml:space="preserve">具体办理指南和操作手册见链接：http://www.ccgp-jiangsu.gov.cn/jiangsu/zlxz/ee/ee3a4bc5a3454aa2b0d9312230633ce9.html</w:t>
      </w:r>
      <w:r>
        <w:rPr>
          <w:rFonts w:hint="eastAsia" w:ascii="宋体" w:hAnsi="宋体" w:eastAsia="宋体" w:cs="宋体"/>
          <w:bCs/>
          <w:color w:val="000000" w:themeColor="text1"/>
          <w:sz w:val="24"/>
          <w:szCs w:val="28"/>
          <w:highlight w:val="none"/>
          <w14:textFill>
            <w14:solidFill>
              <w14:schemeClr w14:val="tx1"/>
            </w14:solidFill>
          </w14:textFill>
        </w:rPr>
        <w:t xml:space="preserve">。</w:t>
      </w:r>
      <w:r/>
    </w:p>
    <w:p>
      <w:pPr>
        <w:pStyle w:val="820"/>
        <w:ind w:firstLine="480"/>
        <w:jc w:val="left"/>
        <w:spacing w:line="312" w:lineRule="auto"/>
        <w:rPr>
          <w:rFonts w:hint="eastAsia" w:ascii="宋体" w:hAnsi="宋体" w:eastAsia="宋体" w:cs="宋体"/>
          <w:bCs/>
          <w:color w:val="000000" w:themeColor="text1"/>
          <w:sz w:val="24"/>
          <w:szCs w:val="28"/>
          <w:highlight w:val="none"/>
          <w14:textFill>
            <w14:solidFill>
              <w14:schemeClr w14:val="tx1"/>
            </w14:solidFill>
          </w14:textFill>
        </w:rPr>
      </w:pPr>
      <w:r>
        <w:rPr>
          <w:rFonts w:hint="eastAsia" w:ascii="宋体" w:hAnsi="宋体" w:eastAsia="宋体" w:cs="宋体"/>
          <w:bCs/>
          <w:color w:val="000000" w:themeColor="text1"/>
          <w:sz w:val="24"/>
          <w:szCs w:val="28"/>
          <w:highlight w:val="none"/>
          <w14:textFill>
            <w14:solidFill>
              <w14:schemeClr w14:val="tx1"/>
            </w14:solidFill>
          </w14:textFill>
        </w:rPr>
        <w:t xml:space="preserve">（2）采购代理机构将数据电文形式的招标文件加载至“苏采云”系统，供潜在投标人下载或者查阅。</w:t>
      </w:r>
      <w:r/>
    </w:p>
    <w:p>
      <w:pPr>
        <w:pStyle w:val="820"/>
        <w:ind w:firstLine="480"/>
        <w:jc w:val="left"/>
        <w:spacing w:line="312" w:lineRule="auto"/>
        <w:rPr>
          <w:rFonts w:hint="eastAsia" w:ascii="宋体" w:hAnsi="宋体" w:eastAsia="宋体" w:cs="宋体"/>
          <w:bCs/>
          <w:color w:val="000000" w:themeColor="text1"/>
          <w:sz w:val="24"/>
          <w:szCs w:val="28"/>
          <w:highlight w:val="none"/>
          <w14:textFill>
            <w14:solidFill>
              <w14:schemeClr w14:val="tx1"/>
            </w14:solidFill>
          </w14:textFill>
        </w:rPr>
      </w:pPr>
      <w:r>
        <w:rPr>
          <w:rFonts w:hint="eastAsia" w:ascii="宋体" w:hAnsi="宋体" w:eastAsia="宋体" w:cs="宋体"/>
          <w:bCs/>
          <w:color w:val="000000" w:themeColor="text1"/>
          <w:sz w:val="24"/>
          <w:szCs w:val="28"/>
          <w:highlight w:val="none"/>
          <w14:textFill>
            <w14:solidFill>
              <w14:schemeClr w14:val="tx1"/>
            </w14:solidFill>
          </w14:textFill>
        </w:rPr>
        <w:t xml:space="preserve">（3）售价：免费。</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四、投标有关信息：</w:t>
      </w:r>
      <w:r/>
    </w:p>
    <w:p>
      <w:pPr>
        <w:ind w:left="719" w:hanging="240"/>
        <w:jc w:val="left"/>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w:t>
      </w:r>
      <w:r>
        <w:rPr>
          <w:rFonts w:hint="eastAsia" w:ascii="宋体" w:hAnsi="宋体" w:eastAsia="宋体" w:cs="宋体"/>
          <w:bCs/>
          <w:color w:val="000000" w:themeColor="text1"/>
          <w:sz w:val="24"/>
          <w:szCs w:val="28"/>
          <w:highlight w:val="none"/>
          <w:lang w:eastAsia="zh-CN"/>
          <w14:textFill>
            <w14:solidFill>
              <w14:schemeClr w14:val="tx1"/>
            </w14:solidFill>
          </w14:textFill>
        </w:rPr>
        <w:t xml:space="preserve">2026年10</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月22</w:t>
      </w:r>
      <w:r>
        <w:rPr>
          <w:rFonts w:hint="eastAsia" w:ascii="宋体" w:hAnsi="宋体" w:eastAsia="宋体" w:cs="宋体"/>
          <w:bCs/>
          <w:color w:val="000000" w:themeColor="text1"/>
          <w:sz w:val="24"/>
          <w:szCs w:val="28"/>
          <w:highlight w:val="none"/>
          <w:lang w:eastAsia="zh-CN"/>
          <w14:textFill>
            <w14:solidFill>
              <w14:schemeClr w14:val="tx1"/>
            </w14:solidFill>
          </w14:textFill>
        </w:rPr>
        <w:t xml:space="preserve">日</w:t>
      </w:r>
      <w:r>
        <w:rPr>
          <w:rFonts w:hint="eastAsia" w:ascii="宋体" w:hAnsi="宋体" w:eastAsia="宋体" w:cs="宋体"/>
          <w:bCs/>
          <w:color w:val="000000" w:themeColor="text1"/>
          <w:sz w:val="24"/>
          <w:szCs w:val="28"/>
          <w:highlight w:val="none"/>
          <w14:textFill>
            <w14:solidFill>
              <w14:schemeClr w14:val="tx1"/>
            </w14:solidFill>
          </w14:textFill>
        </w:rPr>
        <w:t xml:space="preserve">09点</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8"/>
          <w:highlight w:val="none"/>
          <w14:textFill>
            <w14:solidFill>
              <w14:schemeClr w14:val="tx1"/>
            </w14:solidFill>
          </w14:textFill>
        </w:rPr>
        <w:t xml:space="preserve">0分</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left="719" w:hanging="240"/>
        <w:jc w:val="left"/>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2.开标时间：</w:t>
      </w:r>
      <w:r>
        <w:rPr>
          <w:rFonts w:hint="eastAsia" w:ascii="宋体" w:hAnsi="宋体" w:cs="宋体"/>
          <w:bCs/>
          <w:color w:val="000000" w:themeColor="text1"/>
          <w:sz w:val="24"/>
          <w:szCs w:val="28"/>
          <w:highlight w:val="none"/>
          <w:lang w:eastAsia="zh-CN"/>
          <w14:textFill>
            <w14:solidFill>
              <w14:schemeClr w14:val="tx1"/>
            </w14:solidFill>
          </w14:textFill>
        </w:rPr>
      </w:r>
      <w:r>
        <w:rPr>
          <w:rFonts w:hint="eastAsia" w:ascii="宋体" w:hAnsi="宋体" w:eastAsia="宋体" w:cs="宋体"/>
          <w:bCs/>
          <w:color w:val="000000" w:themeColor="text1"/>
          <w:sz w:val="24"/>
          <w:szCs w:val="28"/>
          <w:highlight w:val="none"/>
          <w:lang w:eastAsia="zh-CN"/>
          <w14:textFill>
            <w14:solidFill>
              <w14:schemeClr w14:val="tx1"/>
            </w14:solidFill>
          </w14:textFill>
        </w:rPr>
        <w:t xml:space="preserve">2026年10</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月22</w:t>
      </w:r>
      <w:r>
        <w:rPr>
          <w:rFonts w:hint="eastAsia" w:ascii="宋体" w:hAnsi="宋体" w:eastAsia="宋体" w:cs="宋体"/>
          <w:bCs/>
          <w:color w:val="000000" w:themeColor="text1"/>
          <w:sz w:val="24"/>
          <w:szCs w:val="28"/>
          <w:highlight w:val="none"/>
          <w:lang w:eastAsia="zh-CN"/>
          <w14:textFill>
            <w14:solidFill>
              <w14:schemeClr w14:val="tx1"/>
            </w14:solidFill>
          </w14:textFill>
        </w:rPr>
        <w:t xml:space="preserve">日</w:t>
      </w:r>
      <w:r/>
      <w:r>
        <w:rPr>
          <w:rFonts w:hint="eastAsia" w:ascii="宋体" w:hAnsi="宋体" w:cs="宋体"/>
          <w:bCs/>
          <w:color w:val="000000" w:themeColor="text1"/>
          <w:sz w:val="24"/>
          <w:szCs w:val="28"/>
          <w:highlight w:val="none"/>
          <w:lang w:eastAsia="zh-CN"/>
          <w14:textFill>
            <w14:solidFill>
              <w14:schemeClr w14:val="tx1"/>
            </w14:solidFill>
          </w14:textFill>
        </w:rPr>
      </w:r>
      <w:r>
        <w:rPr>
          <w:rFonts w:hint="eastAsia" w:ascii="宋体" w:hAnsi="宋体" w:eastAsia="宋体" w:cs="宋体"/>
          <w:bCs/>
          <w:color w:val="000000" w:themeColor="text1"/>
          <w:sz w:val="24"/>
          <w:szCs w:val="28"/>
          <w:highlight w:val="none"/>
          <w14:textFill>
            <w14:solidFill>
              <w14:schemeClr w14:val="tx1"/>
            </w14:solidFill>
          </w14:textFill>
        </w:rPr>
        <w:t xml:space="preserve">09点</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8"/>
          <w:highlight w:val="none"/>
          <w14:textFill>
            <w14:solidFill>
              <w14:schemeClr w14:val="tx1"/>
            </w14:solidFill>
          </w14:textFill>
        </w:rPr>
        <w:t xml:space="preserve">0分</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3.线上开标地点：线上开标地点：“苏采云”系统（网址：http://jszfcg.jsczt.cn/）“开标大厅”</w:t>
      </w:r>
      <w:r>
        <w:rPr>
          <w:rFonts w:hint="eastAsia" w:ascii="宋体" w:hAnsi="宋体" w:cs="宋体"/>
          <w:color w:val="000000" w:themeColor="text1"/>
          <w:sz w:val="24"/>
          <w:highlight w:val="none"/>
          <w14:textFill>
            <w14:solidFill>
              <w14:schemeClr w14:val="tx1"/>
            </w14:solidFill>
          </w14:textFill>
        </w:rPr>
        <w:t xml:space="preserve">或进入徐州政府采购网首页，点击“苏采云”登录后，进入系统“开标大厅”。</w:t>
      </w:r>
      <w:r/>
    </w:p>
    <w:p>
      <w:pPr>
        <w:ind w:firstLine="482"/>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五、公告发布媒介：在徐州政府采购网（</w:t>
      </w:r>
      <w:r>
        <w:rPr>
          <w:rFonts w:hint="eastAsia" w:ascii="宋体" w:hAnsi="宋体" w:cs="宋体"/>
          <w:color w:val="000000" w:themeColor="text1"/>
          <w:sz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上发布</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六、采购人</w:t>
      </w:r>
      <w:r/>
    </w:p>
    <w:p>
      <w:pPr>
        <w:ind w:firstLine="480"/>
        <w:jc w:val="left"/>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单位名称：</w:t>
      </w:r>
      <w:r>
        <w:rPr>
          <w:rFonts w:hint="eastAsia" w:ascii="宋体" w:hAnsi="宋体" w:cs="宋体"/>
          <w:color w:val="000000" w:themeColor="text1"/>
          <w:sz w:val="24"/>
          <w:highlight w:val="none"/>
          <w:lang w:eastAsia="zh-CN"/>
          <w14:textFill>
            <w14:solidFill>
              <w14:schemeClr w14:val="tx1"/>
            </w14:solidFill>
          </w14:textFill>
        </w:rPr>
        <w:t xml:space="preserve">睢宁县人民医院</w:t>
      </w:r>
      <w:r/>
    </w:p>
    <w:p>
      <w:pPr>
        <w:ind w:firstLine="480"/>
        <w:jc w:val="left"/>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单位地址：</w:t>
      </w:r>
      <w:r>
        <w:rPr>
          <w:rFonts w:hint="eastAsia" w:ascii="宋体" w:hAnsi="宋体" w:cs="宋体"/>
          <w:color w:val="000000" w:themeColor="text1"/>
          <w:sz w:val="24"/>
          <w:highlight w:val="none"/>
          <w:lang w:eastAsia="zh-CN"/>
          <w14:textFill>
            <w14:solidFill>
              <w14:schemeClr w14:val="tx1"/>
            </w14:solidFill>
          </w14:textFill>
        </w:rPr>
        <w:t xml:space="preserve">睢宁县八一西路2号</w:t>
      </w:r>
      <w:r/>
    </w:p>
    <w:p>
      <w:pPr>
        <w:ind w:firstLine="480"/>
        <w:jc w:val="left"/>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仝主任</w:t>
      </w:r>
      <w:r/>
    </w:p>
    <w:p>
      <w:pPr>
        <w:ind w:firstLine="480"/>
        <w:jc w:val="left"/>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eastAsia="zh-CN"/>
          <w14:textFill>
            <w14:solidFill>
              <w14:schemeClr w14:val="tx1"/>
            </w14:solidFill>
          </w14:textFill>
        </w:rPr>
        <w:t xml:space="preserve">0516-68062028</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七、采购代理机构</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单位名称：江苏科建工程项目管理有限公司</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单位地址：徐州市泉山区软件园路2号</w:t>
      </w:r>
      <w:r/>
    </w:p>
    <w:p>
      <w:pPr>
        <w:ind w:firstLine="480"/>
        <w:jc w:val="left"/>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朱文颖、朱柄昱</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联系电话：0516-85610680</w:t>
      </w:r>
      <w:r/>
    </w:p>
    <w:p>
      <w:pPr>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1" w:name="_Toc18613"/>
      <w:r>
        <w:rPr>
          <w:rFonts w:hint="eastAsia" w:ascii="宋体" w:hAnsi="宋体" w:eastAsia="宋体" w:cs="宋体"/>
          <w:b/>
          <w:bCs/>
          <w:color w:val="000000" w:themeColor="text1"/>
          <w:sz w:val="32"/>
          <w:szCs w:val="32"/>
          <w:highlight w:val="none"/>
          <w14:textFill>
            <w14:solidFill>
              <w14:schemeClr w14:val="tx1"/>
            </w14:solidFill>
          </w14:textFill>
        </w:rPr>
        <w:t xml:space="preserve">第二章投标人须知</w:t>
      </w:r>
      <w:bookmarkEnd w:id="1"/>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目录</w:t>
      </w:r>
      <w:r/>
    </w:p>
    <w:p>
      <w:pPr>
        <w:ind w:left="42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42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一、总则</w:t>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二、招标</w:t>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三、投标</w:t>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四、开标</w:t>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五、评标</w:t>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六、定标</w:t>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七、政府采购合同</w:t>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八、询问和质疑</w:t>
      </w:r>
      <w:r/>
    </w:p>
    <w:p>
      <w:pPr>
        <w:ind w:left="420" w:firstLine="1280"/>
        <w:keepLines w:val="0"/>
        <w:keepNext w:val="0"/>
        <w:pageBreakBefore w:val="0"/>
        <w:spacing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九、电子招标投标交易平台</w:t>
      </w:r>
      <w:r/>
    </w:p>
    <w:p>
      <w:pPr>
        <w:jc w:val="center"/>
        <w:spacing w:line="312"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24"/>
          <w:highlight w:val="none"/>
          <w14:textFill>
            <w14:solidFill>
              <w14:schemeClr w14:val="tx1"/>
            </w14:solidFill>
          </w14:textFill>
        </w:rPr>
        <w:t xml:space="preserve">一、总则</w:t>
      </w:r>
      <w:r/>
    </w:p>
    <w:p>
      <w:pPr>
        <w:ind w:firstLine="42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（一）采购人。采购人是指依法进行政府采购的国家机关、事业单位、团体组织。</w:t>
      </w:r>
      <w:r/>
    </w:p>
    <w:p>
      <w:pPr>
        <w:ind w:firstLine="42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（六）投标人的资格条件</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1.参加采购货物服务投标活动的投标人（以下简称“投标人”），应当是提供本国货物服务的本国投标人，但法律、行政法规规定外国投标人可以参加货物服务招标投标活动的除外。</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投标人，是指响应招标、参加投标竞争的法人、其他组织或者自然人。</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2.投标人授权代表系指法定代表人或受法人委托的受托人。</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二、招标</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（八）招标文件的内容</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1.招标文件包括以下内容：</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第一章投标邀请</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第二章投标人须知</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第三章投标资料表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第四章评标标准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第五章采购需求</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第六章拟签订的合同文本</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第七章投标文件相关格式</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3.样品本项目对样品的要求：见招标文件第三章《投标资料表》。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（九）招标文件澄清或者修改</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2.现场考察以招标文件第三章《投标资料表》中的要求为准。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3.开标前答疑会以招标文件第三章《投标资料表》中的要求为准。</w:t>
      </w:r>
      <w:r/>
    </w:p>
    <w:p>
      <w:pPr>
        <w:jc w:val="center"/>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三、投标</w:t>
      </w:r>
      <w:r/>
    </w:p>
    <w:p>
      <w:pPr>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（十二）投标文件的构成</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1.投标文件的构成以招标文件第三章《投标资料表》中的要求为准。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（十三）投标函和价格表、商务条件、交货和提供服务的时间</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1.投标函和价格表：要求见本章</w:t>
      </w:r>
      <w:r>
        <w:rPr>
          <w:rFonts w:hint="eastAsia" w:ascii="宋体" w:hAnsi="宋体" w:eastAsia="宋体" w:cs="宋体"/>
          <w:color w:val="000000" w:themeColor="text1"/>
          <w:sz w:val="24"/>
          <w:szCs w:val="21"/>
          <w:highlight w:val="none"/>
          <w14:textFill>
            <w14:solidFill>
              <w14:schemeClr w14:val="tx1"/>
            </w14:solidFill>
          </w14:textFill>
        </w:rPr>
        <w:t xml:space="preserve">（十二）、（十三）</w:t>
      </w:r>
      <w:r>
        <w:rPr>
          <w:rFonts w:hint="eastAsia" w:ascii="宋体" w:hAnsi="宋体" w:eastAsia="宋体" w:cs="宋体"/>
          <w:color w:val="000000" w:themeColor="text1"/>
          <w:sz w:val="24"/>
          <w:highlight w:val="none"/>
          <w14:textFill>
            <w14:solidFill>
              <w14:schemeClr w14:val="tx1"/>
            </w14:solidFill>
          </w14:textFill>
        </w:rPr>
        <w:t xml:space="preserve">，格式见招标文件第七章《投标文件相关格式》中《投标函》和《开标一览表》。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2.商务条件：以招标文件第三章《投标资料表》中的要求为准。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3.交货和提供服务的时间：以招标文件第三章《投标资料表》中的要求为准。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（十四）投标报价要求</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1.投标人应按照招标文件的要求报出分项价格和总价。</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3.采购人不支付报价以外的任何费用。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（十五）投标货币。以招标文件第三章《投标资料表》中的要求为准。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（十六）投标有效期</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1.投标有效期为开标之日后90天。采购人可以要求对投标有效期延长一次，但该延长期最长不超过30天。</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（十七）本项目为电子投标，电子投标文件编制要求和签署要求：</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（1）电子招标投标交易平台（即“苏采云”系统）相关要求是本招标文件的组成部分。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（2）投标人应由其法定代表人或法定代表人授权代表在规定的网上投标时间，凭CA证书登陆“苏采云”系统在线编制投标文件（电子数据），并在投标截止时间之前上传投标文件。</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（3）投标人应对CA证书妥善保管，如被他人盗用投标，因此带来的结果均由投标人自行承担。</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（6）投标文件的份数：详见招标文件第三章《投标资料表》。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（7）投标文件的退还：详见招标文件第三章《投标资料表》。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（8）投标文件中承诺的投标有效期应当不少于招标文件中载明的投标有效期。</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（十八）线上投标文件的密封、签署、盖章要求：以本文件第三章《投标资料表》中所提要求为准。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（十九）投标文件递交要求：</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2、各投标人应在规定时间内通过CA证书进行网上解密，投标人未在规定时间内解密电子投标文件的，所导致的一切后果均由投标人承担。</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（二十）提交投标文件的截止时间（投标截止时间）</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在招标文件要求提交投标文件的截止时间之后送达的投标文件，为无效投标文件，采购代理机构应当拒收。</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（二十一）提交投标文件的截止时间和收到投标文件后注意事项：</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投标人在投标截止时间前，可以对所递交的投标文件进行补充、修改或者撤回。</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（二十二）本项目不允许分包。</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（二十四）有下列情形之一的，其投标无效：</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1.不同投标人委托同一单位或者个人办理投标事宜的；</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2.不同投标人的投标文件中，所载明的项目管理成员或联系人为同一人；</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3.不同投标人的投标文件，异常一致或者投标报价呈规律性差异；</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4.不同投标人的单位负责人为同一人或者存在直接控股、管理关系的；</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6.投标文件未按招标文件规定的内容和要求填写的；</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7.投标文件未按招标文件要求签署、盖章的；</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8.不具备招标文件中规定的资格要求或未按招标文件规定的要求提供资格、资信证明文件的；</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9.项目（标段）投标总价超过本项目（标段）预算或最高限价的；</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10.投标文件含有采购人不能接受的附加条件的；</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11.投标人的法定代表人授权代表，无法定代表人授权委托书的；</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12.被列入“信用中国”网站（www.creditchina.gov.cn）失信被执行人、重大税收违法案件当事人名单、政府采购严重违法失信行为记录名单的；</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13.投标文件中有招标文件未允许提供的选择性内容；</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14.提供虚假材料的（包括工商营业执照、财务报表、资格证明文件等）；</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16.除单一来源采购项目外，为采购项目提供整体设计、规范编制或者项目管理、监理、检测等服务的；</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17.投标文件内容不全或不符合招标文件中规定的其它实质性要求的；</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18.投标人未在规定时间内解密电子投标文件的；</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19.投标文件未按招标文件规定的内容和要求填写的；没有在投标系统指定位置上传对应文件、材料的；</w:t>
      </w:r>
      <w:r/>
    </w:p>
    <w:p>
      <w:pPr>
        <w:ind w:firstLine="48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20.法律法规和招标文件规定的其它无效情形。</w:t>
      </w:r>
      <w:r/>
    </w:p>
    <w:p>
      <w:pPr>
        <w:jc w:val="center"/>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四、开标</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（二十五）开标：</w:t>
      </w:r>
      <w:r/>
    </w:p>
    <w:p>
      <w:pPr>
        <w:ind w:firstLine="48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iCs/>
          <w:color w:val="000000" w:themeColor="text1"/>
          <w:sz w:val="24"/>
          <w:highlight w:val="none"/>
          <w14:textFill>
            <w14:solidFill>
              <w14:schemeClr w14:val="tx1"/>
            </w14:solidFill>
          </w14:textFill>
        </w:rPr>
        <w:t xml:space="preserve">1.开标由</w:t>
      </w:r>
      <w:r>
        <w:rPr>
          <w:rFonts w:hint="eastAsia" w:ascii="宋体" w:hAnsi="宋体" w:eastAsia="宋体" w:cs="宋体"/>
          <w:color w:val="000000" w:themeColor="text1"/>
          <w:sz w:val="24"/>
          <w:highlight w:val="none"/>
          <w14:textFill>
            <w14:solidFill>
              <w14:schemeClr w14:val="tx1"/>
            </w14:solidFill>
          </w14:textFill>
        </w:rPr>
        <w:t xml:space="preserve">采购人或</w:t>
      </w:r>
      <w:r>
        <w:rPr>
          <w:rFonts w:hint="eastAsia" w:ascii="宋体" w:hAnsi="宋体" w:eastAsia="宋体" w:cs="宋体"/>
          <w:bCs/>
          <w:iCs/>
          <w:color w:val="000000" w:themeColor="text1"/>
          <w:sz w:val="24"/>
          <w:highlight w:val="none"/>
          <w14:textFill>
            <w14:solidFill>
              <w14:schemeClr w14:val="tx1"/>
            </w14:solidFill>
          </w14:textFill>
        </w:rPr>
        <w:t xml:space="preserve">采购代理机构主持，邀请投标人参加。</w:t>
      </w:r>
      <w:r>
        <w:rPr>
          <w:rFonts w:hint="eastAsia" w:ascii="宋体" w:hAnsi="宋体" w:eastAsia="宋体" w:cs="宋体"/>
          <w:color w:val="000000" w:themeColor="text1"/>
          <w:sz w:val="24"/>
          <w:highlight w:val="none"/>
          <w14:textFill>
            <w14:solidFill>
              <w14:schemeClr w14:val="tx1"/>
            </w14:solidFill>
          </w14:textFill>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4.所有投标单位使用CA证书在开标时间时，解密各自投标文件，由工作人员操作系统进行开标，开标时递交投标文件的投标人不足三家，不予开标。</w:t>
      </w:r>
      <w:r/>
    </w:p>
    <w:p>
      <w:pPr>
        <w:pStyle w:val="1151"/>
        <w:ind w:left="0" w:right="0" w:firstLine="48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5.投标人原因造成投标文件未解密的，视为撤销其投标文件；因投标人之外的原因造成投标文件未解密的，视为撤回其投标文件。部分投标文件未解密的，其他投标文件的开标可以继续进行。</w:t>
      </w:r>
      <w:r/>
    </w:p>
    <w:p>
      <w:pPr>
        <w:pStyle w:val="1151"/>
        <w:ind w:left="0" w:right="0" w:firstLine="48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6.开标时，投标文件中开标一览表内容与投标文件中明细表内容不一致的，以开标一览表为准。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7.开标过程由采购代理机构负责记录，由参加开标的相关工作人员签字确认后随</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一并存档。</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8.投标人代表对开标过程和开标记录有疑义，以及认为采购人、采购代理机构相关工作人员有需要回避的情形的，应当场提出询问或者回避申请。</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9.投标人未参加开标的，视同认可开标结果。</w:t>
      </w:r>
      <w:r/>
    </w:p>
    <w:p>
      <w:pPr>
        <w:jc w:val="center"/>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五、评标</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（二十六）公开招标采购项目开标结束后，采购人依法对投标人的资格进行审查。合格投标人不足</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14:textFill>
            <w14:solidFill>
              <w14:schemeClr w14:val="tx1"/>
            </w14:solidFill>
          </w14:textFill>
        </w:rPr>
        <w:t xml:space="preserve">家的，不得评标。</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1.评标工作由采购代理机构负责组织，并履行下列职责：</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（2）宣布评标纪律；</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（3）公布投标人名单，告知评审专家应当回避的情形；</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（4）组织评标委员会推选评标组长，采购人代表不得担任组长；</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（6）根据评标委员会的要求介绍政府采购相关政策法规、招标文件；</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（8）核对评标结果，有《</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"http://www.caigou2003.com/"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政府采购</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（10）处理与评标有关的其他事项。</w:t>
      </w:r>
      <w:r/>
    </w:p>
    <w:p>
      <w:pPr>
        <w:ind w:firstLine="36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一并存档。</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2.评标委员会负责具体评标事务，并独立履行下列职责：</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（2）要求投标人对投标文件有关事项作出澄清或者说明；</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（3）对投标文件进行比较和评价；</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（4）确定中标候选人名单，以及根据采购人委托直接确定中标人；</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（二十八）评标</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1.评标工作程序：</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（1）投标文件初审。</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①资格性审查。</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②符合性审查。</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（2）澄清有关问题。</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（3）比较与评价。</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（4）推荐中标候选投标人名单。</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（5）编写评审报告（评标报告）。</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"http://lilun.caigou2003.com/recijiedu/2365668.html"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最低评标价法</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"http://lilun.caigou2003.com/recijiedu/2365667.html"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综合评分法</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（二十九）投标文件报价出现前后不一致的，按照下列规定修正：</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实施政府采购异常低价审查的有关要求：</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（一）评审中出现下列情形之一的，评审（评标）委员会应当启动异常低价投标（响应）审查程序：</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相关法律法规对供应商报价有规定的，从其规定。</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（三十二）废标条款：</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出现下列情形之一的，应予废标：</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1.符合专业条件的投标人或者对招标文件作实质响应的投标人不足三家的；</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2.出现影响采购公正的违法、违规行为的；</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3.投标人的报价均超过了采购预算，采购人不能支付的；</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4.因重大变故，采购任务取消的。</w:t>
      </w:r>
      <w:r/>
    </w:p>
    <w:p>
      <w:pPr>
        <w:jc w:val="center"/>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六、定标</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2"/>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中标结果公告发布媒介：在徐州政府采购网（</w:t>
      </w:r>
      <w:r>
        <w:rPr>
          <w:rFonts w:hint="eastAsia" w:ascii="宋体" w:hAnsi="宋体" w:cs="宋体"/>
          <w:color w:val="000000" w:themeColor="text1"/>
          <w:sz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上发布</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七、政府采购合同</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（三十六）签订政府采购合同（合同签订方式）</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采购人不得向中标人提出任何不合理的要求作为签订合同的条件。</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2.中标或者成交投标人拒绝与采购人签订合同的，采购人可以按照评审报告推荐的中标或者成交候选人名单排序，确定下一个候选人为中标或者成交投标人，也可以重新开展政府采购活动。</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（三十八）履约保证金</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2.如果中标人没有遵守本章（三十八）1或本章（三十九）的规定，采购代理机构有权取消该中标决定。在此情况下，采购人可以与排位在中标人之后第一位的中标候选人签订政府采购合同，以此类推。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（三十九）腐败和欺诈行为</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（1）腐败和欺诈行为的含义：</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（2）如果被推荐的中标人有腐败和欺诈行为，将取消其中标资格。</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八、询问和质疑</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（四十）询问和质疑</w:t>
      </w:r>
      <w:r/>
    </w:p>
    <w:p>
      <w:pPr>
        <w:ind w:firstLine="480"/>
        <w:jc w:val="left"/>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投标人对政府采购活动事项有疑问的，向采购代理机构提出询问；投标人认为</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九、电子招标投标交易平台</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（四十一）电子招标投标交易平台（即“苏采云”系统，网址：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）相关要求是本招标文件的组成部分。</w:t>
      </w:r>
      <w:r/>
    </w:p>
    <w:p>
      <w:pPr>
        <w:ind w:firstLine="48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br w:type="page" w:clear="all"/>
      </w:r>
      <w:bookmarkStart w:id="2" w:name="_Toc31944"/>
      <w:r>
        <w:rPr>
          <w:rFonts w:hint="eastAsia" w:ascii="宋体" w:hAnsi="宋体" w:eastAsia="宋体" w:cs="宋体"/>
          <w:b/>
          <w:bCs/>
          <w:color w:val="000000" w:themeColor="text1"/>
          <w:sz w:val="32"/>
          <w:szCs w:val="32"/>
          <w:highlight w:val="none"/>
          <w14:textFill>
            <w14:solidFill>
              <w14:schemeClr w14:val="tx1"/>
            </w14:solidFill>
          </w14:textFill>
        </w:rPr>
        <w:t xml:space="preserve">第三章投标资料表</w:t>
      </w:r>
      <w:bookmarkEnd w:id="2"/>
      <w:r/>
      <w:r/>
    </w:p>
    <w:p>
      <w:pPr>
        <w:pStyle w:val="1158"/>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第二章</w:t>
      </w:r>
      <w:r>
        <w:rPr>
          <w:rFonts w:hint="eastAsia" w:ascii="宋体" w:hAnsi="宋体" w:eastAsia="宋体" w:cs="宋体"/>
          <w:color w:val="000000" w:themeColor="text1"/>
          <w:sz w:val="24"/>
          <w:highlight w:val="none"/>
          <w14:textFill>
            <w14:solidFill>
              <w14:schemeClr w14:val="tx1"/>
            </w14:solidFill>
          </w14:textFill>
        </w:rPr>
        <w:t xml:space="preserve">《投标人须知》中条款项号对应的，或增加的条款，是对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第二章</w:t>
      </w:r>
      <w:r>
        <w:rPr>
          <w:rFonts w:hint="eastAsia" w:ascii="宋体" w:hAnsi="宋体" w:eastAsia="宋体" w:cs="宋体"/>
          <w:color w:val="000000" w:themeColor="text1"/>
          <w:sz w:val="24"/>
          <w:highlight w:val="none"/>
          <w14:textFill>
            <w14:solidFill>
              <w14:schemeClr w14:val="tx1"/>
            </w14:solidFill>
          </w14:textFill>
        </w:rPr>
        <w:t xml:space="preserve">《投标人须知》的补充、修改和完善，如果有矛盾的话，应以本资料表为准。</w:t>
      </w:r>
      <w:r/>
    </w:p>
    <w:p>
      <w:pPr>
        <w:keepLines w:val="0"/>
        <w:keepNext w:val="0"/>
        <w:pageBreakBefore w:val="0"/>
        <w:spacing w:line="288"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87"/>
        <w:tblW w:w="9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8703"/>
      </w:tblGrid>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W w:w="8703"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8703"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一、总则</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(一)</w:t>
            </w:r>
            <w:r/>
          </w:p>
        </w:tc>
        <w:tc>
          <w:tcPr>
            <w:tcW w:w="8703" w:type="dxa"/>
            <w:vAlign w:val="center"/>
            <w:textDirection w:val="lrTb"/>
            <w:noWrap w:val="false"/>
          </w:tcPr>
          <w:p>
            <w:pPr>
              <w:keepLines w:val="0"/>
              <w:keepNext w:val="0"/>
              <w:pageBreakBefore w:val="0"/>
              <w:spacing w:line="288"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睢宁县人民医院</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采购人确定的采购项目属性：服务</w:t>
            </w:r>
            <w:r/>
          </w:p>
          <w:p>
            <w:pPr>
              <w:keepLines w:val="0"/>
              <w:keepNext w:val="0"/>
              <w:pageBreakBefore w:val="0"/>
              <w:spacing w:line="288"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本项目是否为专门面向中小微企业采购的项目：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否</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(五)</w:t>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本项目采购代理机构：江苏科建工程项目管理有限公司</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(六)</w:t>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keepLines w:val="0"/>
              <w:keepNext w:val="0"/>
              <w:pageBreakBefore w:val="0"/>
              <w:spacing w:line="288"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b/>
                <w:bCs/>
                <w:color w:val="000000" w:themeColor="text1"/>
                <w:sz w:val="24"/>
                <w:szCs w:val="24"/>
                <w:highlight w:val="none"/>
                <w14:textFill>
                  <w14:solidFill>
                    <w14:schemeClr w14:val="tx1"/>
                  </w14:solidFill>
                </w14:textFill>
              </w:rPr>
              <w:t xml:space="preserve">《中华人民共和国政府采购法》第二十二条规定；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二、落实政府采购政策需满足的资格要求：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此项目不属于专门面向中小微企业采购的项目。</w:t>
            </w:r>
            <w:r/>
          </w:p>
          <w:p>
            <w:pPr>
              <w:keepLines w:val="0"/>
              <w:keepNext w:val="0"/>
              <w:pageBreakBefore w:val="0"/>
              <w:spacing w:line="288"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三、本项目的特定资格要求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同时明确相关事项如下：</w:t>
            </w: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本项目不接受联合体参与采购活动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2、单位负责人为同一人或者存在实际控制、直接控股、管理关系的不同投标人，不得参加同一合同项下的政府采购活动。</w:t>
            </w: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3、为本采购项目提供整体设计、规范编制或者项目管理、监理、检测等服务的投标人，不得再参加本采购项目的采购活动。</w:t>
            </w:r>
            <w:r/>
          </w:p>
          <w:p>
            <w:pPr>
              <w:ind w:firstLine="24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4、查询及使用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 1 \* GB2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⑴</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由采购人查询信用信息。</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 2 \* GB2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⑵</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查询渠道包括：</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①“信用中国”网（</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②中国政府采购网（</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"http://www.ccgp.gov.cn/"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③“信用江苏”网（www.jscredit.gov.cn）；</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“信用中国 (江苏徐州)”网（www.xuzhoucredit.gov.cn/）。</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 3 \* GB2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⑶</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截止时点（查询环节）：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开标后资格审查结束</w:t>
            </w:r>
            <w:r>
              <w:rPr>
                <w:rFonts w:hint="eastAsia" w:ascii="宋体" w:hAnsi="宋体" w:eastAsia="宋体" w:cs="宋体"/>
                <w:color w:val="000000" w:themeColor="text1"/>
                <w:sz w:val="24"/>
                <w:szCs w:val="24"/>
                <w:highlight w:val="none"/>
                <w14:textFill>
                  <w14:solidFill>
                    <w14:schemeClr w14:val="tx1"/>
                  </w14:solidFill>
                </w14:textFill>
              </w:rPr>
              <w:t xml:space="preserve">前。</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⑷信用信息查询记录和证据留存的具体方式：</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网页截屏打印，与其他</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一并保存。</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⑸信用信息的使用规则：</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，拒绝其参与政府采购活动。</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(七)</w:t>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招标代理服务费由</w:t>
            </w:r>
            <w:r>
              <w:rPr>
                <w:rFonts w:hint="eastAsia" w:ascii="宋体" w:hAnsi="宋体" w:cs="宋体"/>
                <w:color w:val="000000" w:themeColor="text1"/>
                <w:sz w:val="24"/>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1"/>
                <w:highlight w:val="none"/>
                <w14:textFill>
                  <w14:solidFill>
                    <w14:schemeClr w14:val="tx1"/>
                  </w14:solidFill>
                </w14:textFill>
              </w:rPr>
              <w:t xml:space="preserve">支付，收费</w:t>
            </w:r>
            <w:r>
              <w:rPr>
                <w:rFonts w:hint="eastAsia" w:ascii="宋体" w:hAnsi="宋体" w:cs="宋体"/>
                <w:color w:val="000000" w:themeColor="text1"/>
                <w:sz w:val="24"/>
                <w:szCs w:val="21"/>
                <w:highlight w:val="none"/>
                <w:lang w:val="en-US" w:eastAsia="zh-CN"/>
                <w14:textFill>
                  <w14:solidFill>
                    <w14:schemeClr w14:val="tx1"/>
                  </w14:solidFill>
                </w14:textFill>
              </w:rPr>
              <w:t xml:space="preserve">金额</w:t>
            </w:r>
            <w:r>
              <w:rPr>
                <w:rFonts w:hint="eastAsia" w:ascii="宋体" w:hAnsi="宋体" w:eastAsia="宋体" w:cs="宋体"/>
                <w:color w:val="000000" w:themeColor="text1"/>
                <w:sz w:val="24"/>
                <w:szCs w:val="21"/>
                <w:highlight w:val="none"/>
                <w14:textFill>
                  <w14:solidFill>
                    <w14:schemeClr w14:val="tx1"/>
                  </w14:solidFill>
                </w14:textFill>
              </w:rPr>
              <w:t xml:space="preserve">见</w:t>
            </w:r>
            <w:r>
              <w:rPr>
                <w:rFonts w:hint="eastAsia" w:ascii="宋体" w:hAnsi="宋体" w:cs="宋体"/>
                <w:color w:val="000000" w:themeColor="text1"/>
                <w:sz w:val="24"/>
                <w:szCs w:val="21"/>
                <w:highlight w:val="none"/>
                <w:lang w:val="en-US" w:eastAsia="zh-CN"/>
                <w14:textFill>
                  <w14:solidFill>
                    <w14:schemeClr w14:val="tx1"/>
                  </w14:solidFill>
                </w14:textFill>
              </w:rPr>
              <w:t xml:space="preserve">委托代理协议</w:t>
            </w:r>
            <w:r>
              <w:rPr>
                <w:rFonts w:hint="eastAsia" w:ascii="宋体" w:hAnsi="宋体" w:cs="仿宋_GB2312"/>
                <w:color w:val="000000" w:themeColor="text1"/>
                <w:sz w:val="24"/>
                <w:highlight w:val="none"/>
                <w14:textFill>
                  <w14:solidFill>
                    <w14:schemeClr w14:val="tx1"/>
                  </w14:solidFill>
                </w14:textFill>
              </w:rPr>
              <w:t xml:space="preserve">。</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W w:w="8703"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二、招标</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（九）1</w:t>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对招标文件进行澄清或者修改的，通过“苏采云”系统及</w:t>
            </w:r>
            <w:r>
              <w:rPr>
                <w:rFonts w:hint="eastAsia" w:ascii="宋体" w:hAnsi="宋体" w:eastAsia="宋体" w:cs="宋体"/>
                <w:color w:val="000000" w:themeColor="text1"/>
                <w:sz w:val="24"/>
                <w:highlight w:val="none"/>
                <w14:textFill>
                  <w14:solidFill>
                    <w14:schemeClr w14:val="tx1"/>
                  </w14:solidFill>
                </w14:textFill>
              </w:rPr>
              <w:t xml:space="preserve">徐州政府采购网（</w:t>
            </w:r>
            <w:r>
              <w:rPr>
                <w:rFonts w:hint="eastAsia" w:ascii="宋体" w:hAnsi="宋体" w:cs="宋体"/>
                <w:color w:val="000000" w:themeColor="text1"/>
                <w:sz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公告澄清或者修改的内容。澄清或者修改的内容以所发布的本项目的“更正（澄清）公告”的形式通知所有获取招标文件的潜在投标人。发布本项目的“更正（澄清）公告”后采购代理机构已尽通知义务。</w:t>
            </w:r>
            <w:r/>
          </w:p>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敬请各潜在投标人关注本项目的“更正（澄清）公告”，并通过“苏采云”系统重新下载更正（澄清）后的</w:t>
            </w:r>
            <w:r>
              <w:rPr>
                <w:rFonts w:hint="eastAsia" w:ascii="宋体" w:hAnsi="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（后缀名为“.kedt”），离线编制投标文件，否则，将自行承担相应的风险。</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（九）2</w:t>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不安排现场考察。</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（九）3</w:t>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不安排开标前答疑会</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W w:w="8703"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三、投标</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（十一）</w:t>
            </w:r>
            <w:r/>
          </w:p>
        </w:tc>
        <w:tc>
          <w:tcPr>
            <w:tcW w:w="8703"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投标文件的语言为中文</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十二</w:t>
            </w:r>
            <w:r>
              <w:rPr>
                <w:rFonts w:hint="eastAsia" w:ascii="宋体" w:hAnsi="宋体" w:cs="宋体"/>
                <w:color w:val="000000" w:themeColor="text1"/>
                <w:sz w:val="22"/>
                <w:szCs w:val="22"/>
                <w:highlight w:val="none"/>
                <w:lang w:eastAsia="zh-CN"/>
                <w14:textFill>
                  <w14:solidFill>
                    <w14:schemeClr w14:val="tx1"/>
                  </w14:solidFill>
                </w14:textFill>
              </w:rPr>
              <w:t xml:space="preserve">）</w:t>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投标人须用政府采购客户端工具导入“苏采云”系统下载的招标文件后，离线编制投标文件。招标文件、</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操作手册及政府采购客户端工具可通过“苏采云”系统（网址：</w:t>
            </w: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w:t>
            </w:r>
            <w:bookmarkStart w:id="3" w:name="_Hlt91509263"/>
            <w:r/>
            <w:bookmarkStart w:id="4" w:name="_Hlt91509264"/>
            <w:r>
              <w:rPr>
                <w:rFonts w:hint="eastAsia" w:ascii="宋体" w:hAnsi="宋体" w:eastAsia="宋体" w:cs="宋体"/>
                <w:color w:val="000000" w:themeColor="text1"/>
                <w:sz w:val="24"/>
                <w:highlight w:val="none"/>
                <w14:textFill>
                  <w14:solidFill>
                    <w14:schemeClr w14:val="tx1"/>
                  </w14:solidFill>
                </w14:textFill>
              </w:rPr>
              <w:t xml:space="preserve">z</w:t>
            </w:r>
            <w:bookmarkEnd w:id="3"/>
            <w:r/>
            <w:bookmarkEnd w:id="4"/>
            <w:r>
              <w:rPr>
                <w:rFonts w:hint="eastAsia" w:ascii="宋体" w:hAnsi="宋体" w:eastAsia="宋体" w:cs="宋体"/>
                <w:color w:val="000000" w:themeColor="text1"/>
                <w:sz w:val="24"/>
                <w:highlight w:val="none"/>
                <w14:textFill>
                  <w14:solidFill>
                    <w14:schemeClr w14:val="tx1"/>
                  </w14:solidFill>
                </w14:textFill>
              </w:rPr>
              <w:t xml:space="preserve">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相关服务</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资料下载</w:t>
            </w:r>
            <w:r>
              <w:rPr>
                <w:rFonts w:hint="eastAsia" w:ascii="宋体" w:hAnsi="宋体" w:eastAsia="宋体" w:cs="宋体"/>
                <w:color w:val="000000" w:themeColor="text1"/>
                <w:sz w:val="24"/>
                <w:highlight w:val="none"/>
                <w14:textFill>
                  <w14:solidFill>
                    <w14:schemeClr w14:val="tx1"/>
                  </w14:solidFill>
                </w14:textFill>
              </w:rPr>
              <w:t xml:space="preserve">，点击进入《江苏省政府采购管理交易系统（苏采云）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操作手册及政府采购客户端》，进行下载。</w:t>
            </w:r>
            <w:r/>
          </w:p>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特别说明：政府采购客户端工具需要导出加密的投标文件（后缀名为zip）。投标文件不得超过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50M！（以系统为准）</w:t>
            </w:r>
            <w:r/>
          </w:p>
        </w:tc>
      </w:tr>
      <w:tr>
        <w:trPr>
          <w:jc w:val="center"/>
          <w:trHeight w:val="23"/>
        </w:trPr>
        <w:tc>
          <w:tcPr>
            <w:tcW w:w="1256" w:type="dxa"/>
            <w:vAlign w:val="center"/>
            <w:textDirection w:val="lrTb"/>
            <w:noWrap w:val="false"/>
          </w:tcPr>
          <w:p>
            <w:pPr>
              <w:numPr>
                <w:ilvl w:val="0"/>
                <w:numId w:val="0"/>
              </w:numPr>
              <w:jc w:val="both"/>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(十二)</w:t>
            </w:r>
            <w:r>
              <w:rPr>
                <w:rFonts w:hint="eastAsia" w:ascii="宋体" w:hAnsi="宋体" w:eastAsia="宋体" w:cs="宋体"/>
                <w:color w:val="000000" w:themeColor="text1"/>
                <w:sz w:val="22"/>
                <w:szCs w:val="22"/>
                <w:highlight w:val="none"/>
                <w14:textFill>
                  <w14:solidFill>
                    <w14:schemeClr w14:val="tx1"/>
                  </w14:solidFill>
                </w14:textFill>
              </w:rPr>
              <w:t xml:space="preserve">1</w:t>
            </w:r>
            <w:r/>
          </w:p>
          <w:p>
            <w:pPr>
              <w:jc w:val="both"/>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(十二)2</w:t>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线上投标文件编制要求</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请按照以下要求</w:t>
            </w:r>
            <w:r>
              <w:rPr>
                <w:rFonts w:hint="eastAsia" w:ascii="宋体" w:hAnsi="宋体" w:eastAsia="宋体" w:cs="宋体"/>
                <w:color w:val="000000" w:themeColor="text1"/>
                <w:sz w:val="24"/>
                <w:szCs w:val="24"/>
                <w:highlight w:val="none"/>
                <w14:textFill>
                  <w14:solidFill>
                    <w14:schemeClr w14:val="tx1"/>
                  </w14:solidFill>
                </w14:textFill>
              </w:rPr>
              <w:t xml:space="preserve">（包括但不限于以下要求）制作：</w:t>
            </w:r>
            <w:r/>
          </w:p>
          <w:p>
            <w:pPr>
              <w:ind w:firstLine="482"/>
              <w:keepLines w:val="0"/>
              <w:keepNext w:val="0"/>
              <w:pageBreakBefore w:val="0"/>
              <w:spacing w:line="288"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一、基本目录</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1、目录</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《开标一览表》（加盖电子签章，政府采购客户端工具输入报价自动生成）。</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投标人认为需要提供的其他资料</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p>
          <w:p>
            <w:pPr>
              <w:ind w:firstLine="482"/>
              <w:keepLines w:val="0"/>
              <w:keepNext w:val="0"/>
              <w:pageBreakBefore w:val="0"/>
              <w:spacing w:line="288"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二、资格条件（1-5</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必须提供，加盖电子签章，否则投标无效）</w:t>
            </w:r>
            <w:r/>
          </w:p>
          <w:p>
            <w:pPr>
              <w:pStyle w:val="810"/>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1.具有独立承担民事责任的能力</w:t>
            </w:r>
            <w:r>
              <w:rPr>
                <w:rFonts w:hint="eastAsia" w:ascii="宋体" w:hAnsi="宋体" w:cs="宋体"/>
                <w:b/>
                <w:bCs/>
                <w:i w:val="0"/>
                <w:iCs w:val="0"/>
                <w:caps w:val="0"/>
                <w:color w:val="000000" w:themeColor="text1"/>
                <w:spacing w:val="0"/>
                <w:sz w:val="24"/>
                <w:szCs w:val="24"/>
                <w:highlight w:val="none"/>
                <w:lang w:val="zh-CN"/>
                <w14:textFill>
                  <w14:solidFill>
                    <w14:schemeClr w14:val="tx1"/>
                  </w14:solidFill>
                </w14:textFill>
              </w:rPr>
              <w:t xml:space="preserve">，</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提供投标人合法有效</w:t>
            </w:r>
            <w:r>
              <w:rPr>
                <w:rFonts w:hint="eastAsia" w:ascii="宋体" w:hAnsi="宋体" w:eastAsia="宋体" w:cs="宋体"/>
                <w:i w:val="0"/>
                <w:iCs w:val="0"/>
                <w:caps w:val="0"/>
                <w:color w:val="000000" w:themeColor="text1"/>
                <w:spacing w:val="0"/>
                <w:sz w:val="24"/>
                <w:szCs w:val="24"/>
                <w:highlight w:val="none"/>
                <w:lang w:val="zh-CN"/>
                <w14:textFill>
                  <w14:solidFill>
                    <w14:schemeClr w14:val="tx1"/>
                  </w14:solidFill>
                </w14:textFill>
              </w:rPr>
              <w:t xml:space="preserve">的营业执照</w:t>
            </w:r>
            <w:r>
              <w:rPr>
                <w:rFonts w:hint="eastAsia" w:ascii="宋体" w:hAnsi="宋体" w:cs="宋体"/>
                <w:i w:val="0"/>
                <w:iCs w:val="0"/>
                <w:caps w:val="0"/>
                <w:color w:val="000000" w:themeColor="text1"/>
                <w:spacing w:val="0"/>
                <w:sz w:val="24"/>
                <w:szCs w:val="24"/>
                <w:highlight w:val="none"/>
                <w:lang w:val="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zh-CN"/>
                <w14:textFill>
                  <w14:solidFill>
                    <w14:schemeClr w14:val="tx1"/>
                  </w14:solidFill>
                </w14:textFill>
              </w:rPr>
              <w:t xml:space="preserve">或事业单位法人证书或民办非企业单位登记证书</w:t>
            </w:r>
            <w:r>
              <w:rPr>
                <w:rFonts w:hint="eastAsia" w:ascii="宋体" w:hAnsi="宋体" w:cs="宋体"/>
                <w:i w:val="0"/>
                <w:iCs w:val="0"/>
                <w:caps w:val="0"/>
                <w:color w:val="000000" w:themeColor="text1"/>
                <w:spacing w:val="0"/>
                <w:sz w:val="24"/>
                <w:szCs w:val="24"/>
                <w:highlight w:val="none"/>
                <w:lang w:val="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i w:val="0"/>
                <w:iCs w:val="0"/>
                <w:caps w:val="0"/>
                <w:color w:val="000000" w:themeColor="text1"/>
                <w:spacing w:val="0"/>
                <w:sz w:val="24"/>
                <w:szCs w:val="24"/>
                <w:highlight w:val="none"/>
                <w:lang w:val="zh-CN"/>
                <w14:textFill>
                  <w14:solidFill>
                    <w14:schemeClr w14:val="tx1"/>
                  </w14:solidFill>
                </w14:textFill>
              </w:rPr>
              <w:t xml:space="preserve">。</w:t>
            </w:r>
            <w:r/>
          </w:p>
          <w:p>
            <w:pPr>
              <w:pStyle w:val="810"/>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2.财务状况报告（至少提供投标人的本项目开标时间前6个月内任何时间的资产负债表和利润表扫描件各一份；或提供投标人（</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2025年度</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）经审计的财务报告扫描件一份；或提供投标人的本项目开标时间前6个月内银行出具的资信证明扫描件一份）</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pStyle w:val="810"/>
              <w:ind w:left="0" w:right="0" w:firstLine="480"/>
              <w:jc w:val="both"/>
              <w:keepLines w:val="0"/>
              <w:keepNext w:val="0"/>
              <w:pageBreakBefore w:val="0"/>
              <w:spacing w:before="0" w:beforeAutospacing="0" w:after="0" w:afterAutospacing="0" w:line="288" w:lineRule="auto"/>
              <w:widowControl/>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3.投标人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投标人,提供相应文件扫描件证明其依法免税或不需要缴纳社会保障资金)</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pStyle w:val="810"/>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4.具</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有</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履行合同所必需的设备和专业技术能力的证明（</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文件中提供《具备履行合同所必需的设备和专业技术能力的书面声明（附证明材料扫描件）》，加盖电子签章，格式见</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文件相关格式》</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,所附证明材料扫描件可不加盖电子签章）</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pStyle w:val="810"/>
              <w:ind w:left="0" w:right="0" w:firstLine="480"/>
              <w:jc w:val="both"/>
              <w:keepLines w:val="0"/>
              <w:keepNext w:val="0"/>
              <w:pageBreakBefore w:val="0"/>
              <w:spacing w:before="0" w:beforeAutospacing="0" w:after="0" w:afterAutospacing="0" w:line="288" w:lineRule="auto"/>
              <w:widowControl/>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5.投标人参加政府采购活动前3年内在经营活动中没有重大违法记录的书面声明（加盖电子签章，格式见第七章《投标文件相关格式》）</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firstLine="482"/>
              <w:keepLines w:val="0"/>
              <w:keepNext w:val="0"/>
              <w:pageBreakBefore w:val="0"/>
              <w:spacing w:line="288"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三、符合条件（必须提供，否则投标无效）</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（一）报价</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default" w:ascii="Segoe UI" w:hAnsi="Segoe UI" w:eastAsia="Segoe UI" w:cs="Segoe UI"/>
                <w:i w:val="0"/>
                <w:iCs w:val="0"/>
                <w:caps w:val="0"/>
                <w:color w:val="000000" w:themeColor="text1"/>
                <w:spacing w:val="0"/>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2、《分项价格表》（加盖电子签章，格式见招标文件第七章《投标文件相关格式》。）</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《投标函》（加盖电子签章，格式见招标文件第七章《投标文件相关格式》。）</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法定代表人授权委托书</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14:textFill>
                  <w14:solidFill>
                    <w14:schemeClr w14:val="tx1"/>
                  </w14:solidFill>
                </w14:textFill>
              </w:rPr>
              <w:t xml:space="preserve">，格式见招标文件第七章《投标文件相关格式》，必须提供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否则在符合性审查时按照投标无效处理）</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（三）技术响应</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《偏离表》（加盖电子签章，格式见招标文件第七章《投标文件相关格式》。）</w:t>
            </w:r>
            <w:r/>
          </w:p>
          <w:p>
            <w:pPr>
              <w:pStyle w:val="788"/>
              <w:ind w:firstLine="480"/>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 《投标人相关承诺及投标人书面声明》（加盖电子签章，格式见招标文件第七章《投标文件相关格式》。）</w:t>
            </w:r>
            <w:r/>
          </w:p>
          <w:p>
            <w:pPr>
              <w:ind w:firstLine="482"/>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综合评审评分项</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（一）技术部分</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要求见招标文件第四章《评标标准》、第五章《采购需求》。</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（二）商务部分</w:t>
            </w:r>
            <w:r/>
          </w:p>
          <w:p>
            <w:pPr>
              <w:ind w:firstLine="480"/>
              <w:keepLines w:val="0"/>
              <w:keepNext w:val="0"/>
              <w:pageBreakBefore w:val="0"/>
              <w:spacing w:line="288"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要求见招标文件第四章《评标标准》、第五章《采购需求》。</w:t>
            </w:r>
            <w:r/>
          </w:p>
          <w:p>
            <w:pPr>
              <w:numPr>
                <w:ilvl w:val="0"/>
                <w:numId w:val="1"/>
              </w:numPr>
              <w:ind w:firstLine="482"/>
              <w:keepLines w:val="0"/>
              <w:keepNext w:val="0"/>
              <w:pageBreakBefore w:val="0"/>
              <w:spacing w:line="288"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投标人提供的服务全部由符合政策要求的中小企业承接的，提供《中小企业声</w:t>
            </w:r>
            <w:r>
              <w:rPr>
                <w:rFonts w:hint="eastAsia" w:ascii="宋体" w:hAnsi="宋体" w:cs="宋体"/>
                <w:color w:val="000000" w:themeColor="text1"/>
                <w:sz w:val="24"/>
                <w:szCs w:val="24"/>
                <w:highlight w:val="none"/>
                <w14:textFill>
                  <w14:solidFill>
                    <w14:schemeClr w14:val="tx1"/>
                  </w14:solidFill>
                </w14:textFill>
              </w:rPr>
              <w:t xml:space="preserve">明函》</w:t>
            </w:r>
            <w:r>
              <w:rPr>
                <w:rFonts w:hint="eastAsia" w:ascii="宋体" w:hAnsi="宋体" w:eastAsia="宋体" w:cs="宋体"/>
                <w:b/>
                <w:bCs/>
                <w:color w:val="000000" w:themeColor="text1"/>
                <w:sz w:val="24"/>
                <w:szCs w:val="24"/>
                <w:highlight w:val="none"/>
                <w14:textFill>
                  <w14:solidFill>
                    <w14:schemeClr w14:val="tx1"/>
                  </w14:solidFill>
                </w14:textFill>
              </w:rPr>
              <w:t xml:space="preserve">（电子签章，填写完整。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格式见招标文件第七章《投标文件相关格式》</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《中小企业声明函》查询渠道用微信搜索“中小企业规模类型自测小程序”</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注：中小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企业，应当符合以下条件：</w:t>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需满足的条件</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投标人为监狱企业的，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提供省级以上监狱管理局、戒毒管理局（含新疆生产建设兵团）出具的属于监狱企业的证明文件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。具体以《财政部司法部关于政府采购支持监狱企业发展有关问题的通知》（财库〔2014〕68号）的规定为准。</w:t>
            </w:r>
            <w:r/>
          </w:p>
          <w:p>
            <w:pPr>
              <w:ind w:firstLine="480"/>
              <w:keepLines w:val="0"/>
              <w:keepNext w:val="0"/>
              <w:pageBreakBefore w:val="0"/>
              <w:spacing w:line="288"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投标人为残疾人福利性单位的，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提供《残疾人福利性单位声明函》（加盖电子签章，格式见招标文件第七章《投标文件相关格式》）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1、投标人应对以上文件的合法性、真实性负责。</w:t>
            </w:r>
            <w:r/>
          </w:p>
          <w:p>
            <w:pPr>
              <w:ind w:firstLine="480"/>
              <w:keepLines w:val="0"/>
              <w:keepNext w:val="0"/>
              <w:pageBreakBefore w:val="0"/>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keepLines w:val="0"/>
              <w:keepNext w:val="0"/>
              <w:pageBreakBefore w:val="0"/>
              <w:spacing w:line="288"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3、线下纸质投标文件：中标人领取中标通知书时须向代理机构提交纸质胶装投标文件一正四副和投标文件电子版</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份（载体为U盘）。后期招标人如有需要中标人仍需免费提供。</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(十三)2</w:t>
            </w:r>
            <w:r/>
          </w:p>
        </w:tc>
        <w:tc>
          <w:tcPr>
            <w:tcW w:w="8703" w:type="dxa"/>
            <w:vAlign w:val="center"/>
            <w:textDirection w:val="lrTb"/>
            <w:noWrap w:val="false"/>
          </w:tcPr>
          <w:p>
            <w:pPr>
              <w:ind w:firstLine="482"/>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商务条件见：</w:t>
            </w:r>
            <w:r/>
          </w:p>
          <w:p>
            <w:pPr>
              <w:ind w:firstLine="482"/>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1.招标文件第四章《评标标准》中《评分细则》</w:t>
            </w:r>
            <w:r/>
          </w:p>
          <w:p>
            <w:pPr>
              <w:ind w:firstLine="482"/>
              <w:keepLines w:val="0"/>
              <w:keepNext w:val="0"/>
              <w:pageBreakBefore w:val="0"/>
              <w:spacing w:line="288"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2.招标文件第三章《投标资料表》中(十二)1和(十二)2</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(十三)3</w:t>
            </w:r>
            <w:r/>
          </w:p>
        </w:tc>
        <w:tc>
          <w:tcPr>
            <w:tcW w:w="8703" w:type="dxa"/>
            <w:vAlign w:val="center"/>
            <w:textDirection w:val="lrTb"/>
            <w:noWrap w:val="false"/>
          </w:tcPr>
          <w:p>
            <w:pPr>
              <w:ind w:firstLine="482"/>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提供服务或交付成果报告的时间见：招标文件第五章《采购需求》及或招标文件第六章《拟签订的合同文本》。</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(十四)2</w:t>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Segoe UI" w:hAnsi="Segoe UI" w:eastAsia="Segoe UI" w:cs="Segoe UI"/>
                <w:i w:val="0"/>
                <w:iCs w:val="0"/>
                <w:caps w:val="0"/>
                <w:color w:val="000000" w:themeColor="text1"/>
                <w:spacing w:val="0"/>
                <w:sz w:val="24"/>
                <w:szCs w:val="24"/>
                <w:highlight w:val="none"/>
                <w14:textFill>
                  <w14:solidFill>
                    <w14:schemeClr w14:val="tx1"/>
                  </w14:solidFill>
                </w14:textFill>
              </w:rPr>
              <w:t xml:space="preserve">本项目</w:t>
            </w:r>
            <w:r>
              <w:rPr>
                <w:rFonts w:hint="eastAsia" w:ascii="Segoe UI" w:hAnsi="Segoe UI" w:eastAsia="宋体" w:cs="Segoe UI"/>
                <w:i w:val="0"/>
                <w:iCs w:val="0"/>
                <w:caps w:val="0"/>
                <w:color w:val="000000" w:themeColor="text1"/>
                <w:spacing w:val="0"/>
                <w:sz w:val="24"/>
                <w:szCs w:val="24"/>
                <w:highlight w:val="none"/>
                <w:lang w:val="en-US" w:eastAsia="zh-CN"/>
                <w14:textFill>
                  <w14:solidFill>
                    <w14:schemeClr w14:val="tx1"/>
                  </w14:solidFill>
                </w14:textFill>
              </w:rPr>
              <w:t xml:space="preserve">采购</w:t>
            </w:r>
            <w:r>
              <w:rPr>
                <w:rFonts w:hint="eastAsia" w:ascii="Segoe UI" w:hAnsi="Segoe UI" w:cs="Segoe UI"/>
                <w:i w:val="0"/>
                <w:iCs w:val="0"/>
                <w:caps w:val="0"/>
                <w:color w:val="000000" w:themeColor="text1"/>
                <w:spacing w:val="0"/>
                <w:sz w:val="24"/>
                <w:szCs w:val="24"/>
                <w:highlight w:val="none"/>
                <w:lang w:val="en-US" w:eastAsia="zh-CN"/>
                <w14:textFill>
                  <w14:solidFill>
                    <w14:schemeClr w14:val="tx1"/>
                  </w14:solidFill>
                </w14:textFill>
              </w:rPr>
              <w:t xml:space="preserve">最高限价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178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万元</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人民币</w:t>
            </w:r>
            <w:r>
              <w:rPr>
                <w:rFonts w:hint="eastAsia" w:ascii="Segoe UI" w:hAnsi="Segoe UI" w:cs="Segoe UI"/>
                <w:i w:val="0"/>
                <w:iCs w:val="0"/>
                <w:caps w:val="0"/>
                <w:color w:val="000000" w:themeColor="text1"/>
                <w:spacing w:val="0"/>
                <w:sz w:val="24"/>
                <w:szCs w:val="24"/>
                <w:highlight w:val="none"/>
                <w:lang w:eastAsia="zh-CN"/>
                <w14:textFill>
                  <w14:solidFill>
                    <w14:schemeClr w14:val="tx1"/>
                  </w14:solidFill>
                </w14:textFill>
              </w:rPr>
              <w:t xml:space="preserve">，</w:t>
            </w:r>
            <w:r>
              <w:rPr>
                <w:rFonts w:ascii="Segoe UI" w:hAnsi="Segoe UI" w:eastAsia="Segoe UI" w:cs="Segoe UI"/>
                <w:i w:val="0"/>
                <w:iCs w:val="0"/>
                <w:caps w:val="0"/>
                <w:color w:val="000000" w:themeColor="text1"/>
                <w:spacing w:val="0"/>
                <w:sz w:val="24"/>
                <w:szCs w:val="24"/>
                <w:highlight w:val="none"/>
                <w14:textFill>
                  <w14:solidFill>
                    <w14:schemeClr w14:val="tx1"/>
                  </w14:solidFill>
                </w14:textFill>
              </w:rPr>
              <w:t xml:space="preserve">不接受</w:t>
            </w:r>
            <w:r>
              <w:rPr>
                <w:rFonts w:hint="eastAsia" w:ascii="Segoe UI" w:hAnsi="Segoe UI" w:eastAsia="宋体" w:cs="Segoe UI"/>
                <w:i w:val="0"/>
                <w:iCs w:val="0"/>
                <w:caps w:val="0"/>
                <w:color w:val="000000" w:themeColor="text1"/>
                <w:spacing w:val="0"/>
                <w:sz w:val="24"/>
                <w:szCs w:val="24"/>
                <w:highlight w:val="none"/>
                <w:lang w:val="en-US" w:eastAsia="zh-CN"/>
                <w14:textFill>
                  <w14:solidFill>
                    <w14:schemeClr w14:val="tx1"/>
                  </w14:solidFill>
                </w14:textFill>
              </w:rPr>
              <w:t xml:space="preserve">超过</w:t>
            </w:r>
            <w:r>
              <w:rPr>
                <w:rFonts w:hint="eastAsia" w:ascii="Segoe UI" w:hAnsi="Segoe UI" w:cs="Segoe UI"/>
                <w:i w:val="0"/>
                <w:iCs w:val="0"/>
                <w:caps w:val="0"/>
                <w:color w:val="000000" w:themeColor="text1"/>
                <w:spacing w:val="0"/>
                <w:sz w:val="24"/>
                <w:szCs w:val="24"/>
                <w:highlight w:val="none"/>
                <w:lang w:val="en-US" w:eastAsia="zh-CN"/>
                <w14:textFill>
                  <w14:solidFill>
                    <w14:schemeClr w14:val="tx1"/>
                  </w14:solidFill>
                </w14:textFill>
              </w:rPr>
              <w:t xml:space="preserve">178</w:t>
            </w:r>
            <w:r>
              <w:rPr>
                <w:rFonts w:hint="eastAsia" w:ascii="Segoe UI" w:hAnsi="Segoe UI" w:eastAsia="宋体" w:cs="Segoe UI"/>
                <w:i w:val="0"/>
                <w:iCs w:val="0"/>
                <w:caps w:val="0"/>
                <w:color w:val="000000" w:themeColor="text1"/>
                <w:spacing w:val="0"/>
                <w:sz w:val="24"/>
                <w:szCs w:val="24"/>
                <w:highlight w:val="none"/>
                <w:lang w:val="en-US" w:eastAsia="zh-CN"/>
                <w14:textFill>
                  <w14:solidFill>
                    <w14:schemeClr w14:val="tx1"/>
                  </w14:solidFill>
                </w14:textFill>
              </w:rPr>
              <w:t xml:space="preserve">万元的</w:t>
            </w:r>
            <w:r>
              <w:rPr>
                <w:rFonts w:ascii="Segoe UI" w:hAnsi="Segoe UI" w:eastAsia="Segoe UI" w:cs="Segoe UI"/>
                <w:i w:val="0"/>
                <w:iCs w:val="0"/>
                <w:caps w:val="0"/>
                <w:color w:val="000000" w:themeColor="text1"/>
                <w:spacing w:val="0"/>
                <w:sz w:val="24"/>
                <w:szCs w:val="24"/>
                <w:highlight w:val="none"/>
                <w14:textFill>
                  <w14:solidFill>
                    <w14:schemeClr w14:val="tx1"/>
                  </w14:solidFill>
                </w14:textFill>
              </w:rPr>
              <w:t xml:space="preserve">报价</w:t>
            </w:r>
            <w:r>
              <w:rPr>
                <w:rFonts w:ascii="Segoe UI" w:hAnsi="Segoe UI" w:eastAsia="Segoe UI" w:cs="Segoe UI"/>
                <w:i w:val="0"/>
                <w:iCs w:val="0"/>
                <w:caps w:val="0"/>
                <w:color w:val="000000" w:themeColor="text1"/>
                <w:spacing w:val="0"/>
                <w:sz w:val="24"/>
                <w:szCs w:val="24"/>
                <w:highlight w:val="none"/>
                <w14:textFill>
                  <w14:solidFill>
                    <w14:schemeClr w14:val="tx1"/>
                  </w14:solidFill>
                </w14:textFill>
              </w:rPr>
              <w:t xml:space="preserve">。</w:t>
            </w:r>
            <w:r/>
          </w:p>
          <w:p>
            <w:pPr>
              <w:ind w:firstLine="482"/>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报价包括本项目的全部费用，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不再支付报价以外的任何费用。</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(十五)</w:t>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以人民币报价。</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（十七）2（1）</w:t>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线上要求：投标人应当通过“苏采云”系统提交数据电文形式的投标文件（即电子投标）。</w:t>
            </w:r>
            <w:r/>
          </w:p>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特别说明：投标人通过“苏采云”系统提交政府采购客户端工具导出加密的投标文件（后缀名为zip）。投标文件不得超过150M！（以系统为准）</w:t>
            </w:r>
            <w:r/>
          </w:p>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投标文件的退还：</w:t>
            </w:r>
            <w:r/>
          </w:p>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说明：本项目采用线上投标，即投标人投标文件从政府采购客户端工具制作通过“苏采云”系统提交，未提供线上投标文件的，投标无效。</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(十八)4</w:t>
            </w:r>
            <w:r/>
          </w:p>
        </w:tc>
        <w:tc>
          <w:tcPr>
            <w:tcW w:w="8703" w:type="dxa"/>
            <w:vAlign w:val="center"/>
            <w:textDirection w:val="lrTb"/>
            <w:noWrap w:val="false"/>
          </w:tcPr>
          <w:p>
            <w:pPr>
              <w:ind w:firstLine="480"/>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见招标文件第三章《投标资料表》中(十二)1和(十二)2</w:t>
            </w:r>
            <w:r/>
          </w:p>
        </w:tc>
      </w:tr>
      <w:tr>
        <w:trPr>
          <w:jc w:val="center"/>
          <w:trHeight w:val="23"/>
        </w:trPr>
        <w:tc>
          <w:tcPr>
            <w:tcW w:w="1256" w:type="dxa"/>
            <w:vAlign w:val="top"/>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(十八)</w:t>
            </w:r>
            <w:r/>
          </w:p>
        </w:tc>
        <w:tc>
          <w:tcPr>
            <w:tcW w:w="8703" w:type="dxa"/>
            <w:vAlign w:val="top"/>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线上投标文件的密封、签署、盖章要求：</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一、投标文件的密封（加密）要求：</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二、投标文件的签署要求：见招标文件第七章《投标文件相关格式》。</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1、未进行线上投标并解密(因“苏采云”系统导致解密失败的除外)的，所导致的一切后果均由投标人承担。</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2、投标文件的签署要求：见招标文件第七章《投标文件相关格式》。</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3、投标文件的盖章要求：见招标文件第三章《投标资料表》和招标文件第七章《投标文件相关格式》。</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说明：投标人应凭CA数字证书以及自备的能够登录“苏采云”系统的电脑，在达到开标时间后，使用CA数字证书解密各自投标文件。</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投标人未按规定加密的投标文件，“苏采云”系统应当拒收并提示。</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(十九)</w:t>
            </w:r>
            <w:r/>
          </w:p>
        </w:tc>
        <w:tc>
          <w:tcPr>
            <w:tcW w:w="8703" w:type="dxa"/>
            <w:vAlign w:val="center"/>
            <w:textDirection w:val="lrTb"/>
            <w:noWrap w:val="false"/>
          </w:tcPr>
          <w:p>
            <w:pPr>
              <w:keepLines w:val="0"/>
              <w:keepNext w:val="0"/>
              <w:pageBreakBefore w:val="0"/>
              <w:spacing w:line="24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一、投标文件提交时间：</w:t>
            </w:r>
            <w:r>
              <w:rPr>
                <w:rFonts w:hint="eastAsia" w:ascii="宋体" w:hAnsi="宋体" w:eastAsia="宋体" w:cs="宋体"/>
                <w:b/>
                <w:bCs/>
                <w:color w:val="000000" w:themeColor="text1"/>
                <w:sz w:val="24"/>
                <w:highlight w:val="none"/>
                <w14:textFill>
                  <w14:solidFill>
                    <w14:schemeClr w14:val="tx1"/>
                  </w14:solidFill>
                </w14:textFill>
              </w:rPr>
              <w:t xml:space="preserve">2026年10月22日</w:t>
            </w:r>
            <w:r>
              <w:rPr>
                <w:rFonts w:hint="eastAsia" w:ascii="宋体" w:hAnsi="宋体" w:eastAsia="宋体" w:cs="宋体"/>
                <w:b/>
                <w:bCs/>
                <w:color w:val="000000" w:themeColor="text1"/>
                <w:sz w:val="24"/>
                <w:highlight w:val="none"/>
                <w14:textFill>
                  <w14:solidFill>
                    <w14:schemeClr w14:val="tx1"/>
                  </w14:solidFill>
                </w14:textFill>
              </w:rPr>
              <w:t xml:space="preserve">09:10前</w:t>
            </w:r>
            <w:r>
              <w:rPr>
                <w:rFonts w:hint="eastAsia" w:ascii="宋体" w:hAnsi="宋体" w:eastAsia="宋体" w:cs="宋体"/>
                <w:b/>
                <w:bCs/>
                <w:color w:val="000000" w:themeColor="text1"/>
                <w:sz w:val="24"/>
                <w:highlight w:val="none"/>
                <w14:textFill>
                  <w14:solidFill>
                    <w14:schemeClr w14:val="tx1"/>
                  </w14:solidFill>
                </w14:textFill>
              </w:rPr>
              <w:t xml:space="preserve">。</w:t>
            </w:r>
            <w:r>
              <w:rPr>
                <w:b/>
                <w:bCs/>
              </w:rPr>
            </w:r>
          </w:p>
          <w:p>
            <w:pPr>
              <w:keepLines w:val="0"/>
              <w:keepNext w:val="0"/>
              <w:pageBreakBefore w:val="0"/>
              <w:spacing w:line="24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二、投标截止时间：</w:t>
            </w:r>
            <w:r>
              <w:rPr>
                <w:rFonts w:hint="eastAsia" w:ascii="宋体" w:hAnsi="宋体" w:eastAsia="宋体" w:cs="宋体"/>
                <w:b/>
                <w:bCs/>
                <w:color w:val="000000" w:themeColor="text1"/>
                <w:sz w:val="24"/>
                <w:szCs w:val="28"/>
                <w:highlight w:val="none"/>
                <w:lang w:eastAsia="zh-CN"/>
                <w14:textFill>
                  <w14:solidFill>
                    <w14:schemeClr w14:val="tx1"/>
                  </w14:solidFill>
                </w14:textFill>
              </w:rPr>
              <w:t xml:space="preserve">2026年10</w:t>
            </w:r>
            <w:r>
              <w:rPr>
                <w:rFonts w:hint="eastAsia" w:ascii="宋体" w:hAnsi="宋体" w:cs="宋体"/>
                <w:b/>
                <w:bCs/>
                <w:color w:val="000000" w:themeColor="text1"/>
                <w:sz w:val="24"/>
                <w:szCs w:val="28"/>
                <w:highlight w:val="none"/>
                <w:lang w:val="en-US" w:eastAsia="zh-CN"/>
                <w14:textFill>
                  <w14:solidFill>
                    <w14:schemeClr w14:val="tx1"/>
                  </w14:solidFill>
                </w14:textFill>
              </w:rPr>
              <w:t xml:space="preserve">月22</w:t>
            </w:r>
            <w:r>
              <w:rPr>
                <w:rFonts w:hint="eastAsia" w:ascii="宋体" w:hAnsi="宋体" w:eastAsia="宋体" w:cs="宋体"/>
                <w:b/>
                <w:bCs/>
                <w:color w:val="000000" w:themeColor="text1"/>
                <w:sz w:val="24"/>
                <w:szCs w:val="28"/>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北京时间09:10</w:t>
            </w:r>
            <w:r>
              <w:rPr>
                <w:b/>
                <w:bCs/>
              </w:rPr>
            </w:r>
          </w:p>
          <w:p>
            <w:pP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三、投标文件的提交与接收地点：投标人应当通过“苏采云”系统提交数据电文形式的投标文件（即电子投标），“苏采云”系统自动接收。</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凭CA证书登陆“苏采云”在线编制投标文件（电子数据），并在投标截止时间之前上传投标文件。逾期提交的投标文件，“苏采云”系统将自动拒收。</w:t>
            </w:r>
            <w:r/>
          </w:p>
          <w:p>
            <w:pP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投标人应携带CA数字证书以及自备的能够登录“苏采云”系统的电脑在到达开标时间后，使用CA数字证书解密各自投标文件。</w:t>
            </w:r>
            <w:r/>
          </w:p>
        </w:tc>
      </w:tr>
      <w:tr>
        <w:trPr>
          <w:jc w:val="center"/>
          <w:trHeight w:val="23"/>
        </w:trPr>
        <w:tc>
          <w:tcPr>
            <w:tcW w:w="1256" w:type="dxa"/>
            <w:vAlign w:val="top"/>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8703"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四、开标</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(二十五)1</w:t>
            </w:r>
            <w:r/>
          </w:p>
        </w:tc>
        <w:tc>
          <w:tcPr>
            <w:tcW w:w="8703" w:type="dxa"/>
            <w:vAlign w:val="center"/>
            <w:textDirection w:val="lrTb"/>
            <w:noWrap w:val="false"/>
          </w:tcPr>
          <w:p>
            <w:pPr>
              <w:jc w:val="left"/>
              <w:keepLines w:val="0"/>
              <w:keepNext w:val="0"/>
              <w:pageBreakBefore w:val="0"/>
              <w:spacing w:line="24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开标时间：</w:t>
            </w:r>
            <w:r>
              <w:rPr>
                <w:rFonts w:hint="eastAsia" w:ascii="宋体" w:hAnsi="宋体" w:eastAsia="宋体" w:cs="宋体"/>
                <w:color w:val="000000" w:themeColor="text1"/>
                <w:sz w:val="24"/>
                <w:highlight w:val="none"/>
                <w14:textFill>
                  <w14:solidFill>
                    <w14:schemeClr w14:val="tx1"/>
                  </w14:solidFill>
                </w14:textFill>
              </w:rPr>
            </w:r>
            <w:r>
              <w:rPr>
                <w:rFonts w:hint="eastAsia" w:ascii="宋体" w:hAnsi="宋体" w:eastAsia="宋体" w:cs="宋体"/>
                <w:b/>
                <w:bCs/>
                <w:color w:val="000000" w:themeColor="text1"/>
                <w:sz w:val="24"/>
                <w:szCs w:val="28"/>
                <w:highlight w:val="none"/>
                <w:lang w:eastAsia="zh-CN"/>
                <w14:textFill>
                  <w14:solidFill>
                    <w14:schemeClr w14:val="tx1"/>
                  </w14:solidFill>
                </w14:textFill>
              </w:rPr>
              <w:t xml:space="preserve">2026年10</w:t>
            </w:r>
            <w:r>
              <w:rPr>
                <w:rFonts w:hint="eastAsia" w:ascii="宋体" w:hAnsi="宋体" w:cs="宋体"/>
                <w:b/>
                <w:bCs/>
                <w:color w:val="000000" w:themeColor="text1"/>
                <w:sz w:val="24"/>
                <w:szCs w:val="28"/>
                <w:highlight w:val="none"/>
                <w:lang w:val="en-US" w:eastAsia="zh-CN"/>
                <w14:textFill>
                  <w14:solidFill>
                    <w14:schemeClr w14:val="tx1"/>
                  </w14:solidFill>
                </w14:textFill>
              </w:rPr>
              <w:t xml:space="preserve">月22</w:t>
            </w:r>
            <w:r>
              <w:rPr>
                <w:rFonts w:hint="eastAsia" w:ascii="宋体" w:hAnsi="宋体" w:eastAsia="宋体" w:cs="宋体"/>
                <w:b/>
                <w:bCs/>
                <w:color w:val="000000" w:themeColor="text1"/>
                <w:sz w:val="24"/>
                <w:szCs w:val="28"/>
                <w:highlight w:val="none"/>
                <w:lang w:eastAsia="zh-CN"/>
                <w14:textFill>
                  <w14:solidFill>
                    <w14:schemeClr w14:val="tx1"/>
                  </w14:solidFill>
                </w14:textFill>
              </w:rPr>
              <w:t xml:space="preserve">日</w:t>
            </w:r>
            <w:r/>
            <w:r>
              <w:rPr>
                <w:rFonts w:hint="eastAsia" w:ascii="宋体" w:hAnsi="宋体" w:eastAsia="宋体" w:cs="宋体"/>
                <w:b/>
                <w:color w:val="000000" w:themeColor="text1"/>
                <w:sz w:val="24"/>
                <w:highlight w:val="none"/>
                <w14:textFill>
                  <w14:solidFill>
                    <w14:schemeClr w14:val="tx1"/>
                  </w14:solidFill>
                </w14:textFill>
              </w:rPr>
            </w:r>
            <w:r>
              <w:rPr>
                <w:rFonts w:hint="eastAsia" w:ascii="宋体" w:hAnsi="宋体" w:eastAsia="宋体" w:cs="宋体"/>
                <w:b/>
                <w:bCs/>
                <w:color w:val="000000" w:themeColor="text1"/>
                <w:sz w:val="24"/>
                <w:highlight w:val="none"/>
                <w14:textFill>
                  <w14:solidFill>
                    <w14:schemeClr w14:val="tx1"/>
                  </w14:solidFill>
                </w14:textFill>
              </w:rPr>
              <w:t xml:space="preserve">北京时间09:10</w:t>
            </w:r>
            <w:r/>
          </w:p>
          <w:p>
            <w:pPr>
              <w:jc w:val="left"/>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开标地点：</w:t>
            </w: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“苏采云”系统（网址：http://jszfcg.jsczt.cn/）“开标大厅”或进入徐州政府采购网（网址：http://czj.xz.gov.cn/Home/HomeIndex）首页，点击“苏采云”登录后，进入系统“开标大厅”。</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(二十五)3</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W w:w="8703"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五、评标</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(二十六)2</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评标小组的组建：5人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由政府采购专家组成</w:t>
            </w:r>
            <w:r>
              <w:rPr>
                <w:rFonts w:hint="eastAsia" w:ascii="宋体" w:hAnsi="宋体" w:eastAsia="宋体" w:cs="宋体"/>
                <w:color w:val="000000" w:themeColor="text1"/>
                <w:sz w:val="24"/>
                <w:highlight w:val="none"/>
                <w14:textFill>
                  <w14:solidFill>
                    <w14:schemeClr w14:val="tx1"/>
                  </w14:solidFill>
                </w14:textFill>
              </w:rPr>
              <w:t xml:space="preserve">（从《江苏省政府采购专家库》随机抽取）。</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(二十七)</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采用综合评分法。各评标因素权数详见第四章《评标标准》中《评分细则》</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(二十八)1</w:t>
            </w:r>
            <w:r/>
          </w:p>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1、推荐中标候选投标人名单。中标候选投标人数量应当根据采购需要确定，但必须按顺序排列中标候选投标人。</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2、采用综合评分法的，按评审后得分由高到低顺序排列。得分相同的按</w:t>
            </w:r>
            <w:r>
              <w:rPr>
                <w:rFonts w:hint="eastAsia" w:ascii="宋体" w:hAnsi="宋体" w:cs="宋体"/>
                <w:color w:val="000000" w:themeColor="text1"/>
                <w:sz w:val="24"/>
                <w:highlight w:val="none"/>
                <w:lang w:val="en-US" w:eastAsia="zh-CN"/>
                <w14:textFill>
                  <w14:solidFill>
                    <w14:schemeClr w14:val="tx1"/>
                  </w14:solidFill>
                </w14:textFill>
              </w:rPr>
              <w:t xml:space="preserve">技术</w:t>
            </w:r>
            <w:r>
              <w:rPr>
                <w:rFonts w:hint="eastAsia" w:ascii="宋体" w:hAnsi="宋体" w:eastAsia="宋体" w:cs="宋体"/>
                <w:color w:val="000000" w:themeColor="text1"/>
                <w:sz w:val="24"/>
                <w:highlight w:val="none"/>
                <w14:textFill>
                  <w14:solidFill>
                    <w14:schemeClr w14:val="tx1"/>
                  </w14:solidFill>
                </w14:textFill>
              </w:rPr>
              <w:t xml:space="preserve">部分得分由高到低顺序排列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highlight w:val="none"/>
                <w14:textFill>
                  <w14:solidFill>
                    <w14:schemeClr w14:val="tx1"/>
                  </w14:solidFill>
                </w14:textFill>
              </w:rPr>
              <w:t xml:space="preserve">得分</w:t>
            </w:r>
            <w:r>
              <w:rPr>
                <w:rFonts w:hint="eastAsia" w:ascii="宋体" w:hAnsi="宋体" w:cs="宋体"/>
                <w:color w:val="000000" w:themeColor="text1"/>
                <w:sz w:val="24"/>
                <w:highlight w:val="none"/>
                <w:lang w:val="en-US" w:eastAsia="zh-CN"/>
                <w14:textFill>
                  <w14:solidFill>
                    <w14:schemeClr w14:val="tx1"/>
                  </w14:solidFill>
                </w14:textFill>
              </w:rPr>
              <w:t xml:space="preserve">仍</w:t>
            </w:r>
            <w:r>
              <w:rPr>
                <w:rFonts w:hint="eastAsia" w:ascii="宋体" w:hAnsi="宋体" w:eastAsia="宋体" w:cs="宋体"/>
                <w:color w:val="000000" w:themeColor="text1"/>
                <w:sz w:val="24"/>
                <w:highlight w:val="none"/>
                <w14:textFill>
                  <w14:solidFill>
                    <w14:schemeClr w14:val="tx1"/>
                  </w14:solidFill>
                </w14:textFill>
              </w:rPr>
              <w:t xml:space="preserve">相同的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现场抽签确定</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（二十九）</w:t>
            </w:r>
            <w:r/>
          </w:p>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W w:w="8703"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七、采购合同</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(三十七)1</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采购人与中标、成交投标人应当在中标、成交通知书发出之日起30日内，按照</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确定的事项签订采购合同。</w:t>
            </w:r>
            <w:r/>
          </w:p>
        </w:tc>
      </w:tr>
      <w:tr>
        <w:trPr>
          <w:jc w:val="center"/>
          <w:trHeight w:val="23"/>
        </w:trPr>
        <w:tc>
          <w:tcPr>
            <w:tcW w:w="1256" w:type="dxa"/>
            <w:vAlign w:val="center"/>
            <w:textDirection w:val="lrTb"/>
            <w:noWrap w:val="false"/>
          </w:tcPr>
          <w:p>
            <w:pP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(三十八)</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履约保证金：无需提交。</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(四十)</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1、投标人认为</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、采购过程和中标、成交结果使自己的权益受到损害的，可以在知道或者应知其权益受到损害之日起七个工作日内，以书面形式向采购人或采购代理机构提出质疑。</w:t>
            </w:r>
            <w:r/>
          </w:p>
          <w:p>
            <w:pPr>
              <w:ind w:firstLine="48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2、质疑和投诉按《政府采购质疑和投诉办法》执行，投标人在法定质疑期内一次性提出针对同一采购程序环节的质疑。</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3、质疑时效期间的计算：（1）对</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提出质疑的，为收到</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之日或</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公告期限届满之日；（2）对招标过程提出质疑的，为招标程序各环节结束之日；（3）对成交结果提出质疑的，为成交公告期限届满之日。</w:t>
            </w:r>
            <w:r/>
          </w:p>
          <w:p>
            <w:pP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w:t>
            </w:r>
            <w:r>
              <w:rPr>
                <w:rFonts w:hint="eastAsia" w:ascii="宋体" w:hAnsi="宋体" w:eastAsia="宋体" w:cs="宋体"/>
                <w:color w:val="000000" w:themeColor="text1"/>
                <w:sz w:val="24"/>
                <w:highlight w:val="none"/>
                <w:lang w:eastAsia="zh-CN"/>
                <w14:textFill>
                  <w14:solidFill>
                    <w14:schemeClr w14:val="tx1"/>
                  </w14:solidFill>
                </w14:textFill>
              </w:rPr>
              <w:t xml:space="preserve">朱文颖、朱柄昱</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联系电话：0516-85610680</w:t>
            </w:r>
            <w:r/>
          </w:p>
          <w:p>
            <w:pP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地址：徐州市泉山区软件园路2号</w:t>
            </w:r>
            <w:r/>
          </w:p>
        </w:tc>
      </w:tr>
      <w:tr>
        <w:trPr>
          <w:jc w:val="center"/>
          <w:trHeight w:val="23"/>
        </w:trPr>
        <w:tc>
          <w:tcPr>
            <w:tcW w:w="1256" w:type="dxa"/>
            <w:vAlign w:val="center"/>
            <w:textDirection w:val="lrTb"/>
            <w:noWrap w:val="false"/>
          </w:tcPr>
          <w:p>
            <w:pPr>
              <w:jc w:val="center"/>
              <w:keepLines w:val="0"/>
              <w:keepNext w:val="0"/>
              <w:pageBreakBefore w:val="0"/>
              <w:spacing w:line="288"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附加说明</w:t>
            </w:r>
            <w:r/>
          </w:p>
        </w:tc>
        <w:tc>
          <w:tcPr>
            <w:tcW w:w="8703" w:type="dxa"/>
            <w:vAlign w:val="center"/>
            <w:textDirection w:val="lrTb"/>
            <w:noWrap w:val="false"/>
          </w:tcPr>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中标人在收到中标通知书时，须向采购代理机构提交《开标一览表》和《分项价格表》的数据文件（WORD格式）。</w:t>
            </w:r>
            <w:r/>
          </w:p>
        </w:tc>
      </w:tr>
    </w:tbl>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本章</w:t>
      </w:r>
      <w:r>
        <w:rPr>
          <w:rFonts w:hint="eastAsia" w:ascii="宋体" w:hAnsi="宋体" w:eastAsia="宋体" w:cs="宋体"/>
          <w:color w:val="000000" w:themeColor="text1"/>
          <w:sz w:val="24"/>
          <w:szCs w:val="21"/>
          <w:highlight w:val="none"/>
          <w14:textFill>
            <w14:solidFill>
              <w14:schemeClr w14:val="tx1"/>
            </w14:solidFill>
          </w14:textFill>
        </w:rPr>
        <w:t xml:space="preserve">附件：</w:t>
      </w:r>
      <w:r/>
    </w:p>
    <w:p>
      <w:pPr>
        <w:numPr>
          <w:ilvl w:val="0"/>
          <w:numId w:val="0"/>
        </w:numPr>
        <w:jc w:val="center"/>
        <w:spacing w:after="120"/>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招标代理服务收费</w:t>
      </w:r>
      <w:bookmarkStart w:id="5" w:name="_Toc13017"/>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标准</w:t>
      </w:r>
      <w:bookmarkEnd w:id="5"/>
      <w:r/>
      <w:r/>
    </w:p>
    <w:tbl>
      <w:tblPr>
        <w:tblStyle w:val="787"/>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b/>
                <w:color w:val="000000" w:themeColor="text1"/>
                <w:spacing w:val="-3"/>
                <w:sz w:val="24"/>
                <w:szCs w:val="24"/>
                <w:highlight w:val="none"/>
                <w14:textFill>
                  <w14:solidFill>
                    <w14:schemeClr w14:val="tx1"/>
                  </w14:solidFill>
                </w14:textFill>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b/>
                <w:color w:val="000000" w:themeColor="text1"/>
                <w:spacing w:val="-1"/>
                <w:sz w:val="24"/>
                <w:szCs w:val="24"/>
                <w:highlight w:val="none"/>
                <w:lang w:eastAsia="zh-CN"/>
                <w14:textFill>
                  <w14:solidFill>
                    <w14:schemeClr w14:val="tx1"/>
                  </w14:solidFill>
                </w14:textFill>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说 明 ：</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1.按上表计算的收费为代理服务全过程的收费金额。各社会代理机构不再收取</w:t>
      </w:r>
      <w:r>
        <w:rPr>
          <w:rFonts w:hint="eastAsia" w:ascii="宋体" w:hAnsi="宋体" w:cs="宋体"/>
          <w:color w:val="000000" w:themeColor="text1"/>
          <w:spacing w:val="-2"/>
          <w:sz w:val="24"/>
          <w:szCs w:val="24"/>
          <w:highlight w:val="none"/>
          <w:lang w:val="en-US" w:eastAsia="zh-CN" w:bidi="ar-SA"/>
          <w14:textFill>
            <w14:solidFill>
              <w14:schemeClr w14:val="tx1"/>
            </w14:solidFill>
          </w14:textFill>
        </w:rPr>
        <w:t xml:space="preserve">招标文件</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制作售卖费用。</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3.代理服务费基准金额(按差额定率累进法计算的)=中标金额(按差额定率累进法计算的)*</w:t>
      </w:r>
      <w:r>
        <w:rPr>
          <w:rFonts w:hint="eastAsia" w:ascii="宋体" w:hAnsi="宋体" w:cs="宋体"/>
          <w:color w:val="000000" w:themeColor="text1"/>
          <w:spacing w:val="-2"/>
          <w:sz w:val="24"/>
          <w:szCs w:val="24"/>
          <w:highlight w:val="none"/>
          <w:lang w:val="en-US" w:eastAsia="zh-CN" w:bidi="ar-SA"/>
          <w14:textFill>
            <w14:solidFill>
              <w14:schemeClr w14:val="tx1"/>
            </w14:solidFill>
          </w14:textFill>
        </w:rPr>
        <w:t xml:space="preserve">费率</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6.有分包(分标段)的按一个项目计算。</w:t>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bCs/>
          <w:color w:val="000000" w:themeColor="text1"/>
          <w:sz w:val="30"/>
          <w:szCs w:val="44"/>
          <w:highlight w:val="none"/>
          <w:lang w:val="en-US" w:eastAsia="zh-CN" w:bidi="ar-SA"/>
          <w14:textFill>
            <w14:solidFill>
              <w14:schemeClr w14:val="tx1"/>
            </w14:solidFill>
          </w14:textFill>
        </w:rPr>
        <w:t xml:space="preserve">7</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.本项目</w:t>
      </w:r>
      <w:r>
        <w:rPr>
          <w:rFonts w:hint="default" w:ascii="宋体" w:hAnsi="宋体" w:eastAsia="宋体" w:cs="宋体"/>
          <w:b w:val="0"/>
          <w:bCs w:val="0"/>
          <w:color w:val="000000" w:themeColor="text1"/>
          <w:spacing w:val="-2"/>
          <w:sz w:val="24"/>
          <w:szCs w:val="24"/>
          <w:highlight w:val="none"/>
          <w:lang w:val="en-US" w:eastAsia="zh-CN" w:bidi="ar-SA"/>
          <w14:textFill>
            <w14:solidFill>
              <w14:schemeClr w14:val="tx1"/>
            </w14:solidFill>
          </w14:textFill>
        </w:rPr>
        <w:t xml:space="preserve">代理服务</w:t>
      </w:r>
      <w:r>
        <w:rPr>
          <w:rFonts w:hint="eastAsia" w:ascii="宋体" w:hAnsi="宋体" w:cs="宋体"/>
          <w:b w:val="0"/>
          <w:bCs w:val="0"/>
          <w:color w:val="000000" w:themeColor="text1"/>
          <w:spacing w:val="-2"/>
          <w:sz w:val="24"/>
          <w:szCs w:val="24"/>
          <w:highlight w:val="none"/>
          <w:lang w:val="en-US" w:eastAsia="zh-CN" w:bidi="ar-SA"/>
          <w14:textFill>
            <w14:solidFill>
              <w14:schemeClr w14:val="tx1"/>
            </w14:solidFill>
          </w14:textFill>
        </w:rPr>
        <w:t xml:space="preserve">费</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按委托代理协议中约定金额收取。</w:t>
      </w:r>
      <w:r/>
    </w:p>
    <w:p>
      <w:pPr>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10"/>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pStyle w:val="821"/>
        <w:numPr>
          <w:ilvl w:val="0"/>
          <w:numId w:val="0"/>
        </w:numPr>
        <w:ind w:left="0" w:firstLine="0"/>
        <w:jc w:val="center"/>
        <w:spacing w:line="360" w:lineRule="auto"/>
        <w:widowControl/>
        <w:rPr>
          <w:rStyle w:val="946"/>
          <w:rFonts w:hint="eastAsia" w:ascii="宋体" w:hAnsi="宋体" w:eastAsia="宋体" w:cs="宋体"/>
          <w:color w:val="000000" w:themeColor="text1"/>
          <w:highlight w:val="none"/>
          <w14:textFill>
            <w14:solidFill>
              <w14:schemeClr w14:val="tx1"/>
            </w14:solidFill>
          </w14:textFill>
        </w:rPr>
        <w:outlineLvl w:val="0"/>
      </w:pPr>
      <w:r/>
      <w:bookmarkStart w:id="6" w:name="_Toc29967"/>
      <w:r/>
      <w:bookmarkStart w:id="7" w:name="_Toc9429"/>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第四章</w:t>
      </w:r>
      <w:r>
        <w:rPr>
          <w:rStyle w:val="946"/>
          <w:rFonts w:hint="eastAsia" w:ascii="宋体" w:hAnsi="宋体" w:eastAsia="宋体" w:cs="宋体"/>
          <w:color w:val="000000" w:themeColor="text1"/>
          <w:highlight w:val="none"/>
          <w14:textFill>
            <w14:solidFill>
              <w14:schemeClr w14:val="tx1"/>
            </w14:solidFill>
          </w14:textFill>
        </w:rPr>
        <w:t xml:space="preserve">评标标准</w:t>
      </w:r>
      <w:bookmarkEnd w:id="6"/>
      <w:r/>
      <w:bookmarkEnd w:id="7"/>
      <w:r/>
      <w:r/>
    </w:p>
    <w:tbl>
      <w:tblPr>
        <w:tblStyle w:val="787"/>
        <w:tblW w:w="47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1568"/>
        <w:gridCol w:w="6700"/>
      </w:tblGrid>
      <w:tr>
        <w:trPr>
          <w:trHeight w:val="23"/>
        </w:trPr>
        <w:tc>
          <w:tcPr>
            <w:tcW w:w="675"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p>
        </w:tc>
        <w:tc>
          <w:tcPr>
            <w:tcW w:w="820"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细化项目及分值</w:t>
            </w:r>
            <w:r/>
          </w:p>
        </w:tc>
        <w:tc>
          <w:tcPr>
            <w:tcW w:w="3504"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  分  标  准</w:t>
            </w:r>
            <w:r/>
          </w:p>
        </w:tc>
      </w:tr>
      <w:tr>
        <w:trPr>
          <w:trHeight w:val="23"/>
        </w:trPr>
        <w:tc>
          <w:tcPr>
            <w:tcW w:w="675" w:type="pct"/>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价格部分（20分）</w:t>
            </w:r>
            <w:r/>
          </w:p>
        </w:tc>
        <w:tc>
          <w:tcPr>
            <w:tcW w:w="820"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价格（20分）</w:t>
            </w:r>
            <w:r/>
          </w:p>
        </w:tc>
        <w:tc>
          <w:tcPr>
            <w:tcW w:w="3504" w:type="pct"/>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投标报价分采用低价优先法计算，即满足招标文件要求且评审价格最低的投标报价为评标基准价，其价格分为满分，其他投标人的价格分统一按照下列公式计算：投标报价得分=（评标基准价/投标评审价格）×20。</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注：得分四舍五入保留小数点后2位。</w:t>
            </w:r>
            <w:r/>
          </w:p>
        </w:tc>
      </w:tr>
      <w:tr>
        <w:trPr>
          <w:trHeight w:val="23"/>
        </w:trPr>
        <w:tc>
          <w:tcPr>
            <w:tcW w:w="675" w:type="pct"/>
            <w:vAlign w:val="center"/>
            <w:vMerge w:val="restart"/>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商务部分（16分）</w:t>
            </w:r>
            <w:r/>
          </w:p>
        </w:tc>
        <w:tc>
          <w:tcPr>
            <w:tcW w:w="820"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投标人业绩</w:t>
            </w:r>
            <w:r/>
          </w:p>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w:t>
            </w:r>
            <w:r/>
          </w:p>
        </w:tc>
        <w:tc>
          <w:tcPr>
            <w:tcW w:w="3504" w:type="pct"/>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投标人自 2023年9月1日（含）以来承接过类似服务项目成功案例的，每提供1个有效案例得2分，本项最高得4分，未提供不得分。</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注：投标文件中需提供合同扫描件并加盖公章，同一服务对象不重复计分，业绩认定以合同签署时间为准。</w:t>
            </w:r>
            <w:r/>
          </w:p>
        </w:tc>
      </w:tr>
      <w:tr>
        <w:trPr>
          <w:trHeight w:val="23"/>
        </w:trPr>
        <w:tc>
          <w:tcPr>
            <w:tcW w:w="675" w:type="pct"/>
            <w:vAlign w:val="center"/>
            <w:vMerge w:val="continue"/>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W w:w="820"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人员配置</w:t>
            </w:r>
            <w:r/>
          </w:p>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（12分）</w:t>
            </w:r>
            <w:r/>
          </w:p>
        </w:tc>
        <w:tc>
          <w:tcPr>
            <w:shd w:val="clear" w:color="auto" w:fill="auto"/>
            <w:tcW w:w="3504" w:type="pct"/>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经理</w:t>
            </w:r>
            <w:r>
              <w:rPr>
                <w:rFonts w:hint="eastAsia" w:ascii="宋体" w:hAnsi="宋体" w:eastAsia="宋体" w:cs="宋体"/>
                <w:color w:val="000000" w:themeColor="text1"/>
                <w:sz w:val="24"/>
                <w:szCs w:val="24"/>
                <w:highlight w:val="none"/>
                <w14:textFill>
                  <w14:solidFill>
                    <w14:schemeClr w14:val="tx1"/>
                  </w14:solidFill>
                </w14:textFill>
              </w:rPr>
              <w:t xml:space="preserve">1人，自有员工，具有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大专及以上学历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具备一定医学常识，得2分；有类似本项目管理经验得2分。最高得6分。（须提供身份证、学历证明、医学常识证明、相关管理经验证明材料</w:t>
            </w:r>
            <w:r>
              <w:rPr>
                <w:rFonts w:hint="eastAsia" w:ascii="宋体" w:hAnsi="宋体" w:eastAsia="宋体" w:cs="宋体"/>
                <w:color w:val="000000" w:themeColor="text1"/>
                <w:sz w:val="24"/>
                <w:szCs w:val="24"/>
                <w:highlight w:val="none"/>
                <w14:textFill>
                  <w14:solidFill>
                    <w14:schemeClr w14:val="tx1"/>
                  </w14:solidFill>
                </w14:textFill>
              </w:rPr>
              <w:t xml:space="preserve">扫描件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及投标人为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eastAsia="宋体" w:cs="宋体"/>
                <w:color w:val="000000" w:themeColor="text1"/>
                <w:sz w:val="24"/>
                <w:szCs w:val="24"/>
                <w:highlight w:val="none"/>
                <w14:textFill>
                  <w14:solidFill>
                    <w14:schemeClr w14:val="tx1"/>
                  </w14:solidFill>
                </w14:textFill>
              </w:rPr>
              <w:t xml:space="preserve">缴纳的本项目开标时间前6个月内任意1月的社会保障资金的相关材料扫描件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未提供或提供不全或提供的资料不符合要求的不得分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（2）团队其他主要人员（除项目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经理外</w:t>
            </w:r>
            <w:r>
              <w:rPr>
                <w:rFonts w:hint="eastAsia" w:ascii="宋体" w:hAnsi="宋体" w:eastAsia="宋体" w:cs="宋体"/>
                <w:color w:val="000000" w:themeColor="text1"/>
                <w:sz w:val="24"/>
                <w:szCs w:val="24"/>
                <w:highlight w:val="none"/>
                <w14:textFill>
                  <w14:solidFill>
                    <w14:schemeClr w14:val="tx1"/>
                  </w14:solidFill>
                </w14:textFill>
              </w:rPr>
              <w:t xml:space="preserve">）中具有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高中及以上学历的</w:t>
            </w:r>
            <w:r>
              <w:rPr>
                <w:rFonts w:hint="eastAsia" w:ascii="宋体" w:hAnsi="宋体" w:eastAsia="宋体" w:cs="宋体"/>
                <w:color w:val="000000" w:themeColor="text1"/>
                <w:sz w:val="24"/>
                <w:szCs w:val="24"/>
                <w:highlight w:val="none"/>
                <w14:textFill>
                  <w14:solidFill>
                    <w14:schemeClr w14:val="tx1"/>
                  </w14:solidFill>
                </w14:textFill>
              </w:rPr>
              <w:t xml:space="preserve">，每提供一人的得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keepLines w:val="0"/>
              <w:keepNext w:val="0"/>
              <w:pageBreakBefore w:val="0"/>
              <w:spacing w:line="298" w:lineRule="auto"/>
              <w:widowControl w:val="off"/>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投标文件中提供以上人员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相关证明材料</w:t>
            </w:r>
            <w:r>
              <w:rPr>
                <w:rFonts w:hint="eastAsia" w:ascii="宋体" w:hAnsi="宋体" w:eastAsia="宋体" w:cs="宋体"/>
                <w:color w:val="000000" w:themeColor="text1"/>
                <w:sz w:val="24"/>
                <w:szCs w:val="24"/>
                <w:highlight w:val="none"/>
                <w14:textFill>
                  <w14:solidFill>
                    <w14:schemeClr w14:val="tx1"/>
                  </w14:solidFill>
                </w14:textFill>
              </w:rPr>
              <w:t xml:space="preserve">扫描件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未提供或提供不全或提供的资料不符合要求的不得分。</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trHeight w:val="23"/>
        </w:trPr>
        <w:tc>
          <w:tcPr>
            <w:tcBorders>
              <w:left w:val="single" w:color="auto" w:sz="4" w:space="0"/>
            </w:tcBorders>
            <w:tcW w:w="675" w:type="pct"/>
            <w:vAlign w:val="center"/>
            <w:vMerge w:val="restart"/>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技术部分（64分）</w:t>
            </w:r>
            <w:r/>
          </w:p>
        </w:tc>
        <w:tc>
          <w:tcPr>
            <w:tcBorders>
              <w:bottom w:val="single" w:color="auto" w:sz="4" w:space="0"/>
            </w:tcBorders>
            <w:tcW w:w="820"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服务总体方案（30分）</w:t>
            </w:r>
            <w:r/>
          </w:p>
        </w:tc>
        <w:tc>
          <w:tcPr>
            <w:tcBorders>
              <w:bottom w:val="single" w:color="auto" w:sz="4" w:space="0"/>
            </w:tcBorders>
            <w:tcW w:w="3504" w:type="pct"/>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根据投标人提供的服务总体方案进行打分，方案须对第五章《采购需求》五、服务标准及要求（一）服务总体要求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（共十项）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内容有针对性地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进行完善，且表述具体方案措施。</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分，扣完为止；单项内容每存在一处缺陷扣1分，单项内容分（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0分，最低得0分。</w:t>
            </w:r>
            <w:r/>
          </w:p>
        </w:tc>
      </w:tr>
      <w:tr>
        <w:trPr>
          <w:trHeight w:val="23"/>
        </w:trPr>
        <w:tc>
          <w:tcPr>
            <w:tcBorders>
              <w:left w:val="single" w:color="auto" w:sz="4" w:space="0"/>
            </w:tcBorders>
            <w:tcW w:w="675" w:type="pct"/>
            <w:vAlign w:val="center"/>
            <w:vMerge w:val="continue"/>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bottom w:val="single" w:color="auto" w:sz="4" w:space="0"/>
            </w:tcBorders>
            <w:tcW w:w="820"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项目实施具体方案（16分）</w:t>
            </w:r>
            <w:r/>
          </w:p>
        </w:tc>
        <w:tc>
          <w:tcPr>
            <w:tcBorders>
              <w:bottom w:val="single" w:color="auto" w:sz="4" w:space="0"/>
            </w:tcBorders>
            <w:tcW w:w="3504" w:type="pct"/>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根据投标人提供的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具体职责及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实施</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方案进行打分，方案须对第五章《采购需求》五、服务标准及要求（二）具体职责及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（共四项）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内容有针对性地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进行完善，且表述具体方案措施。</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分，扣完为止；单项内容每存在一处缺陷扣1分，单项内容分（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trHeight w:val="23"/>
        </w:trPr>
        <w:tc>
          <w:tcPr>
            <w:tcBorders>
              <w:left w:val="single" w:color="auto" w:sz="4" w:space="0"/>
            </w:tcBorders>
            <w:tcW w:w="675" w:type="pct"/>
            <w:vAlign w:val="top"/>
            <w:vMerge w:val="continue"/>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bottom w:val="single" w:color="auto" w:sz="4" w:space="0"/>
            </w:tcBorders>
            <w:tcW w:w="820"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人员管理及培训方案（12分）</w:t>
            </w:r>
            <w:r/>
          </w:p>
        </w:tc>
        <w:tc>
          <w:tcPr>
            <w:tcBorders>
              <w:top w:val="single" w:color="auto" w:sz="4" w:space="0"/>
              <w:bottom w:val="single" w:color="auto" w:sz="4" w:space="0"/>
            </w:tcBorders>
            <w:tcW w:w="3504" w:type="pct"/>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项目人员管理培训方案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进行打分，方案须对第五章《采购需求》九、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项目人员管理培训要求1-6（共六项）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内容有针对性地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进行完善，且表述具体方案措施。</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分，扣完为止；单项内容每存在一处缺陷扣1分，单项内容分（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trHeight w:val="23"/>
        </w:trPr>
        <w:tc>
          <w:tcPr>
            <w:tcBorders>
              <w:left w:val="single" w:color="auto" w:sz="4" w:space="0"/>
            </w:tcBorders>
            <w:tcW w:w="675" w:type="pct"/>
            <w:vAlign w:val="top"/>
            <w:vMerge w:val="continue"/>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tcBorders>
            <w:tcW w:w="820" w:type="pct"/>
            <w:vAlign w:val="center"/>
            <w:textDirection w:val="lrTb"/>
            <w:noWrap w:val="false"/>
          </w:tcPr>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质量考核与持续改进方案</w:t>
            </w:r>
            <w:r/>
          </w:p>
          <w:p>
            <w:pPr>
              <w:jc w:val="cente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p>
          <w:p>
            <w:pPr>
              <w:pStyle w:val="788"/>
              <w:jc w:val="center"/>
              <w:keepLines w:val="0"/>
              <w:keepNext w:val="0"/>
              <w:pageBreakBefore w:val="0"/>
              <w:spacing w:after="0"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bottom w:val="single" w:color="auto" w:sz="4" w:space="0"/>
            </w:tcBorders>
            <w:tcW w:w="3504" w:type="pct"/>
            <w:vAlign w:val="center"/>
            <w:textDirection w:val="lrTb"/>
            <w:noWrap w:val="false"/>
          </w:tcPr>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根据投标人提供的</w:t>
            </w:r>
            <w:r>
              <w:rPr>
                <w:rFonts w:hint="eastAsia" w:ascii="宋体" w:hAnsi="宋体" w:eastAsia="宋体" w:cs="宋体"/>
                <w:color w:val="000000" w:themeColor="text1"/>
                <w:sz w:val="24"/>
                <w:szCs w:val="24"/>
                <w:highlight w:val="none"/>
                <w14:textFill>
                  <w14:solidFill>
                    <w14:schemeClr w14:val="tx1"/>
                  </w14:solidFill>
                </w14:textFill>
              </w:rPr>
              <w:t xml:space="preserve">质量考核与持续改进方案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进行打分，方案须对第五章《采购需求》六、考核方法及标准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（共三项）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内容有针对性地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进行完善，且表述具体方案措施。</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分，扣完为止；单项内容每存在一处缺陷扣1分，单项内容分（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keepLines w:val="0"/>
              <w:keepNext w:val="0"/>
              <w:pageBreakBefore w:val="0"/>
              <w:spacing w:line="298"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bl>
    <w:p>
      <w:pPr>
        <w:pStyle w:val="821"/>
        <w:keepLines w:val="0"/>
        <w:keepNext w:val="0"/>
        <w:pageBreakBefore w:val="0"/>
        <w:spacing w:line="288" w:lineRule="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注：本项目采用综合评分法，评分统计方法将全部评委评分直接进行算术平均，评分结果精确到小数点后两位。</w:t>
      </w:r>
      <w:bookmarkStart w:id="8" w:name="_Toc13480"/>
      <w:r>
        <w:rPr>
          <w:rFonts w:hint="eastAsia" w:ascii="宋体" w:hAnsi="宋体" w:eastAsia="宋体" w:cs="宋体"/>
          <w:b/>
          <w:bCs/>
          <w:color w:val="000000" w:themeColor="text1"/>
          <w:sz w:val="28"/>
          <w:szCs w:val="28"/>
          <w:highlight w:val="none"/>
          <w14:textFill>
            <w14:solidFill>
              <w14:schemeClr w14:val="tx1"/>
            </w14:solidFill>
          </w14:textFill>
        </w:rPr>
        <w:br w:type="page" w:clear="all"/>
      </w:r>
      <w:bookmarkEnd w:id="8"/>
      <w:r/>
      <w:r/>
    </w:p>
    <w:p>
      <w:pPr>
        <w:numPr>
          <w:ilvl w:val="0"/>
          <w:numId w:val="0"/>
        </w:numPr>
        <w:jc w:val="center"/>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第五章</w:t>
      </w:r>
      <w:r>
        <w:rPr>
          <w:rFonts w:hint="eastAsia" w:ascii="宋体" w:hAnsi="宋体" w:eastAsia="宋体" w:cs="宋体"/>
          <w:b/>
          <w:bCs/>
          <w:color w:val="000000" w:themeColor="text1"/>
          <w:sz w:val="28"/>
          <w:szCs w:val="28"/>
          <w:highlight w:val="none"/>
          <w14:textFill>
            <w14:solidFill>
              <w14:schemeClr w14:val="tx1"/>
            </w14:solidFill>
          </w14:textFill>
        </w:rPr>
        <w:t xml:space="preserve">采购需求</w:t>
      </w:r>
      <w:r/>
    </w:p>
    <w:p>
      <w:pPr>
        <w:ind w:firstLine="482"/>
        <w:keepLines w:val="0"/>
        <w:keepNext w:val="0"/>
        <w:pageBreakBefore w:val="0"/>
        <w:spacing w:line="312"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项目说明</w:t>
      </w:r>
      <w:r/>
    </w:p>
    <w:p>
      <w:pPr>
        <w:ind w:firstLine="482"/>
        <w:keepLines w:val="0"/>
        <w:keepNext w:val="0"/>
        <w:pageBreakBefore w:val="0"/>
        <w:spacing w:line="312"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1、采购人：</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w:t>
      </w:r>
      <w:r/>
    </w:p>
    <w:p>
      <w:pPr>
        <w:ind w:firstLine="482"/>
        <w:keepLines w:val="0"/>
        <w:keepNext w:val="0"/>
        <w:pageBreakBefore w:val="0"/>
        <w:spacing w:line="312"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采购</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睢宁县人民医院临床服务中心服务外包项目</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12"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3、采购标的：</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睢宁县人民医院临床服务中心服务外包，项目服务内容涵盖以下核心业务板块，要求中标方提供24小时不间断服务：电话调度与统筹；患者陪检与手术转运；标本、物资与药品配送；清洗消毒与内镜辅助等。</w:t>
      </w:r>
      <w:r/>
    </w:p>
    <w:p>
      <w:pPr>
        <w:ind w:firstLine="562"/>
        <w:keepLines w:val="0"/>
        <w:keepNext w:val="0"/>
        <w:pageBreakBefore w:val="0"/>
        <w:spacing w:line="312"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项目背景</w:t>
      </w:r>
      <w:r/>
    </w:p>
    <w:p>
      <w:pPr>
        <w:ind w:firstLine="562"/>
        <w:keepLines w:val="0"/>
        <w:keepNext w:val="0"/>
        <w:pageBreakBefore w:val="0"/>
        <w:spacing w:line="312"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cs="宋体"/>
          <w:b w:val="0"/>
          <w:bCs w:val="0"/>
          <w:color w:val="000000" w:themeColor="text1"/>
          <w:sz w:val="24"/>
          <w:szCs w:val="24"/>
          <w:highlight w:val="none"/>
          <w:lang w:val="en-US" w:eastAsia="zh-CN"/>
          <w14:textFill>
            <w14:solidFill>
              <w14:schemeClr w14:val="tx1"/>
            </w14:solidFill>
          </w14:textFill>
        </w:rPr>
        <w:t xml:space="preserve">目前，临床服务中心现有第三方劳务派遣在岗人员20名（含担架工12人、送药工2人、送货员1人、消毒员1人、洗衣工2人、调度员1人、送检工1人）。</w:t>
      </w:r>
      <w:r/>
    </w:p>
    <w:p>
      <w:pPr>
        <w:ind w:firstLine="562"/>
        <w:keepLines w:val="0"/>
        <w:keepNext w:val="0"/>
        <w:pageBreakBefore w:val="0"/>
        <w:spacing w:line="312"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cs="宋体"/>
          <w:b w:val="0"/>
          <w:bCs w:val="0"/>
          <w:color w:val="000000" w:themeColor="text1"/>
          <w:sz w:val="24"/>
          <w:szCs w:val="24"/>
          <w:highlight w:val="none"/>
          <w:lang w:val="en-US" w:eastAsia="zh-CN"/>
          <w14:textFill>
            <w14:solidFill>
              <w14:schemeClr w14:val="tx1"/>
            </w14:solidFill>
          </w14:textFill>
        </w:rPr>
        <w:t xml:space="preserve">为贯彻落实《劳动合同法》及相关劳动保障法律法规，提升服务质量和管理水平，拟通过公开招标方式选聘专业服务机构承担临床服务中心外包服务工作。</w:t>
      </w:r>
      <w:r/>
    </w:p>
    <w:p>
      <w:pPr>
        <w:ind w:firstLine="562"/>
        <w:keepLines w:val="0"/>
        <w:keepNext w:val="0"/>
        <w:pageBreakBefore w:val="0"/>
        <w:spacing w:line="312"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14:textFill>
            <w14:solidFill>
              <w14:schemeClr w14:val="tx1"/>
            </w14:solidFill>
          </w14:textFill>
        </w:rPr>
        <w:t xml:space="preserve">采购项目预算金额</w:t>
      </w:r>
      <w:r/>
    </w:p>
    <w:p>
      <w:pPr>
        <w:ind w:firstLine="560"/>
        <w:keepLines w:val="0"/>
        <w:keepNext w:val="0"/>
        <w:pageBreakBefore w:val="0"/>
        <w:spacing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178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万元/年</w:t>
      </w:r>
      <w:r>
        <w:rPr>
          <w:rFonts w:hint="eastAsia" w:ascii="宋体" w:hAnsi="宋体" w:eastAsia="宋体" w:cs="宋体"/>
          <w:color w:val="000000" w:themeColor="text1"/>
          <w:sz w:val="24"/>
          <w:szCs w:val="24"/>
          <w:highlight w:val="none"/>
          <w14:textFill>
            <w14:solidFill>
              <w14:schemeClr w14:val="tx1"/>
            </w14:solidFill>
          </w14:textFill>
        </w:rPr>
        <w:t xml:space="preserve">人民币（采购项目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none"/>
          <w14:textFill>
            <w14:solidFill>
              <w14:schemeClr w14:val="tx1"/>
            </w14:solidFill>
          </w14:textFill>
        </w:rPr>
        <w:t xml:space="preserve">）的投标报价。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万元为29人满配标准包干价格，以实际用工人数结算，投标报价超过最高限价按无效响应文件处理。</w:t>
      </w:r>
      <w:r/>
    </w:p>
    <w:p>
      <w:pPr>
        <w:ind w:firstLine="560"/>
        <w:keepLines w:val="0"/>
        <w:keepNext w:val="0"/>
        <w:pageBreakBefore w:val="0"/>
        <w:spacing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报价包括但不限于人员工资、法定的社会保险（养老、工伤、失业）、医疗保险、住房公积金、意外险、法定节假日加班费、夜班费、高温补贴、节日福利、管理费、法定税费及投标人自行考虑的其他费用。</w:t>
      </w:r>
      <w:r/>
    </w:p>
    <w:p>
      <w:pPr>
        <w:ind w:firstLine="560"/>
        <w:keepLines w:val="0"/>
        <w:keepNext w:val="0"/>
        <w:pageBreakBefore w:val="0"/>
        <w:spacing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2、报价时，人员工资低于徐州市最低工资标准及未依法测算缴纳社会保险、医疗保险、住房公积金、税费的作无效报价处理。</w:t>
      </w:r>
      <w:r/>
    </w:p>
    <w:p>
      <w:pPr>
        <w:ind w:firstLine="560"/>
        <w:keepLines w:val="0"/>
        <w:keepNext w:val="0"/>
        <w:pageBreakBefore w:val="0"/>
        <w:spacing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算规则：本项目年度总价按实际在岗人数据实动态结算。服务期内，实际在岗人员少于29人配置标准的，医院按实际在岗人数比例相应扣减服务费用；因医院业务量增加、工作任务扩容确需增加派驻人员的，可据实增加服务费用，年度新增费用最高不超过原合同总价的10%。</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四、服务期</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三年（自签订合同之日起计算）。合同一年一签，考核合格的情况下，采购人与中标人续签下一年合同。</w:t>
      </w:r>
      <w:r/>
    </w:p>
    <w:p>
      <w:pPr>
        <w:ind w:firstLine="560"/>
        <w:keepLines w:val="0"/>
        <w:keepNext w:val="0"/>
        <w:pageBreakBefore w:val="0"/>
        <w:spacing w:line="312"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五、服务标准及要求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（一）服务总体要求</w:t>
      </w:r>
      <w:r/>
    </w:p>
    <w:p>
      <w:pPr>
        <w:ind w:firstLine="48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服务目标：坚持"以患者为中心，以服务质量为核心"，围绕"精细管理、用心服务、安全可靠"的服务理念，切实改善服务态度，提高服务质量，提升沟通水平，规范服务行为，完善服务制度，确保服务安全，优化服务流程，提升患者满意度。</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2、投标人应设立项目部，对服务流程与服务质量、培训、绩效、应急演练、员工权益保障实施有效管理，对服务管理品质负责。</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3、投标人具有健全的院感管理方案，针对不同环境污染风险区域的消毒隔离规范。</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4、投标人具有健全管理规章制度，如：陪检管理制度；药品运送管理制度；考勤管理制度；请（休）假管理制度；奖惩管理制度等。</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5、投标人具备应对突发状况的应急保障能力，建立健全的突发事件应急预案，如：火灾应急预案；标本遗失应急预案；电梯困人应急预案；运送中突发事件应急预案等。</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投标人具备应对安全事故处理的应急保障能力，建立健全的安全事故处理方案，体现人身意外伤害赔偿项目和标准、员工意外伤害事故处理办法、配备员工意外伤害事故报告表、工伤赔偿管理办法、工伤法律规定及赔偿流程等内容。</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投标人具备人员培训能力，建立健全的培训方案，有完善的岗位培训计划（内容包括但不限于基础、熟悉工作环境、通讯设备使用要求、岗位要求、安全要求、应急响应、岗位技能等），培训计划中岗位技能、应急响应、安全管理等内容占比不低于总培训内容的50%。</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投标人进驻与撤离过程中，对意外事件具备迅速响应和有效处理的应急能力。建立健全的进退场方案，妥善安排人员交接，具备应对交接过程中可能发生的突发事件的应变能力。提前7天开始筹备，无缝衔接、高效运转的交接过渡期不少于15天。</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投标人有标准化实施能力，通过精细化的标准化管理手段，对医院后勤服务运营流程进行优化，提高整体运营效率和患者满意度。通过制定统一的操作规范和标准作业流程，确保医院后勤服务在安全性、稳定性和可靠性方面达到行业标准。</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10、投标人按招标文件岗位设置的要求，合理科学地配备管理及服务人员，依法建立劳动关系，工作时间符合劳动法规定。投标人应具备当月工资的支付能力并按时发放薪酬。</w:t>
      </w:r>
      <w:bookmarkStart w:id="9" w:name="_Toc28497"/>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投标文件要求：</w:t>
      </w:r>
      <w:bookmarkEnd w:id="9"/>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服务总体方案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w:t>
      </w:r>
      <w:r/>
    </w:p>
    <w:p>
      <w:pPr>
        <w:ind w:firstLine="560"/>
        <w:keepLines w:val="0"/>
        <w:keepNext w:val="0"/>
        <w:pageBreakBefore w:val="0"/>
        <w:spacing w:line="312" w:lineRule="auto"/>
        <w:widowControl/>
        <w:rPr>
          <w:rFonts w:hint="eastAsia"/>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bookmarkStart w:id="10" w:name="OLE_LINK194"/>
      <w:r/>
      <w:bookmarkStart w:id="11" w:name="OLE_LINK195"/>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服务总体方案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》需根据“（一）服务总体要求”中“1-10”进行编制。</w:t>
      </w:r>
      <w:bookmarkEnd w:id="10"/>
      <w:r/>
      <w:bookmarkEnd w:id="11"/>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（二）具体职责及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实施</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要求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1、患者及物资运送总体要求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1）负责院区内患者、物资、标本、药品运送工作，所有运送人员由调度中心统一协调与分配。</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2）定期进行运送数据的汇总和统计，能随时提供相应的数据给采购人。</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3）所有运送人员接受转运工具使用方法及转运安全的培训，掌握突发事件处理预案。运送工具每天进行检查，定期维护保养。</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4）调度员需全面了解院内各项调配任务，根据任务的轻重缓急进行调度，满足临床工作的需求。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5）所有人员进行文明用语、规范服务等培训，在运送过程中严禁发生争吵、打闹等影响医院形象的言行举止。</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6）熟练掌握医院患者、标本、药品、物品等转运流程，严格执行查对制度和交接制度。</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7）定期调研临床工作的需求，不断修订和完善相关流程和服务内容。</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8）住院患者常规用药循环频率至少45分钟/次，急用药品、耗材需在15分钟内到达申请科室。</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9）所有运送人员不得私自拿变卖药品、物品，在工作期间不可从事工作职责以外并收取报酬的其他服务。</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2、患者及物资运送具体要求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1）陪检服务</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①按要求为住院患者（危重、行动不便）的患者进行陪检服务。对于病情危重、处于特殊情况下的患者，与病房责任护士/医生共同完成陪检。</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bookmarkStart w:id="12" w:name="_Hlk235194590"/>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w:t>
      </w:r>
      <w:bookmarkEnd w:id="12"/>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接到陪检任务后，应认真核对患者姓名、床号、年龄、诊断、检查项目等相关信息，陪检人员要了解患者病情、检查前准备、特殊情况知情同意书签字情况等，根据患者的病情、身体状况采取适宜的陪送方法（平车、轮椅等）。</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bookmarkStart w:id="13" w:name="_Hlk235194602"/>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③</w:t>
      </w:r>
      <w:bookmarkEnd w:id="13"/>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检查中陪检人员应密切观察患者病情，一旦发生变化，应立即通知送检科室和相关科室协助抢救。</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④检查后应告知患者检查后的注意事项，不评论患者检查结果。</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⑤陪检人员将患者送回病房后，将检查报告单交给护士，并告知检查过程中的特殊情况。</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标本送检：负责全院所有的血标本、大便标本、尿标本、痰培养、病理标本、脑脊液、胸腔积液、血袋等各类标本及时、准确地收送，做好登记记录工作，确保数量准确。标本要按照相关规定运送，使用符合要求的运送标本箱。常规标本每日上午8:30之前送达检验科；零星普通标本循环频率至少1次/小时；急查标本须在15分钟内到达申请科室。</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3）药品配送：住院患者常规和临时药品取送，出院患者的退药。</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4）物品运送：消毒液下送、办公及医用材料物资的下送。</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5）手术室患者、标本等转运</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bookmarkStart w:id="14" w:name="_Hlk235194682"/>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w:t>
      </w:r>
      <w:bookmarkEnd w:id="14"/>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负责从病区至手术室之间的患者转运工作，并保证患者的安全，协助运送术后患者至恢复室、各病区或重症监护室。</w:t>
      </w:r>
      <w:bookmarkStart w:id="15" w:name="_Hlk235194695"/>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w:t>
      </w:r>
      <w:bookmarkEnd w:id="15"/>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负责领取运送血制品、常规及病理等标本，做好与相关科室签字交接。</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bookmarkStart w:id="16" w:name="_Hlk235194705"/>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③</w:t>
      </w:r>
      <w:bookmarkEnd w:id="16"/>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负责清洁消毒接送手术患者的推床，如有污染及时清理。</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6）介入室患者转运</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bookmarkStart w:id="17" w:name="_Hlk235194732"/>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w:t>
      </w:r>
      <w:bookmarkEnd w:id="17"/>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负责安全、准确地转运患者进出导管室。</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bookmarkStart w:id="18" w:name="_Hlk235195090"/>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w:t>
      </w:r>
      <w:bookmarkEnd w:id="18"/>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协助医护人员搬运患者、医疗设备及相关物品。</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③确保转运过程中患者的舒适与安全。</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3、内镜洗消</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①负责内镜及附件的清洗、消毒及登记工作。</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②保持消毒区域地面、桌面的干爽，无污迹，环境的整洁、保持盛装 内镜的容器干燥，无污迹。</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4、项目经理：</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1）全面负责该项目管理工作；</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2）熟悉相关法律法规，并能规范组织开展各项工作；</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3）及时处理各类事件（包括劳资纠纷、安全事件、投诉等）；</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4）制定并不断完善、优化各项管理制度、标准、流程；</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5）定期组织各类专业理论与操作技能的培训，各类应急预案演练，不断提高团队综合素质，提高工作效率；</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6）重视服务安全管理，杜绝不良事件/安全事件的发生；</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7）创新管理模式，实现网格化管理，提升管理效能；</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8）积极配合医院工作或活动的顺利展开，如实向医院反馈工作中的各类问题；</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9）每月进行一次服务质量工作报告，虚心接受监督、建议、评价，及时纠正存在的问题，实现服务质量不断提升，负责与临床服务中心做好对接；</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10）完成院方的各项指令性任务；</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11）未经采购人批准，项目负责人不得更换。</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投标文件要求：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（1）投标文件中提供《项目实施具体方案》文件。</w:t>
      </w:r>
      <w:r/>
    </w:p>
    <w:p>
      <w:pPr>
        <w:ind w:firstLine="560"/>
        <w:keepLines w:val="0"/>
        <w:keepNext w:val="0"/>
        <w:pageBreakBefore w:val="0"/>
        <w:spacing w:line="312" w:lineRule="auto"/>
        <w:widowControl/>
        <w:rPr>
          <w:rFonts w:hint="eastAsia"/>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（2）《项目实施具体方案》需根据“（二）具体职责及实施要求”中“1-4”进行编制。</w:t>
      </w:r>
      <w:r/>
    </w:p>
    <w:p>
      <w:pPr>
        <w:ind w:firstLine="561"/>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firstLine="561"/>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（三）人员配置及要求</w:t>
      </w:r>
      <w:r/>
    </w:p>
    <w:p>
      <w:pPr>
        <w:ind w:firstLine="561"/>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1、计划配置服务人员共计29人，具体岗位如下：</w:t>
      </w:r>
      <w:r/>
    </w:p>
    <w:tbl>
      <w:tblPr>
        <w:tblStyle w:val="81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250"/>
        <w:gridCol w:w="780"/>
        <w:gridCol w:w="1530"/>
        <w:gridCol w:w="4520"/>
      </w:tblGrid>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岗位类别</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具体工种</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人数</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备注</w:t>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主要职责概述</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调度管理</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调度员</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负责全院电话调度及信息记录</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陪检转运</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担架工</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14</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含预增2人</w:t>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负责患者陪检、转科及手术、介入患者转运</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药品配送</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送药员</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含预增2人</w:t>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负责病区药品配送</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标本送检</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送检员</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含预增2人</w:t>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负责全院血袋、检验标本、病理标本的送检</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清洗消毒</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消毒员</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负责内镜室相关器械及环境的清洗消毒</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被服管理</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洗衣工</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含预增2人</w:t>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负责全院脏被服回收及净被服发放</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物资配送</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送货员</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负责器械库物资及办公用品的送货</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项目管理</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项目经理</w:t>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负责项目全面管理</w:t>
            </w:r>
            <w:r/>
          </w:p>
        </w:tc>
      </w:tr>
      <w:tr>
        <w:trPr>
          <w:trHeight w:val="23"/>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合计</w:t>
            </w:r>
            <w:r/>
          </w:p>
        </w:tc>
        <w:tc>
          <w:tcPr>
            <w:tcW w:w="125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78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29</w:t>
            </w:r>
            <w:r/>
          </w:p>
        </w:tc>
        <w:tc>
          <w:tcPr>
            <w:tcW w:w="153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52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bl>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2、人员要求：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（1）项目经理：</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为投标人正式员工，男女不限，50周岁（含50周岁）及以下</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，负责项目全面管理。</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（2）标本送检及调度岗位：</w:t>
      </w:r>
      <w:bookmarkStart w:id="19" w:name="_Hlk235113717"/>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男性60周岁以下，女性50周岁以下。</w:t>
      </w:r>
      <w:bookmarkEnd w:id="19"/>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（3）陪检转运岗：男性65周岁以下，女性55周岁以下。</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（4）其他岗位：男性60周岁以下，女性55周岁以下。 </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通用要求：所有人员均要求身体健康，初中及以上文化，无犯罪记录。</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要求上述人员具备相关证明材料，具体要求见本招标文件第四章《评标标准》。</w:t>
      </w:r>
      <w:r/>
    </w:p>
    <w:p>
      <w:pPr>
        <w:ind w:firstLine="560"/>
        <w:keepLines w:val="0"/>
        <w:keepNext w:val="0"/>
        <w:pageBreakBefore w:val="0"/>
        <w:spacing w:line="312"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六、考核方法及标准</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（一）考核方式</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采购人对中标人服务质量实行百分制考核。</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采购人每月向各病区护士长、相关科室负责人发放《服务质量月度考核表》。</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负责对中标人的各项服务工作进行定期检查与不定期抽查相结合，每月前半月有计划进行巡视检查，发现问题，通知整改，每月最后10天追踪整改情况，整改不到位将兑现处罚；负责对用工人员编制情况进行核实，兑现合同条款；负责对服务质量日常巡查与满意度测评。</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中标人在服务过程中被发现私自联系黑救护车、擅自兜售物品、私自收受红包、发生媒体及院外投诉等情形，参照采购人相关规章制度进行处罚。</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考核周期：每月1次。</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（二）考核效用</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1、考核结果与中标人服务费结算挂钩。</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中标人月度考核总分达到90分及以上，按100%支付月度服务管理费。考核分低于90分，扣除中标人月度服务管理费总额的0.5%，连续两个月以上（包括两个月）月度考核总分低于90分，扣除中标人月度服务管理费总额的0.8%。因服务不到位引起媒体及院外投诉经查实，每发生一例，扣月度考核总分5分，发生院级投诉经查实，每发生一例，扣月度考核总分2分。突发事件应对不及时，造成事态扩大，扣总分2分，造成财产损失以及人员伤害，扣总分5分。员工服装未按时发放，扣1分/例。</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3、中标人连续三次或以上月度服务综合检查考评低于80分，采购人有权解除合同。</w:t>
      </w:r>
      <w:r/>
    </w:p>
    <w:p>
      <w:pPr>
        <w:ind w:firstLine="48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（三）服务质量月度考核表</w:t>
      </w:r>
      <w:r/>
    </w:p>
    <w:p>
      <w:pPr>
        <w:ind w:firstLine="56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病区运送工作质量月度考核表</w:t>
      </w:r>
      <w:r/>
    </w:p>
    <w:tbl>
      <w:tblPr>
        <w:tblStyle w:val="787"/>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6363"/>
        <w:gridCol w:w="1054"/>
        <w:gridCol w:w="825"/>
      </w:tblGrid>
      <w:tr>
        <w:trPr>
          <w:jc w:val="center"/>
          <w:trHeight w:val="23"/>
        </w:trPr>
        <w:tc>
          <w:tcPr>
            <w:tcW w:w="750"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w:t>
            </w:r>
            <w:r/>
          </w:p>
        </w:tc>
        <w:tc>
          <w:tcPr>
            <w:tcW w:w="3279"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  核  内  容</w:t>
            </w:r>
            <w:r/>
          </w:p>
        </w:tc>
        <w:tc>
          <w:tcPr>
            <w:tcW w:w="543" w:type="pct"/>
            <w:vAlign w:val="bottom"/>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标准分</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得分</w:t>
            </w:r>
            <w:r/>
          </w:p>
        </w:tc>
      </w:tr>
      <w:tr>
        <w:trPr>
          <w:jc w:val="center"/>
          <w:trHeight w:val="23"/>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仪容仪表（5）</w:t>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举止端庄大方，着装规范，佩戴工号牌上岗</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服务态度（10）</w:t>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文明用语，病区内不得大声喧哗，不与患者及家属发生争吵</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劳动纪律（10）</w:t>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1.遵守劳动纪律，履行请假制度</w:t>
            </w:r>
            <w:r/>
          </w:p>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2.服从安排，并圆满完成任务</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运送</w:t>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工作质量（85）</w:t>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1.遵守运送工作职责，服从指挥</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2.陪检时规范操作，主动协助搬运患者并保证患者安全、舒适</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3.运送工作及时率100%</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4.标本、物品、药品、被服送达准确、无差错</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5.急诊如输血、急诊化验，要求电话后15分钟到病区</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6.严格执行交接班制度</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7.爱护公共财物，做好陪检工具的清洗、消毒和保养工作</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8.绿色通道人员工作规范、及时，不参与第三方营利活动</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总分</w:t>
            </w:r>
            <w:r/>
          </w:p>
        </w:tc>
        <w:tc>
          <w:tcPr>
            <w:tcW w:w="3279"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bl>
    <w:p>
      <w:pPr>
        <w:ind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手术室转运工作质量月度考核表</w:t>
      </w:r>
      <w:r/>
    </w:p>
    <w:tbl>
      <w:tblPr>
        <w:tblStyle w:val="787"/>
        <w:tblW w:w="0" w:type="auto"/>
        <w:jc w:val="center"/>
        <w:shd w:val="clear" w:color="auto" w:fill="auto"/>
        <w:tblLayout w:type="autofit"/>
        <w:tblCellMar>
          <w:left w:w="10" w:type="dxa"/>
          <w:top w:w="0" w:type="dxa"/>
          <w:right w:w="10" w:type="dxa"/>
          <w:bottom w:w="0" w:type="dxa"/>
        </w:tblCellMar>
        <w:tblLook w:val="04A0" w:firstRow="1" w:lastRow="0" w:firstColumn="1" w:lastColumn="0" w:noHBand="0" w:noVBand="1"/>
      </w:tblPr>
      <w:tblGrid>
        <w:gridCol w:w="1374"/>
        <w:gridCol w:w="6439"/>
        <w:gridCol w:w="1057"/>
        <w:gridCol w:w="825"/>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  核  内  容</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标准分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得分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仪容仪表</w:t>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1.着装规范统一</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2.文明用语、服务热情，工作姿态端正</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服务态度</w:t>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1.遵守劳动纪律，服从指挥，严格执行请销假制度</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2.班内不做与岗位无关的事</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4" w:space="0"/>
              <w:left w:val="single" w:color="000000" w:sz="4" w:space="0"/>
              <w:bottom w:val="single" w:color="000000" w:sz="0"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工作质量</w:t>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1.严格遵守手术室的工作制度和消毒隔离制度</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2.接送患者做到“对病区、对床号、对姓名、对住院号”，并认真做好患者安全和交接班工作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3.送、取标本做到无误，及时率达100%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4.夜班清理手术台面、地面、墙面的污迹，及时倾倒吸引器、污物桶等污物，做好相关物品的清洁消毒工作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5.及时更换手术平车上的中单、被套，保持干燥、清洁、平整、定期擦洗平车</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6.定期擦洗吊塔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7.节假日、值班维护好手术室治安安全</w:t>
            </w:r>
            <w:r/>
          </w:p>
        </w:tc>
        <w:tc>
          <w:tcPr>
            <w:shd w:val="clear" w:color="auto" w:fill="auto"/>
            <w:tcBorders>
              <w:top w:val="single" w:color="000000" w:sz="4" w:space="0"/>
              <w:left w:val="single" w:color="000000" w:sz="0"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总分</w:t>
            </w:r>
            <w:r/>
          </w:p>
        </w:tc>
        <w:tc>
          <w:tcPr>
            <w:shd w:val="clear" w:color="auto" w:fill="auto"/>
            <w:tcBorders>
              <w:top w:val="single" w:color="000000" w:sz="4" w:space="0"/>
              <w:left w:val="single" w:color="000000" w:sz="4" w:space="0"/>
              <w:bottom w:val="single" w:color="000000" w:sz="4" w:space="0"/>
              <w:right w:val="single" w:color="000000" w:sz="0" w:space="0"/>
            </w:tcBorders>
            <w:tcMar>
              <w:left w:w="108" w:type="dxa"/>
              <w:right w:w="108" w:type="dxa"/>
            </w:tcMar>
            <w:tcW w:w="643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bl>
    <w:p>
      <w:pPr>
        <w:ind w:firstLine="56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介入中心转运工作质量月度考核表</w:t>
      </w:r>
      <w:r/>
    </w:p>
    <w:tbl>
      <w:tblPr>
        <w:tblStyle w:val="813"/>
        <w:tblW w:w="9894"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1" w:type="dxa"/>
          <w:top w:w="0" w:type="dxa"/>
          <w:right w:w="51" w:type="dxa"/>
          <w:bottom w:w="0" w:type="dxa"/>
        </w:tblCellMar>
        <w:tblLook w:val="04A0" w:firstRow="1" w:lastRow="0" w:firstColumn="1" w:lastColumn="0" w:noHBand="0" w:noVBand="1"/>
      </w:tblPr>
      <w:tblGrid>
        <w:gridCol w:w="1460"/>
        <w:gridCol w:w="6489"/>
        <w:gridCol w:w="1134"/>
        <w:gridCol w:w="811"/>
      </w:tblGrid>
      <w:tr>
        <w:trPr>
          <w:trHeight w:val="23"/>
        </w:trPr>
        <w:tc>
          <w:tcPr>
            <w:tcW w:w="146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w:t>
            </w:r>
            <w:r/>
          </w:p>
        </w:tc>
        <w:tc>
          <w:tcPr>
            <w:tcW w:w="6489"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考核内容</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标准分</w:t>
            </w:r>
            <w:r/>
          </w:p>
        </w:tc>
        <w:tc>
          <w:tcPr>
            <w:tcW w:w="811"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得分</w:t>
            </w:r>
            <w:r/>
          </w:p>
        </w:tc>
      </w:tr>
      <w:tr>
        <w:trPr>
          <w:trHeight w:val="23"/>
        </w:trPr>
        <w:tc>
          <w:tcPr>
            <w:tcW w:w="1460"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仪容仪表</w:t>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1.着装规范统一</w:t>
            </w:r>
            <w:r/>
          </w:p>
        </w:tc>
        <w:tc>
          <w:tcPr>
            <w:tcW w:w="1134" w:type="dxa"/>
            <w:vMerge w:val="restart"/>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811" w:type="dxa"/>
            <w:vMerge w:val="restart"/>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2.文明用语，服务热情，工作姿态端正</w:t>
            </w:r>
            <w:r/>
          </w:p>
        </w:tc>
        <w:tc>
          <w:tcPr>
            <w:tcW w:w="1134" w:type="dxa"/>
            <w:vMerge w:val="continue"/>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811" w:type="dxa"/>
            <w:vMerge w:val="continue"/>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服务态度</w:t>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1.遵守劳动纪律，服从指挥，严格执行请销假制度</w:t>
            </w:r>
            <w:r/>
          </w:p>
        </w:tc>
        <w:tc>
          <w:tcPr>
            <w:tcW w:w="1134" w:type="dxa"/>
            <w:vMerge w:val="restart"/>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811" w:type="dxa"/>
            <w:vMerge w:val="restart"/>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2.班内不做与岗位无关的事</w:t>
            </w:r>
            <w:r/>
          </w:p>
        </w:tc>
        <w:tc>
          <w:tcPr>
            <w:tcW w:w="1134" w:type="dxa"/>
            <w:vMerge w:val="continue"/>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811" w:type="dxa"/>
            <w:vMerge w:val="continue"/>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工作质量</w:t>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（90）</w:t>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1.严格遵守介入中心工作制度和消毒隔离制度</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2.具备良好的沟通能力，与医护人员密切配合</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3.熟练掌握转运设备(如转运床、轮椅等)的使用方法，协助护士进行患者安全转运</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4.定期进行平车的日常清洁、保养，每日查看各部件是否完好，有异常及时反馈维修</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5.转运过程中保持平稳，避开坑坑洼洼地面，雨雪天气使用防雨棚，转运途中如有异常及时报告医护人员</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6.协助护士负责手术间耗材、物品入库</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7.看护等候区患者，协助患者如厕等，如患者有异常及时呼叫医务人员</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8.及时更换平车上的中单、被罩，保持清洁、干燥、平整，根据季节更换床褥及薄、厚被</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9.瓶装水及大输液及时入库</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10.手术结束，及时清点耗材外包装</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pStyle w:val="788"/>
              <w:spacing w:line="24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W w:w="1460"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489"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11.定期彻底打扫手术间，做到门框、墙面、地面、仪器表面、治疗台面无死角，每月擦拭手术间墙壁、耗材柜顶一次</w:t>
            </w:r>
            <w:r/>
          </w:p>
        </w:tc>
        <w:tc>
          <w:tcPr>
            <w:tcW w:w="113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811"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shd w:val="clear" w:color="auto" w:fill="auto"/>
            <w:tcW w:w="146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总分</w:t>
            </w:r>
            <w:r/>
          </w:p>
        </w:tc>
        <w:tc>
          <w:tcPr>
            <w:shd w:val="clear" w:color="auto" w:fill="auto"/>
            <w:tcW w:w="6489"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W w:w="113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100</w:t>
            </w:r>
            <w:r/>
          </w:p>
        </w:tc>
        <w:tc>
          <w:tcPr>
            <w:shd w:val="clear" w:color="auto" w:fill="auto"/>
            <w:tcW w:w="811"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bl>
    <w:p>
      <w:pPr>
        <w:pStyle w:val="78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内镜消毒工作质量月度考核表</w:t>
      </w:r>
      <w:r/>
    </w:p>
    <w:tbl>
      <w:tblPr>
        <w:tblStyle w:val="787"/>
        <w:tblW w:w="9894" w:type="dxa"/>
        <w:tblInd w:w="0" w:type="dxa"/>
        <w:tblLayout w:type="autofit"/>
        <w:tblCellMar>
          <w:left w:w="108" w:type="dxa"/>
          <w:top w:w="0" w:type="dxa"/>
          <w:right w:w="108" w:type="dxa"/>
          <w:bottom w:w="0" w:type="dxa"/>
        </w:tblCellMar>
        <w:tblLook w:val="04A0" w:firstRow="1" w:lastRow="0" w:firstColumn="1" w:lastColumn="0" w:noHBand="0" w:noVBand="1"/>
      </w:tblPr>
      <w:tblGrid>
        <w:gridCol w:w="1583"/>
        <w:gridCol w:w="6495"/>
        <w:gridCol w:w="968"/>
        <w:gridCol w:w="848"/>
      </w:tblGrid>
      <w:tr>
        <w:trPr>
          <w:trHeight w:val="23"/>
        </w:trPr>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649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考核内容</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标准分</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得分</w:t>
            </w:r>
            <w:r/>
          </w:p>
        </w:tc>
      </w:tr>
      <w:tr>
        <w:trPr>
          <w:trHeight w:val="23"/>
        </w:trPr>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仪容仪表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 分）</w:t>
            </w:r>
            <w:r/>
          </w:p>
        </w:tc>
        <w:tc>
          <w:tcPr>
            <w:tcBorders>
              <w:top w:val="single" w:color="auto"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 统一规范穿戴工服、工帽、口罩，着装整洁完整</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服务态度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 分）</w:t>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 遵守科室劳动纪律，服从护士长、内镜组长工作调配，严格执行请假、换班制度</w:t>
            </w:r>
            <w:r/>
          </w:p>
        </w:tc>
        <w:tc>
          <w:tcPr>
            <w:tcBorders>
              <w:top w:val="none" w:color="000000" w:sz="4" w:space="0"/>
              <w:left w:val="single" w:color="auto" w:sz="4" w:space="0"/>
              <w:bottom w:val="single" w:color="auto" w:sz="4" w:space="0"/>
              <w:right w:val="single" w:color="auto" w:sz="4" w:space="0"/>
            </w:tcBorders>
            <w:tcW w:w="968"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848" w:type="dxa"/>
            <w:vAlign w:val="center"/>
            <w:vMerge w:val="restart"/>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 在岗期间不玩手机、不闲聊，不做与内镜清洗工作无关事项，对医护、患者文明用语，态度温和</w:t>
            </w:r>
            <w:r/>
          </w:p>
        </w:tc>
        <w:tc>
          <w:tcPr>
            <w:tcBorders>
              <w:top w:val="none" w:color="000000" w:sz="4" w:space="0"/>
              <w:left w:val="single" w:color="auto" w:sz="4" w:space="0"/>
              <w:bottom w:val="single" w:color="auto" w:sz="4" w:space="0"/>
              <w:right w:val="single" w:color="auto" w:sz="4" w:space="0"/>
            </w:tcBorders>
            <w:tcW w:w="968"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848"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内镜清洗工作质量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（90 分）</w:t>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 严格执行内镜中心消毒隔离、院感防控规范，落实内镜清洗消毒全流程标准</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 内镜交接核对规范：核对内镜编号、患者信息，做好内镜使用、清洗、交接登记，无丢失、错拿内镜</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 内镜清洗包干区域整洁：清洗槽、操作台、储物区无积水、污渍、异味、杂物堆放</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 完成各班次清洁职责，洗消间、污物间区域持续整洁，定期擦洗内镜清洗槽、转运平车、器械车</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 及时清理内镜操作台面、地面、墙面污物，规范倾倒吸引瓶、污物桶，做好设备、区域清洁消毒</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 转运平车、内镜转运垫单及时更换，保持干燥、洁净、无血迹污渍</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 定期深度清洁洗消间、储镜间卫生，每周擦拭储镜柜内壁</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 消毒内镜规范存放：按时完成内镜清洗、消毒、干燥流程，内镜干燥后规范存放于无菌储镜柜，摆放整齐、标识清晰</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 对消毒试剂、清洗耗材、内镜防护用品，做好防护，杜绝泼洒、破损</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23"/>
        </w:trPr>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 节假日、值班期间负责内镜室防火、水电、设备、财物治安安全，下班关闭水电、消毒设备</w:t>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895"/>
        </w:trPr>
        <w:tc>
          <w:tcPr>
            <w:tcBorders>
              <w:top w:val="none" w:color="000000" w:sz="4" w:space="0"/>
              <w:left w:val="single" w:color="auto" w:sz="4" w:space="0"/>
              <w:bottom w:val="single" w:color="auto" w:sz="4" w:space="0"/>
              <w:right w:val="single" w:color="auto" w:sz="4" w:space="0"/>
            </w:tcBorders>
            <w:tcW w:w="1583"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总分</w:t>
            </w:r>
            <w:r/>
          </w:p>
        </w:tc>
        <w:tc>
          <w:tcPr>
            <w:tcBorders>
              <w:top w:val="none" w:color="000000" w:sz="4" w:space="0"/>
              <w:left w:val="none" w:color="000000" w:sz="4" w:space="0"/>
              <w:bottom w:val="single" w:color="auto" w:sz="4" w:space="0"/>
              <w:right w:val="single" w:color="auto" w:sz="4" w:space="0"/>
            </w:tcBorders>
            <w:tcW w:w="6495"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投标文件要求：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（1）投标文件中提供《质量考核与持续改进方案》文件。</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服务总体方案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》需根据“六、考核方法及标准”中“（一）-（三）”进行编制。</w:t>
      </w:r>
      <w:r/>
    </w:p>
    <w:p>
      <w:pPr>
        <w:ind w:firstLine="482"/>
        <w:keepLines w:val="0"/>
        <w:keepNext w:val="0"/>
        <w:pageBreakBefore w:val="0"/>
        <w:spacing w:line="348"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七、双方责任</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（一）采购人责任</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每月对中标人工作进行考核，客观公正地对中标人工作进行评价，有权对其提供的服务提出意见和建议。</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（二）中标人责任</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1、按照合同约定要求认真履行中标人职责，同时必须按照投标文件和合同确定的人数派出相关人员从事服务工作。中标人在合同执行期间，须接受采购人的考核监管。</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确保安全生产：有制定安全管理应急预案，做好各项培训与考核（培训每季度不少于一次）。严格执行规章制度与工作流程，因中标人处理不当或响应不及时引起的不良事件：如陪检过程中患者从平车掉落、仪器设备损坏，标本丢失等所造成的一切后果及损失，由中标人承担。</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3、遵守采购人规章制度，不介入采购人医疗活动，不利用工作之便在医院从事与本职工作无关的活动。</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4、中标人应负责为其派出人员依法办理劳动用工手续，并承担其人员的工资报酬、劳保福利、养老保险等全部用工费用，发生工伤事故、人事、工作纠纷等由中标人自行解决并承担全部责任。</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5、依法进行用工管理，按采购人要求对不称职人员及时撤换，对所有上岗人员应定期进行业务培训，培训合格后方可上岗，上岗前需征求服务区域主管意见。</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加强对聘用人员的职业道德和安全意识教育，爱护公共财物，节约使用水、电气。由于中标人员工在日常工作中给采购人的设施、材料或患者物品造成损失的，中标人应承担赔偿责任。对采购人提供的物品，应及时保养。需要修理及时送采购人修理，对无修理价值的物品应及时到采购人办理报损手续。</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制定切实可行的管理制度和工作流程，对承包范围内的工作要认真进行自查自纠，确保服务质量。自觉接受采购人的监督和检查，积极采纳采购人合理化建议，并负责处理有关投诉。做好每日巡查及沟通记录。</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8、中标人进场派驻本院的项目负责人必须与投标文件一致，不得随意更换。项目负责人在工作日离开本院时，应向采购人请假。</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9、因服务管理不到位、工作流程不合理的原因造成第三方损失或纠纷的，由中标人负责处理，采购人积极参与协调，所有相关费用由中标人承担。</w:t>
      </w:r>
      <w:r/>
    </w:p>
    <w:p>
      <w:pPr>
        <w:ind w:firstLine="482"/>
        <w:keepLines w:val="0"/>
        <w:keepNext w:val="0"/>
        <w:pageBreakBefore w:val="0"/>
        <w:spacing w:line="348"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八、违约责任</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1、中标人不履行合同或履行该合同不符合合同约定，中标人应向采购人支付合同价5%的违约金，违约金在合同总价中扣除。</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2、中标人如延迟履行合同或不完全履行合同，除支付5%违约金外中标人仍应实际履行合同，采购人也有权提前免责解除合同，且有权要求中标人承担因中标人违约给采购人造成的经济损失。</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4、无论是合同期满或其他情况，中标人在撤离医院前，要进行财产清理，中标人需将采购人交付使用的财产物资完整地移交给采购人。对撤出物品要经过双方共同认定，故意损坏的需按原价赔偿。</w:t>
      </w:r>
      <w:r/>
    </w:p>
    <w:p>
      <w:pPr>
        <w:ind w:firstLine="482"/>
        <w:keepLines w:val="0"/>
        <w:keepNext w:val="0"/>
        <w:pageBreakBefore w:val="0"/>
        <w:spacing w:line="348"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九、项目人员管理培训要求</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1、提供分类培训，针对调度员、陪检转运、药品配送、标本送检、清洗消毒、被服管理、物资配送等不同角色设置专属课程，配套完善的培训资料及操作手册，确保相关人员熟练掌握岗位技能。</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投标人提供详细的培训方案，包括培训计划、培训对象、培训内容、培训方式，实际培训时间、人数和地点中标后与采购人协商确定。</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我院临床服务中心原有20名第三方劳务派遣在岗人员，长期承担院内陪检转运、药品标本配送、消毒清洗、被服管理等核心后勤保障工作，岗位熟练度高、适配院内工作流程、熟悉院区环境及临床服务要求，是保障医院日常诊疗秩序稳定的核心力量。同时，原有在岗人员中部分人员临近退休，无需缴纳社保、无后续社保合规压力，且人员工作状态稳定、可长期在岗履职。</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3、为保障院内服务稳定、保持岗位人员队伍基本稳定，延续原有成熟服务体系，</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投标人优先录用医院现有在岗熟练工作人员，</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最大限度保留成熟服务团队、保障院内服务无缝衔接、避免新人轮岗磨合影响临床服务质量。不得无故大批量更换在岗人员。</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4、针对现有部分临近退休、依法无需缴纳社保的在岗人员，投标人按现行法律法规合规签订用工协议，据实核算成本，不得虚列社保、公积金等无效成本，杜绝医院资金浪费。</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5、本项目严格执行据实结算、弹性管控原则：年度费用基准为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178</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万元/年（29人配置）。服务期内，实际在岗人员少于配置人数的，按实际在岗人数比例扣减对应服务费用；因医院业务扩容确需增配人员的，可据实增加服务费用，年度增加费用最高不超过原年度合同总价的10%，超出部分不予计费、不予结算。</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6、投标人报价必须区分在岗人员参保状态差异化报价，适龄人员依规足额核算社保、公积金及法定福利，超龄免参保人员仅核算实际发生用工成本，报价不符合要求视为无效投标。</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人员稳岗合规说明：本项目要求中标单位优先录用医院现有在岗熟练工作人员，属于保障医疗服务连续性、服务团队稳定性的必要履约条件，不属于限制、排斥潜在投标人的违规条款。本项目为医院临床配套连续性服务，原有在岗人员熟悉医院院感规范、诊疗流程、转运标准，是保障服务质量、杜绝服务断档、降低医患投诉风险的必要条件，符合政府采购服务类项目“稳队伍、保服务”的通用合规要求，所有潜在投标人均可平等响应、无差别履约。</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投标文件要求：</w:t>
      </w:r>
      <w:r/>
    </w:p>
    <w:p>
      <w:pPr>
        <w:ind w:firstLine="560"/>
        <w:keepLines w:val="0"/>
        <w:keepNext w:val="0"/>
        <w:pageBreakBefore w:val="0"/>
        <w:spacing w:line="312"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项目人员管理培训方案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w:t>
      </w:r>
      <w:r/>
    </w:p>
    <w:p>
      <w:pPr>
        <w:ind w:firstLine="480"/>
        <w:keepLines w:val="0"/>
        <w:keepNext w:val="0"/>
        <w:pageBreakBefore w:val="0"/>
        <w:spacing w:line="348"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项目人员管理培训方案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》需根据“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项目人员管理培训要求</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”中“1-6”进行编制。</w:t>
      </w:r>
      <w:r/>
    </w:p>
    <w:p>
      <w:pPr>
        <w:pStyle w:val="788"/>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82"/>
        <w:keepLines w:val="0"/>
        <w:keepNext w:val="0"/>
        <w:pageBreakBefore w:val="0"/>
        <w:spacing w:line="348"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十、其他服务要求</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1、中标人的各岗位员工要统一服装，并由中标人负责其员工工服配备和洗涤，（清洗频次根据采购人需求执行并符合院感要求）中标后合同开始执行时所有人员一律更换为新工作服和工号牌。</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2、中标人有岗前培训机制，服务人员100%经过岗前培训合格后方可上岗。同时必须提交岗前培训记录。</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3、未经采购人同意，中标人不得在合同期限内将本项目转包或分包。</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4、中标人须严格按照标准化的操作程序、完善的培训体系和质量控制体系完成本项目，以保证整个服务系统安全、高效、有序和有计划地运转。</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5、中标人有责任配合医院接受上级领导部门的监督、检查，提供必需的资料。</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6、中标人须严格按照国家和徐州市政府规定给未退休员工缴纳各种社会保险（包括养老、工伤、失业保险等）、医疗保险等。</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中标人自行负责其招聘员工的一切工资；如发生工伤、疾病乃至死亡的一切责任及费用由中标人全部负责；中标人应严格遵守国家有关的法律法规及行业标准，如发生劳动人事纠纷，一律由中标人全权负责处理。</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全部服务人员的工作时间应严格按国家有关法律法规要求的标准执行，因工作原因产生的加班（含节假日加班）应严格按国家有关法律法规要求的标准给付员工加班薪资。因采购人工作需要（除特殊加班），导致中标人员工产生加班已经计入总报价。</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9、中标人因违反《劳动法》等法律法规而造成采购人的连带责任和损失全部由中标人承担。</w:t>
      </w:r>
      <w:r/>
    </w:p>
    <w:p>
      <w:pPr>
        <w:ind w:firstLine="480"/>
        <w:keepLines w:val="0"/>
        <w:keepNext w:val="0"/>
        <w:pageBreakBefore w:val="0"/>
        <w:spacing w:line="348"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10、中标人不得以采购人的名义从事任何经济活动。</w:t>
      </w:r>
      <w:r/>
    </w:p>
    <w:p>
      <w:pPr>
        <w:ind w:firstLine="482"/>
        <w:keepLines w:val="0"/>
        <w:keepNext w:val="0"/>
        <w:pageBreakBefore w:val="0"/>
        <w:spacing w:line="348" w:lineRule="auto"/>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十一、其他要求</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：见招标文件第六章《拟签订的合同文本》。</w:t>
      </w:r>
      <w:bookmarkStart w:id="20" w:name="_Toc2754"/>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hint="eastAsia" w:ascii="宋体" w:hAnsi="宋体" w:eastAsia="宋体" w:cs="宋体"/>
          <w:b w:val="0"/>
          <w:bCs w:val="0"/>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第六章拟签订的合同文本</w:t>
      </w:r>
      <w:r/>
    </w:p>
    <w:p>
      <w:pPr>
        <w:pStyle w:val="827"/>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14:textFill>
            <w14:solidFill>
              <w14:schemeClr w14:val="tx1"/>
            </w14:solidFill>
          </w14:textFill>
        </w:rPr>
      </w:pPr>
      <w:r>
        <w:rPr>
          <w:rFonts w:hint="eastAsia" w:ascii="宋体" w:hAnsi="宋体" w:eastAsia="宋体" w:cs="宋体"/>
          <w:b w:val="0"/>
          <w:bCs w:val="0"/>
          <w:color w:val="000000" w:themeColor="text1"/>
          <w:sz w:val="30"/>
          <w:szCs w:val="30"/>
          <w:highlight w:val="none"/>
          <w14:textFill>
            <w14:solidFill>
              <w14:schemeClr w14:val="tx1"/>
            </w14:solidFill>
          </w14:textFill>
        </w:rPr>
      </w:r>
      <w:r/>
    </w:p>
    <w:p>
      <w:pPr>
        <w:pStyle w:val="827"/>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14:textFill>
            <w14:solidFill>
              <w14:schemeClr w14:val="tx1"/>
            </w14:solidFill>
          </w14:textFill>
        </w:rPr>
      </w:pPr>
      <w:r>
        <w:rPr>
          <w:rFonts w:hint="eastAsia" w:ascii="宋体" w:hAnsi="宋体" w:eastAsia="宋体" w:cs="宋体"/>
          <w:b w:val="0"/>
          <w:bCs w:val="0"/>
          <w:color w:val="000000" w:themeColor="text1"/>
          <w:sz w:val="30"/>
          <w:szCs w:val="30"/>
          <w:highlight w:val="none"/>
          <w14:textFill>
            <w14:solidFill>
              <w14:schemeClr w14:val="tx1"/>
            </w14:solidFill>
          </w14:textFill>
        </w:rPr>
        <w:t xml:space="preserve">项目名称：</w:t>
      </w:r>
      <w:r>
        <w:rPr>
          <w:rFonts w:hint="eastAsia" w:ascii="宋体" w:hAnsi="宋体" w:cs="宋体"/>
          <w:b w:val="0"/>
          <w:bCs w:val="0"/>
          <w:color w:val="000000" w:themeColor="text1"/>
          <w:sz w:val="30"/>
          <w:szCs w:val="30"/>
          <w:highlight w:val="none"/>
          <w:lang w:eastAsia="zh-CN"/>
          <w14:textFill>
            <w14:solidFill>
              <w14:schemeClr w14:val="tx1"/>
            </w14:solidFill>
          </w14:textFill>
        </w:rPr>
        <w:t xml:space="preserve">睢宁县人民医院临床服务中心服务外包项目</w:t>
      </w:r>
      <w:r/>
    </w:p>
    <w:p>
      <w:pPr>
        <w:pStyle w:val="827"/>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30"/>
          <w:szCs w:val="30"/>
          <w:highlight w:val="none"/>
          <w14:textFill>
            <w14:solidFill>
              <w14:schemeClr w14:val="tx1"/>
            </w14:solidFill>
          </w14:textFill>
        </w:rPr>
      </w:pPr>
      <w:r>
        <w:rPr>
          <w:rFonts w:hint="eastAsia" w:ascii="宋体" w:hAnsi="宋体" w:eastAsia="宋体" w:cs="宋体"/>
          <w:b w:val="0"/>
          <w:bCs w:val="0"/>
          <w:color w:val="000000" w:themeColor="text1"/>
          <w:sz w:val="30"/>
          <w:szCs w:val="30"/>
          <w:highlight w:val="none"/>
          <w14:textFill>
            <w14:solidFill>
              <w14:schemeClr w14:val="tx1"/>
            </w14:solidFill>
          </w14:textFill>
        </w:rPr>
        <w:t xml:space="preserve">项目编号：</w:t>
      </w:r>
      <w:r>
        <w:rPr>
          <w:rFonts w:hint="eastAsia" w:ascii="宋体" w:hAnsi="宋体" w:cs="宋体"/>
          <w:b w:val="0"/>
          <w:bCs w:val="0"/>
          <w:color w:val="000000" w:themeColor="text1"/>
          <w:sz w:val="30"/>
          <w:szCs w:val="30"/>
          <w:highlight w:val="none"/>
          <w:lang w:eastAsia="zh-CN"/>
          <w14:textFill>
            <w14:solidFill>
              <w14:schemeClr w14:val="tx1"/>
            </w14:solidFill>
          </w14:textFill>
        </w:rPr>
        <w:t xml:space="preserve">JSZC-320324-JSKJ-G2026-0037</w:t>
      </w:r>
      <w:r/>
    </w:p>
    <w:p>
      <w:pPr>
        <w:pStyle w:val="827"/>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56"/>
          <w:szCs w:val="56"/>
          <w:highlight w:val="none"/>
          <w14:textFill>
            <w14:solidFill>
              <w14:schemeClr w14:val="tx1"/>
            </w14:solidFill>
          </w14:textFill>
        </w:rPr>
      </w:pPr>
      <w:r>
        <w:rPr>
          <w:rFonts w:hint="eastAsia" w:ascii="宋体" w:hAnsi="宋体" w:eastAsia="宋体" w:cs="宋体"/>
          <w:b w:val="0"/>
          <w:bCs w:val="0"/>
          <w:color w:val="000000" w:themeColor="text1"/>
          <w:sz w:val="56"/>
          <w:szCs w:val="56"/>
          <w:highlight w:val="none"/>
          <w14:textFill>
            <w14:solidFill>
              <w14:schemeClr w14:val="tx1"/>
            </w14:solidFill>
          </w14:textFill>
        </w:rPr>
      </w:r>
      <w:r/>
    </w:p>
    <w:p>
      <w:pPr>
        <w:pStyle w:val="827"/>
        <w:ind w:left="0" w:right="0"/>
        <w:jc w:val="center"/>
        <w:keepLines w:val="0"/>
        <w:keepNext w:val="0"/>
        <w:pageBreakBefore w:val="0"/>
        <w:spacing w:beforeAutospacing="0" w:after="0" w:afterAutospacing="0" w:line="360" w:lineRule="auto"/>
        <w:rPr>
          <w:rFonts w:hint="eastAsia" w:ascii="宋体" w:hAnsi="宋体" w:eastAsia="宋体" w:cs="宋体"/>
          <w:b w:val="0"/>
          <w:bCs w:val="0"/>
          <w:color w:val="000000" w:themeColor="text1"/>
          <w:sz w:val="56"/>
          <w:szCs w:val="56"/>
          <w:highlight w:val="none"/>
          <w14:textFill>
            <w14:solidFill>
              <w14:schemeClr w14:val="tx1"/>
            </w14:solidFill>
          </w14:textFill>
        </w:rPr>
      </w:pPr>
      <w:r>
        <w:rPr>
          <w:rFonts w:hint="eastAsia" w:ascii="宋体" w:hAnsi="宋体" w:eastAsia="宋体" w:cs="宋体"/>
          <w:b w:val="0"/>
          <w:bCs w:val="0"/>
          <w:color w:val="000000" w:themeColor="text1"/>
          <w:sz w:val="56"/>
          <w:szCs w:val="56"/>
          <w:highlight w:val="none"/>
          <w14:textFill>
            <w14:solidFill>
              <w14:schemeClr w14:val="tx1"/>
            </w14:solidFill>
          </w14:textFill>
        </w:rPr>
        <w:t xml:space="preserve">政府采购合同</w:t>
      </w:r>
      <w:r/>
    </w:p>
    <w:p>
      <w:pPr>
        <w:pStyle w:val="834"/>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pStyle w:val="834"/>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pStyle w:val="834"/>
        <w:ind w:left="0" w:right="0"/>
        <w:keepLines w:val="0"/>
        <w:keepNext w:val="0"/>
        <w:pageBreakBefore w:val="0"/>
        <w:spacing w:beforeAutospacing="0" w:afterAutospacing="0"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pStyle w:val="827"/>
        <w:ind w:left="0" w:right="0"/>
        <w:keepLines w:val="0"/>
        <w:keepNext w:val="0"/>
        <w:pageBreakBefore w:val="0"/>
        <w:spacing w:beforeAutospacing="0" w:after="0" w:afterAutospacing="0"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pStyle w:val="827"/>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甲方</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pStyle w:val="827"/>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u w:val="single"/>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中标人</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乙方</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p>
    <w:p>
      <w:pPr>
        <w:pStyle w:val="827"/>
        <w:ind w:left="0" w:right="0" w:firstLine="1960"/>
        <w:jc w:val="left"/>
        <w:keepLines w:val="0"/>
        <w:keepNext w:val="0"/>
        <w:pageBreakBefore w:val="0"/>
        <w:spacing w:beforeAutospacing="0" w:after="0" w:afterAutospacing="0"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合同签订日期：年月日</w:t>
      </w:r>
      <w:r/>
    </w:p>
    <w:p>
      <w:pPr>
        <w:pStyle w:val="831"/>
        <w:ind w:right="0"/>
        <w:keepLines w:val="0"/>
        <w:keepNext w:val="0"/>
        <w:pageBreakBefore w:val="0"/>
        <w:spacing w:beforeAutospacing="0" w:afterAutospacing="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pStyle w:val="82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1"/>
        <w:ind w:firstLine="48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友情提醒：采购人与中标</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应当在中标、成交通知书发出之日起30日内，按照</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确定的事项签订政府采购合同。</w:t>
      </w:r>
      <w:r/>
    </w:p>
    <w:p>
      <w:pPr>
        <w:pStyle w:val="1151"/>
        <w:ind w:left="0" w:right="0" w:firstLine="560"/>
        <w:keepLines w:val="0"/>
        <w:keepNext w:val="0"/>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采购人应当自政府采购合同签订之日起2个</w:t>
      </w:r>
      <w:r>
        <w:rPr>
          <w:rFonts w:hint="eastAsia" w:ascii="宋体" w:hAnsi="宋体" w:eastAsia="宋体" w:cs="宋体"/>
          <w:b w:val="0"/>
          <w:bCs/>
          <w:color w:val="000000" w:themeColor="text1"/>
          <w:sz w:val="24"/>
          <w:szCs w:val="24"/>
          <w:highlight w:val="none"/>
          <w14:textFill>
            <w14:solidFill>
              <w14:schemeClr w14:val="tx1"/>
            </w14:solidFill>
          </w14:textFill>
        </w:rPr>
        <w:t xml:space="preserve">工作日内，将政府采购合同在省级以上人民政府财政部门指定的媒体上公告，但政府采购合同中涉及国家秘密、商业秘密的内容除外。</w:t>
      </w:r>
      <w:r/>
    </w:p>
    <w:p>
      <w:pPr>
        <w:ind w:left="0" w:right="0"/>
        <w:keepLines w:val="0"/>
        <w:keepNext w:val="0"/>
        <w:pageBreakBefore w:val="0"/>
        <w:spacing w:beforeAutospacing="0" w:afterAutospacing="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151"/>
        <w:ind w:left="0" w:right="0" w:firstLine="482"/>
        <w:keepLines w:val="0"/>
        <w:keepNext w:val="0"/>
        <w:pageBreakBefore w:val="0"/>
        <w:spacing w:beforeAutospacing="0" w:afterAutospacing="0" w:line="360" w:lineRule="auto"/>
        <w:rPr>
          <w:rStyle w:val="900"/>
          <w:rFonts w:hint="eastAsia" w:ascii="宋体" w:hAnsi="宋体" w:eastAsia="宋体" w:cs="宋体"/>
          <w:b/>
          <w:color w:val="000000" w:themeColor="text1"/>
          <w:sz w:val="24"/>
          <w:szCs w:val="24"/>
          <w:highlight w:val="none"/>
          <w14:textFill>
            <w14:solidFill>
              <w14:schemeClr w14:val="tx1"/>
            </w14:solidFill>
          </w14:textFill>
        </w:rPr>
      </w:pPr>
      <w:r>
        <w:rPr>
          <w:rStyle w:val="900"/>
          <w:rFonts w:hint="eastAsia" w:ascii="宋体" w:hAnsi="宋体" w:eastAsia="宋体" w:cs="宋体"/>
          <w:b/>
          <w:color w:val="000000" w:themeColor="text1"/>
          <w:sz w:val="24"/>
          <w:szCs w:val="24"/>
          <w:highlight w:val="none"/>
          <w14:textFill>
            <w14:solidFill>
              <w14:schemeClr w14:val="tx1"/>
            </w14:solidFill>
          </w14:textFill>
        </w:rPr>
        <w:t xml:space="preserve">特别提醒：</w:t>
      </w:r>
      <w:r/>
    </w:p>
    <w:p>
      <w:pPr>
        <w:pStyle w:val="831"/>
        <w:ind w:firstLine="480"/>
        <w:spacing w:line="360" w:lineRule="auto"/>
        <w:rPr>
          <w:rFonts w:hint="eastAsia" w:ascii="宋体" w:hAnsi="宋体" w:eastAsia="宋体" w:cs="宋体"/>
          <w:b/>
          <w:bCs/>
          <w:color w:val="000000" w:themeColor="text1"/>
          <w:sz w:val="32"/>
          <w:szCs w:val="32"/>
          <w:highlight w:val="none"/>
          <w14:textFill>
            <w14:solidFill>
              <w14:schemeClr w14:val="tx1"/>
            </w14:solidFill>
          </w14:textFill>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t xml:space="preserve">中标人领取中标通知书时须向代理机构提交纸质胶装投标文件一正四副，</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电子版投标文件</w:t>
      </w:r>
      <w:r>
        <w:rPr>
          <w:rFonts w:hint="eastAsia" w:ascii="宋体" w:hAnsi="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份（U盘）</w:t>
      </w:r>
      <w:bookmarkEnd w:id="20"/>
      <w:r/>
      <w:r/>
    </w:p>
    <w:p>
      <w:pPr>
        <w:ind w:lef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1" w:name="_Toc24368"/>
      <w:r>
        <w:rPr>
          <w:rFonts w:hint="eastAsia" w:ascii="方正仿宋_GBK" w:hAnsi="方正仿宋_GBK" w:eastAsia="方正仿宋_GBK" w:cs="方正仿宋_GBK"/>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合同编号：</w:t>
      </w:r>
      <w:r/>
    </w:p>
    <w:p>
      <w:pPr>
        <w:ind w:left="2846" w:hanging="2716"/>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val="en-US"/>
          <w14:textFill>
            <w14:solidFill>
              <w14:schemeClr w14:val="tx1"/>
            </w14:solidFill>
          </w14:textFill>
        </w:rPr>
        <w:t xml:space="preserve"> </w:t>
      </w:r>
      <w:r/>
    </w:p>
    <w:p>
      <w:pPr>
        <w:ind w:left="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签订地点：</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依据《中华人民共和国民法典》和其他有关法律、法规，经甲方公开招标，根据“</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睢宁县人民医院临床服务中心服务外包项目</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JSZC-320324-JSKJ-G2026-0037</w:t>
      </w:r>
      <w:r>
        <w:rPr>
          <w:rFonts w:hint="eastAsia" w:ascii="宋体" w:hAnsi="宋体" w:eastAsia="宋体" w:cs="宋体"/>
          <w:color w:val="000000" w:themeColor="text1"/>
          <w:sz w:val="24"/>
          <w:szCs w:val="24"/>
          <w:highlight w:val="none"/>
          <w14:textFill>
            <w14:solidFill>
              <w14:schemeClr w14:val="tx1"/>
            </w14:solidFill>
          </w14:textFill>
        </w:rPr>
        <w:t xml:space="preserve">）公开招标结果，甲乙双方本着诚实信用、平等互利的原则，就</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睢宁县人民医院临床服务中心服务外包项目</w:t>
      </w:r>
      <w:r>
        <w:rPr>
          <w:rFonts w:hint="eastAsia" w:ascii="宋体" w:hAnsi="宋体" w:eastAsia="宋体" w:cs="宋体"/>
          <w:color w:val="000000" w:themeColor="text1"/>
          <w:sz w:val="24"/>
          <w:szCs w:val="24"/>
          <w:highlight w:val="none"/>
          <w14:textFill>
            <w14:solidFill>
              <w14:schemeClr w14:val="tx1"/>
            </w14:solidFill>
          </w14:textFill>
        </w:rPr>
        <w:t xml:space="preserve">事宜，签订本合同。</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一、项目概况</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睢宁县人民医院临床服务中心服务外包项目</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JSZC-320324-JSKJ-G2026-0037</w:t>
      </w:r>
      <w:r/>
    </w:p>
    <w:p>
      <w:pPr>
        <w:ind w:left="0" w:firstLine="480"/>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睢宁县人民医院</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本次外包服务涵盖以下核心业务板块，</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提供24小时不间断服务：电话调度与统筹；患者陪检与手术转运；标本、物资与药品配送；清洗消毒与内镜辅助等。</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项目涉及的内容</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1、服务内容包括：详见招标文件。</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2、下列文件为本合同不可分割部分：</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①招标文件及其附件；</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②乙方的投标文件；</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③乙方在招投标过程中所作的其它承诺、声明、书面澄清等；</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④中标通知书；</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⑤合同附件。</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以上与本合同具有同等法律效力</w:t>
      </w:r>
      <w:r/>
    </w:p>
    <w:p>
      <w:pPr>
        <w:numPr>
          <w:ilvl w:val="0"/>
          <w:numId w:val="2"/>
        </w:numPr>
        <w:ind w:left="0" w:firstLine="480"/>
        <w:keepLines w:val="0"/>
        <w:keepNext w:val="0"/>
        <w:pageBreakBefore w:val="0"/>
        <w:spacing w:line="360" w:lineRule="auto"/>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项目负责人 姓名</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身份证号</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p>
    <w:p>
      <w:pPr>
        <w:pStyle w:val="1171"/>
        <w:keepLines w:val="0"/>
        <w:keepNext w:val="0"/>
        <w:pageBreakBefore w:val="0"/>
        <w:spacing w:line="360" w:lineRule="auto"/>
        <w:rPr>
          <w:rFonts w:hint="eastAsia"/>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三</w:t>
      </w:r>
      <w:r>
        <w:rPr>
          <w:rFonts w:ascii="宋体" w:hAnsi="宋体" w:eastAsia="宋体" w:cs="宋体"/>
          <w:b/>
          <w:bCs/>
          <w:color w:val="000000" w:themeColor="text1"/>
          <w:sz w:val="24"/>
          <w:szCs w:val="24"/>
          <w:highlight w:val="none"/>
          <w14:textFill>
            <w14:solidFill>
              <w14:schemeClr w14:val="tx1"/>
            </w14:solidFill>
          </w14:textFill>
        </w:rPr>
        <w:t xml:space="preserve">、合同支付</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方协商一致，付款方式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向乙方支付月度服务费用，每次付款前，乙方需提供合法有效的发票、付款申请（注明申请款项、账户等信息）。甲方依据考核方式及标准进行每月考核，</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根据考核情况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另行缴纳上月罚款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支付服务费用以</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实际提供岗位服务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进行据实结算。</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四、服务期</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三年（自签订合同之日起计算）。合同一年一签，考核合格的情况下，甲方与乙方续签下一年合同。</w:t>
      </w: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五、服务标准及要求</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（一）服务总体要求</w:t>
      </w:r>
      <w:r/>
    </w:p>
    <w:p>
      <w:pPr>
        <w:ind w:firstLine="48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服务目标：坚持"以患者为中心，以服务质量为核心"，围绕"精细管理、用心服务、安全可靠"的服务理念，切实改善服务态度，提高服务质量，提升沟通水平，规范服务行为，完善服务制度，确保服务安全，优化服务流程，提升患者满意度。</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2、乙方应设立项目部，对服务流程与服务质量、培训、绩效、应急演练、员工权益保障实施有效管理，对服务管理品质负责。</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3、乙方具有健全的院感管理方案，针对不同环境污染风险区域的消毒隔离规范。</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4、乙方具有健全管理规章制度，如：陪检管理制度；药品运送管理制度；考勤管理制度；请（休）假管理制度；奖惩管理制度等。</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5、乙方具备应对突发状况的应急保障能力，建立健全的突发事件应急预案，如：火灾应急预案；标本遗失应急预案；电梯困人应急预案；运送中突发事件应急预案等。</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乙方具备应对安全事故处理的应急保障能力，建立健全的安全事故处理方案，体现人身意外伤害赔偿项目和标准、员工意外伤害事故处理办法、配备员工意外伤害事故报告表、工伤赔偿管理办法、工伤法律规定及赔偿流程等内容。</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乙方具备人员培训能力，建立健全的培训方案，有完善的岗位培训计划（内容包括但不限于基础、熟悉工作环境、通讯设备使用要求、岗位要求、安全要求、应急响应、岗位技能等），培训计划中岗位技能、应急响应、安全管理等内容占比不低于总培训内容的50%。</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乙方进驻与撤离过程中，对意外事件具备迅速响应和有效处理的应急能力。建立健全的进退场方案，妥善安排人员交接，具备应对交接过程中可能发生的突发事件的应变能力。提前7天开始筹备，无缝衔接、高效运转的交接过渡期不少于15天。</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乙方有标准化实施能力，通过精细化的标准化管理手段，对医院后勤服务运营流程进行优化，提高整体运营效率和患者满意度。通过制定统一的操作规范和标准作业流程，确保医院后勤服务在安全性、稳定性和可靠性方面达到行业标准。</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10、乙方按招标文件岗位设置的要求，合理科学地配备管理及服务人员，依法建立劳动关系，工作时间符合劳动法规定。乙方应具备当月工资的支付能力并按时发放薪酬。</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（二）具体职责及相关要求</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1、患者及物资运送</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（1）总体要求</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1）负责院区内患者、物资、标本、药品运送工作，所有运送人员由调度中心统一协调与分配。</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2）定期进行运送数据的汇总和统计，能随时提供相应的数据给采购人。</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3）所有运送人员接受转运工具使用方法及转运安全的培训，掌握突发事件处理预案。运送工具每天进行检查，定期维护保养。</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4）调度员需全面了解院内各项调配任务，根据任务的轻重缓急进行调度，满足临床工作的需求。</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5）所有人员进行文明用语、规范服务等培训，在运送过程中严禁发生争吵、打闹等影响医院形象的言行举止。</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6）熟练掌握医院患者、标本、药品、物品等转运流程，严格执行查对制度和交接制度。</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7）定期调研临床工作的需求，不断修订和完善相关流程和服务内容。</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8）住院患者常规用药循环频率至少45分钟/次，急用药品、耗材需在15分钟内到达申请科室。</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9）所有运送人员不得私自拿变卖药品、物品，在工作期间不可从事工作职责以外并收取报酬的其他服务。</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（2）具体要求</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1）陪检服务</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①按要求为住院患者（危重、行动不便）的患者进行陪检服务。对于病情危重、处于特殊情况下的患者，与病房责任护士/医生共同完成陪检。</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接到陪检任务后，应认真核对患者姓名、床号、年龄、诊断、检查项目等相关信息，陪检人员要了解患者病情、检查前准备、特殊情况知情同意书签字情况等，根据患者的病情、身体状况采取适宜的陪送方法（平车、轮椅等）。</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③检查中陪检人员应密切观察患者病情，一旦发生变化，应立即通知送检科室和相关科室协助抢救。</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④检查后应告知患者检查后的注意事项，不评论患者检查结果。</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⑤陪检人员将患者送回病房后，将检查报告单交给护士，并告知检查过程中的特殊情况。</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标本送检：负责全院所有的血标本、大便标本、尿标本、痰培养、病理标本、脑脊液、胸腔积液、血袋等各类标本及时、准确地收送，做好登记记录工作，确保数量准确。标本要按照相关规定运送，使用符合要求的运送标本箱。常规标本每日上午8:30之前送达检验科；零星普通标本循环频率至少1次/小时；急查标本须在15分钟内到达申请科室。</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3）药品配送：住院患者常规和临时药品取送，出院患者的退药。</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4）物品运送：消毒液下送、办公及医用材料物资的下送。</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5）手术室患者、标本等转运</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①负责从病区至手术室之间的患者转运工作，并保证患者的安全，协助运送术后患者至恢复室、各病区或重症监护室。②负责领取运送血制品、常规及病理等标本，做好与相关科室签字交接。</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③负责清洁消毒接送手术患者的推床，如有污染及时清理。</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6）介入室患者转运</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①负责安全、准确地转运患者进出导管室。</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②协助医护人员搬运患者、医疗设备及相关物品。</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③确保转运过程中患者的舒适与安全。</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2、内镜洗消</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①负责内镜及附件的清洗、消毒及登记工作。</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②保持消毒区域地面、桌面的干爽，无污迹，环境的整洁、保持盛装 内镜的容器干燥，无污迹。</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3、项目经理：</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1）全面负责该项目管理工作；</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2）熟悉相关法律法规，并能规范组织开展各项工作；</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3）及时处理各类事件（包括劳资纠纷、安全事件、投诉等）；</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4）制定并不断完善、优化各项管理制度、标准、流程；</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5）定期组织各类专业理论与操作技能的培训，各类应急预案演练，不断提高团队综合素质，提高工作效率；</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6）重视服务安全管理，杜绝不良事件/安全事件的发生；</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7）创新管理模式，实现网格化管理，提升管理效能；</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8）积极配合医院工作或活动的顺利展开，如实向医院反馈工作中的各类问题；</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9）每月进行一次服务质量工作报告，虚心接受监督、建议、评价，及时纠正存在的问题，实现服务质量不断提升，负责与临床服务中心做好对接；</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10）完成院方的各项指令性任务；</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11）未经采购人批准，项目负责人不得更换。</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（三）人员配置及要求</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计划配置服务人员共计29人，具体岗位如下：</w:t>
      </w:r>
      <w:r/>
    </w:p>
    <w:tbl>
      <w:tblPr>
        <w:tblStyle w:val="813"/>
        <w:tblW w:w="100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418"/>
        <w:gridCol w:w="992"/>
        <w:gridCol w:w="1417"/>
        <w:gridCol w:w="4840"/>
      </w:tblGrid>
      <w:tr>
        <w:trPr/>
        <w:tc>
          <w:tcPr>
            <w:tcW w:w="1384"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岗位类别</w:t>
            </w:r>
            <w:r/>
          </w:p>
        </w:tc>
        <w:tc>
          <w:tcPr>
            <w:tcW w:w="1418"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具体工种</w:t>
            </w:r>
            <w:r/>
          </w:p>
        </w:tc>
        <w:tc>
          <w:tcPr>
            <w:tcW w:w="992"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人数</w:t>
            </w:r>
            <w:r/>
          </w:p>
        </w:tc>
        <w:tc>
          <w:tcPr>
            <w:tcW w:w="1417"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备注</w:t>
            </w:r>
            <w:r/>
          </w:p>
        </w:tc>
        <w:tc>
          <w:tcPr>
            <w:tcW w:w="484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主要职责概述</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调度管理</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调度员</w:t>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负责全院电话调度及信息记录</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陪检转运</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担架工</w:t>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14</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含预增2人</w:t>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负责患者陪检、转科及手术、介入患者转运</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药品配送</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送药员</w:t>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含预增2人</w:t>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负责病区药品配送</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标本送检</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送检员</w:t>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含预增2人</w:t>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负责全院血袋、检验标本、病理标本的送检</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清洗消毒</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消毒员</w:t>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负责内镜室相关器械及环境的清洗消毒</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被服管理</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洗衣工</w:t>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含预增2人</w:t>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负责全院脏被服回收及净被服发放</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物资配送</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送货员</w:t>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负责器械库物资及办公用品的送货</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项目管理</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项目经理</w:t>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负责项目全面管理</w:t>
            </w:r>
            <w:r/>
          </w:p>
        </w:tc>
      </w:tr>
      <w:tr>
        <w:trPr/>
        <w:tc>
          <w:tcPr>
            <w:tcW w:w="1384"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合计</w:t>
            </w:r>
            <w:r/>
          </w:p>
        </w:tc>
        <w:tc>
          <w:tcPr>
            <w:tcW w:w="1418"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992"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29</w:t>
            </w:r>
            <w:r/>
          </w:p>
        </w:tc>
        <w:tc>
          <w:tcPr>
            <w:tcW w:w="1417"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4840" w:type="dxa"/>
            <w:vAlign w:val="center"/>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bl>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人员要求：</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（1）项目经理：</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为乙方正式员工，男女不限，50周岁（含50周岁）及以下，大专及以上学历，具备一定医学常识，有类似本项目管理经验。（须提供身份证、学历证明、相关管理经验证明材料）</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（2）标本送检及调度岗位：男性60周岁以下，女性50周岁以下。</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（3）陪检转运岗：男性65周岁以下，女性55周岁以下。</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（4）其他岗位：男性60周岁以下，女性55周岁以下。 </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通用要求：所有人员均要求身体健康，初中及以上文化，无犯罪记录。</w:t>
      </w:r>
      <w:r/>
    </w:p>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六、考核方法及标准</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（一）考核方式</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采购人对乙方服务质量实行百分制考核。</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采购人每月向各病区护士长、相关科室负责人发放《服务质量月度考核表》。</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负责对乙方的各项服务工作进行定期检查与不定期抽查相结合，每月前半月有计划进行巡视检查，发现问题，通知整改，每月最后10天追踪整改情况，整改不到位将兑现处罚；负责对用工人员编制情况进行核实，兑现合同条款；负责对服务质量日常巡查与满意度测评。</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乙方在服务过程中被发现私自联系黑救护车、擅自兜售物品、私自收受红包、发生媒体及院外投诉等情形，参照采购人相关规章制度进行处罚。</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考核周期：每月1次。</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（二）考核效用</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1、考核结果与乙方服务费结算挂钩。</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乙方月度考核总分达到90分及以上，按100%支付月度服务管理费。考核分低于90分，扣除乙方月度服务管理费总额的0.5%，连续两个月以上（包括两个月）月度考核总分低于90分，扣除乙方月度服务管理费总额的0.8%。因服务不到位引起媒体及院外投诉经查实，每发生一例，扣月度考核总分5分，发生院级投诉经查实，每发生一例，扣月度考核总分2分。突发事件应对不及时，造成事态扩大，扣总分2分，造成财产损失以及人员伤害，扣总分5分。员工服装未按时发放，扣1分/例。</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3、乙方连续三次或以上月度服务综合检查考评低于80分，采购人有权解除合同。</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附：服务质量月度考核表</w:t>
      </w:r>
      <w:r/>
    </w:p>
    <w:p>
      <w:pPr>
        <w:ind w:firstLine="560"/>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病区运送工作质量月度考核表</w:t>
      </w:r>
      <w:r/>
    </w:p>
    <w:tbl>
      <w:tblPr>
        <w:tblStyle w:val="787"/>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6286"/>
        <w:gridCol w:w="1041"/>
        <w:gridCol w:w="815"/>
      </w:tblGrid>
      <w:tr>
        <w:trPr>
          <w:jc w:val="center"/>
          <w:trHeight w:val="540"/>
        </w:trPr>
        <w:tc>
          <w:tcPr>
            <w:tcW w:w="750"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w:t>
            </w:r>
            <w:r/>
          </w:p>
        </w:tc>
        <w:tc>
          <w:tcPr>
            <w:tcW w:w="3279"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  核  内  容</w:t>
            </w:r>
            <w:r/>
          </w:p>
        </w:tc>
        <w:tc>
          <w:tcPr>
            <w:tcW w:w="543" w:type="pct"/>
            <w:vAlign w:val="bottom"/>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标准分</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得分</w:t>
            </w:r>
            <w:r/>
          </w:p>
        </w:tc>
      </w:tr>
      <w:tr>
        <w:trPr>
          <w:jc w:val="center"/>
          <w:trHeight w:val="644"/>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仪容仪表（5）</w:t>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举止端庄大方，着装规范，佩戴工号牌上岗</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644"/>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服务态度（10）</w:t>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文明用语，病区内不得大声喧哗，不与患者及家属发生争吵</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644"/>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劳动纪律（10）</w:t>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1.遵守劳动纪律，履行请假制度</w:t>
            </w:r>
            <w:r/>
          </w:p>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2.服从安排，并圆满完成任务</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540"/>
        </w:trPr>
        <w:tc>
          <w:tcPr>
            <w:tcW w:w="750" w:type="pct"/>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运送</w:t>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工作质量（85）</w:t>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1.遵守运送工作职责，服从指挥</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672"/>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2.陪检时规范操作，主动协助搬运患者并保证患者安全、舒适</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3.运送工作及时率100%</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4.标本、物品、药品、被服送达准确、无差错</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5.急诊如输血、急诊化验，要求电话后15分钟到病区</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6.严格执行交接班制度</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7.爱护公共财物，做好陪检工具的清洗、消毒和保养工作</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540"/>
        </w:trPr>
        <w:tc>
          <w:tcPr>
            <w:tcW w:w="750" w:type="pct"/>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3279" w:type="pct"/>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8.绿色通道人员工作规范、及时，不参与第三方营利活动</w:t>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Height w:val="551"/>
        </w:trPr>
        <w:tc>
          <w:tcPr>
            <w:tcW w:w="750"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总分</w:t>
            </w:r>
            <w:r/>
          </w:p>
        </w:tc>
        <w:tc>
          <w:tcPr>
            <w:tcW w:w="3279"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54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100</w:t>
            </w:r>
            <w:r/>
          </w:p>
        </w:tc>
        <w:tc>
          <w:tcPr>
            <w:tcW w:w="425" w:type="pct"/>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bl>
    <w:p>
      <w:pPr>
        <w:ind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手术室转运工作质量月度考核表</w:t>
      </w:r>
      <w:r/>
    </w:p>
    <w:tbl>
      <w:tblPr>
        <w:tblStyle w:val="787"/>
        <w:tblW w:w="0" w:type="auto"/>
        <w:jc w:val="center"/>
        <w:tblLayout w:type="autofit"/>
        <w:tblCellMar>
          <w:left w:w="10" w:type="dxa"/>
          <w:top w:w="0" w:type="dxa"/>
          <w:right w:w="10" w:type="dxa"/>
          <w:bottom w:w="0" w:type="dxa"/>
        </w:tblCellMar>
        <w:tblLook w:val="04A0" w:firstRow="1" w:lastRow="0" w:firstColumn="1" w:lastColumn="0" w:noHBand="0" w:noVBand="1"/>
      </w:tblPr>
      <w:tblGrid>
        <w:gridCol w:w="1374"/>
        <w:gridCol w:w="6439"/>
        <w:gridCol w:w="1057"/>
        <w:gridCol w:w="825"/>
      </w:tblGrid>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  核  内  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标准分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得分</w:t>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仪容仪表</w:t>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1.着装规范统一</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2.文明用语、服务热情，工作姿态端正</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服务态度</w:t>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1.遵守劳动纪律，服从指挥，严格执行请销假制度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2.班内不做与岗位无关的事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4" w:space="0"/>
              <w:left w:val="single" w:color="000000" w:sz="4" w:space="0"/>
              <w:bottom w:val="single" w:color="000000" w:sz="0" w:space="0"/>
              <w:right w:val="single" w:color="000000" w:sz="4" w:space="0"/>
            </w:tcBorders>
            <w:tcMar>
              <w:left w:w="108" w:type="dxa"/>
              <w:right w:w="108" w:type="dxa"/>
            </w:tcMar>
            <w:tcW w:w="137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工作质量</w:t>
            </w:r>
            <w:r/>
          </w:p>
          <w:p>
            <w:pPr>
              <w:ind w:left="0" w:firstLine="0"/>
              <w:jc w:val="center"/>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（90）</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1.严格遵守手术室的工作制度和消毒隔离制度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2.接送患者做到“对病区、对床号、对姓名、对住院号”，并认真做好患者安全和交接班工作</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3.送、取标本做到无误，及时率达100%</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4.夜班清理手术台面、地面、墙面的污迹，及时倾倒吸引器、污物桶等污物，做好相关物品的清洁消毒工作</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5.及时更换手术平车上的中单、被套，保持干燥、清洁、平整、定期擦洗平车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6.定期擦洗吊塔</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0" w:space="0"/>
              <w:left w:val="single" w:color="000000" w:sz="4" w:space="0"/>
              <w:bottom w:val="single" w:color="000000" w:sz="0" w:space="0"/>
              <w:right w:val="single" w:color="000000" w:sz="4" w:space="0"/>
            </w:tcBorders>
            <w:tcMar>
              <w:left w:w="108" w:type="dxa"/>
              <w:right w:w="108" w:type="dxa"/>
            </w:tcMar>
            <w:tcW w:w="1374"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439" w:type="dxa"/>
            <w:vAlign w:val="center"/>
            <w:textDirection w:val="lrTb"/>
            <w:noWrap w:val="false"/>
          </w:tcPr>
          <w:p>
            <w:pPr>
              <w:ind w:left="0" w:firstLine="0"/>
              <w:jc w:val="left"/>
              <w:keepLines w:val="0"/>
              <w:keepNext w:val="0"/>
              <w:pageBreakBefore w:val="0"/>
              <w:spacing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7.节假日、值班维护好手术室治安安全</w:t>
            </w:r>
            <w:r/>
          </w:p>
        </w:tc>
        <w:tc>
          <w:tcPr>
            <w:shd w:val="clear" w:color="000000" w:fill="ffffff"/>
            <w:tcBorders>
              <w:top w:val="single" w:color="000000" w:sz="4" w:space="0"/>
              <w:left w:val="single" w:color="000000" w:sz="0"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总分</w:t>
            </w:r>
            <w:r/>
          </w:p>
        </w:tc>
        <w:tc>
          <w:tcPr>
            <w:shd w:val="clear" w:color="000000" w:fill="ffffff"/>
            <w:tcBorders>
              <w:top w:val="single" w:color="000000" w:sz="4" w:space="0"/>
              <w:left w:val="single" w:color="000000" w:sz="4" w:space="0"/>
              <w:bottom w:val="single" w:color="000000" w:sz="4" w:space="0"/>
              <w:right w:val="single" w:color="000000" w:sz="0" w:space="0"/>
            </w:tcBorders>
            <w:tcMar>
              <w:left w:w="108" w:type="dxa"/>
              <w:right w:w="108" w:type="dxa"/>
            </w:tcMar>
            <w:tcW w:w="643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57"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bl>
    <w:p>
      <w:pPr>
        <w:ind w:firstLine="56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介入中心转运工作质量月度考核表</w:t>
      </w:r>
      <w:r/>
    </w:p>
    <w:tbl>
      <w:tblPr>
        <w:tblStyle w:val="813"/>
        <w:tblW w:w="9678"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1" w:type="dxa"/>
          <w:top w:w="0" w:type="dxa"/>
          <w:right w:w="51" w:type="dxa"/>
          <w:bottom w:w="0" w:type="dxa"/>
        </w:tblCellMar>
        <w:tblLook w:val="04A0" w:firstRow="1" w:lastRow="0" w:firstColumn="1" w:lastColumn="0" w:noHBand="0" w:noVBand="1"/>
      </w:tblPr>
      <w:tblGrid>
        <w:gridCol w:w="1428"/>
        <w:gridCol w:w="6347"/>
        <w:gridCol w:w="1110"/>
        <w:gridCol w:w="793"/>
      </w:tblGrid>
      <w:tr>
        <w:trPr>
          <w:trHeight w:val="548"/>
        </w:trPr>
        <w:tc>
          <w:tcPr>
            <w:tcW w:w="1428"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项目</w:t>
            </w:r>
            <w:r/>
          </w:p>
        </w:tc>
        <w:tc>
          <w:tcPr>
            <w:tcW w:w="6347"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考核内容</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标准分</w:t>
            </w:r>
            <w:r/>
          </w:p>
        </w:tc>
        <w:tc>
          <w:tcPr>
            <w:tcW w:w="793"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得分</w:t>
            </w:r>
            <w:r/>
          </w:p>
        </w:tc>
      </w:tr>
      <w:tr>
        <w:trPr>
          <w:trHeight w:val="332"/>
        </w:trPr>
        <w:tc>
          <w:tcPr>
            <w:tcW w:w="1428"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仪容仪表</w:t>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1.着装规范统一</w:t>
            </w:r>
            <w:r/>
          </w:p>
        </w:tc>
        <w:tc>
          <w:tcPr>
            <w:tcW w:w="1110" w:type="dxa"/>
            <w:vMerge w:val="restart"/>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793" w:type="dxa"/>
            <w:vMerge w:val="restart"/>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 </w:t>
            </w:r>
            <w:r/>
          </w:p>
        </w:tc>
      </w:tr>
      <w:tr>
        <w:trPr>
          <w:trHeight w:val="352"/>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2.文明用语，服务热情，工作姿态端正</w:t>
            </w:r>
            <w:r/>
          </w:p>
        </w:tc>
        <w:tc>
          <w:tcPr>
            <w:tcW w:w="1110" w:type="dxa"/>
            <w:vMerge w:val="continue"/>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793" w:type="dxa"/>
            <w:vMerge w:val="continue"/>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332"/>
        </w:trPr>
        <w:tc>
          <w:tcPr>
            <w:tcW w:w="1428"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服务态度</w:t>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1.遵守劳动纪律，服从指挥，严格执行请销假制度</w:t>
            </w:r>
            <w:r/>
          </w:p>
        </w:tc>
        <w:tc>
          <w:tcPr>
            <w:tcW w:w="1110" w:type="dxa"/>
            <w:vMerge w:val="restart"/>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793" w:type="dxa"/>
            <w:vMerge w:val="restart"/>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332"/>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2.班内不做与岗位无关的事</w:t>
            </w:r>
            <w:r/>
          </w:p>
        </w:tc>
        <w:tc>
          <w:tcPr>
            <w:tcW w:w="1110" w:type="dxa"/>
            <w:vMerge w:val="continue"/>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793" w:type="dxa"/>
            <w:vMerge w:val="continue"/>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548"/>
        </w:trPr>
        <w:tc>
          <w:tcPr>
            <w:tcW w:w="1428"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工作质量</w:t>
            </w:r>
            <w:r/>
          </w:p>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（90）</w:t>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1.严格遵守介入中心工作制度和消毒隔离制度</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548"/>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2.具备良好的沟通能力，与医护人员密切配合</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654"/>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3.熟练掌握转运设备(如转运床、轮椅等)的使用方法，协助护士进行患者安全转运</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654"/>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4.定期进行平车的日常清洁、保养，每日查看各部件是否完好，有异常及时反馈维修</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689"/>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5.转运过程中保持平稳，避开坑坑洼洼地面，雨雪天气使用防雨棚，转运途中如有异常及时报告医护人员</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548"/>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6.协助护士负责手术间耗材、物品入库</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654"/>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7.看护等候区患者，协助患者如厕等，如患者有异常及时呼叫医务人员</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654"/>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8.及时更换平车上的中单、被罩，保持清洁、干燥、平整，根据季节更换床褥及薄、厚被</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548"/>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9.瓶装水及大输液及时入库</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441"/>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10.手术结束，及时清点耗材外包装</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629"/>
        </w:trPr>
        <w:tc>
          <w:tcPr>
            <w:tcW w:w="1428"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6347" w:type="dxa"/>
            <w:vAlign w:val="center"/>
            <w:textDirection w:val="lrTb"/>
            <w:noWrap w:val="false"/>
          </w:tcPr>
          <w:p>
            <w:pPr>
              <w:ind w:left="0" w:firstLine="0"/>
              <w:jc w:val="both"/>
              <w:keepLines w:val="0"/>
              <w:keepNext w:val="0"/>
              <w:pageBreakBefore w:val="0"/>
              <w:spacing w:after="0" w:line="24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11.定期彻底打扫手术间，做到门框、墙面、地面、仪器表面、治疗台面无死角，每月擦拭手术间墙壁、耗材柜顶一次</w:t>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r>
        <w:trPr>
          <w:trHeight w:val="558"/>
        </w:trPr>
        <w:tc>
          <w:tcPr>
            <w:tcW w:w="1428"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总分</w:t>
            </w:r>
            <w:r/>
          </w:p>
        </w:tc>
        <w:tc>
          <w:tcPr>
            <w:tcW w:w="6347"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c>
          <w:tcPr>
            <w:tcW w:w="1110" w:type="dxa"/>
            <w:textDirection w:val="lrTb"/>
            <w:noWrap w:val="false"/>
          </w:tcPr>
          <w:p>
            <w:pPr>
              <w:ind w:left="0" w:firstLine="0"/>
              <w:jc w:val="center"/>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100</w:t>
            </w:r>
            <w:r/>
          </w:p>
        </w:tc>
        <w:tc>
          <w:tcPr>
            <w:tcW w:w="793" w:type="dxa"/>
            <w:textDirection w:val="lrTb"/>
            <w:noWrap w:val="false"/>
          </w:tcPr>
          <w:p>
            <w:pPr>
              <w:ind w:left="0" w:firstLine="0"/>
              <w:keepLines w:val="0"/>
              <w:keepNext w:val="0"/>
              <w:pageBreakBefore w:val="0"/>
              <w:spacing w:after="0"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tc>
      </w:tr>
    </w:tbl>
    <w:p>
      <w:pPr>
        <w:ind w:firstLine="560"/>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560"/>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560"/>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560"/>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560"/>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560"/>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560"/>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560"/>
        <w:jc w:val="center"/>
        <w:keepLines w:val="0"/>
        <w:keepNext w:val="0"/>
        <w:pageBreakBefore w:val="0"/>
        <w:spacing w:line="520" w:lineRule="atLeast"/>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内镜消毒工作质量月度考核表</w:t>
      </w:r>
      <w:r/>
    </w:p>
    <w:tbl>
      <w:tblPr>
        <w:tblStyle w:val="787"/>
        <w:tblW w:w="920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6045"/>
        <w:gridCol w:w="901"/>
        <w:gridCol w:w="789"/>
      </w:tblGrid>
      <w:tr>
        <w:trPr>
          <w:jc w:val="center"/>
          <w:trHeight w:val="285"/>
        </w:trPr>
        <w:tc>
          <w:tcPr>
            <w:tcBorders>
              <w:bottom w:val="single" w:color="auto" w:sz="4" w:space="0"/>
              <w:right w:val="single" w:color="auto" w:sz="4" w:space="0"/>
            </w:tcBorders>
            <w:tcW w:w="1474"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w:t>
            </w:r>
            <w:r/>
          </w:p>
        </w:tc>
        <w:tc>
          <w:tcPr>
            <w:tcBorders>
              <w:left w:val="none" w:color="000000" w:sz="4" w:space="0"/>
              <w:bottom w:val="single" w:color="auto" w:sz="4" w:space="0"/>
              <w:right w:val="single" w:color="auto" w:sz="4" w:space="0"/>
            </w:tcBorders>
            <w:tcW w:w="6045"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考核内容</w:t>
            </w:r>
            <w:r/>
          </w:p>
        </w:tc>
        <w:tc>
          <w:tcPr>
            <w:tcBorders>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标准分</w:t>
            </w:r>
            <w:r/>
          </w:p>
        </w:tc>
        <w:tc>
          <w:tcPr>
            <w:tcBorders>
              <w:left w:val="none" w:color="000000" w:sz="4" w:space="0"/>
              <w:bottom w:val="single" w:color="auto" w:sz="4" w:space="0"/>
            </w:tcBorders>
            <w:tcW w:w="789"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得分</w:t>
            </w:r>
            <w:r/>
          </w:p>
        </w:tc>
      </w:tr>
      <w:tr>
        <w:trPr>
          <w:jc w:val="center"/>
          <w:trHeight w:val="400"/>
        </w:trPr>
        <w:tc>
          <w:tcPr>
            <w:tcBorders>
              <w:top w:val="none" w:color="000000" w:sz="4" w:space="0"/>
              <w:bottom w:val="single" w:color="auto" w:sz="4" w:space="0"/>
              <w:right w:val="single" w:color="auto" w:sz="4" w:space="0"/>
            </w:tcBorders>
            <w:tcW w:w="1474"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仪容仪表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 分）</w:t>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 统一规范穿戴工服、工帽、口罩，着装整洁完整</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522"/>
        </w:trPr>
        <w:tc>
          <w:tcPr>
            <w:tcBorders>
              <w:top w:val="none" w:color="000000" w:sz="4" w:space="0"/>
              <w:bottom w:val="single" w:color="000000" w:sz="4" w:space="0"/>
              <w:right w:val="single" w:color="auto" w:sz="4" w:space="0"/>
            </w:tcBorders>
            <w:tcW w:w="1474" w:type="dxa"/>
            <w:vAlign w:val="center"/>
            <w:vMerge w:val="restart"/>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服务态度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 分）</w:t>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 遵守科室劳动纪律，服从护士长、内镜组长工作调配，严格执行请假、换班制度</w:t>
            </w:r>
            <w:r/>
          </w:p>
        </w:tc>
        <w:tc>
          <w:tcPr>
            <w:tcBorders>
              <w:top w:val="none" w:color="000000" w:sz="4" w:space="0"/>
              <w:left w:val="single" w:color="auto" w:sz="4" w:space="0"/>
              <w:bottom w:val="single" w:color="auto" w:sz="4" w:space="0"/>
              <w:right w:val="single" w:color="auto" w:sz="4" w:space="0"/>
            </w:tcBorders>
            <w:tcW w:w="901" w:type="dxa"/>
            <w:vAlign w:val="center"/>
            <w:vMerge w:val="restart"/>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single" w:color="auto" w:sz="4" w:space="0"/>
              <w:bottom w:val="single" w:color="auto" w:sz="4" w:space="0"/>
            </w:tcBorders>
            <w:tcW w:w="789" w:type="dxa"/>
            <w:vAlign w:val="center"/>
            <w:vMerge w:val="restart"/>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501"/>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 在岗期间不玩手机、不闲聊，不做与内镜清洗工作无关事项，对医护、患者文明用语，态度温和</w:t>
            </w:r>
            <w:r/>
          </w:p>
        </w:tc>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single" w:color="auto" w:sz="4" w:space="0"/>
              <w:bottom w:val="single" w:color="auto" w:sz="4" w:space="0"/>
            </w:tcBorders>
            <w:tcW w:w="789"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r>
      <w:tr>
        <w:trPr>
          <w:jc w:val="center"/>
          <w:trHeight w:val="637"/>
        </w:trPr>
        <w:tc>
          <w:tcPr>
            <w:tcBorders>
              <w:top w:val="none" w:color="000000" w:sz="4" w:space="0"/>
              <w:bottom w:val="single" w:color="000000" w:sz="4" w:space="0"/>
              <w:right w:val="single" w:color="auto" w:sz="4" w:space="0"/>
            </w:tcBorders>
            <w:tcW w:w="1474" w:type="dxa"/>
            <w:vAlign w:val="center"/>
            <w:vMerge w:val="restart"/>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内镜清洗工作质量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（90 分）</w:t>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 严格执行内镜中心消毒隔离、院感防控规范，落实内镜清洗消毒全流程标准</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547"/>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 内镜交接核对规范：核对内镜编号、患者信息，做好内镜使用、清洗、交接登记，无丢失、错拿内镜</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555"/>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 内镜清洗包干区域整洁：清洗槽、操作台、储物区无积水、污渍、异味、杂物堆放</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677"/>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 完成各班次清洁职责，洗消间、污物间区域持续整洁，定期擦洗内镜清洗槽、转运平车、器械车</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544"/>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 及时清理内镜操作台面、地面、墙面污物，规范倾倒吸引瓶、污物桶，做好设备、区域清洁消毒</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538"/>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 转运平车、内镜转运垫单及时更换，保持干燥、洁净、无血迹污渍</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674"/>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 定期深度清洁洗消间、储镜间卫生，每周擦拭储镜柜内壁</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684"/>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 消毒内镜规范存放：按时完成内镜清洗、消毒、干燥流程，内镜干燥后规范存放于无菌储镜柜，摆放整齐、标识清晰</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669"/>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 对消毒试剂、清洗耗材、内镜防护用品，做好防护，杜绝泼洒、破损</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642"/>
        </w:trPr>
        <w:tc>
          <w:tcPr>
            <w:tcBorders>
              <w:top w:val="none" w:color="000000" w:sz="4" w:space="0"/>
              <w:bottom w:val="single" w:color="000000" w:sz="4" w:space="0"/>
              <w:right w:val="single" w:color="auto" w:sz="4" w:space="0"/>
            </w:tcBorders>
            <w:tcW w:w="1474" w:type="dxa"/>
            <w:vAlign w:val="center"/>
            <w:vMerge w:val="continue"/>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 节假日、值班期间负责内镜室防火、水电、设备、财物治安安全，下班关闭水电、消毒设备</w:t>
            </w:r>
            <w:r/>
          </w:p>
        </w:tc>
        <w:tc>
          <w:tcPr>
            <w:tcBorders>
              <w:top w:val="none" w:color="000000" w:sz="4" w:space="0"/>
              <w:left w:val="none" w:color="000000" w:sz="4" w:space="0"/>
              <w:bottom w:val="single" w:color="auto" w:sz="4" w:space="0"/>
              <w:right w:val="single" w:color="auto" w:sz="4" w:space="0"/>
            </w:tcBorders>
            <w:tcW w:w="901" w:type="dxa"/>
            <w:vAlign w:val="center"/>
            <w:textDirection w:val="lrTb"/>
            <w:noWrap w:val="false"/>
          </w:tcPr>
          <w:p>
            <w:pPr>
              <w:ind w:left="0" w:firstLine="0"/>
              <w:jc w:val="center"/>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tcBorders>
            <w:tcW w:w="789" w:type="dxa"/>
            <w:vAlign w:val="center"/>
            <w:textDirection w:val="lrTb"/>
            <w:noWrap w:val="false"/>
          </w:tcPr>
          <w:p>
            <w:pPr>
              <w:ind w:left="0" w:firstLine="0"/>
              <w:jc w:val="both"/>
              <w:keepLines w:val="0"/>
              <w:keepNext w:val="0"/>
              <w:pageBreakBefore w:val="0"/>
              <w:spacing w:line="520" w:lineRule="atLeas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r>
        <w:trPr>
          <w:jc w:val="center"/>
          <w:trHeight w:val="595"/>
        </w:trPr>
        <w:tc>
          <w:tcPr>
            <w:tcBorders>
              <w:top w:val="none" w:color="000000" w:sz="4" w:space="0"/>
              <w:right w:val="single" w:color="auto" w:sz="4" w:space="0"/>
            </w:tcBorders>
            <w:tcW w:w="1474"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总分</w:t>
            </w:r>
            <w:r/>
          </w:p>
        </w:tc>
        <w:tc>
          <w:tcPr>
            <w:tcBorders>
              <w:top w:val="none" w:color="000000" w:sz="4" w:space="0"/>
              <w:left w:val="none" w:color="000000" w:sz="4" w:space="0"/>
              <w:right w:val="single" w:color="auto" w:sz="4" w:space="0"/>
            </w:tcBorders>
            <w:tcW w:w="604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right w:val="single" w:color="auto" w:sz="4" w:space="0"/>
            </w:tcBorders>
            <w:tcW w:w="90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100</w:t>
            </w:r>
            <w:r/>
          </w:p>
        </w:tc>
        <w:tc>
          <w:tcPr>
            <w:tcBorders>
              <w:top w:val="none" w:color="000000" w:sz="4" w:space="0"/>
              <w:left w:val="none" w:color="000000" w:sz="4" w:space="0"/>
            </w:tcBorders>
            <w:tcW w:w="789"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tc>
      </w:tr>
    </w:tbl>
    <w:p>
      <w:pPr>
        <w:ind w:firstLine="560"/>
        <w:keepLines w:val="0"/>
        <w:keepNext w:val="0"/>
        <w:pageBreakBefore w:val="0"/>
        <w:spacing w:line="520" w:lineRule="atLeast"/>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七、双方责任</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（一）甲方责任</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每月对乙方工作进行考核，客观公正地对乙方工作进行评价，有权对其提供的服务提出意见和建议。</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（二）乙方责任</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1、按照合同约定要求认真履行乙方职责，同时必须按照投标文件和合同确定的人数派出相关人员从事服务工作。乙方在合同执行期间，须接受甲方的考核监管。</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确保安全生产：有制定安全管理应急预案，做好各项培训与考核（培训每季度不少于一次）。严格执行规章制度与工作流程，因乙方处理不当或响应不及时引起的不良事件：如陪检过程中患者从平车掉落、仪器设备损坏，标本丢失等所造成的一切后果及损失，由乙方承担。</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3、遵守甲方规章制度，不介入甲方医疗活动，不利用工作之便在医院从事与本职工作无关的活动。</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4、乙方应负责为其派出人员依法办理劳动用工手续，并承担其人员的工资报酬、劳保福利、养老保险等全部用工费用，发生工伤事故、人事、工作纠纷等由乙方自行解决并承担全部责任。</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5、依法进行用工管理，按甲方要求对不称职人员及时撤换，对所有上岗人员应定期进行业务培训，培训合格后方可上岗，上岗前需征求服务区域主管意见。</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加强对聘用人员的职业道德和安全意识教育，爱护公共财物，节约使用水、电气。由于乙方员工在日常工作中给甲方的设施、材料或患者物品造成损失的，乙方应承担赔偿责任。对甲方提供的物品，应及时保养。需要修理及时送甲方修理，对无修理价值的物品应及时到甲方办理报损手续。</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7、制定切实可行的管理制度和工作流程，对承包范围内的工作要认真进行自查自纠，确保服务质量。自觉接受甲方的监督和检查，积极采纳甲方合理化建议，并负责处理有关投诉。做好每日巡查及沟通记录。</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8、乙方进场派驻本院的项目负责人必须与投标文件一致，不得随意更换。项目负责人在工作日离开本院时，应向甲方请假。</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9、因服务管理不到位、工作流程不合理的原因造成第三方损失或纠纷的，由乙方负责处理，甲方积极参与协调，所有相关费用由乙方承担。</w:t>
      </w:r>
      <w:r/>
    </w:p>
    <w:p>
      <w:pPr>
        <w:ind w:firstLine="482"/>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八、违约责任</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1、乙方不履行合同或履行该合同不符合合同约定，乙方应向甲方支付合同价5%的违约金，违约金在合同总价中扣除。</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2、乙方如延迟履行合同或不完全履行合同，除支付5%违约金外乙方仍应实际履行合同，甲方也有权提前免责解除合同，且有权要求乙方承担因乙方违约给甲方造成的经济损失。</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甲、乙双方因不可抗力不能及时或完全履行合同的，应及时通知对方，并在10天内提供相应证明。未履行完合同部分是否继续履行，如何履行等问题，可由双方协商解决。确定为不可抗力原因造成的损失免予承担责任。</w:t>
      </w:r>
      <w:r/>
    </w:p>
    <w:p>
      <w:pPr>
        <w:numPr>
          <w:ilvl w:val="0"/>
          <w:numId w:val="0"/>
        </w:numPr>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4、无论是合同期满或其他情况，乙方在撤离医院前，要进行财产清理，乙方需将甲方交付使用的财产物资完整地移交给甲方。对撤出物品要经过双方共同认定，故意损坏的需按原价赔偿。</w:t>
      </w:r>
      <w:r/>
    </w:p>
    <w:p>
      <w:pPr>
        <w:ind w:firstLine="482"/>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九、项目人员要求</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1、我院临床服务中心原有20名第三方劳务派遣在</w:t>
      </w:r>
      <w:bookmarkStart w:id="22" w:name="_GoBack"/>
      <w:r/>
      <w:bookmarkEnd w:id="22"/>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岗人员，长期承担院内陪检转运、药品标本配送、消毒清洗、被服管理等核心后勤保障工作，岗位熟练度高、适配院内工作流程、熟悉院区环境及临床服务要求，是保障医院日常诊疗秩序稳定的核心力量。同时，原有在岗人员中部分人员临近退休，无需缴纳社保、无后续社保合规压力，且人员工作状态稳定、可长期在岗履职。</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2、为保障院内服务稳定、保持岗位人员队伍基本稳定，延续原有成熟服务体系，乙方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优先录用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医院现有在岗熟练工作人员，最大限度保留成熟服务团队、保障院内服务无缝衔接、避免新人轮岗磨合影响临床服务质量。不得无故大批量更换在岗人员。</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3、针对现有部分临近退休、依法无需缴纳社保的在岗人员，乙方按现行法律法规合规签订用工协议，据实核算成本，不得虚列社保、公积金等无效成本，杜绝医院资金浪费。</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4、本项目严格执行据实结算、弹性管控原则：年度费用基准为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178</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万元/年（29人配置）。服务期内，实际在岗人员少于配置人数的，按实际在岗人数比例扣减对应服务费用；因医院业务扩容确需增配人员的，可据实增加服务费用，年度增加费用最高不超过原年度合同总价的10%，超出部分不予计费、不予结算。</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5、乙方报价必须区分在岗人员参保状态差异化报价，适龄人员依规足额核算社保、公积金及法定福利，超龄免参保人员仅核算实际发生用工成本，报价不符合要求视为无效投标。</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人员稳岗合规说明：本项目要求中标单位优先录用医院现有在岗熟练工作人员，属于保障医疗服务连续性、服务团队稳定性的必要履约条件，不属于限制、排斥潜在乙方的违规条款。本项目为医院临床配套连续性服务，原有在岗人员熟悉医院院感规范、诊疗流程、转运标准，是保障服务质量、杜绝服务断档、降低医患投诉风险的必要条件，符合政府采购服务类项目“稳队伍、保服务”的通用合规要求，所有潜在乙方均可平等响应、无差别履约。</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十、其他服务要求</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1、乙方的各岗位员工要统一服装，并由乙方负责其员工工服配备和洗涤，（清洗频次根据甲方需求执行并符合院感要求）中标后合同开始执行时所有人员一律更换为新工作服和工号牌。</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2、乙方有岗前培训机制，服务人员100%经过岗前培训合格后方可上岗。同时必须提交岗前培训记录。</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3、未经甲方同意，乙方不得在合同期限内将本项目转包或分包。</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4、乙方须严格按照标准化的操作程序、完善的培训体系和质量控制体系完成本项目，以保证整个服务系统安全、高效、有序和有计划地运转。</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5、乙方有责任配合医院接受上级领导部门的监督、检查，提供必需的资料。</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6、乙方须严格按照国家和徐州市政府规定给未退休员工缴纳各种社会保险（包括养老、工伤、失业保险等）、医疗保险等。</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7、乙方自行负责其招聘员工的一切工资；如发生工伤、疾病乃至死亡的一切责任及费用由乙方全部负责；乙方应严格遵守国家有关的法律法规及行业标准，如发生劳动人事纠纷，一律由乙方全权负责处理。</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全部服务人员的工作时间应严格按国家有关法律法规要求的标准执行，因工作原因产生的加班（含节假日加班）应严格按国家有关法律法规要求的标准给付员工加班薪资。因甲方工作需要（除特殊加班），导致乙方员工产生加班已经计入总报价。</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9、乙方因违反《劳动法》等法律法规而造成甲方的连带责任和损失全部由乙方承担。</w:t>
      </w:r>
      <w:r/>
    </w:p>
    <w:p>
      <w:pPr>
        <w:numPr>
          <w:ilvl w:val="0"/>
          <w:numId w:val="0"/>
        </w:numPr>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10、乙方不得以甲方的名义从事任何经济活动。</w:t>
      </w:r>
      <w:r/>
    </w:p>
    <w:p>
      <w:pP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4"/>
          <w:szCs w:val="24"/>
          <w:highlight w:val="none"/>
          <w14:textFill>
            <w14:solidFill>
              <w14:schemeClr w14:val="tx1"/>
            </w14:solidFill>
          </w14:textFill>
        </w:rPr>
        <w:t xml:space="preserve">、合同的变更、解除与终止</w:t>
      </w:r>
      <w:r/>
    </w:p>
    <w:p>
      <w:pP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14:textFill>
            <w14:solidFill>
              <w14:schemeClr w14:val="tx1"/>
            </w14:solidFill>
          </w14:textFill>
        </w:rPr>
        <w:t xml:space="preserve">.1 协商变更：经双方协商一致，可书面变更本合同。</w:t>
      </w:r>
      <w:r/>
    </w:p>
    <w:p>
      <w:pPr>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11.2 发生下列情形之一的，甲方有权书面通知乙方解除本合同，且不再支付当季度及后续所有服务费用，乙方还需赔偿甲方因此遭受的损失：</w:t>
      </w:r>
      <w:r/>
    </w:p>
    <w:p>
      <w:pPr>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（1）发生招标文件约定的终止合同情形；</w:t>
      </w:r>
      <w:r/>
    </w:p>
    <w:p>
      <w:pPr>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（2）乙方将项目分包或转包；</w:t>
      </w:r>
      <w:r/>
    </w:p>
    <w:p>
      <w:pPr>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（3）发生重大安全事故、重大失泄密事件、重大不良影响及舆情的；</w:t>
      </w:r>
      <w:r/>
    </w:p>
    <w:p>
      <w:pPr>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（4）乙方有其他严重违约行为的。</w:t>
      </w:r>
      <w:r/>
    </w:p>
    <w:p>
      <w:pPr>
        <w:keepLines w:val="0"/>
        <w:keepNext w:val="0"/>
        <w:pageBreakBefore w:val="0"/>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（5）乙方破产或无清偿能力的。</w:t>
      </w:r>
      <w:r/>
    </w:p>
    <w:p>
      <w:pP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14:textFill>
            <w14:solidFill>
              <w14:schemeClr w14:val="tx1"/>
            </w14:solidFill>
          </w14:textFill>
        </w:rPr>
        <w:t xml:space="preserve">.3 合同终止后的交接：合同解除或终止后，乙方须在7日内完成全部工作交接、人员撤场及资料归还。</w:t>
      </w:r>
      <w:r/>
    </w:p>
    <w:p>
      <w:pP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十二</w:t>
      </w:r>
      <w:r>
        <w:rPr>
          <w:rFonts w:hint="eastAsia" w:ascii="宋体" w:hAnsi="宋体" w:eastAsia="宋体" w:cs="宋体"/>
          <w:b/>
          <w:color w:val="000000" w:themeColor="text1"/>
          <w:sz w:val="24"/>
          <w:szCs w:val="24"/>
          <w:highlight w:val="none"/>
          <w14:textFill>
            <w14:solidFill>
              <w14:schemeClr w14:val="tx1"/>
            </w14:solidFill>
          </w14:textFill>
        </w:rPr>
        <w:t xml:space="preserve">、不可抗力</w:t>
      </w:r>
      <w:r/>
    </w:p>
    <w:p>
      <w:pP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.1 本条所称不可抗力，是指双方不可预见、不可避免、不可克服的客观情况，但不包括双方的违约或疏忽。这些事件包括但不限于：战争、严重火灾、洪水、台风、地震、国家政策重大调整等。</w:t>
      </w:r>
      <w:r/>
    </w:p>
    <w:p>
      <w:pP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.2 遭受不可抗力的一方应在事件发生后72小时内书面通知对方，并提供相应证明。</w:t>
      </w:r>
      <w:r/>
    </w:p>
    <w:p>
      <w:pP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.3 因不可抗力导致合同无法履行的，根据不可抗力的影响，部分或全部免除责任，但遭受不可抗力的一方应积极采取合理措施履行不受不可抗力影响的其他事项。合同各方应通过友好协商在合理时间内达成进一步履行的协议。</w:t>
      </w:r>
      <w:r/>
    </w:p>
    <w:p>
      <w:pP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.4 如因国家政策调整、甲方工作计划变化等原因导致本合同部分或全部服务无法继续履行的，甲方有权通知乙方解除本合同，双方按已实际履行的服务内容进行结算。</w:t>
      </w:r>
      <w:r/>
    </w:p>
    <w:p>
      <w:pP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、争议解决</w:t>
      </w:r>
      <w:r/>
    </w:p>
    <w:p>
      <w:pPr>
        <w:keepLines w:val="0"/>
        <w:keepNext w:val="0"/>
        <w:pageBreakBefore w:val="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双方约定，在履行合同过程中产生争议时，应通过友好协商解决，若协商不成可向甲方所在地人民法院提起诉讼。</w:t>
      </w:r>
      <w:r/>
    </w:p>
    <w:p>
      <w:pPr>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、合同生效及其它</w:t>
      </w:r>
      <w:r/>
    </w:p>
    <w:p>
      <w:pPr>
        <w:keepLines w:val="0"/>
        <w:keepNext w:val="0"/>
        <w:pageBreakBefore w:val="0"/>
        <w:spacing w:line="360" w:lineRule="auto"/>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本合同一式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，自双方法定代表人或授权代表签字并加盖公章之日起生效。</w:t>
      </w:r>
      <w:r/>
    </w:p>
    <w:p>
      <w:pP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14.2招标文件、投标文件、中标通知书均为本合同的组成部分。</w:t>
      </w:r>
      <w:r/>
    </w:p>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14.3</w:t>
      </w:r>
      <w:r>
        <w:rPr>
          <w:rFonts w:hint="eastAsia" w:ascii="宋体" w:hAnsi="宋体" w:eastAsia="宋体" w:cs="宋体"/>
          <w:color w:val="000000" w:themeColor="text1"/>
          <w:sz w:val="24"/>
          <w:szCs w:val="24"/>
          <w:highlight w:val="none"/>
          <w14:textFill>
            <w14:solidFill>
              <w14:schemeClr w14:val="tx1"/>
            </w14:solidFill>
          </w14:textFill>
        </w:rPr>
        <w:t xml:space="preserve">合同其他未尽事宜及与</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有矛盾之处，以</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JSZC-320324-JSKJ-G2026-0037</w:t>
      </w:r>
      <w:r>
        <w:rPr>
          <w:rFonts w:hint="eastAsia" w:ascii="宋体" w:hAnsi="宋体" w:eastAsia="宋体" w:cs="宋体"/>
          <w:color w:val="000000" w:themeColor="text1"/>
          <w:sz w:val="24"/>
          <w:szCs w:val="24"/>
          <w:highlight w:val="none"/>
          <w14:textFill>
            <w14:solidFill>
              <w14:schemeClr w14:val="tx1"/>
            </w14:solidFill>
          </w14:textFill>
        </w:rPr>
        <w:t xml:space="preserve">]为准。</w:t>
      </w:r>
      <w:r/>
    </w:p>
    <w:p>
      <w:pPr>
        <w:ind w:left="450" w:hanging="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甲方（盖章）：                     乙方（盖章）：</w:t>
      </w:r>
      <w:r/>
    </w:p>
    <w:p>
      <w:pPr>
        <w:ind w:left="450" w:hanging="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授权代表签字：                     授权代表签字：</w:t>
      </w:r>
      <w:r/>
    </w:p>
    <w:p>
      <w:pP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地址：     </w:t>
      </w:r>
      <w:r/>
    </w:p>
    <w:p>
      <w:pPr>
        <w:ind w:left="450" w:hanging="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联系电话：</w:t>
      </w:r>
      <w:r/>
    </w:p>
    <w:p>
      <w:pPr>
        <w:ind w:left="450" w:hanging="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                           开户行：</w:t>
      </w:r>
      <w:r/>
    </w:p>
    <w:p>
      <w:pPr>
        <w:ind w:left="450" w:hanging="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                             账号：</w:t>
      </w:r>
      <w:r/>
    </w:p>
    <w:p>
      <w:pP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签订时间：                         签订时间：</w:t>
      </w:r>
      <w:r/>
    </w:p>
    <w:p>
      <w:pPr>
        <w:numPr>
          <w:ilvl w:val="0"/>
          <w:numId w:val="0"/>
        </w:numPr>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140" w:bottom="1440" w:left="114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第七章投标文件相关格式</w:t>
      </w:r>
      <w:bookmarkEnd w:id="21"/>
      <w:r/>
      <w:r/>
    </w:p>
    <w:p>
      <w:pPr>
        <w:pStyle w:val="831"/>
        <w:jc w:val="center"/>
        <w:widowControl w:val="off"/>
        <w:rPr>
          <w:rFonts w:hint="eastAsia" w:ascii="宋体" w:hAnsi="宋体" w:eastAsia="宋体" w:cs="宋体"/>
          <w:bCs/>
          <w:color w:val="000000" w:themeColor="text1"/>
          <w:sz w:val="32"/>
          <w:szCs w:val="32"/>
          <w:highlight w:val="none"/>
          <w14:textFill>
            <w14:solidFill>
              <w14:schemeClr w14:val="tx1"/>
            </w14:solidFill>
          </w14:textFill>
        </w:rPr>
      </w:pPr>
      <w:r>
        <w:rPr>
          <w:rStyle w:val="1179"/>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本章仅提供投标文件中的部分文件格式，不应被理解为包含了投标文件所需的全部资料）</w: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lang w:eastAsia="zh-CN"/>
          <w14:textFill>
            <w14:solidFill>
              <w14:schemeClr w14:val="tx1"/>
            </w14:solidFill>
          </w14:textFill>
        </w:rPr>
        <w:t xml:space="preserve">睢宁县人民医院临床服务中心服务外包项目</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1151"/>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48"/>
          <w:szCs w:val="48"/>
          <w:highlight w:val="none"/>
          <w14:textFill>
            <w14:solidFill>
              <w14:schemeClr w14:val="tx1"/>
            </w14:solidFill>
          </w14:textFill>
        </w:rPr>
        <w:t xml:space="preserve">投标文件</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（名称打印并盖法人公章）</w:t>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法定代表人或其委托代理人：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（签字或盖章）</w:t>
      </w:r>
      <w:r/>
    </w:p>
    <w:p>
      <w:pPr>
        <w:jc w:val="center"/>
        <w:spacing w:line="48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年月日</w:t>
      </w:r>
      <w:r/>
    </w:p>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51"/>
        <w:ind w:firstLine="482"/>
        <w:rPr>
          <w:rStyle w:val="1179"/>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151"/>
        <w:ind w:firstLine="482"/>
        <w:rPr>
          <w:rStyle w:val="1179"/>
          <w:rFonts w:hint="eastAsia" w:ascii="宋体" w:hAnsi="宋体" w:eastAsia="宋体" w:cs="宋体"/>
          <w:b/>
          <w:color w:val="000000" w:themeColor="text1"/>
          <w:sz w:val="24"/>
          <w:szCs w:val="24"/>
          <w:highlight w:val="none"/>
          <w14:textFill>
            <w14:solidFill>
              <w14:schemeClr w14:val="tx1"/>
            </w14:solidFill>
          </w14:textFill>
        </w:rPr>
      </w:pPr>
      <w:r>
        <w:rPr>
          <w:rStyle w:val="1179"/>
          <w:rFonts w:hint="eastAsia" w:ascii="宋体" w:hAnsi="宋体" w:eastAsia="宋体" w:cs="宋体"/>
          <w:b/>
          <w:color w:val="000000" w:themeColor="text1"/>
          <w:sz w:val="24"/>
          <w:szCs w:val="24"/>
          <w:highlight w:val="none"/>
          <w14:textFill>
            <w14:solidFill>
              <w14:schemeClr w14:val="tx1"/>
            </w14:solidFill>
          </w14:textFill>
        </w:rPr>
        <w:t xml:space="preserve">特别提醒：</w:t>
      </w:r>
      <w:r/>
    </w:p>
    <w:p>
      <w:pPr>
        <w:pStyle w:val="1151"/>
        <w:ind w:firstLine="56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中标人领取中标通知书时须向代理机构提交纸质胶装投标文件一正四副和投标文件电子版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份（载体为U盘）。</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目录</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1.投标函</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2.开标一览表</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3.分项价格表</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4．偏离表</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5.法定代表人授权书</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6.中小企业声明函</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7.残疾人福利性单位声明函</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8.投标人参加政府采购活动前3年内在经营活动中没有重大违法记录的书面声明</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9.具备履行合同所必需的设备和专业技术能力的书面声明（附证明材料复印件）</w:t>
      </w:r>
      <w:r/>
    </w:p>
    <w:p>
      <w:pPr>
        <w:ind w:left="1058" w:firstLine="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10.投标人相关承诺</w:t>
      </w:r>
      <w:r/>
    </w:p>
    <w:p>
      <w:pPr>
        <w:ind w:left="1058" w:firstLine="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11.招标文件要求或投标人认为需要提供的其他资料（如有）</w:t>
      </w:r>
      <w:r/>
    </w:p>
    <w:p>
      <w:pPr>
        <w:ind w:left="1058" w:firstLine="0"/>
        <w:spacing w:line="360" w:lineRule="auto"/>
        <w:rPr>
          <w:rFonts w:hint="eastAsia" w:ascii="宋体" w:hAnsi="宋体" w:eastAsia="宋体" w:cs="宋体"/>
          <w:color w:val="000000" w:themeColor="text1"/>
          <w:sz w:val="24"/>
          <w:highlight w:val="none"/>
          <w14:textFill>
            <w14:solidFill>
              <w14:schemeClr w14:val="tx1"/>
            </w14:solidFill>
          </w14:textFill>
        </w:rPr>
        <w:sectPr>
          <w:footnotePr/>
          <w:endnotePr/>
          <w:type w:val="nextPage"/>
          <w:pgSz w:w="11906" w:h="16838" w:orient="portrait"/>
          <w:pgMar w:top="1440" w:right="1140" w:bottom="1440" w:left="1140" w:header="851" w:footer="992" w:gutter="0"/>
          <w:cols w:num="1" w:sep="0" w:space="1701" w:equalWidth="1"/>
          <w:docGrid w:linePitch="360"/>
        </w:sect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.预付款保</w:t>
      </w:r>
      <w:r>
        <w:rPr>
          <w:rFonts w:hint="eastAsia" w:ascii="宋体" w:hAnsi="宋体" w:eastAsia="宋体" w:cs="宋体"/>
          <w:color w:val="000000" w:themeColor="text1"/>
          <w:sz w:val="24"/>
          <w:highlight w:val="none"/>
          <w14:textFill>
            <w14:solidFill>
              <w14:schemeClr w14:val="tx1"/>
            </w14:solidFill>
          </w14:textFill>
        </w:rPr>
        <w:t xml:space="preserve">函支付条款模板</w:t>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1.投标函</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江苏科建工程项目管理有限公司</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根据（项目名称）[项目编号：]招标文件，(姓名)代表我方（投标人的名称）全权处理本次投标的有关事宜。</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1.投标人唯一投标报价见《开标一览表》。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2.投标人将按招标文件的规定履行合同责任和义务。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3.投标人已详细审查全部招标文件，包括第[插入编号][补遗书][如果有的话]。投标人完全理解并同意放弃对这方面有不明及误解的权力。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4.投标有效期为开标之日后90天。</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5.投标人不在投标初始有效期内撤回投标。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7.采购人或采购代理机构有权将我单位本项目的《开标一览表》和《分项价格表》予以公示，公示的方式由江苏科建工程项目管理有限公司确定。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与本投标有关的一切正式往来信函请寄：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投标人：（盖电子签章）</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31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before="120" w:line="360" w:lineRule="auto"/>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2、开标一览表</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10"/>
        <w:ind w:left="0" w:right="0" w:firstLine="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项目编号：</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JSZC-320324-JSKJ-G2026-0037</w:t>
      </w:r>
      <w:r/>
    </w:p>
    <w:p>
      <w:pPr>
        <w:jc w:val="both"/>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项目名称：</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睢宁县人民医院临床服务中心服务外包项目</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70"/>
        <w:ind w:left="0" w:right="0" w:firstLine="0"/>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Cs w:val="28"/>
          <w:highlight w:val="none"/>
          <w:lang w:eastAsia="zh-CN"/>
          <w14:textFill>
            <w14:solidFill>
              <w14:schemeClr w14:val="tx1"/>
            </w14:solidFill>
          </w14:textFill>
        </w:rPr>
        <w:t xml:space="preserve">《</w:t>
      </w:r>
      <w:r>
        <w:rPr>
          <w:rFonts w:hint="eastAsia" w:ascii="宋体" w:hAnsi="宋体" w:eastAsia="宋体" w:cs="宋体"/>
          <w:color w:val="000000" w:themeColor="text1"/>
          <w:szCs w:val="28"/>
          <w:highlight w:val="none"/>
          <w14:textFill>
            <w14:solidFill>
              <w14:schemeClr w14:val="tx1"/>
            </w14:solidFill>
          </w14:textFill>
        </w:rPr>
        <w:t xml:space="preserve">详见苏采云系统中的格式</w:t>
      </w:r>
      <w:r>
        <w:rPr>
          <w:rFonts w:hint="eastAsia" w:ascii="宋体" w:hAnsi="宋体" w:eastAsia="宋体" w:cs="宋体"/>
          <w:color w:val="000000" w:themeColor="text1"/>
          <w:szCs w:val="28"/>
          <w:highlight w:val="none"/>
          <w:lang w:eastAsia="zh-CN"/>
          <w14:textFill>
            <w14:solidFill>
              <w14:schemeClr w14:val="tx1"/>
            </w14:solidFill>
          </w14:textFill>
        </w:rPr>
        <w:t xml:space="preserve">》</w:t>
      </w:r>
      <w:r/>
    </w:p>
    <w:p>
      <w:pPr>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7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w:t>
      </w:r>
      <w:r>
        <w:rPr>
          <w:rFonts w:hint="eastAsia" w:ascii="宋体" w:hAnsi="宋体" w:cs="宋体"/>
          <w:bCs/>
          <w:color w:val="000000" w:themeColor="text1"/>
          <w:sz w:val="24"/>
          <w:highlight w:val="none"/>
          <w14:textFill>
            <w14:solidFill>
              <w14:schemeClr w14:val="tx1"/>
            </w14:solidFill>
          </w14:textFill>
        </w:rPr>
        <w:t xml:space="preserve">标人：（盖电子签章）</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8"/>
          <w:szCs w:val="28"/>
          <w:highlight w:val="none"/>
          <w14:textFill>
            <w14:solidFill>
              <w14:schemeClr w14:val="tx1"/>
            </w14:solidFill>
          </w14:textFill>
        </w:rPr>
        <w:t xml:space="preserve">3、分项价格表</w:t>
      </w:r>
      <w:r/>
    </w:p>
    <w:p>
      <w:pPr>
        <w:pStyle w:val="810"/>
        <w:ind w:left="0" w:right="0" w:firstLine="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项目编号：</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JSZC-320324-JSKJ-G2026-0037</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项目名称：</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睢宁县人民医院临床服务中心服务外包项目</w:t>
      </w:r>
      <w:r/>
    </w:p>
    <w:p>
      <w:pPr>
        <w:jc w:val="righ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货币单位：人民币元</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格式自拟。</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w:t>
      </w:r>
      <w:r>
        <w:rPr>
          <w:rFonts w:hint="eastAsia" w:ascii="宋体" w:hAnsi="宋体" w:cs="宋体"/>
          <w:bCs/>
          <w:color w:val="000000" w:themeColor="text1"/>
          <w:sz w:val="24"/>
          <w:highlight w:val="none"/>
          <w14:textFill>
            <w14:solidFill>
              <w14:schemeClr w14:val="tx1"/>
            </w14:solidFill>
          </w14:textFill>
        </w:rPr>
        <w:t xml:space="preserve">标人：（盖电子签章）</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48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440" w:lineRule="exact"/>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pStyle w:val="810"/>
        <w:ind w:left="0" w:right="0" w:firstLine="24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项目编号：</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JSZC-320324-JSKJ-G2026-0037</w:t>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项目名称：</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睢宁县人民医院临床服务中心服务外包项目</w:t>
      </w:r>
      <w:r/>
    </w:p>
    <w:tbl>
      <w:tblPr>
        <w:tblStyle w:val="787"/>
        <w:tblW w:w="89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05"/>
        <w:gridCol w:w="1357"/>
        <w:gridCol w:w="1742"/>
        <w:gridCol w:w="1261"/>
        <w:gridCol w:w="2343"/>
      </w:tblGrid>
      <w:tr>
        <w:trPr>
          <w:jc w:val="center"/>
          <w:trHeight w:val="707"/>
        </w:trPr>
        <w:tc>
          <w:tcPr>
            <w:tcW w:w="829"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5"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357"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招标文件的要求</w:t>
            </w:r>
            <w:r/>
          </w:p>
        </w:tc>
        <w:tc>
          <w:tcPr>
            <w:tcW w:w="1742"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投标文件中的内容</w:t>
            </w:r>
            <w:r/>
          </w:p>
        </w:tc>
        <w:tc>
          <w:tcPr>
            <w:tcW w:w="1261"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3" w:type="dxa"/>
            <w:vAlign w:val="center"/>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03"/>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10"/>
        </w:trPr>
        <w:tc>
          <w:tcPr>
            <w:tcW w:w="829" w:type="dxa"/>
            <w:vAlign w:val="top"/>
            <w:textDirection w:val="lrTb"/>
            <w:noWrap w:val="false"/>
          </w:tcPr>
          <w:p>
            <w:pPr>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W w:w="140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57"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742"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1"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3"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right="0" w:firstLine="482"/>
        <w:keepLines w:val="0"/>
        <w:keepNext w:val="0"/>
        <w:pageBreakBefore w:val="0"/>
        <w:spacing w:line="312" w:lineRule="auto"/>
        <w:widowControl w:val="off"/>
        <w:tabs>
          <w:tab w:val="left" w:pos="0" w:leader="none"/>
        </w:tabs>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r>
      <w:r/>
    </w:p>
    <w:p>
      <w:pPr>
        <w:ind w:right="0" w:firstLine="482"/>
        <w:keepLines w:val="0"/>
        <w:keepNext w:val="0"/>
        <w:pageBreakBefore w:val="0"/>
        <w:spacing w:line="312" w:lineRule="auto"/>
        <w:widowControl w:val="off"/>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特别说明：</w:t>
      </w:r>
      <w:r>
        <w:rPr>
          <w:rFonts w:hint="eastAsia" w:ascii="宋体" w:hAnsi="宋体" w:eastAsia="宋体" w:cs="宋体"/>
          <w:color w:val="000000" w:themeColor="text1"/>
          <w:sz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投标人：（盖电子签章）</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spacing w:line="400" w:lineRule="exact"/>
        <w:rPr>
          <w:rFonts w:hint="eastAsia" w:ascii="宋体" w:hAnsi="宋体" w:eastAsia="宋体" w:cs="宋体"/>
          <w:bCs/>
          <w:color w:val="000000" w:themeColor="text1"/>
          <w:sz w:val="28"/>
          <w:szCs w:val="28"/>
          <w:highlight w:val="none"/>
          <w:lang w:val="en-US" w:eastAsia="zh-CN"/>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cs="宋体"/>
          <w:bCs/>
          <w:color w:val="000000" w:themeColor="text1"/>
          <w:sz w:val="28"/>
          <w:szCs w:val="28"/>
          <w:highlight w:val="none"/>
          <w14:textFill>
            <w14:solidFill>
              <w14:schemeClr w14:val="tx1"/>
            </w14:solidFill>
          </w14:textFill>
        </w:rPr>
        <w:t xml:space="preserve">法定代表人授权书</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格式</w:t>
      </w:r>
      <w:r/>
    </w:p>
    <w:p>
      <w:pPr>
        <w:jc w:val="center"/>
        <w:spacing w:line="400" w:lineRule="exact"/>
        <w:rPr>
          <w:rFonts w:hint="eastAsia" w:ascii="宋体" w:hAnsi="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Cs/>
          <w:color w:val="000000" w:themeColor="text1"/>
          <w:sz w:val="24"/>
          <w:szCs w:val="24"/>
          <w:highlight w:val="none"/>
          <w:lang w:val="en-US" w:eastAsia="zh-CN"/>
          <w14:textFill>
            <w14:solidFill>
              <w14:schemeClr w14:val="tx1"/>
            </w14:solidFill>
          </w14:textFill>
        </w:rPr>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委托人：</w:t>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w:t>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法定代表人：职务：</w:t>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统一社会信用代码：</w:t>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受托人：</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性别：男（女）</w:t>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年龄：</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岁</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民族：族</w:t>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职务：</w:t>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身份证号：</w:t>
      </w:r>
      <w:r/>
    </w:p>
    <w:p>
      <w:pPr>
        <w:ind w:left="412"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兹委托（）全权代表我企业（公司）参与[</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睢宁县人民医院临床服务中心服务外包项目</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项目[项目编号：</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JSZC-320324-JSKJ-G2026-0037</w:t>
      </w:r>
      <w:r>
        <w:rPr>
          <w:rFonts w:hint="eastAsia" w:ascii="宋体" w:hAnsi="宋体" w:cs="宋体"/>
          <w:bCs/>
          <w:color w:val="000000" w:themeColor="text1"/>
          <w:sz w:val="24"/>
          <w:highlight w:val="none"/>
          <w14:textFill>
            <w14:solidFill>
              <w14:schemeClr w14:val="tx1"/>
            </w14:solidFill>
          </w14:textFill>
        </w:rPr>
        <w:t xml:space="preserve">]的招、投标活动及签订经济合同。（）以我企业（公司）名义所为的法律行为及签署的文件，我企业（公司）均予以认可。有关法律责任均由我企业（公司）承担。（）无转委托权。</w:t>
      </w:r>
      <w:r/>
    </w:p>
    <w:p>
      <w:pPr>
        <w:ind w:left="412"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委托期限自年月日起至年月日止。</w:t>
      </w:r>
      <w:r/>
    </w:p>
    <w:p>
      <w:pPr>
        <w:ind w:firstLine="72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特此授权委托。</w:t>
      </w:r>
      <w:r/>
    </w:p>
    <w:p>
      <w:pPr>
        <w:ind w:firstLine="470"/>
        <w:spacing w:line="360" w:lineRule="auto"/>
        <w:rPr>
          <w:rFonts w:hint="eastAsia"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委托人（盖电子签章）：</w:t>
      </w:r>
      <w:r/>
    </w:p>
    <w:p>
      <w:pPr>
        <w:ind w:firstLine="482"/>
        <w:spacing w:line="48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法定代表人</w:t>
      </w:r>
      <w:r>
        <w:rPr>
          <w:rFonts w:hint="eastAsia" w:ascii="宋体" w:hAnsi="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签字或电子签章</w:t>
      </w:r>
      <w:r>
        <w:rPr>
          <w:rFonts w:hint="eastAsia" w:ascii="宋体" w:hAnsi="宋体" w:cs="宋体"/>
          <w:b w:val="0"/>
          <w:bCs/>
          <w:color w:val="000000" w:themeColor="text1"/>
          <w:sz w:val="24"/>
          <w:szCs w:val="24"/>
          <w:highlight w:val="none"/>
          <w14:textFill>
            <w14:solidFill>
              <w14:schemeClr w14:val="tx1"/>
            </w14:solidFill>
          </w14:textFill>
        </w:rPr>
        <w:t xml:space="preserve">）</w:t>
      </w:r>
      <w:r>
        <w:rPr>
          <w:rFonts w:hint="eastAsia" w:ascii="宋体" w:hAnsi="宋体" w:cs="宋体"/>
          <w:b/>
          <w:bCs w:val="0"/>
          <w:color w:val="000000" w:themeColor="text1"/>
          <w:sz w:val="24"/>
          <w:szCs w:val="24"/>
          <w:highlight w:val="none"/>
          <w14:textFill>
            <w14:solidFill>
              <w14:schemeClr w14:val="tx1"/>
            </w14:solidFill>
          </w14:textFill>
        </w:rPr>
        <w:t xml:space="preserve">：</w:t>
      </w:r>
      <w:r/>
    </w:p>
    <w:p>
      <w:pPr>
        <w:ind w:firstLine="470"/>
        <w:spacing w:line="360" w:lineRule="auto"/>
        <w:rPr>
          <w:rFonts w:hint="eastAsia" w:ascii="宋体" w:hAnsi="宋体" w:cs="宋体"/>
          <w:b/>
          <w:bCs w:val="0"/>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r>
      <w:r/>
    </w:p>
    <w:p>
      <w:pPr>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受托人（</w:t>
      </w:r>
      <w:r>
        <w:rPr>
          <w:rFonts w:hint="eastAsia" w:ascii="宋体" w:hAnsi="宋体" w:eastAsia="宋体" w:cs="宋体"/>
          <w:bCs/>
          <w:color w:val="000000" w:themeColor="text1"/>
          <w:sz w:val="24"/>
          <w:szCs w:val="24"/>
          <w:highlight w:val="none"/>
          <w14:textFill>
            <w14:solidFill>
              <w14:schemeClr w14:val="tx1"/>
            </w14:solidFill>
          </w14:textFill>
        </w:rPr>
        <w:t xml:space="preserve">签字或电子签章</w:t>
      </w:r>
      <w:r>
        <w:rPr>
          <w:rFonts w:hint="eastAsia" w:ascii="宋体" w:hAnsi="宋体" w:cs="宋体"/>
          <w:b/>
          <w:bCs w:val="0"/>
          <w:color w:val="000000" w:themeColor="text1"/>
          <w:sz w:val="24"/>
          <w:szCs w:val="24"/>
          <w:highlight w:val="none"/>
          <w14:textFill>
            <w14:solidFill>
              <w14:schemeClr w14:val="tx1"/>
            </w14:solidFill>
          </w14:textFill>
        </w:rPr>
        <w:t xml:space="preserve">）：</w:t>
      </w:r>
      <w:r/>
    </w:p>
    <w:p>
      <w:pPr>
        <w:pStyle w:val="876"/>
        <w:rPr>
          <w:rFonts w:hint="eastAsia" w:ascii="宋体" w:hAnsi="宋体" w:cs="宋体"/>
          <w:b/>
          <w:bCs w:val="0"/>
          <w:color w:val="000000" w:themeColor="text1"/>
          <w:sz w:val="24"/>
          <w:highlight w:val="none"/>
          <w:lang w:val="en-US" w:eastAsia="zh-CN"/>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r>
      <w:r/>
    </w:p>
    <w:p>
      <w:pPr>
        <w:pStyle w:val="876"/>
        <w:jc w:val="left"/>
        <w:rPr>
          <w:rFonts w:hint="eastAsia" w:eastAsia="宋体"/>
          <w:color w:val="000000" w:themeColor="text1"/>
          <w:highlight w:val="none"/>
          <w:lang w:val="en-US" w:eastAsia="zh-CN"/>
          <w14:textFill>
            <w14:solidFill>
              <w14:schemeClr w14:val="tx1"/>
            </w14:solidFill>
          </w14:textFill>
        </w:rPr>
      </w:pPr>
      <w:r>
        <w:rPr>
          <w:rFonts w:hint="eastAsia" w:ascii="宋体" w:hAnsi="宋体" w:cs="宋体"/>
          <w:b/>
          <w:bCs w:val="0"/>
          <w:color w:val="000000" w:themeColor="text1"/>
          <w:sz w:val="24"/>
          <w:highlight w:val="none"/>
          <w14:textFill>
            <w14:solidFill>
              <w14:schemeClr w14:val="tx1"/>
            </w14:solidFill>
          </w14:textFill>
        </w:rPr>
        <w:t xml:space="preserve">受托人</w:t>
      </w:r>
      <w:r>
        <w:rPr>
          <w:rFonts w:hint="eastAsia" w:ascii="宋体" w:hAnsi="宋体" w:cs="宋体"/>
          <w:b/>
          <w:bCs w:val="0"/>
          <w:color w:val="000000" w:themeColor="text1"/>
          <w:sz w:val="24"/>
          <w:highlight w:val="none"/>
          <w:lang w:eastAsia="zh-CN"/>
          <w14:textFill>
            <w14:solidFill>
              <w14:schemeClr w14:val="tx1"/>
            </w14:solidFill>
          </w14:textFill>
        </w:rPr>
        <w:t xml:space="preserve">联系电话：</w:t>
      </w:r>
      <w:r/>
    </w:p>
    <w:p>
      <w:pPr>
        <w:ind w:firstLine="480"/>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950"/>
        <w:jc w:val="center"/>
        <w:spacing w:line="360" w:lineRule="auto"/>
        <w:rPr>
          <w:rFonts w:hint="eastAsia" w:ascii="宋体" w:hAnsi="宋体" w:cs="宋体"/>
          <w:b/>
          <w:bCs w:val="0"/>
          <w:color w:val="000000" w:themeColor="text1"/>
          <w:sz w:val="28"/>
          <w:szCs w:val="28"/>
          <w:highlight w:val="none"/>
          <w14:textFill>
            <w14:solidFill>
              <w14:schemeClr w14:val="tx1"/>
            </w14:solidFill>
          </w14:textFill>
        </w:rPr>
      </w:pPr>
      <w:r>
        <w:rPr>
          <w:rFonts w:hint="eastAsia" w:ascii="宋体" w:hAnsi="宋体" w:cs="宋体"/>
          <w:b/>
          <w:bCs w:val="0"/>
          <w:color w:val="000000" w:themeColor="text1"/>
          <w:sz w:val="28"/>
          <w:szCs w:val="28"/>
          <w:highlight w:val="none"/>
          <w14:textFill>
            <w14:solidFill>
              <w14:schemeClr w14:val="tx1"/>
            </w14:solidFill>
          </w14:textFill>
        </w:rPr>
        <w:t xml:space="preserve">(受托人身份证反正面</w:t>
      </w:r>
      <w:r>
        <w:rPr>
          <w:rFonts w:hint="eastAsia" w:ascii="宋体" w:hAnsi="宋体" w:cs="宋体"/>
          <w:b/>
          <w:bCs w:val="0"/>
          <w:color w:val="000000" w:themeColor="text1"/>
          <w:sz w:val="28"/>
          <w:szCs w:val="28"/>
          <w:highlight w:val="none"/>
          <w:lang w:eastAsia="zh-CN"/>
          <w14:textFill>
            <w14:solidFill>
              <w14:schemeClr w14:val="tx1"/>
            </w14:solidFill>
          </w14:textFill>
        </w:rPr>
        <w:t xml:space="preserve">均</w:t>
      </w:r>
      <w:r>
        <w:rPr>
          <w:rFonts w:hint="eastAsia" w:ascii="宋体" w:hAnsi="宋体" w:cs="宋体"/>
          <w:b/>
          <w:bCs w:val="0"/>
          <w:color w:val="000000" w:themeColor="text1"/>
          <w:sz w:val="28"/>
          <w:szCs w:val="28"/>
          <w:highlight w:val="none"/>
          <w14:textFill>
            <w14:solidFill>
              <w14:schemeClr w14:val="tx1"/>
            </w14:solidFill>
          </w14:textFill>
        </w:rPr>
        <w:t xml:space="preserve">扫描件附后)</w:t>
      </w:r>
      <w:r/>
    </w:p>
    <w:p>
      <w:pP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cs="宋体"/>
          <w:color w:val="000000" w:themeColor="text1"/>
          <w:sz w:val="28"/>
          <w:szCs w:val="28"/>
          <w:highlight w:val="none"/>
          <w:lang w:val="en-US" w:eastAsia="zh-CN"/>
          <w14:textFill>
            <w14:solidFill>
              <w14:schemeClr w14:val="tx1"/>
            </w14:solidFill>
          </w14:textFill>
        </w:rPr>
        <w:br w:type="page" w:clear="all"/>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、中小企业声明函</w:t>
      </w:r>
      <w:r>
        <w:rPr>
          <w:rFonts w:hint="eastAsia" w:ascii="宋体" w:hAnsi="宋体" w:cs="宋体"/>
          <w:color w:val="000000" w:themeColor="text1"/>
          <w:sz w:val="28"/>
          <w:szCs w:val="28"/>
          <w:highlight w:val="none"/>
          <w:lang w:val="en-US" w:eastAsia="zh-CN"/>
          <w14:textFill>
            <w14:solidFill>
              <w14:schemeClr w14:val="tx1"/>
            </w14:solidFill>
          </w14:textFill>
        </w:rPr>
        <w:t xml:space="preserve">格式</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10"/>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项目编号：</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JSZC-320324-JSKJ-G2026-0037</w:t>
      </w:r>
      <w:r/>
    </w:p>
    <w:p>
      <w:pPr>
        <w:jc w:val="left"/>
        <w:spacing w:line="360" w:lineRule="auto"/>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项目名称：</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睢宁县人民医院临床服务中心服务外包项目</w:t>
      </w:r>
      <w:r/>
    </w:p>
    <w:p>
      <w:pPr>
        <w:ind w:firstLine="480"/>
        <w:jc w:val="left"/>
        <w:spacing w:line="360" w:lineRule="auto"/>
        <w:rPr>
          <w:rStyle w:val="1179"/>
          <w:rFonts w:hint="eastAsia" w:ascii="宋体" w:hAnsi="宋体" w:eastAsia="宋体" w:cs="宋体"/>
          <w:color w:val="000000" w:themeColor="text1"/>
          <w:sz w:val="24"/>
          <w:szCs w:val="24"/>
          <w:highlight w:val="none"/>
          <w14:textFill>
            <w14:solidFill>
              <w14:schemeClr w14:val="tx1"/>
            </w14:solidFill>
          </w14:textFill>
        </w:rPr>
      </w:pPr>
      <w:r>
        <w:rPr>
          <w:rStyle w:val="1179"/>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本公司郑重声明，根据《政府采购促进中小企业发展暂行办法》（财库﹝2020﹞46号）的规定，本公司参加</w:t>
      </w:r>
      <w:r>
        <w:rPr>
          <w:rStyle w:val="1179"/>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Style w:val="1179"/>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1179"/>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Style w:val="1179"/>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采购活动，服务全部由符合政策要求的中小企业承接。相关企业的具体情况如下：</w:t>
      </w:r>
      <w:r/>
    </w:p>
    <w:p>
      <w:pPr>
        <w:ind w:firstLine="480"/>
        <w:jc w:val="left"/>
        <w:spacing w:line="360" w:lineRule="auto"/>
        <w:rPr>
          <w:rStyle w:val="1179"/>
          <w:rFonts w:hint="eastAsia" w:ascii="宋体" w:hAnsi="宋体" w:eastAsia="宋体" w:cs="宋体"/>
          <w:color w:val="000000" w:themeColor="text1"/>
          <w:sz w:val="24"/>
          <w:szCs w:val="24"/>
          <w:highlight w:val="none"/>
          <w14:textFill>
            <w14:solidFill>
              <w14:schemeClr w14:val="tx1"/>
            </w14:solidFill>
          </w14:textFill>
        </w:rPr>
      </w:pPr>
      <w:r>
        <w:rPr>
          <w:rStyle w:val="1179"/>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睢宁县人民医院临床服务中心服务外包项目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其他未列明行业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，从业人员人，营业收入为万元，资产总额为万元（</w:t>
      </w:r>
      <w:r>
        <w:rPr>
          <w:rStyle w:val="1179"/>
          <w:rFonts w:hint="eastAsia" w:ascii="宋体" w:hAnsi="宋体" w:eastAsia="宋体" w:cs="宋体"/>
          <w:b/>
          <w:bCs/>
          <w:color w:val="000000" w:themeColor="text1"/>
          <w:sz w:val="24"/>
          <w:szCs w:val="24"/>
          <w:highlight w:val="none"/>
          <w14:textFill>
            <w14:solidFill>
              <w14:schemeClr w14:val="tx1"/>
            </w14:solidFill>
          </w14:textFill>
        </w:rPr>
        <w:t xml:space="preserve">从业人员、营业收入、资产总额填报上一年度数据）</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w:t>
      </w:r>
      <w:r>
        <w:rPr>
          <w:rFonts w:hint="eastAsia" w:ascii="宋体" w:hAnsi="宋体" w:eastAsia="宋体" w:cs="宋体"/>
          <w:color w:val="000000" w:themeColor="text1"/>
          <w:sz w:val="24"/>
          <w:szCs w:val="24"/>
          <w:highlight w:val="none"/>
          <w14:textFill>
            <w14:solidFill>
              <w14:schemeClr w14:val="tx1"/>
            </w14:solidFill>
          </w14:textFill>
        </w:rPr>
        <w:t xml:space="preserve">（中型企业、小型企业、微型企业，务必</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请填空！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rPr>
          <w:rStyle w:val="1179"/>
          <w:rFonts w:hint="eastAsia" w:ascii="宋体" w:hAnsi="宋体" w:eastAsia="宋体" w:cs="宋体"/>
          <w:b/>
          <w:bCs/>
          <w:color w:val="000000" w:themeColor="text1"/>
          <w:sz w:val="24"/>
          <w:szCs w:val="24"/>
          <w:highlight w:val="none"/>
          <w14:textFill>
            <w14:solidFill>
              <w14:schemeClr w14:val="tx1"/>
            </w14:solidFill>
          </w14:textFill>
        </w:rPr>
      </w:pPr>
      <w:r>
        <w:rPr>
          <w:rStyle w:val="1179"/>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2"/>
        <w:spacing w:line="360" w:lineRule="auto"/>
        <w:rPr>
          <w:rStyle w:val="1179"/>
          <w:rFonts w:hint="eastAsia" w:ascii="宋体" w:hAnsi="宋体" w:eastAsia="宋体" w:cs="宋体"/>
          <w:color w:val="000000" w:themeColor="text1"/>
          <w:sz w:val="24"/>
          <w:szCs w:val="24"/>
          <w:highlight w:val="none"/>
          <w14:textFill>
            <w14:solidFill>
              <w14:schemeClr w14:val="tx1"/>
            </w14:solidFill>
          </w14:textFill>
        </w:rPr>
      </w:pPr>
      <w:r>
        <w:rPr>
          <w:rStyle w:val="1179"/>
          <w:rFonts w:hint="eastAsia" w:ascii="宋体" w:hAnsi="宋体" w:eastAsia="宋体" w:cs="宋体"/>
          <w:b/>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spacing w:line="360" w:lineRule="auto"/>
        <w:rPr>
          <w:rStyle w:val="1179"/>
          <w:rFonts w:hint="eastAsia" w:ascii="宋体" w:hAnsi="宋体" w:eastAsia="宋体" w:cs="宋体"/>
          <w:color w:val="000000" w:themeColor="text1"/>
          <w:sz w:val="24"/>
          <w:szCs w:val="24"/>
          <w:highlight w:val="none"/>
          <w14:textFill>
            <w14:solidFill>
              <w14:schemeClr w14:val="tx1"/>
            </w14:solidFill>
          </w14:textFill>
        </w:rPr>
      </w:pPr>
      <w:r>
        <w:rPr>
          <w:rStyle w:val="1179"/>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ind w:firstLine="480"/>
        <w:jc w:val="left"/>
        <w:spacing w:line="360" w:lineRule="auto"/>
        <w:rPr>
          <w:rStyle w:val="1179"/>
          <w:rFonts w:hint="eastAsia" w:ascii="宋体" w:hAnsi="宋体" w:eastAsia="宋体" w:cs="宋体"/>
          <w:color w:val="000000" w:themeColor="text1"/>
          <w:sz w:val="24"/>
          <w:szCs w:val="24"/>
          <w:highlight w:val="none"/>
          <w14:textFill>
            <w14:solidFill>
              <w14:schemeClr w14:val="tx1"/>
            </w14:solidFill>
          </w14:textFill>
        </w:rPr>
      </w:pPr>
      <w:r>
        <w:rPr>
          <w:rStyle w:val="1179"/>
          <w:rFonts w:hint="eastAsia" w:ascii="宋体" w:hAnsi="宋体" w:eastAsia="宋体" w:cs="宋体"/>
          <w:color w:val="000000" w:themeColor="text1"/>
          <w:sz w:val="24"/>
          <w:szCs w:val="24"/>
          <w:highlight w:val="none"/>
          <w14:textFill>
            <w14:solidFill>
              <w14:schemeClr w14:val="tx1"/>
            </w14:solidFill>
          </w14:textFill>
        </w:rPr>
        <w:t xml:space="preserve">注：本采购项目属于</w:t>
      </w:r>
      <w:r>
        <w:rPr>
          <w:rStyle w:val="1179"/>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79"/>
          <w:rFonts w:hint="eastAsia" w:ascii="宋体" w:hAnsi="宋体" w:cs="宋体"/>
          <w:color w:val="000000" w:themeColor="text1"/>
          <w:sz w:val="24"/>
          <w:szCs w:val="24"/>
          <w:highlight w:val="none"/>
          <w:u w:val="single"/>
          <w14:textFill>
            <w14:solidFill>
              <w14:schemeClr w14:val="tx1"/>
            </w14:solidFill>
          </w14:textFill>
        </w:rPr>
        <w:t xml:space="preserve">其他未列明行业</w:t>
      </w:r>
      <w:r>
        <w:rPr>
          <w:rStyle w:val="1179"/>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179"/>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Style w:val="1179"/>
          <w:rFonts w:hint="eastAsia" w:ascii="宋体" w:hAnsi="宋体" w:eastAsia="宋体" w:cs="宋体"/>
          <w:color w:val="000000" w:themeColor="text1"/>
          <w:sz w:val="24"/>
          <w:highlight w:val="none"/>
          <w14:textFill>
            <w14:solidFill>
              <w14:schemeClr w14:val="tx1"/>
            </w14:solidFill>
          </w14:textFill>
        </w:rPr>
      </w:pPr>
      <w:r>
        <w:rPr>
          <w:rStyle w:val="1179"/>
          <w:rFonts w:hint="eastAsia" w:ascii="宋体" w:hAnsi="宋体" w:eastAsia="宋体" w:cs="宋体"/>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p>
    <w:p>
      <w:pPr>
        <w:ind w:left="2520" w:firstLine="420"/>
        <w:jc w:val="left"/>
        <w:spacing w:line="360" w:lineRule="auto"/>
        <w:rPr>
          <w:rStyle w:val="1179"/>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40"/>
        <w:jc w:val="left"/>
        <w:spacing w:line="360" w:lineRule="auto"/>
        <w:rPr>
          <w:rStyle w:val="1179"/>
          <w:rFonts w:hint="eastAsia" w:ascii="宋体" w:hAnsi="宋体" w:eastAsia="宋体" w:cs="宋体"/>
          <w:color w:val="000000" w:themeColor="text1"/>
          <w:sz w:val="24"/>
          <w:highlight w:val="none"/>
          <w14:textFill>
            <w14:solidFill>
              <w14:schemeClr w14:val="tx1"/>
            </w14:solidFill>
          </w14:textFill>
        </w:rPr>
      </w:pPr>
      <w:r>
        <w:rPr>
          <w:rStyle w:val="1179"/>
          <w:rFonts w:hint="eastAsia" w:ascii="宋体" w:hAnsi="宋体" w:eastAsia="宋体" w:cs="宋体"/>
          <w:color w:val="000000" w:themeColor="text1"/>
          <w:sz w:val="24"/>
          <w:highlight w:val="none"/>
          <w14:textFill>
            <w14:solidFill>
              <w14:schemeClr w14:val="tx1"/>
            </w14:solidFill>
          </w14:textFill>
        </w:rPr>
        <w:t xml:space="preserve">投标人：（盖电子签章）</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24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80" w:lineRule="exact"/>
        <w:widowControl/>
        <w:rPr>
          <w:rFonts w:hint="eastAsia" w:ascii="宋体" w:hAnsi="宋体" w:cs="宋体"/>
          <w:b/>
          <w:color w:val="000000" w:themeColor="text1"/>
          <w:sz w:val="28"/>
          <w:szCs w:val="28"/>
          <w:highlight w:val="none"/>
          <w:lang w:val="en-US"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r>
      <w:r/>
    </w:p>
    <w:p>
      <w:pPr>
        <w:pStyle w:val="810"/>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8"/>
          <w:szCs w:val="28"/>
          <w:highlight w:val="none"/>
          <w14:textFill>
            <w14:solidFill>
              <w14:schemeClr w14:val="tx1"/>
            </w14:solidFill>
          </w14:textFill>
        </w:rPr>
      </w:r>
      <w:r/>
    </w:p>
    <w:p>
      <w:pPr>
        <w:pStyle w:val="830"/>
        <w:ind w:left="0" w:right="0" w:firstLine="0"/>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说明</w:t>
      </w:r>
      <w:r>
        <w:rPr>
          <w:rFonts w:hint="eastAsia" w:ascii="宋体" w:hAnsi="宋体" w:eastAsia="宋体" w:cs="宋体"/>
          <w:b w:val="0"/>
          <w:bCs w:val="0"/>
          <w:color w:val="000000" w:themeColor="text1"/>
          <w:sz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0"/>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2、从业人员、营业收入、资产总额填报响应</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b w:val="0"/>
          <w:bCs w:val="0"/>
          <w:color w:val="000000" w:themeColor="text1"/>
          <w:sz w:val="24"/>
          <w:highlight w:val="none"/>
          <w14:textFill>
            <w14:solidFill>
              <w14:schemeClr w14:val="tx1"/>
            </w14:solidFill>
          </w14:textFill>
        </w:rPr>
        <w:t xml:space="preserve">上一年度数据，无上一年度数据的新成立企业可不填报。</w:t>
      </w:r>
      <w:r/>
    </w:p>
    <w:p>
      <w:pPr>
        <w:pStyle w:val="830"/>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3、成交</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b w:val="0"/>
          <w:bCs w:val="0"/>
          <w:color w:val="000000" w:themeColor="text1"/>
          <w:sz w:val="24"/>
          <w:highlight w:val="none"/>
          <w14:textFill>
            <w14:solidFill>
              <w14:schemeClr w14:val="tx1"/>
            </w14:solidFill>
          </w14:textFill>
        </w:rPr>
        <w:t xml:space="preserve">为</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中型、</w:t>
      </w:r>
      <w:r>
        <w:rPr>
          <w:rFonts w:hint="eastAsia" w:ascii="宋体" w:hAnsi="宋体" w:eastAsia="宋体" w:cs="宋体"/>
          <w:b w:val="0"/>
          <w:bCs w:val="0"/>
          <w:color w:val="000000" w:themeColor="text1"/>
          <w:sz w:val="24"/>
          <w:highlight w:val="none"/>
          <w14:textFill>
            <w14:solidFill>
              <w14:schemeClr w14:val="tx1"/>
            </w14:solidFill>
          </w14:textFill>
        </w:rPr>
        <w:t xml:space="preserve">小型、微型企业的，采购人或者其委托的采购代理机构有权随中标、成交结果同时公告其《中小企业声明函》，接受社会监督。</w:t>
      </w:r>
      <w:r/>
    </w:p>
    <w:p>
      <w:pPr>
        <w:pStyle w:val="830"/>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4、执行江苏省财政厅关于进一步加大政府采购支持中小企业力度的通知（苏财购〔2022〕45号）的规定。</w:t>
      </w:r>
      <w:r/>
    </w:p>
    <w:p>
      <w:pPr>
        <w:pStyle w:val="830"/>
        <w:ind w:left="0" w:right="0" w:firstLine="482"/>
        <w:keepLines w:val="0"/>
        <w:keepNext w:val="0"/>
        <w:pageBreakBefore w:val="0"/>
        <w:spacing w:beforeAutospacing="0" w:after="0" w:afterAutospacing="0"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5、响应</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b w:val="0"/>
          <w:bCs w:val="0"/>
          <w:color w:val="000000" w:themeColor="text1"/>
          <w:sz w:val="24"/>
          <w:highlight w:val="none"/>
          <w14:textFill>
            <w14:solidFill>
              <w14:schemeClr w14:val="tx1"/>
            </w14:solidFill>
          </w14:textFill>
        </w:rPr>
        <w:t xml:space="preserve">提供的《中小企业声明函》与事实不符的，依照《中华人民共和国政府采购法》第七十七条第一款的规定追究法律责任。</w:t>
      </w:r>
      <w:r/>
    </w:p>
    <w:p>
      <w:pPr>
        <w:pStyle w:val="1165"/>
        <w:ind w:left="0" w:right="0" w:firstLine="480"/>
        <w:keepLines w:val="0"/>
        <w:keepNext w:val="0"/>
        <w:pageBreakBefore w:val="0"/>
        <w:spacing w:beforeAutospacing="0" w:afterAutospacing="0"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6、《中小企业声明函》查询渠道用微信搜索“中小企业规模类型自测小程序”。</w:t>
      </w:r>
      <w:r/>
    </w:p>
    <w:p>
      <w:pPr>
        <w:pStyle w:val="1165"/>
        <w:ind w:left="0" w:right="0"/>
        <w:keepLines w:val="0"/>
        <w:keepNext w:val="0"/>
        <w:pageBreakBefore w:val="0"/>
        <w:spacing w:beforeAutospacing="0" w:afterAutospacing="0"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231390" cy="455422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rcRect l="0" t="4825" r="0" b="0"/>
                        <a:stretch/>
                      </pic:blipFill>
                      <pic:spPr bwMode="auto">
                        <a:xfrm>
                          <a:off x="0" y="0"/>
                          <a:ext cx="2231390" cy="455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5.7pt;height:358.6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pacing w:val="6"/>
          <w:sz w:val="24"/>
          <w:highlight w:val="none"/>
          <w14:textFill>
            <w14:solidFill>
              <w14:schemeClr w14:val="tx1"/>
            </w14:solidFill>
          </w14:textFill>
        </w:rPr>
        <w:outlineLvl w:val="1"/>
      </w:pPr>
      <w:r>
        <w:rPr>
          <w:rFonts w:hint="eastAsia" w:ascii="宋体" w:hAnsi="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、残疾人福利性单位声明函</w:t>
      </w:r>
      <w:r/>
    </w:p>
    <w:p>
      <w:pPr>
        <w:pStyle w:val="810"/>
        <w:ind w:right="0"/>
        <w:jc w:val="both"/>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项目编号：</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JSZC-320324-JSKJ-G2026-0037</w:t>
      </w:r>
      <w:r/>
    </w:p>
    <w:p>
      <w:pPr>
        <w:jc w:val="left"/>
        <w:spacing w:line="360" w:lineRule="auto"/>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项目名称：</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睢宁县人民医院临床服务中心服务外包项目</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本单位郑重声明，根据《财政部民政部中国残疾人联合会关于促进残疾人就业政府采购政策的通知》（财库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投标人：（盖电子签章）</w:t>
      </w:r>
      <w:r/>
    </w:p>
    <w:p>
      <w:pPr>
        <w:ind w:left="168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ind w:firstLine="480"/>
        <w:jc w:val="left"/>
        <w:spacing w:line="360" w:lineRule="auto"/>
        <w:rPr>
          <w:rFonts w:hint="eastAsia" w:ascii="宋体" w:hAnsi="宋体" w:cs="宋体"/>
          <w:bCs/>
          <w:color w:val="000000" w:themeColor="text1"/>
          <w:sz w:val="28"/>
          <w:szCs w:val="28"/>
          <w:highlight w:val="none"/>
          <w:lang w:val="en-US" w:eastAsia="zh-CN" w:bidi="ar-SA"/>
          <w14:textFill>
            <w14:solidFill>
              <w14:schemeClr w14:val="tx1"/>
            </w14:solidFill>
          </w14:textFill>
        </w:rPr>
        <w:outlineLvl w:val="9"/>
      </w:pPr>
      <w:r>
        <w:rPr>
          <w:rFonts w:hint="eastAsia" w:ascii="宋体" w:hAnsi="宋体" w:cs="宋体"/>
          <w:bCs/>
          <w:color w:val="000000" w:themeColor="text1"/>
          <w:sz w:val="28"/>
          <w:szCs w:val="28"/>
          <w:highlight w:val="none"/>
          <w:lang w:val="en-US" w:eastAsia="zh-CN" w:bidi="ar-SA"/>
          <w14:textFill>
            <w14:solidFill>
              <w14:schemeClr w14:val="tx1"/>
            </w14:solidFill>
          </w14:textFill>
        </w:rPr>
      </w:r>
      <w:r/>
    </w:p>
    <w:p>
      <w:pPr>
        <w:numPr>
          <w:ilvl w:val="0"/>
          <w:numId w:val="0"/>
        </w:numPr>
        <w:ind w:firstLine="480"/>
        <w:jc w:val="left"/>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bidi="ar-SA"/>
          <w14:textFill>
            <w14:solidFill>
              <w14:schemeClr w14:val="tx1"/>
            </w14:solidFill>
          </w14:textFill>
        </w:rPr>
        <w:t xml:space="preserve">8</w:t>
      </w:r>
      <w:r>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书面声明</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睢宁县人民医院临床服务中心服务外包项目</w:t>
      </w: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bCs/>
          <w:color w:val="000000" w:themeColor="text1"/>
          <w:sz w:val="24"/>
          <w:highlight w:val="none"/>
          <w14:textFill>
            <w14:solidFill>
              <w14:schemeClr w14:val="tx1"/>
            </w14:solidFill>
          </w14:textFill>
        </w:rPr>
        <w:t xml:space="preserve">（项目编号：</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JSZC-320324-JSKJ-G2026-0037</w:t>
      </w:r>
      <w:r>
        <w:rPr>
          <w:rFonts w:hint="eastAsia" w:ascii="宋体" w:hAnsi="宋体" w:eastAsia="宋体" w:cs="宋体"/>
          <w:bCs/>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我单位对上述声明的真实性负责。如有虚假，将依法承担相应责任。</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投标人：（盖电子签章）</w:t>
      </w:r>
      <w:r/>
    </w:p>
    <w:p>
      <w:pPr>
        <w:ind w:left="168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cs="宋体"/>
          <w:b/>
          <w:color w:val="000000" w:themeColor="text1"/>
          <w:sz w:val="28"/>
          <w:szCs w:val="28"/>
          <w:highlight w:val="none"/>
          <w:lang w:val="en-US"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br w:type="page" w:clear="all"/>
      </w:r>
      <w:r/>
    </w:p>
    <w:p>
      <w:pPr>
        <w:pStyle w:val="1165"/>
        <w:jc w:val="center"/>
        <w:spacing w:beforeAutospacing="0" w:afterAutospacing="0"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、具备履行合同所必需的设备和专业技术能力的书面声明</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项目编号：</w:t>
      </w:r>
      <w:r>
        <w:rPr>
          <w:rFonts w:hint="eastAsia" w:ascii="宋体" w:hAnsi="宋体" w:cs="宋体"/>
          <w:bCs/>
          <w:color w:val="000000" w:themeColor="text1"/>
          <w:sz w:val="24"/>
          <w:highlight w:val="none"/>
          <w:lang w:eastAsia="zh-CN"/>
          <w14:textFill>
            <w14:solidFill>
              <w14:schemeClr w14:val="tx1"/>
            </w14:solidFill>
          </w14:textFill>
        </w:rPr>
        <w:t xml:space="preserve">JSZC-320324-JSKJ-G2026-0037</w:t>
      </w:r>
      <w:r/>
    </w:p>
    <w:p>
      <w:pPr>
        <w:ind w:firstLine="47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项目名称：</w:t>
      </w:r>
      <w:r>
        <w:rPr>
          <w:rFonts w:hint="eastAsia" w:ascii="宋体" w:hAnsi="宋体" w:cs="宋体"/>
          <w:bCs/>
          <w:color w:val="000000" w:themeColor="text1"/>
          <w:sz w:val="24"/>
          <w:highlight w:val="none"/>
          <w:lang w:eastAsia="zh-CN"/>
          <w14:textFill>
            <w14:solidFill>
              <w14:schemeClr w14:val="tx1"/>
            </w14:solidFill>
          </w14:textFill>
        </w:rPr>
        <w:t xml:space="preserve">睢宁县人民医院临床服务中心服务外包项目</w:t>
      </w:r>
      <w:r/>
    </w:p>
    <w:p>
      <w:pPr>
        <w:spacing w:line="320" w:lineRule="exact"/>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睢宁县人民医院临床服务中心服务外包项目</w:t>
      </w:r>
      <w:r>
        <w:rPr>
          <w:rFonts w:hint="eastAsia" w:ascii="宋体" w:hAnsi="宋体" w:eastAsia="宋体" w:cs="宋体"/>
          <w:bCs/>
          <w:color w:val="000000" w:themeColor="text1"/>
          <w:sz w:val="24"/>
          <w:highlight w:val="none"/>
          <w14:textFill>
            <w14:solidFill>
              <w14:schemeClr w14:val="tx1"/>
            </w14:solidFill>
          </w14:textFill>
        </w:rPr>
        <w:t xml:space="preserve">，项目编号：</w:t>
      </w:r>
      <w:r>
        <w:rPr>
          <w:rFonts w:hint="eastAsia" w:ascii="宋体" w:hAnsi="宋体" w:cs="宋体"/>
          <w:bCs/>
          <w:color w:val="000000" w:themeColor="text1"/>
          <w:sz w:val="24"/>
          <w:highlight w:val="none"/>
          <w:lang w:eastAsia="zh-CN"/>
          <w14:textFill>
            <w14:solidFill>
              <w14:schemeClr w14:val="tx1"/>
            </w14:solidFill>
          </w14:textFill>
        </w:rPr>
        <w:t xml:space="preserve">JSZC-320324-JSKJ-G2026-0037</w:t>
      </w:r>
      <w:r>
        <w:rPr>
          <w:rFonts w:hint="eastAsia" w:ascii="宋体" w:hAnsi="宋体" w:eastAsia="宋体" w:cs="宋体"/>
          <w:bCs/>
          <w:color w:val="000000" w:themeColor="text1"/>
          <w:sz w:val="24"/>
          <w:highlight w:val="none"/>
          <w14:textFill>
            <w14:solidFill>
              <w14:schemeClr w14:val="tx1"/>
            </w14:solidFill>
          </w14:textFill>
        </w:rPr>
        <w:t xml:space="preserve">所必需的设备和专业技术能力</w:t>
      </w:r>
      <w:r>
        <w:rPr>
          <w:rFonts w:hint="eastAsia" w:ascii="宋体" w:hAnsi="宋体" w:cs="宋体"/>
          <w:bCs/>
          <w:color w:val="000000" w:themeColor="text1"/>
          <w:sz w:val="24"/>
          <w:highlight w:val="none"/>
          <w:lang w:eastAsia="zh-CN"/>
          <w14:textFill>
            <w14:solidFill>
              <w14:schemeClr w14:val="tx1"/>
            </w14:solidFill>
          </w14:textFill>
        </w:rPr>
        <w:t xml:space="preserve">。</w:t>
      </w:r>
      <w:r/>
    </w:p>
    <w:p>
      <w:pPr>
        <w:spacing w:line="320" w:lineRule="exact"/>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r>
      <w:r/>
    </w:p>
    <w:p>
      <w:pPr>
        <w:spacing w:line="320" w:lineRule="exac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需</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相关证明材料：提供</w:t>
      </w:r>
      <w:r>
        <w:rPr>
          <w:rFonts w:hint="eastAsia" w:ascii="宋体" w:hAnsi="宋体" w:eastAsia="宋体" w:cs="宋体"/>
          <w:bCs/>
          <w:color w:val="000000" w:themeColor="text1"/>
          <w:sz w:val="24"/>
          <w:highlight w:val="none"/>
          <w:lang w:eastAsia="zh-CN"/>
          <w14:textFill>
            <w14:solidFill>
              <w14:schemeClr w14:val="tx1"/>
            </w14:solidFill>
          </w14:textFill>
        </w:rPr>
        <w:t xml:space="preserve">所有人员（</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29人）花名册，</w:t>
      </w:r>
      <w:r>
        <w:rPr>
          <w:rFonts w:hint="eastAsia" w:ascii="宋体" w:hAnsi="宋体" w:eastAsia="宋体" w:cs="宋体"/>
          <w:bCs/>
          <w:color w:val="000000" w:themeColor="text1"/>
          <w:sz w:val="24"/>
          <w:highlight w:val="none"/>
          <w:lang w:eastAsia="zh-CN"/>
          <w14:textFill>
            <w14:solidFill>
              <w14:schemeClr w14:val="tx1"/>
            </w14:solidFill>
          </w14:textFill>
        </w:rPr>
        <w:t xml:space="preserve">均要求身体健康，初中及以上文化，无犯罪记录。（</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提供身份证、学历证明、健康证明和无犯罪记录承诺）</w:t>
      </w:r>
      <w:r/>
    </w:p>
    <w:p>
      <w:pPr>
        <w:ind w:firstLine="470"/>
        <w:spacing w:line="360" w:lineRule="auto"/>
        <w:rPr>
          <w:rFonts w:hint="default" w:ascii="宋体" w:hAnsi="宋体" w:cs="宋体"/>
          <w:bCs/>
          <w:color w:val="000000" w:themeColor="text1"/>
          <w:sz w:val="24"/>
          <w:highlight w:val="none"/>
          <w:lang w:val="en-US" w:eastAsia="zh-CN"/>
          <w14:textFill>
            <w14:solidFill>
              <w14:schemeClr w14:val="tx1"/>
            </w14:solidFill>
          </w14:textFill>
        </w:rPr>
      </w:pPr>
      <w:r>
        <w:rPr>
          <w:rFonts w:hint="default" w:ascii="宋体" w:hAnsi="宋体" w:cs="宋体"/>
          <w:bCs/>
          <w:color w:val="000000" w:themeColor="text1"/>
          <w:sz w:val="24"/>
          <w:highlight w:val="none"/>
          <w:lang w:val="en-US" w:eastAsia="zh-CN"/>
          <w14:textFill>
            <w14:solidFill>
              <w14:schemeClr w14:val="tx1"/>
            </w14:solidFill>
          </w14:textFill>
        </w:rPr>
      </w:r>
      <w:r/>
    </w:p>
    <w:p>
      <w:pPr>
        <w:ind w:firstLine="470"/>
        <w:spacing w:line="360" w:lineRule="auto"/>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特此声明。</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投标人对上述声明的真实性负责。如有虚假，将依法承担相应责任。</w:t>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投标人：（盖电子签章）</w:t>
      </w:r>
      <w:r/>
    </w:p>
    <w:p>
      <w:pPr>
        <w:ind w:left="1680"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4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投标人相关承诺及投标人书面声明</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项目编号：</w:t>
      </w:r>
      <w:r>
        <w:rPr>
          <w:rFonts w:hint="eastAsia" w:ascii="宋体" w:hAnsi="宋体" w:cs="宋体"/>
          <w:bCs/>
          <w:color w:val="000000" w:themeColor="text1"/>
          <w:sz w:val="24"/>
          <w:highlight w:val="none"/>
          <w:lang w:eastAsia="zh-CN"/>
          <w14:textFill>
            <w14:solidFill>
              <w14:schemeClr w14:val="tx1"/>
            </w14:solidFill>
          </w14:textFill>
        </w:rPr>
        <w:t xml:space="preserve">JSZC-320324-JSKJ-G2026-0037</w:t>
      </w:r>
      <w:r/>
    </w:p>
    <w:p>
      <w:pPr>
        <w:ind w:firstLine="47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项目名称：</w:t>
      </w:r>
      <w:r>
        <w:rPr>
          <w:rFonts w:hint="eastAsia" w:ascii="宋体" w:hAnsi="宋体" w:cs="宋体"/>
          <w:bCs/>
          <w:color w:val="000000" w:themeColor="text1"/>
          <w:sz w:val="24"/>
          <w:highlight w:val="none"/>
          <w:lang w:eastAsia="zh-CN"/>
          <w14:textFill>
            <w14:solidFill>
              <w14:schemeClr w14:val="tx1"/>
            </w14:solidFill>
          </w14:textFill>
        </w:rPr>
        <w:t xml:space="preserve">睢宁县人民医院临床服务中心服务外包项目</w:t>
      </w:r>
      <w:r/>
    </w:p>
    <w:p>
      <w:pPr>
        <w:ind w:firstLine="47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我单位承诺：</w:t>
      </w:r>
      <w:r/>
    </w:p>
    <w:p>
      <w:pPr>
        <w:ind w:firstLine="47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lang w:eastAsia="zh-CN"/>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6"/>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47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r>
      <w:r/>
    </w:p>
    <w:p>
      <w:pPr>
        <w:ind w:firstLine="47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我单位无</w:t>
      </w:r>
      <w:r>
        <w:rPr>
          <w:rFonts w:hint="eastAsia" w:ascii="宋体" w:hAnsi="宋体" w:eastAsia="宋体" w:cs="宋体"/>
          <w:bCs/>
          <w:color w:val="000000" w:themeColor="text1"/>
          <w:sz w:val="24"/>
          <w:highlight w:val="none"/>
          <w:lang w:eastAsia="zh-CN"/>
          <w14:textFill>
            <w14:solidFill>
              <w14:schemeClr w14:val="tx1"/>
            </w14:solidFill>
          </w14:textFill>
        </w:rPr>
        <w:t xml:space="preserve">联合体参与采购活动。</w:t>
      </w:r>
      <w:r/>
    </w:p>
    <w:p>
      <w:pPr>
        <w:ind w:firstLine="47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我单位对上述承诺负责，并依法承担相应责任。</w:t>
      </w:r>
      <w:r/>
    </w:p>
    <w:p>
      <w:pPr>
        <w:pStyle w:val="8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left"/>
        <w:spacing w:line="30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投标人：（电子签章）</w:t>
      </w:r>
      <w:r/>
    </w:p>
    <w:p>
      <w:pPr>
        <w:ind w:firstLine="31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865"/>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65"/>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ind w:firstLine="480"/>
        <w:jc w:val="center"/>
        <w:spacing w:line="360" w:lineRule="auto"/>
        <w:rPr>
          <w:rFonts w:ascii="宋体" w:hAnsi="宋体" w:eastAsia="宋体" w:cs="宋体"/>
          <w:color w:val="000000" w:themeColor="text1"/>
          <w:sz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招标文件要求或投标人认为需要提供的其他资料（如有）</w:t>
      </w:r>
      <w:r/>
    </w:p>
    <w:p>
      <w:pPr>
        <w:pStyle w:val="865"/>
        <w:ind w:left="0" w:firstLine="0"/>
        <w:jc w:val="center"/>
        <w:rPr>
          <w:rFonts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格式自拟）</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、预付款保函支付条款模板</w:t>
      </w:r>
      <w:r/>
    </w:p>
    <w:p>
      <w:pPr>
        <w:ind w:firstLine="480"/>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符合条件一：提交预付款保函的</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（1）合同签订且乙方向甲方出具预付款保函后个工作日内，甲方应支付合同价款的百分之（%），小写￥大写：人民币。</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（2）验收合格后个工作日内，甲方应支付合同价款的百分之（%），小写￥大写：人民币。</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符合条件二：不提交预付款保函的</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（1）合同签订后个工作日内，甲方应支付合同价款的百分之（%），小写￥大写：人民币。</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（2）验收合格后个工作日内，甲方应支付合同价款的百分之（%），小写￥大写：人民币。</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-----------------（以下无正文）-----------------</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方正仿宋_GBK">
    <w:panose1 w:val="020B0503020202020204"/>
  </w:font>
  <w:font w:name="Cambria">
    <w:panose1 w:val="02040503050406030204"/>
  </w:font>
  <w:font w:name="Calibri Light">
    <w:panose1 w:val="020F0302020204030204"/>
  </w:font>
  <w:font w:name="Symbol">
    <w:panose1 w:val="05050102010706020507"/>
  </w:font>
  <w:font w:name="新宋体">
    <w:panose1 w:val="02010609030101010101"/>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sz w:val="21"/>
        <w:szCs w:val="21"/>
      </w:rPr>
    </w:pPr>
    <w:r>
      <w:rPr>
        <w:rFonts w:hint="eastAsia"/>
        <w:sz w:val="21"/>
        <w:szCs w:val="21"/>
      </w:rPr>
      <mc:AlternateContent>
        <mc:Choice Requires="wpg">
          <w:drawing>
            <wp:inline xmlns:wp="http://schemas.openxmlformats.org/drawingml/2006/wordprocessingDrawing" distT="0" distB="0" distL="0" distR="0">
              <wp:extent cx="280670"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288"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w:t>
    </w:r>
    <w:r>
      <w:rPr>
        <w:rFonts w:hint="eastAsia"/>
        <w:sz w:val="21"/>
        <w:szCs w:val="21"/>
        <w:lang w:val="en-US" w:eastAsia="zh-CN"/>
      </w:rPr>
      <w:t xml:space="preserve">         </w:t>
    </w:r>
    <w:r>
      <w:rPr>
        <w:rFonts w:hint="eastAsia" w:ascii="宋体" w:hAnsi="宋体" w:cs="宋体"/>
        <w:sz w:val="21"/>
        <w:szCs w:val="21"/>
        <w:lang w:eastAsia="zh-CN"/>
      </w:rPr>
      <w:t xml:space="preserve">睢宁县人民医院临床服务中心服务外包项目</w:t>
    </w:r>
    <w:r>
      <w:rPr>
        <w:rFonts w:hint="eastAsia" w:ascii="宋体" w:hAnsi="宋体" w:cs="宋体"/>
        <w:sz w:val="21"/>
        <w:szCs w:val="21"/>
        <w:lang w:val="en-US" w:eastAsia="zh-CN"/>
      </w:rPr>
      <w:t xml:space="preserve">           </w:t>
    </w:r>
    <w:r>
      <w:rPr>
        <w:rFonts w:hint="eastAsia"/>
        <w:sz w:val="21"/>
        <w:szCs w:val="21"/>
      </w:rPr>
      <w:t xml:space="preserve">招标文件</w:t>
    </w:r>
    <w:r/>
  </w:p>
  <w:p>
    <w:pPr>
      <w:pStyle w:val="8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88"/>
    <w:link w:val="118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1"/>
    <w:basedOn w:val="776"/>
    <w:next w:val="776"/>
    <w:uiPriority w:val="39"/>
    <w:unhideWhenUsed/>
    <w:qFormat/>
    <w:pPr>
      <w:ind w:left="0" w:right="0" w:firstLine="0"/>
      <w:spacing w:after="57"/>
    </w:pPr>
  </w:style>
  <w:style w:type="paragraph" w:styleId="789">
    <w:name w:val="toc 7"/>
    <w:basedOn w:val="776"/>
    <w:next w:val="776"/>
    <w:uiPriority w:val="39"/>
    <w:unhideWhenUsed/>
    <w:qFormat/>
    <w:pPr>
      <w:ind w:left="1701" w:right="0" w:firstLine="0"/>
      <w:spacing w:after="57"/>
    </w:pPr>
  </w:style>
  <w:style w:type="paragraph" w:styleId="790">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6"/>
    <w:uiPriority w:val="99"/>
    <w:semiHidden/>
    <w:unhideWhenUsed/>
    <w:qFormat/>
    <w:pPr>
      <w:jc w:val="left"/>
    </w:pPr>
  </w:style>
  <w:style w:type="paragraph" w:styleId="792">
    <w:name w:val="Body Text"/>
    <w:basedOn w:val="776"/>
    <w:next w:val="776"/>
    <w:uiPriority w:val="99"/>
    <w:semiHidden/>
    <w:unhideWhenUsed/>
    <w:qFormat/>
    <w:pPr>
      <w:spacing w:after="120"/>
    </w:pPr>
  </w:style>
  <w:style w:type="paragraph" w:styleId="793">
    <w:name w:val="Body Text Indent"/>
    <w:basedOn w:val="776"/>
    <w:next w:val="794"/>
    <w:uiPriority w:val="99"/>
    <w:unhideWhenUsed/>
    <w:qFormat/>
    <w:pPr>
      <w:ind w:firstLine="425"/>
      <w:spacing w:line="360" w:lineRule="auto"/>
    </w:pPr>
  </w:style>
  <w:style w:type="paragraph" w:styleId="794">
    <w:name w:val="envelope return"/>
    <w:basedOn w:val="776"/>
    <w:uiPriority w:val="99"/>
    <w:unhideWhenUsed/>
    <w:qFormat/>
    <w:rPr>
      <w:rFonts w:ascii="Arial" w:hAnsi="Arial"/>
    </w:rPr>
  </w:style>
  <w:style w:type="paragraph" w:styleId="795">
    <w:name w:val="Block Text"/>
    <w:uiPriority w:val="0"/>
    <w:qFormat/>
    <w:pPr>
      <w:ind w:left="256" w:right="6" w:firstLine="624"/>
      <w:jc w:val="both"/>
      <w:widowControl w:val="off"/>
    </w:pPr>
    <w:rPr>
      <w:rFonts w:hint="default" w:ascii="Times New Roman" w:hAnsi="Times New Roman" w:eastAsia="仿宋_GB2312" w:cs="Times New Roman"/>
      <w:sz w:val="28"/>
      <w:szCs w:val="20"/>
      <w:lang w:val="en-US" w:eastAsia="zh-CN" w:bidi="ar-SA"/>
    </w:rPr>
  </w:style>
  <w:style w:type="paragraph" w:styleId="796">
    <w:name w:val="toc 5"/>
    <w:basedOn w:val="776"/>
    <w:next w:val="776"/>
    <w:uiPriority w:val="39"/>
    <w:unhideWhenUsed/>
    <w:qFormat/>
    <w:pPr>
      <w:ind w:left="1134" w:right="0" w:firstLine="0"/>
      <w:spacing w:after="57"/>
    </w:pPr>
  </w:style>
  <w:style w:type="paragraph" w:styleId="797">
    <w:name w:val="toc 3"/>
    <w:basedOn w:val="776"/>
    <w:next w:val="776"/>
    <w:uiPriority w:val="39"/>
    <w:unhideWhenUsed/>
    <w:qFormat/>
    <w:pPr>
      <w:ind w:left="567" w:right="0" w:firstLine="0"/>
      <w:spacing w:after="57"/>
    </w:pPr>
  </w:style>
  <w:style w:type="paragraph" w:styleId="798">
    <w:name w:val="toc 8"/>
    <w:basedOn w:val="776"/>
    <w:next w:val="776"/>
    <w:uiPriority w:val="39"/>
    <w:unhideWhenUsed/>
    <w:qFormat/>
    <w:pPr>
      <w:ind w:left="1984" w:right="0" w:firstLine="0"/>
      <w:spacing w:after="57"/>
    </w:pPr>
  </w:style>
  <w:style w:type="paragraph" w:styleId="799">
    <w:name w:val="endnote text"/>
    <w:basedOn w:val="776"/>
    <w:uiPriority w:val="99"/>
    <w:semiHidden/>
    <w:unhideWhenUsed/>
    <w:qFormat/>
    <w:pPr>
      <w:spacing w:after="0" w:line="240" w:lineRule="auto"/>
    </w:pPr>
    <w:rPr>
      <w:sz w:val="20"/>
    </w:rPr>
  </w:style>
  <w:style w:type="paragraph" w:styleId="800">
    <w:name w:val="Balloon Text"/>
    <w:basedOn w:val="776"/>
    <w:uiPriority w:val="99"/>
    <w:qFormat/>
    <w:rPr>
      <w:rFonts w:asciiTheme="minorHAnsi" w:hAnsiTheme="minorHAnsi" w:eastAsiaTheme="minorEastAsia" w:cstheme="minorBidi"/>
      <w:sz w:val="18"/>
      <w:szCs w:val="18"/>
    </w:rPr>
  </w:style>
  <w:style w:type="paragraph" w:styleId="801">
    <w:name w:val="Footer"/>
    <w:basedOn w:val="776"/>
    <w:uiPriority w:val="99"/>
    <w:unhideWhenUsed/>
    <w:qFormat/>
    <w:pPr>
      <w:spacing w:after="0" w:line="240" w:lineRule="auto"/>
      <w:tabs>
        <w:tab w:val="center" w:pos="7143" w:leader="none"/>
        <w:tab w:val="right" w:pos="14287" w:leader="none"/>
      </w:tabs>
    </w:pPr>
  </w:style>
  <w:style w:type="paragraph" w:styleId="802">
    <w:name w:val="Header"/>
    <w:basedOn w:val="776"/>
    <w:uiPriority w:val="99"/>
    <w:unhideWhenUsed/>
    <w:qFormat/>
    <w:pPr>
      <w:spacing w:after="0" w:line="240" w:lineRule="auto"/>
      <w:tabs>
        <w:tab w:val="center" w:pos="7143" w:leader="none"/>
        <w:tab w:val="right" w:pos="14287" w:leader="none"/>
      </w:tabs>
    </w:pPr>
  </w:style>
  <w:style w:type="paragraph" w:styleId="803">
    <w:name w:val="toc 4"/>
    <w:basedOn w:val="776"/>
    <w:next w:val="776"/>
    <w:uiPriority w:val="39"/>
    <w:unhideWhenUsed/>
    <w:qFormat/>
    <w:pPr>
      <w:ind w:left="850" w:right="0" w:firstLine="0"/>
      <w:spacing w:after="57"/>
    </w:pPr>
  </w:style>
  <w:style w:type="paragraph" w:styleId="804">
    <w:name w:val="Subtitle"/>
    <w:basedOn w:val="776"/>
    <w:next w:val="776"/>
    <w:uiPriority w:val="11"/>
    <w:qFormat/>
    <w:pPr>
      <w:spacing w:before="200" w:after="200"/>
    </w:pPr>
    <w:rPr>
      <w:sz w:val="24"/>
      <w:szCs w:val="24"/>
    </w:rPr>
  </w:style>
  <w:style w:type="paragraph" w:styleId="805">
    <w:name w:val="footnote text"/>
    <w:basedOn w:val="776"/>
    <w:uiPriority w:val="99"/>
    <w:semiHidden/>
    <w:unhideWhenUsed/>
    <w:qFormat/>
    <w:pPr>
      <w:spacing w:after="40" w:line="240" w:lineRule="auto"/>
    </w:pPr>
    <w:rPr>
      <w:sz w:val="18"/>
    </w:rPr>
  </w:style>
  <w:style w:type="paragraph" w:styleId="806">
    <w:name w:val="toc 6"/>
    <w:basedOn w:val="776"/>
    <w:next w:val="776"/>
    <w:uiPriority w:val="39"/>
    <w:unhideWhenUsed/>
    <w:qFormat/>
    <w:pPr>
      <w:ind w:left="1417" w:right="0" w:firstLine="0"/>
      <w:spacing w:after="57"/>
    </w:pPr>
  </w:style>
  <w:style w:type="paragraph" w:styleId="807">
    <w:name w:val="table of figures"/>
    <w:basedOn w:val="776"/>
    <w:next w:val="776"/>
    <w:uiPriority w:val="99"/>
    <w:unhideWhenUsed/>
    <w:qFormat/>
    <w:pPr>
      <w:spacing w:after="0" w:afterAutospacing="0"/>
    </w:pPr>
  </w:style>
  <w:style w:type="paragraph" w:styleId="808">
    <w:name w:val="toc 2"/>
    <w:basedOn w:val="776"/>
    <w:next w:val="776"/>
    <w:uiPriority w:val="39"/>
    <w:unhideWhenUsed/>
    <w:qFormat/>
    <w:pPr>
      <w:ind w:left="283" w:right="0" w:firstLine="0"/>
      <w:spacing w:after="57"/>
    </w:pPr>
  </w:style>
  <w:style w:type="paragraph" w:styleId="809">
    <w:name w:val="toc 9"/>
    <w:basedOn w:val="776"/>
    <w:next w:val="776"/>
    <w:uiPriority w:val="39"/>
    <w:unhideWhenUsed/>
    <w:qFormat/>
    <w:pPr>
      <w:ind w:left="2268" w:right="0" w:firstLine="0"/>
      <w:spacing w:after="57"/>
    </w:pPr>
  </w:style>
  <w:style w:type="paragraph" w:styleId="810">
    <w:name w:val="Normal (Web)"/>
    <w:basedOn w:val="776"/>
    <w:uiPriority w:val="0"/>
    <w:qFormat/>
    <w:pPr>
      <w:jc w:val="left"/>
      <w:spacing w:beforeAutospacing="1" w:afterAutospacing="1"/>
      <w:widowControl w:val="off"/>
    </w:pPr>
    <w:rPr>
      <w:rFonts w:hint="default" w:ascii="Times New Roman" w:hAnsi="Times New Roman" w:eastAsia="宋体" w:cs="Times New Roman"/>
      <w:sz w:val="24"/>
      <w:szCs w:val="21"/>
      <w:lang w:val="en-US" w:eastAsia="zh-CN" w:bidi="ar-SA"/>
    </w:rPr>
  </w:style>
  <w:style w:type="paragraph" w:styleId="811">
    <w:name w:val="Title"/>
    <w:basedOn w:val="776"/>
    <w:next w:val="776"/>
    <w:uiPriority w:val="10"/>
    <w:qFormat/>
    <w:pPr>
      <w:contextualSpacing/>
      <w:spacing w:before="300" w:after="200"/>
    </w:pPr>
    <w:rPr>
      <w:sz w:val="48"/>
      <w:szCs w:val="48"/>
    </w:rPr>
  </w:style>
  <w:style w:type="paragraph" w:styleId="812">
    <w:name w:val="Body Text First Indent 2"/>
    <w:basedOn w:val="793"/>
    <w:uiPriority w:val="0"/>
    <w:qFormat/>
    <w:pPr>
      <w:ind w:firstLine="420"/>
    </w:pPr>
    <w:rPr>
      <w:rFonts w:ascii="宋体" w:hAnsi="宋体"/>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basedOn w:val="786"/>
    <w:uiPriority w:val="0"/>
    <w:qFormat/>
    <w:rPr>
      <w:b/>
    </w:r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正文首行缩进 21"/>
    <w:basedOn w:val="819"/>
    <w:next w:val="776"/>
    <w:uiPriority w:val="99"/>
    <w:unhideWhenUsed/>
    <w:qFormat/>
    <w:pPr>
      <w:ind w:firstLine="420"/>
    </w:pPr>
  </w:style>
  <w:style w:type="paragraph" w:styleId="819" w:customStyle="1">
    <w:name w:val="正文文本缩进1"/>
    <w:basedOn w:val="820"/>
    <w:next w:val="833"/>
    <w:uiPriority w:val="0"/>
    <w:qFormat/>
    <w:pPr>
      <w:ind w:left="420"/>
      <w:spacing w:after="120"/>
    </w:pPr>
  </w:style>
  <w:style w:type="paragraph" w:styleId="820" w:customStyle="1">
    <w:name w:val="正文1"/>
    <w:basedOn w:val="821"/>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正文12"/>
    <w:next w:val="8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customStyle="1">
    <w:name w:val="脚注文本1"/>
    <w:basedOn w:val="820"/>
    <w:next w:val="823"/>
    <w:uiPriority w:val="0"/>
    <w:qFormat/>
    <w:pPr>
      <w:jc w:val="left"/>
    </w:pPr>
    <w:rPr>
      <w:rFonts w:ascii="宋体" w:eastAsia="Times New Roman"/>
      <w:sz w:val="18"/>
      <w:szCs w:val="18"/>
    </w:rPr>
  </w:style>
  <w:style w:type="paragraph" w:styleId="823" w:customStyle="1">
    <w:name w:val="索引 51"/>
    <w:basedOn w:val="820"/>
    <w:next w:val="820"/>
    <w:uiPriority w:val="0"/>
    <w:qFormat/>
    <w:pPr>
      <w:ind w:left="798"/>
      <w:jc w:val="left"/>
    </w:pPr>
    <w:rPr>
      <w:rFonts w:ascii="Calibri" w:hAnsi="Calibri"/>
    </w:rPr>
  </w:style>
  <w:style w:type="paragraph" w:styleId="824" w:customStyle="1">
    <w:name w:val="目录 11"/>
    <w:basedOn w:val="825"/>
    <w:next w:val="821"/>
    <w:uiPriority w:val="0"/>
    <w:qFormat/>
  </w:style>
  <w:style w:type="paragraph" w:styleId="825" w:customStyle="1">
    <w:name w:val="正文112"/>
    <w:next w:val="8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正文首行缩进1"/>
    <w:basedOn w:val="827"/>
    <w:next w:val="829"/>
    <w:uiPriority w:val="0"/>
    <w:qFormat/>
    <w:pPr>
      <w:ind w:firstLine="420"/>
    </w:pPr>
  </w:style>
  <w:style w:type="paragraph" w:styleId="827" w:customStyle="1">
    <w:name w:val="正文文本11"/>
    <w:basedOn w:val="821"/>
    <w:next w:val="828"/>
    <w:uiPriority w:val="0"/>
    <w:qFormat/>
    <w:pPr>
      <w:spacing w:after="120"/>
    </w:pPr>
  </w:style>
  <w:style w:type="paragraph" w:styleId="828" w:customStyle="1">
    <w:name w:val="正文111"/>
    <w:next w:val="819"/>
    <w:link w:val="901"/>
    <w:uiPriority w:val="0"/>
    <w:qFormat/>
    <w:pPr>
      <w:jc w:val="both"/>
      <w:widowControl w:val="off"/>
    </w:pPr>
    <w:rPr>
      <w:rFonts w:hint="default" w:ascii="Calibri" w:hAnsi="Calibri" w:eastAsia="宋体" w:cs="Calibri"/>
      <w:color w:val="000000"/>
      <w:sz w:val="22"/>
      <w:szCs w:val="22"/>
      <w:lang w:val="en-US" w:eastAsia="zh-CN" w:bidi="ar-SA"/>
    </w:rPr>
  </w:style>
  <w:style w:type="paragraph" w:styleId="829" w:customStyle="1">
    <w:name w:val="正文首行缩进 211"/>
    <w:basedOn w:val="830"/>
    <w:next w:val="776"/>
    <w:uiPriority w:val="99"/>
    <w:qFormat/>
    <w:pPr>
      <w:ind w:left="0" w:firstLine="420"/>
      <w:spacing w:after="0" w:line="360" w:lineRule="auto"/>
    </w:pPr>
    <w:rPr>
      <w:rFonts w:ascii="宋体" w:hAnsi="宋体"/>
    </w:rPr>
  </w:style>
  <w:style w:type="paragraph" w:styleId="830" w:customStyle="1">
    <w:name w:val="正文文本缩进11"/>
    <w:basedOn w:val="831"/>
    <w:next w:val="833"/>
    <w:uiPriority w:val="0"/>
    <w:qFormat/>
    <w:pPr>
      <w:ind w:left="420"/>
      <w:spacing w:after="120"/>
    </w:pPr>
  </w:style>
  <w:style w:type="paragraph" w:styleId="831" w:customStyle="1">
    <w:name w:val="正文11"/>
    <w:next w:val="832"/>
    <w:uiPriority w:val="0"/>
    <w:qFormat/>
    <w:pPr>
      <w:jc w:val="both"/>
    </w:pPr>
    <w:rPr>
      <w:rFonts w:hint="default" w:ascii="Times New Roman" w:hAnsi="Times New Roman" w:eastAsia="宋体" w:cs="Times New Roman"/>
      <w:lang w:val="en-US" w:eastAsia="zh-CN" w:bidi="ar-SA"/>
    </w:rPr>
  </w:style>
  <w:style w:type="paragraph" w:styleId="832" w:customStyle="1">
    <w:name w:val="无间隔11"/>
    <w:uiPriority w:val="0"/>
    <w:qFormat/>
    <w:rPr>
      <w:rFonts w:hint="default" w:ascii="Times New Roman" w:hAnsi="Times New Roman" w:eastAsia="宋体" w:cs="Times New Roman"/>
      <w:sz w:val="22"/>
      <w:szCs w:val="22"/>
      <w:lang w:val="en-US" w:eastAsia="en-US" w:bidi="ar-SA"/>
    </w:rPr>
  </w:style>
  <w:style w:type="paragraph" w:styleId="833" w:customStyle="1">
    <w:name w:val="寄信人地址1"/>
    <w:basedOn w:val="831"/>
    <w:uiPriority w:val="0"/>
    <w:qFormat/>
    <w:rPr>
      <w:rFonts w:ascii="Arial" w:hAnsi="Arial"/>
    </w:rPr>
  </w:style>
  <w:style w:type="paragraph" w:styleId="834" w:customStyle="1">
    <w:name w:val="文本块1"/>
    <w:basedOn w:val="828"/>
    <w:uiPriority w:val="0"/>
    <w:qFormat/>
    <w:pPr>
      <w:ind w:left="256" w:right="6" w:firstLine="624"/>
    </w:pPr>
    <w:rPr>
      <w:rFonts w:eastAsia="仿宋_GB2312"/>
      <w:sz w:val="28"/>
    </w:rPr>
  </w:style>
  <w:style w:type="paragraph" w:styleId="835" w:customStyle="1">
    <w:name w:val="标题 21"/>
    <w:basedOn w:val="828"/>
    <w:next w:val="821"/>
    <w:uiPriority w:val="9"/>
    <w:qFormat/>
    <w:pPr>
      <w:keepLines/>
      <w:keepNext/>
      <w:spacing w:before="360" w:after="200"/>
      <w:outlineLvl w:val="1"/>
    </w:pPr>
    <w:rPr>
      <w:rFonts w:ascii="Arial" w:hAnsi="Arial" w:eastAsia="Arial"/>
      <w:sz w:val="34"/>
      <w:szCs w:val="20"/>
    </w:rPr>
  </w:style>
  <w:style w:type="paragraph" w:styleId="836" w:customStyle="1">
    <w:name w:val="标题 41"/>
    <w:basedOn w:val="831"/>
    <w:next w:val="831"/>
    <w:uiPriority w:val="0"/>
    <w:qFormat/>
    <w:pPr>
      <w:keepLines/>
      <w:keepNext/>
      <w:spacing w:line="360" w:lineRule="auto"/>
      <w:outlineLvl w:val="3"/>
    </w:pPr>
    <w:rPr>
      <w:rFonts w:ascii="Arial" w:hAnsi="Arial"/>
      <w:b/>
      <w:bCs/>
      <w:sz w:val="21"/>
      <w:szCs w:val="28"/>
    </w:rPr>
  </w:style>
  <w:style w:type="paragraph" w:styleId="837"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838" w:customStyle="1">
    <w:name w:val="标题 112"/>
    <w:basedOn w:val="776"/>
    <w:next w:val="776"/>
    <w:link w:val="849"/>
    <w:uiPriority w:val="9"/>
    <w:qFormat/>
    <w:pPr>
      <w:keepLines/>
      <w:keepNext/>
      <w:spacing w:before="480" w:after="200"/>
      <w:outlineLvl w:val="0"/>
    </w:pPr>
    <w:rPr>
      <w:rFonts w:ascii="Arial" w:hAnsi="Arial" w:eastAsia="Arial" w:cs="Arial"/>
      <w:sz w:val="40"/>
      <w:szCs w:val="40"/>
    </w:rPr>
  </w:style>
  <w:style w:type="paragraph" w:styleId="839" w:customStyle="1">
    <w:name w:val="标题 2111"/>
    <w:basedOn w:val="776"/>
    <w:next w:val="776"/>
    <w:link w:val="850"/>
    <w:uiPriority w:val="9"/>
    <w:unhideWhenUsed/>
    <w:qFormat/>
    <w:pPr>
      <w:keepLines/>
      <w:keepNext/>
      <w:spacing w:before="360" w:after="200"/>
      <w:outlineLvl w:val="1"/>
    </w:pPr>
    <w:rPr>
      <w:rFonts w:ascii="Arial" w:hAnsi="Arial" w:eastAsia="Arial" w:cs="Arial"/>
      <w:sz w:val="34"/>
    </w:rPr>
  </w:style>
  <w:style w:type="paragraph" w:styleId="840" w:customStyle="1">
    <w:name w:val="标题 312"/>
    <w:basedOn w:val="776"/>
    <w:next w:val="776"/>
    <w:link w:val="851"/>
    <w:uiPriority w:val="9"/>
    <w:unhideWhenUsed/>
    <w:qFormat/>
    <w:pPr>
      <w:keepLines/>
      <w:keepNext/>
      <w:spacing w:before="320" w:after="200"/>
      <w:outlineLvl w:val="2"/>
    </w:pPr>
    <w:rPr>
      <w:rFonts w:ascii="Arial" w:hAnsi="Arial" w:eastAsia="Arial" w:cs="Arial"/>
      <w:sz w:val="30"/>
      <w:szCs w:val="30"/>
    </w:rPr>
  </w:style>
  <w:style w:type="paragraph" w:styleId="841" w:customStyle="1">
    <w:name w:val="标题 412"/>
    <w:basedOn w:val="776"/>
    <w:next w:val="776"/>
    <w:link w:val="852"/>
    <w:uiPriority w:val="9"/>
    <w:unhideWhenUsed/>
    <w:qFormat/>
    <w:pPr>
      <w:keepLines/>
      <w:keepNext/>
      <w:spacing w:before="320" w:after="200"/>
      <w:outlineLvl w:val="3"/>
    </w:pPr>
    <w:rPr>
      <w:rFonts w:ascii="Arial" w:hAnsi="Arial" w:eastAsia="Arial" w:cs="Arial"/>
      <w:b/>
      <w:bCs/>
      <w:sz w:val="26"/>
      <w:szCs w:val="26"/>
    </w:rPr>
  </w:style>
  <w:style w:type="paragraph" w:styleId="842" w:customStyle="1">
    <w:name w:val="标题 511"/>
    <w:basedOn w:val="776"/>
    <w:next w:val="776"/>
    <w:link w:val="853"/>
    <w:uiPriority w:val="9"/>
    <w:unhideWhenUsed/>
    <w:qFormat/>
    <w:pPr>
      <w:keepLines/>
      <w:keepNext/>
      <w:spacing w:before="320" w:after="200"/>
      <w:outlineLvl w:val="4"/>
    </w:pPr>
    <w:rPr>
      <w:rFonts w:ascii="Arial" w:hAnsi="Arial" w:eastAsia="Arial" w:cs="Arial"/>
      <w:b/>
      <w:bCs/>
      <w:sz w:val="24"/>
      <w:szCs w:val="24"/>
    </w:rPr>
  </w:style>
  <w:style w:type="paragraph" w:styleId="843" w:customStyle="1">
    <w:name w:val="标题 611"/>
    <w:basedOn w:val="776"/>
    <w:next w:val="776"/>
    <w:link w:val="854"/>
    <w:uiPriority w:val="9"/>
    <w:unhideWhenUsed/>
    <w:qFormat/>
    <w:pPr>
      <w:keepLines/>
      <w:keepNext/>
      <w:spacing w:before="320" w:after="200"/>
      <w:outlineLvl w:val="5"/>
    </w:pPr>
    <w:rPr>
      <w:rFonts w:ascii="Arial" w:hAnsi="Arial" w:eastAsia="Arial" w:cs="Arial"/>
      <w:b/>
      <w:bCs/>
      <w:sz w:val="22"/>
      <w:szCs w:val="22"/>
    </w:rPr>
  </w:style>
  <w:style w:type="paragraph" w:styleId="844" w:customStyle="1">
    <w:name w:val="标题 711"/>
    <w:basedOn w:val="776"/>
    <w:next w:val="776"/>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845" w:customStyle="1">
    <w:name w:val="标题 811"/>
    <w:basedOn w:val="776"/>
    <w:next w:val="776"/>
    <w:link w:val="856"/>
    <w:uiPriority w:val="9"/>
    <w:unhideWhenUsed/>
    <w:qFormat/>
    <w:pPr>
      <w:keepLines/>
      <w:keepNext/>
      <w:spacing w:before="320" w:after="200"/>
      <w:outlineLvl w:val="7"/>
    </w:pPr>
    <w:rPr>
      <w:rFonts w:ascii="Arial" w:hAnsi="Arial" w:eastAsia="Arial" w:cs="Arial"/>
      <w:i/>
      <w:iCs/>
      <w:sz w:val="22"/>
      <w:szCs w:val="22"/>
    </w:rPr>
  </w:style>
  <w:style w:type="paragraph" w:styleId="846" w:customStyle="1">
    <w:name w:val="标题 911"/>
    <w:basedOn w:val="776"/>
    <w:next w:val="776"/>
    <w:link w:val="857"/>
    <w:uiPriority w:val="9"/>
    <w:unhideWhenUsed/>
    <w:qFormat/>
    <w:pPr>
      <w:keepLines/>
      <w:keepNext/>
      <w:spacing w:before="320" w:after="200"/>
      <w:outlineLvl w:val="8"/>
    </w:pPr>
    <w:rPr>
      <w:rFonts w:ascii="Arial" w:hAnsi="Arial" w:eastAsia="Arial" w:cs="Arial"/>
      <w:i/>
      <w:iCs/>
    </w:rPr>
  </w:style>
  <w:style w:type="character" w:styleId="847" w:customStyle="1">
    <w:name w:val="默认段落字体12"/>
    <w:link w:val="776"/>
    <w:uiPriority w:val="1"/>
    <w:unhideWhenUsed/>
    <w:qFormat/>
  </w:style>
  <w:style w:type="table" w:styleId="848" w:customStyle="1">
    <w:name w:val="普通表格12"/>
    <w:uiPriority w:val="99"/>
    <w:unhideWhenUsed/>
    <w:qFormat/>
    <w:tblPr/>
  </w:style>
  <w:style w:type="character" w:styleId="849" w:customStyle="1">
    <w:name w:val="标题 1 字符"/>
    <w:link w:val="838"/>
    <w:uiPriority w:val="9"/>
    <w:qFormat/>
    <w:rPr>
      <w:rFonts w:ascii="Arial" w:hAnsi="Arial" w:eastAsia="Arial" w:cs="Arial"/>
      <w:sz w:val="40"/>
      <w:szCs w:val="40"/>
    </w:rPr>
  </w:style>
  <w:style w:type="character" w:styleId="850" w:customStyle="1">
    <w:name w:val="标题 2 字符"/>
    <w:link w:val="839"/>
    <w:uiPriority w:val="9"/>
    <w:qFormat/>
    <w:rPr>
      <w:rFonts w:ascii="Arial" w:hAnsi="Arial" w:eastAsia="Arial" w:cs="Arial"/>
      <w:sz w:val="34"/>
    </w:rPr>
  </w:style>
  <w:style w:type="character" w:styleId="851" w:customStyle="1">
    <w:name w:val="标题 3 字符"/>
    <w:link w:val="840"/>
    <w:uiPriority w:val="9"/>
    <w:qFormat/>
    <w:rPr>
      <w:rFonts w:ascii="Arial" w:hAnsi="Arial" w:eastAsia="Arial" w:cs="Arial"/>
      <w:sz w:val="30"/>
      <w:szCs w:val="30"/>
    </w:rPr>
  </w:style>
  <w:style w:type="character" w:styleId="852" w:customStyle="1">
    <w:name w:val="标题 4 字符"/>
    <w:link w:val="841"/>
    <w:uiPriority w:val="9"/>
    <w:qFormat/>
    <w:rPr>
      <w:rFonts w:ascii="Arial" w:hAnsi="Arial" w:eastAsia="Arial" w:cs="Arial"/>
      <w:b/>
      <w:bCs/>
      <w:sz w:val="26"/>
      <w:szCs w:val="26"/>
    </w:rPr>
  </w:style>
  <w:style w:type="character" w:styleId="853" w:customStyle="1">
    <w:name w:val="标题 5 字符"/>
    <w:link w:val="842"/>
    <w:uiPriority w:val="9"/>
    <w:qFormat/>
    <w:rPr>
      <w:rFonts w:ascii="Arial" w:hAnsi="Arial" w:eastAsia="Arial" w:cs="Arial"/>
      <w:b/>
      <w:bCs/>
      <w:sz w:val="24"/>
      <w:szCs w:val="24"/>
    </w:rPr>
  </w:style>
  <w:style w:type="character" w:styleId="854" w:customStyle="1">
    <w:name w:val="标题 6 字符"/>
    <w:link w:val="843"/>
    <w:uiPriority w:val="9"/>
    <w:qFormat/>
    <w:rPr>
      <w:rFonts w:ascii="Arial" w:hAnsi="Arial" w:eastAsia="Arial" w:cs="Arial"/>
      <w:b/>
      <w:bCs/>
      <w:sz w:val="22"/>
      <w:szCs w:val="22"/>
    </w:rPr>
  </w:style>
  <w:style w:type="character" w:styleId="855" w:customStyle="1">
    <w:name w:val="标题 7 字符"/>
    <w:link w:val="844"/>
    <w:uiPriority w:val="9"/>
    <w:qFormat/>
    <w:rPr>
      <w:rFonts w:ascii="Arial" w:hAnsi="Arial" w:eastAsia="Arial" w:cs="Arial"/>
      <w:b/>
      <w:bCs/>
      <w:i/>
      <w:iCs/>
      <w:sz w:val="22"/>
      <w:szCs w:val="22"/>
    </w:rPr>
  </w:style>
  <w:style w:type="character" w:styleId="856" w:customStyle="1">
    <w:name w:val="标题 8 字符"/>
    <w:link w:val="845"/>
    <w:uiPriority w:val="9"/>
    <w:qFormat/>
    <w:rPr>
      <w:rFonts w:ascii="Arial" w:hAnsi="Arial" w:eastAsia="Arial" w:cs="Arial"/>
      <w:i/>
      <w:iCs/>
      <w:sz w:val="22"/>
      <w:szCs w:val="22"/>
    </w:rPr>
  </w:style>
  <w:style w:type="character" w:styleId="857" w:customStyle="1">
    <w:name w:val="标题 9 字符"/>
    <w:link w:val="846"/>
    <w:uiPriority w:val="9"/>
    <w:qFormat/>
    <w:rPr>
      <w:rFonts w:ascii="Arial" w:hAnsi="Arial" w:eastAsia="Arial" w:cs="Arial"/>
      <w:i/>
      <w:iCs/>
      <w:sz w:val="21"/>
      <w:szCs w:val="21"/>
    </w:rPr>
  </w:style>
  <w:style w:type="paragraph" w:styleId="858" w:customStyle="1">
    <w:name w:val="目录 711"/>
    <w:basedOn w:val="776"/>
    <w:next w:val="776"/>
    <w:uiPriority w:val="39"/>
    <w:unhideWhenUsed/>
    <w:qFormat/>
    <w:pPr>
      <w:ind w:left="1701"/>
      <w:spacing w:after="57"/>
    </w:pPr>
  </w:style>
  <w:style w:type="paragraph" w:styleId="859" w:customStyle="1">
    <w:name w:val="引文目录1"/>
    <w:basedOn w:val="776"/>
    <w:next w:val="776"/>
    <w:uiPriority w:val="0"/>
    <w:qFormat/>
    <w:pPr>
      <w:ind w:left="420"/>
    </w:pPr>
  </w:style>
  <w:style w:type="paragraph" w:styleId="860" w:customStyle="1">
    <w:name w:val="题注11"/>
    <w:basedOn w:val="776"/>
    <w:next w:val="776"/>
    <w:uiPriority w:val="35"/>
    <w:unhideWhenUsed/>
    <w:qFormat/>
    <w:pPr>
      <w:spacing w:line="276" w:lineRule="auto"/>
    </w:pPr>
    <w:rPr>
      <w:b/>
      <w:bCs/>
      <w:color w:val="4f81bd"/>
      <w:sz w:val="18"/>
      <w:szCs w:val="18"/>
    </w:rPr>
  </w:style>
  <w:style w:type="paragraph" w:styleId="861" w:customStyle="1">
    <w:name w:val="批注文字12"/>
    <w:basedOn w:val="776"/>
    <w:uiPriority w:val="99"/>
    <w:unhideWhenUsed/>
    <w:qFormat/>
    <w:pPr>
      <w:jc w:val="left"/>
    </w:pPr>
  </w:style>
  <w:style w:type="paragraph" w:styleId="862" w:customStyle="1">
    <w:name w:val="正文文本112"/>
    <w:basedOn w:val="776"/>
    <w:uiPriority w:val="0"/>
    <w:qFormat/>
    <w:pPr>
      <w:spacing w:after="120"/>
    </w:pPr>
  </w:style>
  <w:style w:type="paragraph" w:styleId="863" w:customStyle="1">
    <w:name w:val="正文文本缩进2"/>
    <w:basedOn w:val="776"/>
    <w:next w:val="864"/>
    <w:uiPriority w:val="99"/>
    <w:unhideWhenUsed/>
    <w:qFormat/>
    <w:pPr>
      <w:ind w:left="420"/>
      <w:spacing w:after="120"/>
    </w:pPr>
  </w:style>
  <w:style w:type="paragraph" w:styleId="864" w:customStyle="1">
    <w:name w:val="寄信人地址2"/>
    <w:basedOn w:val="776"/>
    <w:uiPriority w:val="0"/>
    <w:qFormat/>
    <w:rPr>
      <w:rFonts w:ascii="Arial" w:hAnsi="Arial"/>
    </w:rPr>
  </w:style>
  <w:style w:type="paragraph" w:styleId="865" w:customStyle="1">
    <w:name w:val="文本块1111"/>
    <w:basedOn w:val="776"/>
    <w:uiPriority w:val="0"/>
    <w:qFormat/>
    <w:pPr>
      <w:ind w:left="256" w:right="6" w:firstLine="624"/>
    </w:pPr>
    <w:rPr>
      <w:rFonts w:eastAsia="仿宋_GB2312"/>
      <w:sz w:val="28"/>
      <w:szCs w:val="20"/>
    </w:rPr>
  </w:style>
  <w:style w:type="paragraph" w:styleId="866" w:customStyle="1">
    <w:name w:val="目录 511"/>
    <w:basedOn w:val="776"/>
    <w:next w:val="776"/>
    <w:uiPriority w:val="39"/>
    <w:unhideWhenUsed/>
    <w:qFormat/>
    <w:pPr>
      <w:ind w:left="1134"/>
      <w:spacing w:after="57"/>
    </w:pPr>
  </w:style>
  <w:style w:type="paragraph" w:styleId="867" w:customStyle="1">
    <w:name w:val="目录 311"/>
    <w:basedOn w:val="776"/>
    <w:next w:val="776"/>
    <w:uiPriority w:val="39"/>
    <w:unhideWhenUsed/>
    <w:qFormat/>
    <w:pPr>
      <w:ind w:left="567"/>
      <w:spacing w:after="57"/>
    </w:pPr>
  </w:style>
  <w:style w:type="paragraph" w:styleId="868" w:customStyle="1">
    <w:name w:val="纯文本12"/>
    <w:basedOn w:val="776"/>
    <w:uiPriority w:val="0"/>
    <w:qFormat/>
    <w:rPr>
      <w:rFonts w:ascii="宋体" w:hAnsi="Courier New"/>
    </w:rPr>
  </w:style>
  <w:style w:type="paragraph" w:styleId="869" w:customStyle="1">
    <w:name w:val="目录 811"/>
    <w:basedOn w:val="776"/>
    <w:next w:val="776"/>
    <w:uiPriority w:val="39"/>
    <w:unhideWhenUsed/>
    <w:qFormat/>
    <w:pPr>
      <w:ind w:left="1984"/>
      <w:spacing w:after="57"/>
    </w:pPr>
  </w:style>
  <w:style w:type="paragraph" w:styleId="870" w:customStyle="1">
    <w:name w:val="尾注文本11"/>
    <w:basedOn w:val="776"/>
    <w:link w:val="871"/>
    <w:uiPriority w:val="99"/>
    <w:unhideWhenUsed/>
    <w:qFormat/>
    <w:rPr>
      <w:sz w:val="20"/>
    </w:rPr>
  </w:style>
  <w:style w:type="character" w:styleId="871" w:customStyle="1">
    <w:name w:val="尾注文本 字符"/>
    <w:link w:val="870"/>
    <w:uiPriority w:val="99"/>
    <w:qFormat/>
    <w:rPr>
      <w:sz w:val="20"/>
    </w:rPr>
  </w:style>
  <w:style w:type="paragraph" w:styleId="872" w:customStyle="1">
    <w:name w:val="页脚12"/>
    <w:basedOn w:val="776"/>
    <w:link w:val="873"/>
    <w:uiPriority w:val="99"/>
    <w:unhideWhenUsed/>
    <w:qFormat/>
    <w:pPr>
      <w:tabs>
        <w:tab w:val="center" w:pos="7143" w:leader="none"/>
        <w:tab w:val="right" w:pos="14287" w:leader="none"/>
      </w:tabs>
    </w:pPr>
  </w:style>
  <w:style w:type="character" w:styleId="873" w:customStyle="1">
    <w:name w:val="页脚 字符"/>
    <w:link w:val="872"/>
    <w:uiPriority w:val="99"/>
    <w:qFormat/>
  </w:style>
  <w:style w:type="paragraph" w:styleId="874" w:customStyle="1">
    <w:name w:val="页眉12"/>
    <w:basedOn w:val="776"/>
    <w:link w:val="875"/>
    <w:uiPriority w:val="99"/>
    <w:unhideWhenUsed/>
    <w:qFormat/>
    <w:pPr>
      <w:tabs>
        <w:tab w:val="center" w:pos="7143" w:leader="none"/>
        <w:tab w:val="right" w:pos="14287" w:leader="none"/>
      </w:tabs>
    </w:pPr>
  </w:style>
  <w:style w:type="character" w:styleId="875" w:customStyle="1">
    <w:name w:val="页眉 字符"/>
    <w:link w:val="874"/>
    <w:uiPriority w:val="99"/>
    <w:qFormat/>
  </w:style>
  <w:style w:type="paragraph" w:styleId="876" w:customStyle="1">
    <w:name w:val="目录 112"/>
    <w:basedOn w:val="776"/>
    <w:next w:val="776"/>
    <w:uiPriority w:val="39"/>
    <w:unhideWhenUsed/>
    <w:qFormat/>
    <w:pPr>
      <w:spacing w:after="57"/>
    </w:pPr>
  </w:style>
  <w:style w:type="paragraph" w:styleId="877" w:customStyle="1">
    <w:name w:val="目录 411"/>
    <w:basedOn w:val="776"/>
    <w:next w:val="776"/>
    <w:uiPriority w:val="39"/>
    <w:unhideWhenUsed/>
    <w:qFormat/>
    <w:pPr>
      <w:ind w:left="850"/>
      <w:spacing w:after="57"/>
    </w:pPr>
  </w:style>
  <w:style w:type="paragraph" w:styleId="878" w:customStyle="1">
    <w:name w:val="索引标题1"/>
    <w:basedOn w:val="776"/>
    <w:next w:val="879"/>
    <w:uiPriority w:val="0"/>
    <w:qFormat/>
    <w:pPr>
      <w:tabs>
        <w:tab w:val="left" w:pos="560" w:leader="none"/>
      </w:tabs>
    </w:pPr>
    <w:rPr>
      <w:rFonts w:ascii="Arial" w:hAnsi="Arial" w:cs="Arial"/>
      <w:b/>
      <w:bCs/>
    </w:rPr>
  </w:style>
  <w:style w:type="paragraph" w:styleId="879" w:customStyle="1">
    <w:name w:val="索引 11"/>
    <w:basedOn w:val="776"/>
    <w:next w:val="776"/>
    <w:uiPriority w:val="0"/>
    <w:qFormat/>
    <w:pPr>
      <w:jc w:val="center"/>
      <w:tabs>
        <w:tab w:val="left" w:pos="560" w:leader="none"/>
      </w:tabs>
    </w:pPr>
    <w:rPr>
      <w:rFonts w:ascii="宋体" w:hAnsi="宋体"/>
    </w:rPr>
  </w:style>
  <w:style w:type="paragraph" w:styleId="880" w:customStyle="1">
    <w:name w:val="副标题11"/>
    <w:basedOn w:val="776"/>
    <w:next w:val="776"/>
    <w:link w:val="881"/>
    <w:uiPriority w:val="11"/>
    <w:qFormat/>
    <w:pPr>
      <w:spacing w:before="200" w:after="200"/>
    </w:pPr>
    <w:rPr>
      <w:sz w:val="24"/>
      <w:szCs w:val="24"/>
    </w:rPr>
  </w:style>
  <w:style w:type="character" w:styleId="881" w:customStyle="1">
    <w:name w:val="副标题 字符"/>
    <w:link w:val="880"/>
    <w:uiPriority w:val="11"/>
    <w:qFormat/>
    <w:rPr>
      <w:sz w:val="24"/>
      <w:szCs w:val="24"/>
    </w:rPr>
  </w:style>
  <w:style w:type="paragraph" w:styleId="882" w:customStyle="1">
    <w:name w:val="脚注文本112"/>
    <w:basedOn w:val="776"/>
    <w:link w:val="883"/>
    <w:uiPriority w:val="99"/>
    <w:unhideWhenUsed/>
    <w:qFormat/>
    <w:pPr>
      <w:spacing w:after="40"/>
    </w:pPr>
    <w:rPr>
      <w:sz w:val="18"/>
    </w:rPr>
  </w:style>
  <w:style w:type="character" w:styleId="883" w:customStyle="1">
    <w:name w:val="脚注文本 字符"/>
    <w:link w:val="882"/>
    <w:uiPriority w:val="99"/>
    <w:qFormat/>
    <w:rPr>
      <w:sz w:val="18"/>
    </w:rPr>
  </w:style>
  <w:style w:type="paragraph" w:styleId="884" w:customStyle="1">
    <w:name w:val="目录 611"/>
    <w:basedOn w:val="776"/>
    <w:next w:val="776"/>
    <w:uiPriority w:val="39"/>
    <w:unhideWhenUsed/>
    <w:qFormat/>
    <w:pPr>
      <w:ind w:left="1417"/>
      <w:spacing w:after="57"/>
    </w:pPr>
  </w:style>
  <w:style w:type="paragraph" w:styleId="885" w:customStyle="1">
    <w:name w:val="图表目录11"/>
    <w:basedOn w:val="776"/>
    <w:next w:val="776"/>
    <w:uiPriority w:val="99"/>
    <w:unhideWhenUsed/>
    <w:qFormat/>
  </w:style>
  <w:style w:type="paragraph" w:styleId="886" w:customStyle="1">
    <w:name w:val="目录 211"/>
    <w:basedOn w:val="776"/>
    <w:next w:val="776"/>
    <w:uiPriority w:val="39"/>
    <w:unhideWhenUsed/>
    <w:qFormat/>
    <w:pPr>
      <w:ind w:left="283"/>
      <w:spacing w:after="57"/>
    </w:pPr>
  </w:style>
  <w:style w:type="paragraph" w:styleId="887" w:customStyle="1">
    <w:name w:val="目录 911"/>
    <w:basedOn w:val="776"/>
    <w:next w:val="776"/>
    <w:uiPriority w:val="39"/>
    <w:unhideWhenUsed/>
    <w:qFormat/>
    <w:pPr>
      <w:ind w:left="2268"/>
      <w:spacing w:after="57"/>
    </w:pPr>
  </w:style>
  <w:style w:type="paragraph" w:styleId="888" w:customStyle="1">
    <w:name w:val="普通(网站)11"/>
    <w:basedOn w:val="776"/>
    <w:uiPriority w:val="0"/>
    <w:qFormat/>
    <w:pPr>
      <w:jc w:val="left"/>
      <w:spacing w:beforeAutospacing="1" w:afterAutospacing="1"/>
    </w:pPr>
    <w:rPr>
      <w:sz w:val="24"/>
    </w:rPr>
  </w:style>
  <w:style w:type="paragraph" w:styleId="889" w:customStyle="1">
    <w:name w:val="标题11"/>
    <w:basedOn w:val="776"/>
    <w:next w:val="776"/>
    <w:link w:val="890"/>
    <w:uiPriority w:val="10"/>
    <w:qFormat/>
    <w:pPr>
      <w:contextualSpacing/>
      <w:spacing w:before="300" w:after="200"/>
    </w:pPr>
    <w:rPr>
      <w:sz w:val="48"/>
      <w:szCs w:val="48"/>
    </w:rPr>
  </w:style>
  <w:style w:type="character" w:styleId="890" w:customStyle="1">
    <w:name w:val="标题 字符"/>
    <w:link w:val="889"/>
    <w:uiPriority w:val="10"/>
    <w:qFormat/>
    <w:rPr>
      <w:sz w:val="48"/>
      <w:szCs w:val="48"/>
    </w:rPr>
  </w:style>
  <w:style w:type="paragraph" w:styleId="891" w:customStyle="1">
    <w:name w:val="正文首行缩进11"/>
    <w:basedOn w:val="776"/>
    <w:uiPriority w:val="0"/>
    <w:qFormat/>
    <w:pPr>
      <w:ind w:firstLine="200"/>
      <w:spacing w:line="360" w:lineRule="auto"/>
    </w:pPr>
    <w:rPr>
      <w:rFonts w:ascii="仿宋_GB2312" w:eastAsia="仿宋_GB2312"/>
      <w:sz w:val="30"/>
      <w:szCs w:val="30"/>
    </w:rPr>
  </w:style>
  <w:style w:type="paragraph" w:styleId="892" w:customStyle="1">
    <w:name w:val="正文首行缩进 22"/>
    <w:basedOn w:val="863"/>
    <w:uiPriority w:val="0"/>
    <w:qFormat/>
    <w:pPr>
      <w:ind w:firstLine="420"/>
    </w:pPr>
  </w:style>
  <w:style w:type="table" w:styleId="893" w:customStyle="1">
    <w:name w:val="网格型12"/>
    <w:uiPriority w:val="59"/>
    <w:qFormat/>
    <w:tblPr/>
  </w:style>
  <w:style w:type="character" w:styleId="894" w:customStyle="1">
    <w:name w:val="要点1"/>
    <w:basedOn w:val="847"/>
    <w:link w:val="776"/>
    <w:uiPriority w:val="0"/>
    <w:qFormat/>
    <w:rPr>
      <w:b/>
    </w:rPr>
  </w:style>
  <w:style w:type="character" w:styleId="895" w:customStyle="1">
    <w:name w:val="尾注引用11"/>
    <w:link w:val="776"/>
    <w:uiPriority w:val="99"/>
    <w:unhideWhenUsed/>
    <w:qFormat/>
    <w:rPr>
      <w:vertAlign w:val="superscript"/>
    </w:rPr>
  </w:style>
  <w:style w:type="character" w:styleId="896" w:customStyle="1">
    <w:name w:val="页码11"/>
    <w:link w:val="776"/>
    <w:uiPriority w:val="0"/>
    <w:qFormat/>
  </w:style>
  <w:style w:type="character" w:styleId="897" w:customStyle="1">
    <w:name w:val="强调1"/>
    <w:basedOn w:val="847"/>
    <w:link w:val="776"/>
    <w:uiPriority w:val="20"/>
    <w:qFormat/>
    <w:rPr>
      <w:i/>
    </w:rPr>
  </w:style>
  <w:style w:type="character" w:styleId="898" w:customStyle="1">
    <w:name w:val="超链接12"/>
    <w:basedOn w:val="847"/>
    <w:link w:val="776"/>
    <w:uiPriority w:val="99"/>
    <w:unhideWhenUsed/>
    <w:qFormat/>
    <w:rPr>
      <w:color w:val="0000ff"/>
      <w:u w:val="single"/>
    </w:rPr>
  </w:style>
  <w:style w:type="character" w:styleId="899" w:customStyle="1">
    <w:name w:val="脚注引用11"/>
    <w:link w:val="776"/>
    <w:uiPriority w:val="99"/>
    <w:unhideWhenUsed/>
    <w:qFormat/>
    <w:rPr>
      <w:vertAlign w:val="superscript"/>
    </w:rPr>
  </w:style>
  <w:style w:type="character" w:styleId="900" w:customStyle="1">
    <w:name w:val="NormalCharacter1"/>
    <w:link w:val="776"/>
    <w:uiPriority w:val="0"/>
    <w:qFormat/>
    <w:rPr>
      <w:rFonts w:ascii="Times New Roman" w:hAnsi="Times New Roman" w:eastAsia="宋体" w:cs="Times New Roman"/>
      <w:sz w:val="21"/>
      <w:szCs w:val="21"/>
      <w:lang w:val="en-US" w:eastAsia="zh-CN" w:bidi="ar-SA"/>
    </w:rPr>
  </w:style>
  <w:style w:type="character" w:styleId="901" w:customStyle="1">
    <w:name w:val="font51"/>
    <w:basedOn w:val="902"/>
    <w:link w:val="828"/>
    <w:uiPriority w:val="0"/>
    <w:qFormat/>
    <w:rPr>
      <w:rFonts w:ascii="Calibri" w:hAnsi="Calibri" w:cs="Calibri"/>
      <w:color w:val="000000"/>
      <w:sz w:val="22"/>
      <w:szCs w:val="22"/>
      <w:u w:val="none"/>
    </w:rPr>
  </w:style>
  <w:style w:type="character" w:styleId="902" w:customStyle="1">
    <w:name w:val="默认段落字体11"/>
    <w:link w:val="776"/>
    <w:uiPriority w:val="1"/>
    <w:unhideWhenUsed/>
    <w:qFormat/>
  </w:style>
  <w:style w:type="paragraph" w:styleId="903" w:customStyle="1">
    <w:name w:val="首行缩进"/>
    <w:basedOn w:val="776"/>
    <w:uiPriority w:val="0"/>
    <w:qFormat/>
    <w:pPr>
      <w:ind w:firstLine="420"/>
      <w:spacing w:line="360" w:lineRule="auto"/>
    </w:pPr>
  </w:style>
  <w:style w:type="character" w:styleId="904" w:customStyle="1">
    <w:name w:val="Heading 1 Char"/>
    <w:basedOn w:val="847"/>
    <w:link w:val="776"/>
    <w:uiPriority w:val="9"/>
    <w:qFormat/>
    <w:rPr>
      <w:rFonts w:ascii="Arial" w:hAnsi="Arial" w:eastAsia="Arial" w:cs="Arial"/>
      <w:sz w:val="40"/>
      <w:szCs w:val="40"/>
    </w:rPr>
  </w:style>
  <w:style w:type="character" w:styleId="905" w:customStyle="1">
    <w:name w:val="Heading 2 Char"/>
    <w:basedOn w:val="847"/>
    <w:link w:val="776"/>
    <w:uiPriority w:val="9"/>
    <w:qFormat/>
    <w:rPr>
      <w:rFonts w:ascii="Arial" w:hAnsi="Arial" w:eastAsia="Arial" w:cs="Arial"/>
      <w:sz w:val="34"/>
    </w:rPr>
  </w:style>
  <w:style w:type="character" w:styleId="906" w:customStyle="1">
    <w:name w:val="Heading 3 Char"/>
    <w:basedOn w:val="847"/>
    <w:link w:val="776"/>
    <w:uiPriority w:val="9"/>
    <w:qFormat/>
    <w:rPr>
      <w:rFonts w:ascii="Arial" w:hAnsi="Arial" w:eastAsia="Arial" w:cs="Arial"/>
      <w:sz w:val="30"/>
      <w:szCs w:val="30"/>
    </w:rPr>
  </w:style>
  <w:style w:type="character" w:styleId="907" w:customStyle="1">
    <w:name w:val="Heading 4 Char"/>
    <w:basedOn w:val="847"/>
    <w:link w:val="776"/>
    <w:uiPriority w:val="9"/>
    <w:qFormat/>
    <w:rPr>
      <w:rFonts w:ascii="Arial" w:hAnsi="Arial" w:eastAsia="Arial" w:cs="Arial"/>
      <w:b/>
      <w:bCs/>
      <w:sz w:val="26"/>
      <w:szCs w:val="26"/>
    </w:rPr>
  </w:style>
  <w:style w:type="character" w:styleId="908" w:customStyle="1">
    <w:name w:val="Heading 5 Char"/>
    <w:basedOn w:val="847"/>
    <w:link w:val="776"/>
    <w:uiPriority w:val="9"/>
    <w:qFormat/>
    <w:rPr>
      <w:rFonts w:ascii="Arial" w:hAnsi="Arial" w:eastAsia="Arial" w:cs="Arial"/>
      <w:b/>
      <w:bCs/>
      <w:sz w:val="24"/>
      <w:szCs w:val="24"/>
    </w:rPr>
  </w:style>
  <w:style w:type="character" w:styleId="909" w:customStyle="1">
    <w:name w:val="Heading 6 Char"/>
    <w:basedOn w:val="847"/>
    <w:link w:val="776"/>
    <w:uiPriority w:val="9"/>
    <w:qFormat/>
    <w:rPr>
      <w:rFonts w:ascii="Arial" w:hAnsi="Arial" w:eastAsia="Arial" w:cs="Arial"/>
      <w:b/>
      <w:bCs/>
      <w:sz w:val="22"/>
      <w:szCs w:val="22"/>
    </w:rPr>
  </w:style>
  <w:style w:type="character" w:styleId="910" w:customStyle="1">
    <w:name w:val="Heading 7 Char"/>
    <w:basedOn w:val="847"/>
    <w:link w:val="776"/>
    <w:uiPriority w:val="9"/>
    <w:qFormat/>
    <w:rPr>
      <w:rFonts w:ascii="Arial" w:hAnsi="Arial" w:eastAsia="Arial" w:cs="Arial"/>
      <w:b/>
      <w:bCs/>
      <w:i/>
      <w:iCs/>
      <w:sz w:val="22"/>
      <w:szCs w:val="22"/>
    </w:rPr>
  </w:style>
  <w:style w:type="character" w:styleId="911" w:customStyle="1">
    <w:name w:val="Heading 8 Char"/>
    <w:basedOn w:val="847"/>
    <w:link w:val="776"/>
    <w:uiPriority w:val="9"/>
    <w:qFormat/>
    <w:rPr>
      <w:rFonts w:ascii="Arial" w:hAnsi="Arial" w:eastAsia="Arial" w:cs="Arial"/>
      <w:i/>
      <w:iCs/>
      <w:sz w:val="22"/>
      <w:szCs w:val="22"/>
    </w:rPr>
  </w:style>
  <w:style w:type="character" w:styleId="912" w:customStyle="1">
    <w:name w:val="Heading 9 Char"/>
    <w:basedOn w:val="847"/>
    <w:link w:val="776"/>
    <w:uiPriority w:val="9"/>
    <w:qFormat/>
    <w:rPr>
      <w:rFonts w:ascii="Arial" w:hAnsi="Arial" w:eastAsia="Arial" w:cs="Arial"/>
      <w:i/>
      <w:iCs/>
      <w:sz w:val="21"/>
      <w:szCs w:val="21"/>
    </w:rPr>
  </w:style>
  <w:style w:type="character" w:styleId="913" w:customStyle="1">
    <w:name w:val="Title Char"/>
    <w:basedOn w:val="847"/>
    <w:link w:val="776"/>
    <w:uiPriority w:val="10"/>
    <w:qFormat/>
    <w:rPr>
      <w:sz w:val="48"/>
      <w:szCs w:val="48"/>
    </w:rPr>
  </w:style>
  <w:style w:type="character" w:styleId="914" w:customStyle="1">
    <w:name w:val="Subtitle Char"/>
    <w:basedOn w:val="847"/>
    <w:link w:val="776"/>
    <w:uiPriority w:val="11"/>
    <w:qFormat/>
    <w:rPr>
      <w:sz w:val="24"/>
      <w:szCs w:val="24"/>
    </w:rPr>
  </w:style>
  <w:style w:type="character" w:styleId="915" w:customStyle="1">
    <w:name w:val="Header Char"/>
    <w:basedOn w:val="847"/>
    <w:link w:val="776"/>
    <w:uiPriority w:val="99"/>
    <w:qFormat/>
  </w:style>
  <w:style w:type="character" w:styleId="916" w:customStyle="1">
    <w:name w:val="Caption Char"/>
    <w:link w:val="776"/>
    <w:uiPriority w:val="99"/>
    <w:qFormat/>
  </w:style>
  <w:style w:type="table" w:styleId="917" w:customStyle="1">
    <w:name w:val="Plain Table 1"/>
    <w:basedOn w:val="848"/>
    <w:uiPriority w:val="59"/>
    <w:qFormat/>
    <w:pPr>
      <w:spacing w:after="0" w:line="240" w:lineRule="auto"/>
    </w:pPr>
    <w:tblPr/>
  </w:style>
  <w:style w:type="table" w:styleId="918" w:customStyle="1">
    <w:name w:val="Plain Table 2"/>
    <w:basedOn w:val="848"/>
    <w:uiPriority w:val="59"/>
    <w:qFormat/>
    <w:pPr>
      <w:spacing w:after="0" w:line="240" w:lineRule="auto"/>
    </w:pPr>
    <w:tblPr/>
  </w:style>
  <w:style w:type="table" w:styleId="919" w:customStyle="1">
    <w:name w:val="Plain Table 3"/>
    <w:basedOn w:val="848"/>
    <w:uiPriority w:val="99"/>
    <w:qFormat/>
    <w:pPr>
      <w:spacing w:after="0" w:line="240" w:lineRule="auto"/>
    </w:pPr>
    <w:tblPr/>
  </w:style>
  <w:style w:type="table" w:styleId="920" w:customStyle="1">
    <w:name w:val="Plain Table 4"/>
    <w:basedOn w:val="848"/>
    <w:uiPriority w:val="99"/>
    <w:qFormat/>
    <w:pPr>
      <w:spacing w:after="0" w:line="240" w:lineRule="auto"/>
    </w:pPr>
    <w:tblPr/>
  </w:style>
  <w:style w:type="table" w:styleId="921" w:customStyle="1">
    <w:name w:val="Plain Table 5"/>
    <w:basedOn w:val="848"/>
    <w:uiPriority w:val="99"/>
    <w:qFormat/>
    <w:pPr>
      <w:spacing w:after="0" w:line="240" w:lineRule="auto"/>
    </w:pPr>
    <w:tblPr/>
  </w:style>
  <w:style w:type="table" w:styleId="922" w:customStyle="1">
    <w:name w:val="Grid Table 1 Light"/>
    <w:basedOn w:val="848"/>
    <w:uiPriority w:val="99"/>
    <w:qFormat/>
    <w:pPr>
      <w:spacing w:after="0" w:line="240" w:lineRule="auto"/>
    </w:pPr>
    <w:tblPr/>
  </w:style>
  <w:style w:type="table" w:styleId="923" w:customStyle="1">
    <w:name w:val="Grid Table 2"/>
    <w:basedOn w:val="848"/>
    <w:uiPriority w:val="99"/>
    <w:qFormat/>
    <w:pPr>
      <w:spacing w:after="0" w:line="240" w:lineRule="auto"/>
    </w:pPr>
    <w:tblPr/>
  </w:style>
  <w:style w:type="table" w:styleId="924" w:customStyle="1">
    <w:name w:val="Grid Table 3"/>
    <w:basedOn w:val="848"/>
    <w:uiPriority w:val="99"/>
    <w:qFormat/>
    <w:pPr>
      <w:spacing w:after="0" w:line="240" w:lineRule="auto"/>
    </w:pPr>
    <w:tblPr/>
  </w:style>
  <w:style w:type="table" w:styleId="925" w:customStyle="1">
    <w:name w:val="Grid Table 4"/>
    <w:basedOn w:val="848"/>
    <w:uiPriority w:val="59"/>
    <w:qFormat/>
    <w:pPr>
      <w:spacing w:after="0" w:line="240" w:lineRule="auto"/>
    </w:pPr>
    <w:tblPr/>
  </w:style>
  <w:style w:type="table" w:styleId="926" w:customStyle="1">
    <w:name w:val="Grid Table 5 Dark"/>
    <w:basedOn w:val="848"/>
    <w:uiPriority w:val="99"/>
    <w:qFormat/>
    <w:pPr>
      <w:spacing w:after="0" w:line="240" w:lineRule="auto"/>
    </w:pPr>
    <w:tblPr/>
  </w:style>
  <w:style w:type="table" w:styleId="927" w:customStyle="1">
    <w:name w:val="Grid Table 6 Colorful"/>
    <w:basedOn w:val="848"/>
    <w:uiPriority w:val="99"/>
    <w:qFormat/>
    <w:pPr>
      <w:spacing w:after="0" w:line="240" w:lineRule="auto"/>
    </w:pPr>
    <w:tblPr/>
  </w:style>
  <w:style w:type="table" w:styleId="928" w:customStyle="1">
    <w:name w:val="Grid Table 7 Colorful"/>
    <w:basedOn w:val="848"/>
    <w:uiPriority w:val="99"/>
    <w:qFormat/>
    <w:pPr>
      <w:spacing w:after="0" w:line="240" w:lineRule="auto"/>
    </w:pPr>
    <w:tblPr/>
  </w:style>
  <w:style w:type="table" w:styleId="929" w:customStyle="1">
    <w:name w:val="List Table 1 Light"/>
    <w:basedOn w:val="848"/>
    <w:uiPriority w:val="99"/>
    <w:qFormat/>
    <w:pPr>
      <w:spacing w:after="0" w:line="240" w:lineRule="auto"/>
    </w:pPr>
    <w:tblPr/>
  </w:style>
  <w:style w:type="table" w:styleId="930" w:customStyle="1">
    <w:name w:val="List Table 2"/>
    <w:basedOn w:val="848"/>
    <w:uiPriority w:val="99"/>
    <w:qFormat/>
    <w:pPr>
      <w:spacing w:after="0" w:line="240" w:lineRule="auto"/>
    </w:pPr>
    <w:tblPr/>
  </w:style>
  <w:style w:type="table" w:styleId="931" w:customStyle="1">
    <w:name w:val="List Table 3"/>
    <w:basedOn w:val="848"/>
    <w:uiPriority w:val="99"/>
    <w:qFormat/>
    <w:pPr>
      <w:spacing w:after="0" w:line="240" w:lineRule="auto"/>
    </w:pPr>
    <w:tblPr/>
  </w:style>
  <w:style w:type="table" w:styleId="932" w:customStyle="1">
    <w:name w:val="List Table 4"/>
    <w:basedOn w:val="848"/>
    <w:uiPriority w:val="99"/>
    <w:qFormat/>
    <w:pPr>
      <w:spacing w:after="0" w:line="240" w:lineRule="auto"/>
    </w:pPr>
    <w:tblPr/>
  </w:style>
  <w:style w:type="table" w:styleId="933" w:customStyle="1">
    <w:name w:val="List Table 5 Dark"/>
    <w:basedOn w:val="848"/>
    <w:uiPriority w:val="99"/>
    <w:qFormat/>
    <w:pPr>
      <w:spacing w:after="0" w:line="240" w:lineRule="auto"/>
    </w:pPr>
    <w:tblPr/>
  </w:style>
  <w:style w:type="table" w:styleId="934" w:customStyle="1">
    <w:name w:val="List Table 6 Colorful"/>
    <w:basedOn w:val="848"/>
    <w:uiPriority w:val="99"/>
    <w:qFormat/>
    <w:pPr>
      <w:spacing w:after="0" w:line="240" w:lineRule="auto"/>
    </w:pPr>
    <w:tblPr/>
  </w:style>
  <w:style w:type="table" w:styleId="935" w:customStyle="1">
    <w:name w:val="List Table 7 Colorful"/>
    <w:basedOn w:val="848"/>
    <w:uiPriority w:val="99"/>
    <w:qFormat/>
    <w:pPr>
      <w:spacing w:after="0" w:line="240" w:lineRule="auto"/>
    </w:pPr>
    <w:tblPr/>
  </w:style>
  <w:style w:type="character" w:styleId="936" w:customStyle="1">
    <w:name w:val="Footnote Text Char"/>
    <w:link w:val="776"/>
    <w:uiPriority w:val="99"/>
    <w:qFormat/>
    <w:rPr>
      <w:sz w:val="18"/>
    </w:rPr>
  </w:style>
  <w:style w:type="character" w:styleId="937" w:customStyle="1">
    <w:name w:val="Endnote Text Char"/>
    <w:link w:val="776"/>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正文文本1"/>
    <w:basedOn w:val="820"/>
    <w:next w:val="940"/>
    <w:uiPriority w:val="0"/>
    <w:qFormat/>
    <w:pPr>
      <w:spacing w:after="120"/>
    </w:pPr>
    <w:rPr>
      <w:rFonts w:ascii="Calibri" w:hAnsi="Calibri"/>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8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2" w:customStyle="1">
    <w:name w:val="段"/>
    <w:basedOn w:val="943"/>
    <w:next w:val="776"/>
    <w:uiPriority w:val="0"/>
    <w:qFormat/>
    <w:pPr>
      <w:ind w:firstLine="200"/>
    </w:pPr>
    <w:rPr>
      <w:rFonts w:hint="eastAsia" w:ascii="宋体"/>
    </w:rPr>
  </w:style>
  <w:style w:type="paragraph" w:styleId="943" w:customStyle="1">
    <w:name w:val="正文13"/>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目录 111"/>
    <w:basedOn w:val="943"/>
    <w:next w:val="821"/>
    <w:uiPriority w:val="0"/>
    <w:qFormat/>
    <w:pPr>
      <w:spacing w:after="57"/>
    </w:pPr>
  </w:style>
  <w:style w:type="paragraph" w:styleId="945" w:customStyle="1">
    <w:name w:val="标题 111"/>
    <w:basedOn w:val="831"/>
    <w:next w:val="831"/>
    <w:uiPriority w:val="0"/>
    <w:qFormat/>
    <w:pPr>
      <w:jc w:val="center"/>
      <w:keepLines/>
      <w:keepNext/>
      <w:spacing w:line="578" w:lineRule="auto"/>
      <w:outlineLvl w:val="0"/>
    </w:pPr>
    <w:rPr>
      <w:rFonts w:eastAsia="新宋体"/>
      <w:b/>
      <w:bCs/>
      <w:sz w:val="30"/>
      <w:szCs w:val="44"/>
    </w:rPr>
  </w:style>
  <w:style w:type="character" w:styleId="946" w:customStyle="1">
    <w:name w:val="标题 1 Char"/>
    <w:link w:val="947"/>
    <w:uiPriority w:val="0"/>
    <w:qFormat/>
    <w:rPr>
      <w:rFonts w:eastAsia="新宋体"/>
      <w:b/>
      <w:bCs/>
      <w:sz w:val="30"/>
      <w:szCs w:val="44"/>
    </w:rPr>
  </w:style>
  <w:style w:type="paragraph" w:styleId="947" w:customStyle="1">
    <w:name w:val="标题 11"/>
    <w:basedOn w:val="821"/>
    <w:next w:val="821"/>
    <w:link w:val="946"/>
    <w:uiPriority w:val="0"/>
    <w:qFormat/>
    <w:pPr>
      <w:jc w:val="center"/>
      <w:keepLines/>
      <w:keepNext/>
      <w:spacing w:line="578" w:lineRule="auto"/>
      <w:outlineLvl w:val="0"/>
    </w:pPr>
    <w:rPr>
      <w:rFonts w:eastAsia="新宋体"/>
      <w:b/>
      <w:bCs/>
      <w:sz w:val="30"/>
      <w:szCs w:val="44"/>
    </w:rPr>
  </w:style>
  <w:style w:type="paragraph" w:styleId="948" w:customStyle="1">
    <w:name w:val="文本块11"/>
    <w:basedOn w:val="949"/>
    <w:uiPriority w:val="0"/>
    <w:qFormat/>
    <w:pPr>
      <w:ind w:left="256" w:right="6" w:firstLine="624"/>
    </w:pPr>
    <w:rPr>
      <w:rFonts w:eastAsia="仿宋_GB2312"/>
      <w:sz w:val="28"/>
      <w:szCs w:val="20"/>
    </w:rPr>
  </w:style>
  <w:style w:type="paragraph" w:styleId="949" w:customStyle="1">
    <w:name w:val="正文121"/>
    <w:next w:val="948"/>
    <w:uiPriority w:val="0"/>
    <w:qFormat/>
    <w:pPr>
      <w:jc w:val="both"/>
      <w:widowControl w:val="off"/>
    </w:pPr>
    <w:rPr>
      <w:rFonts w:hint="default" w:ascii="Calibri" w:hAnsi="Calibri" w:eastAsia="宋体" w:cs="Times New Roman"/>
      <w:sz w:val="21"/>
      <w:szCs w:val="24"/>
      <w:lang w:val="en-US" w:eastAsia="zh-CN" w:bidi="ar-SA"/>
    </w:rPr>
  </w:style>
  <w:style w:type="character" w:styleId="950" w:customStyle="1">
    <w:name w:val="标题 3 Char"/>
    <w:link w:val="951"/>
    <w:uiPriority w:val="9"/>
    <w:qFormat/>
    <w:rPr>
      <w:rFonts w:ascii="Arial" w:hAnsi="Arial" w:eastAsia="Arial" w:cs="Arial"/>
      <w:sz w:val="30"/>
      <w:szCs w:val="30"/>
    </w:rPr>
  </w:style>
  <w:style w:type="paragraph" w:styleId="951" w:customStyle="1">
    <w:name w:val="标题 311"/>
    <w:basedOn w:val="776"/>
    <w:next w:val="776"/>
    <w:link w:val="950"/>
    <w:uiPriority w:val="9"/>
    <w:unhideWhenUsed/>
    <w:qFormat/>
    <w:pPr>
      <w:keepLines/>
      <w:keepNext/>
      <w:spacing w:before="320" w:after="200"/>
      <w:outlineLvl w:val="2"/>
    </w:pPr>
    <w:rPr>
      <w:rFonts w:ascii="Arial" w:hAnsi="Arial" w:eastAsia="Arial" w:cs="Arial"/>
      <w:sz w:val="30"/>
      <w:szCs w:val="30"/>
    </w:rPr>
  </w:style>
  <w:style w:type="paragraph" w:styleId="952" w:customStyle="1">
    <w:name w:val="文本块2"/>
    <w:basedOn w:val="776"/>
    <w:uiPriority w:val="0"/>
    <w:qFormat/>
    <w:pPr>
      <w:ind w:left="256" w:right="6" w:firstLine="624"/>
    </w:pPr>
    <w:rPr>
      <w:rFonts w:eastAsia="仿宋_GB2312"/>
      <w:sz w:val="28"/>
      <w:szCs w:val="20"/>
    </w:rPr>
  </w:style>
  <w:style w:type="character" w:styleId="953" w:customStyle="1">
    <w:name w:val="Quote Char"/>
    <w:link w:val="776"/>
    <w:uiPriority w:val="29"/>
    <w:qFormat/>
    <w:rPr>
      <w:i/>
    </w:rPr>
  </w:style>
  <w:style w:type="character" w:styleId="954" w:customStyle="1">
    <w:name w:val="Intense Quote Char"/>
    <w:link w:val="776"/>
    <w:uiPriority w:val="30"/>
    <w:qFormat/>
    <w:rPr>
      <w:i/>
    </w:rPr>
  </w:style>
  <w:style w:type="paragraph" w:styleId="955" w:customStyle="1">
    <w:name w:val="TOC 标题1"/>
    <w:uiPriority w:val="39"/>
    <w:unhideWhenUsed/>
    <w:qFormat/>
    <w:rPr>
      <w:rFonts w:hint="default" w:ascii="Times New Roman" w:hAnsi="Times New Roman" w:eastAsia="宋体" w:cs="Times New Roman"/>
      <w:lang w:val="en-US" w:eastAsia="zh-CN" w:bidi="ar-SA"/>
    </w:rPr>
  </w:style>
  <w:style w:type="paragraph" w:styleId="956" w:customStyle="1">
    <w:name w:val="标题 1111"/>
    <w:basedOn w:val="776"/>
    <w:next w:val="776"/>
    <w:link w:val="957"/>
    <w:uiPriority w:val="9"/>
    <w:qFormat/>
    <w:pPr>
      <w:keepLines/>
      <w:keepNext/>
      <w:spacing w:before="480" w:after="200"/>
      <w:outlineLvl w:val="0"/>
    </w:pPr>
    <w:rPr>
      <w:rFonts w:ascii="Arial" w:hAnsi="Arial" w:eastAsia="Arial" w:cs="Arial"/>
      <w:sz w:val="40"/>
      <w:szCs w:val="40"/>
    </w:rPr>
  </w:style>
  <w:style w:type="character" w:styleId="957" w:customStyle="1">
    <w:name w:val="标题 1 Char1"/>
    <w:link w:val="956"/>
    <w:uiPriority w:val="9"/>
    <w:qFormat/>
    <w:rPr>
      <w:rFonts w:ascii="Arial" w:hAnsi="Arial" w:eastAsia="Arial" w:cs="Arial"/>
      <w:sz w:val="40"/>
      <w:szCs w:val="40"/>
    </w:rPr>
  </w:style>
  <w:style w:type="paragraph" w:styleId="958" w:customStyle="1">
    <w:name w:val="标题 211"/>
    <w:basedOn w:val="776"/>
    <w:next w:val="831"/>
    <w:link w:val="959"/>
    <w:uiPriority w:val="9"/>
    <w:unhideWhenUsed/>
    <w:qFormat/>
    <w:pPr>
      <w:keepLines/>
      <w:keepNext/>
      <w:spacing w:before="360" w:after="200"/>
      <w:outlineLvl w:val="1"/>
    </w:pPr>
    <w:rPr>
      <w:rFonts w:ascii="Calibri Light" w:hAnsi="Calibri Light"/>
      <w:bCs/>
      <w:sz w:val="32"/>
      <w:szCs w:val="32"/>
    </w:rPr>
  </w:style>
  <w:style w:type="character" w:styleId="959" w:customStyle="1">
    <w:name w:val="标题 2 Char"/>
    <w:link w:val="958"/>
    <w:uiPriority w:val="9"/>
    <w:qFormat/>
    <w:rPr>
      <w:rFonts w:ascii="Arial" w:hAnsi="Arial" w:eastAsia="Arial" w:cs="Arial"/>
      <w:sz w:val="34"/>
    </w:rPr>
  </w:style>
  <w:style w:type="paragraph" w:styleId="960" w:customStyle="1">
    <w:name w:val="标题 411"/>
    <w:basedOn w:val="776"/>
    <w:next w:val="776"/>
    <w:link w:val="961"/>
    <w:uiPriority w:val="9"/>
    <w:unhideWhenUsed/>
    <w:qFormat/>
    <w:pPr>
      <w:keepLines/>
      <w:keepNext/>
      <w:spacing w:before="320" w:after="200"/>
      <w:outlineLvl w:val="3"/>
    </w:pPr>
    <w:rPr>
      <w:rFonts w:ascii="Arial" w:hAnsi="Arial" w:eastAsia="Arial" w:cs="Arial"/>
      <w:b/>
      <w:bCs/>
      <w:sz w:val="26"/>
      <w:szCs w:val="26"/>
    </w:rPr>
  </w:style>
  <w:style w:type="character" w:styleId="961" w:customStyle="1">
    <w:name w:val="标题 4 Char"/>
    <w:link w:val="960"/>
    <w:uiPriority w:val="9"/>
    <w:qFormat/>
    <w:rPr>
      <w:rFonts w:ascii="Arial" w:hAnsi="Arial" w:eastAsia="Arial" w:cs="Arial"/>
      <w:b/>
      <w:bCs/>
      <w:sz w:val="26"/>
      <w:szCs w:val="26"/>
    </w:rPr>
  </w:style>
  <w:style w:type="paragraph" w:styleId="962" w:customStyle="1">
    <w:name w:val="标题 51"/>
    <w:basedOn w:val="776"/>
    <w:next w:val="776"/>
    <w:link w:val="963"/>
    <w:uiPriority w:val="9"/>
    <w:unhideWhenUsed/>
    <w:qFormat/>
    <w:pPr>
      <w:keepLines/>
      <w:keepNext/>
      <w:spacing w:before="320" w:after="200"/>
      <w:outlineLvl w:val="4"/>
    </w:pPr>
    <w:rPr>
      <w:rFonts w:ascii="Arial" w:hAnsi="Arial" w:eastAsia="Arial" w:cs="Arial"/>
      <w:b/>
      <w:bCs/>
      <w:sz w:val="24"/>
      <w:szCs w:val="24"/>
    </w:rPr>
  </w:style>
  <w:style w:type="character" w:styleId="963" w:customStyle="1">
    <w:name w:val="标题 5 Char"/>
    <w:link w:val="962"/>
    <w:uiPriority w:val="9"/>
    <w:qFormat/>
    <w:rPr>
      <w:rFonts w:ascii="Arial" w:hAnsi="Arial" w:eastAsia="Arial" w:cs="Arial"/>
      <w:b/>
      <w:bCs/>
      <w:sz w:val="24"/>
      <w:szCs w:val="24"/>
    </w:rPr>
  </w:style>
  <w:style w:type="paragraph" w:styleId="964" w:customStyle="1">
    <w:name w:val="标题 61"/>
    <w:basedOn w:val="776"/>
    <w:next w:val="776"/>
    <w:link w:val="965"/>
    <w:uiPriority w:val="9"/>
    <w:unhideWhenUsed/>
    <w:qFormat/>
    <w:pPr>
      <w:keepLines/>
      <w:keepNext/>
      <w:spacing w:before="320" w:after="200"/>
      <w:outlineLvl w:val="5"/>
    </w:pPr>
    <w:rPr>
      <w:rFonts w:ascii="Arial" w:hAnsi="Arial" w:eastAsia="Arial" w:cs="Arial"/>
      <w:b/>
      <w:bCs/>
      <w:sz w:val="22"/>
      <w:szCs w:val="22"/>
    </w:rPr>
  </w:style>
  <w:style w:type="character" w:styleId="965" w:customStyle="1">
    <w:name w:val="标题 6 Char"/>
    <w:link w:val="964"/>
    <w:uiPriority w:val="9"/>
    <w:qFormat/>
    <w:rPr>
      <w:rFonts w:ascii="Arial" w:hAnsi="Arial" w:eastAsia="Arial" w:cs="Arial"/>
      <w:b/>
      <w:bCs/>
      <w:sz w:val="22"/>
      <w:szCs w:val="22"/>
    </w:rPr>
  </w:style>
  <w:style w:type="paragraph" w:styleId="966" w:customStyle="1">
    <w:name w:val="标题 71"/>
    <w:basedOn w:val="776"/>
    <w:next w:val="776"/>
    <w:link w:val="967"/>
    <w:uiPriority w:val="9"/>
    <w:unhideWhenUsed/>
    <w:qFormat/>
    <w:pPr>
      <w:keepLines/>
      <w:keepNext/>
      <w:spacing w:before="320" w:after="200"/>
      <w:outlineLvl w:val="6"/>
    </w:pPr>
    <w:rPr>
      <w:rFonts w:ascii="Arial" w:hAnsi="Arial" w:eastAsia="Arial" w:cs="Arial"/>
      <w:b/>
      <w:bCs/>
      <w:i/>
      <w:iCs/>
      <w:sz w:val="22"/>
      <w:szCs w:val="22"/>
    </w:rPr>
  </w:style>
  <w:style w:type="character" w:styleId="967" w:customStyle="1">
    <w:name w:val="标题 7 Char"/>
    <w:link w:val="966"/>
    <w:uiPriority w:val="9"/>
    <w:qFormat/>
    <w:rPr>
      <w:rFonts w:ascii="Arial" w:hAnsi="Arial" w:eastAsia="Arial" w:cs="Arial"/>
      <w:b/>
      <w:bCs/>
      <w:i/>
      <w:iCs/>
      <w:sz w:val="22"/>
      <w:szCs w:val="22"/>
    </w:rPr>
  </w:style>
  <w:style w:type="paragraph" w:styleId="968" w:customStyle="1">
    <w:name w:val="标题 81"/>
    <w:basedOn w:val="776"/>
    <w:next w:val="776"/>
    <w:link w:val="969"/>
    <w:uiPriority w:val="9"/>
    <w:unhideWhenUsed/>
    <w:qFormat/>
    <w:pPr>
      <w:keepLines/>
      <w:keepNext/>
      <w:spacing w:before="320" w:after="200"/>
      <w:outlineLvl w:val="7"/>
    </w:pPr>
    <w:rPr>
      <w:rFonts w:ascii="Arial" w:hAnsi="Arial" w:eastAsia="Arial" w:cs="Arial"/>
      <w:i/>
      <w:iCs/>
      <w:sz w:val="22"/>
      <w:szCs w:val="22"/>
    </w:rPr>
  </w:style>
  <w:style w:type="character" w:styleId="969" w:customStyle="1">
    <w:name w:val="标题 8 Char"/>
    <w:link w:val="968"/>
    <w:uiPriority w:val="9"/>
    <w:qFormat/>
    <w:rPr>
      <w:rFonts w:ascii="Arial" w:hAnsi="Arial" w:eastAsia="Arial" w:cs="Arial"/>
      <w:i/>
      <w:iCs/>
      <w:sz w:val="22"/>
      <w:szCs w:val="22"/>
    </w:rPr>
  </w:style>
  <w:style w:type="paragraph" w:styleId="970" w:customStyle="1">
    <w:name w:val="标题 91"/>
    <w:basedOn w:val="776"/>
    <w:next w:val="776"/>
    <w:link w:val="971"/>
    <w:uiPriority w:val="9"/>
    <w:unhideWhenUsed/>
    <w:qFormat/>
    <w:pPr>
      <w:keepLines/>
      <w:keepNext/>
      <w:spacing w:before="320" w:after="200"/>
      <w:outlineLvl w:val="8"/>
    </w:pPr>
    <w:rPr>
      <w:rFonts w:ascii="Arial" w:hAnsi="Arial" w:eastAsia="Arial" w:cs="Arial"/>
      <w:i/>
      <w:iCs/>
    </w:rPr>
  </w:style>
  <w:style w:type="character" w:styleId="971" w:customStyle="1">
    <w:name w:val="标题 9 Char"/>
    <w:link w:val="970"/>
    <w:uiPriority w:val="9"/>
    <w:qFormat/>
    <w:rPr>
      <w:rFonts w:ascii="Arial" w:hAnsi="Arial" w:eastAsia="Arial" w:cs="Arial"/>
      <w:i/>
      <w:iCs/>
      <w:sz w:val="21"/>
      <w:szCs w:val="21"/>
    </w:rPr>
  </w:style>
  <w:style w:type="table" w:styleId="972" w:customStyle="1">
    <w:name w:val="普通表格11"/>
    <w:uiPriority w:val="99"/>
    <w:unhideWhenUsed/>
    <w:qFormat/>
    <w:tblPr/>
  </w:style>
  <w:style w:type="paragraph" w:styleId="973" w:customStyle="1">
    <w:name w:val="文本块12"/>
    <w:basedOn w:val="776"/>
    <w:uiPriority w:val="0"/>
    <w:qFormat/>
    <w:pPr>
      <w:ind w:left="420" w:right="33"/>
      <w:jc w:val="left"/>
    </w:pPr>
    <w:rPr>
      <w:sz w:val="24"/>
      <w:szCs w:val="20"/>
    </w:rPr>
  </w:style>
  <w:style w:type="paragraph" w:styleId="974" w:customStyle="1">
    <w:name w:val="目录 71"/>
    <w:basedOn w:val="776"/>
    <w:next w:val="776"/>
    <w:uiPriority w:val="39"/>
    <w:unhideWhenUsed/>
    <w:qFormat/>
    <w:pPr>
      <w:ind w:left="1701"/>
      <w:spacing w:after="57"/>
    </w:pPr>
  </w:style>
  <w:style w:type="paragraph" w:styleId="975" w:customStyle="1">
    <w:name w:val="题注1"/>
    <w:basedOn w:val="776"/>
    <w:next w:val="776"/>
    <w:uiPriority w:val="35"/>
    <w:unhideWhenUsed/>
    <w:qFormat/>
    <w:pPr>
      <w:spacing w:line="276" w:lineRule="auto"/>
    </w:pPr>
    <w:rPr>
      <w:b/>
      <w:bCs/>
      <w:color w:val="4f81bd"/>
      <w:sz w:val="18"/>
      <w:szCs w:val="18"/>
    </w:rPr>
  </w:style>
  <w:style w:type="paragraph" w:styleId="976" w:customStyle="1">
    <w:name w:val="索引 5111"/>
    <w:basedOn w:val="776"/>
    <w:next w:val="776"/>
    <w:uiPriority w:val="0"/>
    <w:qFormat/>
    <w:pPr>
      <w:ind w:left="798"/>
    </w:pPr>
    <w:rPr>
      <w:rFonts w:ascii="Calibri" w:hAnsi="Calibri"/>
    </w:rPr>
  </w:style>
  <w:style w:type="paragraph" w:styleId="977" w:customStyle="1">
    <w:name w:val="引文目录标题1"/>
    <w:basedOn w:val="776"/>
    <w:next w:val="776"/>
    <w:uiPriority w:val="99"/>
    <w:qFormat/>
    <w:pPr>
      <w:spacing w:before="120"/>
    </w:pPr>
    <w:rPr>
      <w:rFonts w:ascii="Cambria" w:hAnsi="Cambria" w:cs="Cambria"/>
      <w:sz w:val="24"/>
    </w:rPr>
  </w:style>
  <w:style w:type="paragraph" w:styleId="978" w:customStyle="1">
    <w:name w:val="批注文字11"/>
    <w:basedOn w:val="776"/>
    <w:link w:val="979"/>
    <w:uiPriority w:val="99"/>
    <w:unhideWhenUsed/>
    <w:qFormat/>
    <w:pPr>
      <w:jc w:val="left"/>
    </w:pPr>
  </w:style>
  <w:style w:type="character" w:styleId="979" w:customStyle="1">
    <w:name w:val="批注文字 Char"/>
    <w:basedOn w:val="902"/>
    <w:link w:val="978"/>
    <w:uiPriority w:val="99"/>
    <w:semiHidden/>
    <w:qFormat/>
    <w:rPr>
      <w:sz w:val="21"/>
      <w:szCs w:val="21"/>
    </w:rPr>
  </w:style>
  <w:style w:type="paragraph" w:styleId="980" w:customStyle="1">
    <w:name w:val="正文文本缩进111"/>
    <w:basedOn w:val="776"/>
    <w:next w:val="981"/>
    <w:uiPriority w:val="0"/>
    <w:qFormat/>
    <w:pPr>
      <w:ind w:left="420"/>
      <w:spacing w:after="120"/>
    </w:pPr>
  </w:style>
  <w:style w:type="paragraph" w:styleId="981" w:customStyle="1">
    <w:name w:val="寄信人地址11"/>
    <w:basedOn w:val="776"/>
    <w:uiPriority w:val="0"/>
    <w:qFormat/>
    <w:rPr>
      <w:rFonts w:ascii="Arial" w:hAnsi="Arial"/>
    </w:rPr>
  </w:style>
  <w:style w:type="paragraph" w:styleId="982" w:customStyle="1">
    <w:name w:val="目录 51"/>
    <w:basedOn w:val="776"/>
    <w:next w:val="776"/>
    <w:uiPriority w:val="39"/>
    <w:unhideWhenUsed/>
    <w:qFormat/>
    <w:pPr>
      <w:ind w:left="1134"/>
      <w:spacing w:after="57"/>
    </w:pPr>
  </w:style>
  <w:style w:type="paragraph" w:styleId="983" w:customStyle="1">
    <w:name w:val="目录 31"/>
    <w:basedOn w:val="776"/>
    <w:next w:val="776"/>
    <w:uiPriority w:val="39"/>
    <w:unhideWhenUsed/>
    <w:qFormat/>
    <w:pPr>
      <w:ind w:left="567"/>
      <w:spacing w:after="57"/>
    </w:pPr>
  </w:style>
  <w:style w:type="paragraph" w:styleId="984" w:customStyle="1">
    <w:name w:val="纯文本11"/>
    <w:basedOn w:val="776"/>
    <w:uiPriority w:val="0"/>
    <w:qFormat/>
    <w:rPr>
      <w:rFonts w:ascii="宋体" w:hAnsi="Courier New" w:eastAsia="仿宋_GB2312"/>
      <w:sz w:val="30"/>
      <w:szCs w:val="20"/>
    </w:rPr>
  </w:style>
  <w:style w:type="paragraph" w:styleId="985" w:customStyle="1">
    <w:name w:val="目录 81"/>
    <w:basedOn w:val="776"/>
    <w:next w:val="776"/>
    <w:uiPriority w:val="39"/>
    <w:unhideWhenUsed/>
    <w:qFormat/>
    <w:pPr>
      <w:ind w:left="1984"/>
      <w:spacing w:after="57"/>
    </w:pPr>
  </w:style>
  <w:style w:type="paragraph" w:styleId="986" w:customStyle="1">
    <w:name w:val="尾注文本1"/>
    <w:basedOn w:val="776"/>
    <w:link w:val="987"/>
    <w:uiPriority w:val="99"/>
    <w:unhideWhenUsed/>
    <w:qFormat/>
    <w:rPr>
      <w:sz w:val="20"/>
    </w:rPr>
  </w:style>
  <w:style w:type="character" w:styleId="987" w:customStyle="1">
    <w:name w:val="尾注文本 Char"/>
    <w:link w:val="986"/>
    <w:uiPriority w:val="99"/>
    <w:qFormat/>
    <w:rPr>
      <w:sz w:val="20"/>
    </w:rPr>
  </w:style>
  <w:style w:type="paragraph" w:styleId="988" w:customStyle="1">
    <w:name w:val="批注框文本11"/>
    <w:basedOn w:val="776"/>
    <w:link w:val="989"/>
    <w:uiPriority w:val="99"/>
    <w:unhideWhenUsed/>
    <w:qFormat/>
    <w:rPr>
      <w:sz w:val="18"/>
      <w:szCs w:val="18"/>
    </w:rPr>
  </w:style>
  <w:style w:type="character" w:styleId="989" w:customStyle="1">
    <w:name w:val="批注框文本 Char1"/>
    <w:basedOn w:val="902"/>
    <w:link w:val="988"/>
    <w:uiPriority w:val="99"/>
    <w:semiHidden/>
    <w:qFormat/>
    <w:rPr>
      <w:sz w:val="18"/>
      <w:szCs w:val="18"/>
    </w:rPr>
  </w:style>
  <w:style w:type="paragraph" w:styleId="990" w:customStyle="1">
    <w:name w:val="页脚11"/>
    <w:basedOn w:val="776"/>
    <w:link w:val="991"/>
    <w:uiPriority w:val="99"/>
    <w:unhideWhenUsed/>
    <w:qFormat/>
    <w:pPr>
      <w:tabs>
        <w:tab w:val="center" w:pos="7143" w:leader="none"/>
        <w:tab w:val="right" w:pos="14287" w:leader="none"/>
      </w:tabs>
    </w:pPr>
  </w:style>
  <w:style w:type="character" w:styleId="991" w:customStyle="1">
    <w:name w:val="页脚 Char"/>
    <w:link w:val="990"/>
    <w:uiPriority w:val="99"/>
    <w:qFormat/>
  </w:style>
  <w:style w:type="paragraph" w:styleId="992" w:customStyle="1">
    <w:name w:val="页眉11"/>
    <w:basedOn w:val="776"/>
    <w:link w:val="993"/>
    <w:uiPriority w:val="99"/>
    <w:unhideWhenUsed/>
    <w:qFormat/>
    <w:pPr>
      <w:tabs>
        <w:tab w:val="center" w:pos="7143" w:leader="none"/>
        <w:tab w:val="right" w:pos="14287" w:leader="none"/>
      </w:tabs>
    </w:pPr>
  </w:style>
  <w:style w:type="character" w:styleId="993" w:customStyle="1">
    <w:name w:val="页眉 Char"/>
    <w:link w:val="992"/>
    <w:uiPriority w:val="99"/>
    <w:qFormat/>
  </w:style>
  <w:style w:type="paragraph" w:styleId="994" w:customStyle="1">
    <w:name w:val="目录 1111"/>
    <w:basedOn w:val="776"/>
    <w:next w:val="776"/>
    <w:uiPriority w:val="39"/>
    <w:unhideWhenUsed/>
    <w:qFormat/>
    <w:pPr>
      <w:spacing w:after="57"/>
    </w:pPr>
  </w:style>
  <w:style w:type="paragraph" w:styleId="995" w:customStyle="1">
    <w:name w:val="目录 41"/>
    <w:basedOn w:val="776"/>
    <w:next w:val="776"/>
    <w:uiPriority w:val="39"/>
    <w:unhideWhenUsed/>
    <w:qFormat/>
    <w:pPr>
      <w:ind w:left="850"/>
      <w:spacing w:after="57"/>
    </w:pPr>
  </w:style>
  <w:style w:type="paragraph" w:styleId="996" w:customStyle="1">
    <w:name w:val="副标题1"/>
    <w:basedOn w:val="776"/>
    <w:next w:val="776"/>
    <w:link w:val="997"/>
    <w:uiPriority w:val="11"/>
    <w:qFormat/>
    <w:pPr>
      <w:spacing w:before="200" w:after="200"/>
    </w:pPr>
    <w:rPr>
      <w:sz w:val="24"/>
      <w:szCs w:val="24"/>
    </w:rPr>
  </w:style>
  <w:style w:type="character" w:styleId="997" w:customStyle="1">
    <w:name w:val="副标题 Char"/>
    <w:link w:val="996"/>
    <w:uiPriority w:val="11"/>
    <w:qFormat/>
    <w:rPr>
      <w:sz w:val="24"/>
      <w:szCs w:val="24"/>
    </w:rPr>
  </w:style>
  <w:style w:type="paragraph" w:styleId="998" w:customStyle="1">
    <w:name w:val="脚注文本111"/>
    <w:basedOn w:val="776"/>
    <w:next w:val="976"/>
    <w:link w:val="999"/>
    <w:uiPriority w:val="99"/>
    <w:unhideWhenUsed/>
    <w:qFormat/>
    <w:pPr>
      <w:spacing w:after="40"/>
    </w:pPr>
    <w:rPr>
      <w:sz w:val="18"/>
    </w:rPr>
  </w:style>
  <w:style w:type="character" w:styleId="999" w:customStyle="1">
    <w:name w:val="脚注文本 Char1"/>
    <w:link w:val="998"/>
    <w:uiPriority w:val="99"/>
    <w:qFormat/>
    <w:rPr>
      <w:sz w:val="18"/>
    </w:rPr>
  </w:style>
  <w:style w:type="paragraph" w:styleId="1000" w:customStyle="1">
    <w:name w:val="目录 61"/>
    <w:basedOn w:val="776"/>
    <w:next w:val="776"/>
    <w:uiPriority w:val="39"/>
    <w:unhideWhenUsed/>
    <w:qFormat/>
    <w:pPr>
      <w:ind w:left="1417"/>
      <w:spacing w:after="57"/>
    </w:pPr>
  </w:style>
  <w:style w:type="paragraph" w:styleId="1001" w:customStyle="1">
    <w:name w:val="图表目录1"/>
    <w:basedOn w:val="776"/>
    <w:next w:val="776"/>
    <w:uiPriority w:val="99"/>
    <w:unhideWhenUsed/>
    <w:qFormat/>
  </w:style>
  <w:style w:type="paragraph" w:styleId="1002" w:customStyle="1">
    <w:name w:val="目录 21"/>
    <w:basedOn w:val="776"/>
    <w:next w:val="776"/>
    <w:uiPriority w:val="39"/>
    <w:unhideWhenUsed/>
    <w:qFormat/>
    <w:pPr>
      <w:ind w:left="283"/>
      <w:spacing w:after="57"/>
    </w:pPr>
  </w:style>
  <w:style w:type="paragraph" w:styleId="1003" w:customStyle="1">
    <w:name w:val="目录 91"/>
    <w:basedOn w:val="776"/>
    <w:next w:val="776"/>
    <w:uiPriority w:val="39"/>
    <w:unhideWhenUsed/>
    <w:qFormat/>
    <w:pPr>
      <w:ind w:left="2268"/>
      <w:spacing w:after="57"/>
    </w:pPr>
  </w:style>
  <w:style w:type="paragraph" w:styleId="1004" w:customStyle="1">
    <w:name w:val="标题1"/>
    <w:basedOn w:val="776"/>
    <w:next w:val="776"/>
    <w:link w:val="1005"/>
    <w:uiPriority w:val="10"/>
    <w:qFormat/>
    <w:pPr>
      <w:contextualSpacing/>
      <w:spacing w:before="300" w:after="200"/>
    </w:pPr>
    <w:rPr>
      <w:sz w:val="48"/>
      <w:szCs w:val="48"/>
    </w:rPr>
  </w:style>
  <w:style w:type="character" w:styleId="1005" w:customStyle="1">
    <w:name w:val="标题 Char"/>
    <w:link w:val="1004"/>
    <w:uiPriority w:val="10"/>
    <w:qFormat/>
    <w:rPr>
      <w:sz w:val="48"/>
      <w:szCs w:val="48"/>
    </w:rPr>
  </w:style>
  <w:style w:type="paragraph" w:styleId="1006" w:customStyle="1">
    <w:name w:val="批注主题1"/>
    <w:basedOn w:val="978"/>
    <w:next w:val="978"/>
    <w:link w:val="1007"/>
    <w:uiPriority w:val="99"/>
    <w:unhideWhenUsed/>
    <w:qFormat/>
    <w:rPr>
      <w:b/>
      <w:bCs/>
    </w:rPr>
  </w:style>
  <w:style w:type="character" w:styleId="1007" w:customStyle="1">
    <w:name w:val="批注主题 Char"/>
    <w:basedOn w:val="979"/>
    <w:link w:val="1006"/>
    <w:uiPriority w:val="99"/>
    <w:semiHidden/>
    <w:qFormat/>
    <w:rPr>
      <w:b/>
      <w:bCs/>
      <w:sz w:val="21"/>
      <w:szCs w:val="21"/>
    </w:rPr>
  </w:style>
  <w:style w:type="table" w:styleId="1008" w:customStyle="1">
    <w:name w:val="网格型11"/>
    <w:uiPriority w:val="59"/>
    <w:qFormat/>
    <w:tblPr/>
  </w:style>
  <w:style w:type="character" w:styleId="1009" w:customStyle="1">
    <w:name w:val="尾注引用1"/>
    <w:link w:val="776"/>
    <w:uiPriority w:val="99"/>
    <w:unhideWhenUsed/>
    <w:qFormat/>
    <w:rPr>
      <w:vertAlign w:val="superscript"/>
    </w:rPr>
  </w:style>
  <w:style w:type="character" w:styleId="1010" w:customStyle="1">
    <w:name w:val="超链接11"/>
    <w:link w:val="776"/>
    <w:uiPriority w:val="99"/>
    <w:unhideWhenUsed/>
    <w:qFormat/>
    <w:rPr>
      <w:color w:val="0000ff"/>
      <w:u w:val="single"/>
    </w:rPr>
  </w:style>
  <w:style w:type="character" w:styleId="1011" w:customStyle="1">
    <w:name w:val="批注引用11"/>
    <w:basedOn w:val="902"/>
    <w:link w:val="776"/>
    <w:uiPriority w:val="99"/>
    <w:unhideWhenUsed/>
    <w:qFormat/>
    <w:rPr>
      <w:sz w:val="21"/>
      <w:szCs w:val="21"/>
    </w:rPr>
  </w:style>
  <w:style w:type="character" w:styleId="1012" w:customStyle="1">
    <w:name w:val="脚注引用1"/>
    <w:link w:val="776"/>
    <w:uiPriority w:val="99"/>
    <w:unhideWhenUsed/>
    <w:qFormat/>
    <w:rPr>
      <w:vertAlign w:val="superscript"/>
    </w:rPr>
  </w:style>
  <w:style w:type="paragraph" w:styleId="1013" w:customStyle="1">
    <w:name w:val="列出段落1"/>
    <w:basedOn w:val="820"/>
    <w:uiPriority w:val="0"/>
    <w:qFormat/>
    <w:pPr>
      <w:ind w:firstLine="420"/>
    </w:pPr>
    <w:rPr>
      <w:rFonts w:ascii="Calibri" w:hAnsi="Calibri"/>
    </w:rPr>
  </w:style>
  <w:style w:type="paragraph" w:styleId="1014">
    <w:name w:val="List Paragraph"/>
    <w:basedOn w:val="776"/>
    <w:uiPriority w:val="34"/>
    <w:qFormat/>
    <w:pPr>
      <w:contextualSpacing/>
      <w:ind w:left="720"/>
    </w:pPr>
  </w:style>
  <w:style w:type="paragraph" w:styleId="1015">
    <w:name w:val="No Spacing"/>
    <w:uiPriority w:val="1"/>
    <w:qFormat/>
    <w:rPr>
      <w:rFonts w:hint="default" w:ascii="Times New Roman" w:hAnsi="Times New Roman" w:eastAsia="宋体" w:cs="Times New Roman"/>
      <w:lang w:val="en-US" w:eastAsia="zh-CN" w:bidi="ar-SA"/>
    </w:rPr>
  </w:style>
  <w:style w:type="paragraph" w:styleId="1016">
    <w:name w:val="Quote"/>
    <w:basedOn w:val="776"/>
    <w:next w:val="776"/>
    <w:link w:val="1017"/>
    <w:uiPriority w:val="29"/>
    <w:qFormat/>
    <w:pPr>
      <w:ind w:left="720" w:right="720"/>
    </w:pPr>
    <w:rPr>
      <w:i/>
    </w:rPr>
  </w:style>
  <w:style w:type="character" w:styleId="1017" w:customStyle="1">
    <w:name w:val="引用 字符"/>
    <w:link w:val="1016"/>
    <w:uiPriority w:val="29"/>
    <w:qFormat/>
    <w:rPr>
      <w:i/>
    </w:rPr>
  </w:style>
  <w:style w:type="paragraph" w:styleId="1018">
    <w:name w:val="Intense Quote"/>
    <w:basedOn w:val="776"/>
    <w:next w:val="776"/>
    <w:link w:val="10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9" w:customStyle="1">
    <w:name w:val="明显引用 字符"/>
    <w:link w:val="1018"/>
    <w:uiPriority w:val="30"/>
    <w:qFormat/>
    <w:rPr>
      <w:i/>
    </w:rPr>
  </w:style>
  <w:style w:type="character" w:styleId="1020" w:customStyle="1">
    <w:name w:val="Footer Char"/>
    <w:link w:val="776"/>
    <w:uiPriority w:val="99"/>
    <w:qFormat/>
  </w:style>
  <w:style w:type="table" w:styleId="1021" w:customStyle="1">
    <w:name w:val="Table Grid Light"/>
    <w:uiPriority w:val="59"/>
    <w:qFormat/>
    <w:tblPr/>
  </w:style>
  <w:style w:type="table" w:styleId="1022" w:customStyle="1">
    <w:name w:val="无格式表格 11"/>
    <w:uiPriority w:val="59"/>
    <w:qFormat/>
    <w:tblPr/>
  </w:style>
  <w:style w:type="table" w:styleId="1023" w:customStyle="1">
    <w:name w:val="无格式表格 21"/>
    <w:uiPriority w:val="59"/>
    <w:qFormat/>
    <w:tblPr/>
  </w:style>
  <w:style w:type="table" w:styleId="1024" w:customStyle="1">
    <w:name w:val="无格式表格 31"/>
    <w:uiPriority w:val="99"/>
    <w:qFormat/>
    <w:tblPr/>
  </w:style>
  <w:style w:type="table" w:styleId="1025" w:customStyle="1">
    <w:name w:val="无格式表格 41"/>
    <w:uiPriority w:val="99"/>
    <w:qFormat/>
    <w:tblPr/>
  </w:style>
  <w:style w:type="table" w:styleId="1026" w:customStyle="1">
    <w:name w:val="无格式表格 51"/>
    <w:uiPriority w:val="99"/>
    <w:qFormat/>
    <w:tblPr/>
  </w:style>
  <w:style w:type="table" w:styleId="1027" w:customStyle="1">
    <w:name w:val="网格表 1 浅色1"/>
    <w:uiPriority w:val="99"/>
    <w:qFormat/>
    <w:tblPr/>
  </w:style>
  <w:style w:type="table" w:styleId="1028" w:customStyle="1">
    <w:name w:val="Grid Table 1 Light - Accent 1"/>
    <w:uiPriority w:val="99"/>
    <w:qFormat/>
    <w:tblPr/>
  </w:style>
  <w:style w:type="table" w:styleId="1029" w:customStyle="1">
    <w:name w:val="Grid Table 1 Light - Accent 2"/>
    <w:uiPriority w:val="99"/>
    <w:qFormat/>
    <w:tblPr/>
  </w:style>
  <w:style w:type="table" w:styleId="1030" w:customStyle="1">
    <w:name w:val="Grid Table 1 Light - Accent 3"/>
    <w:uiPriority w:val="99"/>
    <w:qFormat/>
    <w:tblPr/>
  </w:style>
  <w:style w:type="table" w:styleId="1031" w:customStyle="1">
    <w:name w:val="Grid Table 1 Light - Accent 4"/>
    <w:uiPriority w:val="99"/>
    <w:qFormat/>
    <w:tblPr/>
  </w:style>
  <w:style w:type="table" w:styleId="1032" w:customStyle="1">
    <w:name w:val="Grid Table 1 Light - Accent 5"/>
    <w:uiPriority w:val="99"/>
    <w:qFormat/>
    <w:tblPr/>
  </w:style>
  <w:style w:type="table" w:styleId="1033" w:customStyle="1">
    <w:name w:val="Grid Table 1 Light - Accent 6"/>
    <w:uiPriority w:val="99"/>
    <w:qFormat/>
    <w:tblPr/>
  </w:style>
  <w:style w:type="table" w:styleId="1034" w:customStyle="1">
    <w:name w:val="网格表 21"/>
    <w:uiPriority w:val="99"/>
    <w:qFormat/>
    <w:tblPr/>
  </w:style>
  <w:style w:type="table" w:styleId="1035" w:customStyle="1">
    <w:name w:val="Grid Table 2 - Accent 1"/>
    <w:uiPriority w:val="99"/>
    <w:qFormat/>
    <w:tblPr/>
  </w:style>
  <w:style w:type="table" w:styleId="1036" w:customStyle="1">
    <w:name w:val="Grid Table 2 - Accent 2"/>
    <w:uiPriority w:val="99"/>
    <w:qFormat/>
    <w:tblPr/>
  </w:style>
  <w:style w:type="table" w:styleId="1037" w:customStyle="1">
    <w:name w:val="Grid Table 2 - Accent 3"/>
    <w:uiPriority w:val="99"/>
    <w:qFormat/>
    <w:tblPr/>
  </w:style>
  <w:style w:type="table" w:styleId="1038" w:customStyle="1">
    <w:name w:val="Grid Table 2 - Accent 4"/>
    <w:uiPriority w:val="99"/>
    <w:qFormat/>
    <w:tblPr/>
  </w:style>
  <w:style w:type="table" w:styleId="1039" w:customStyle="1">
    <w:name w:val="Grid Table 2 - Accent 5"/>
    <w:uiPriority w:val="99"/>
    <w:qFormat/>
    <w:tblPr/>
  </w:style>
  <w:style w:type="table" w:styleId="1040" w:customStyle="1">
    <w:name w:val="Grid Table 2 - Accent 6"/>
    <w:uiPriority w:val="99"/>
    <w:qFormat/>
    <w:tblPr/>
  </w:style>
  <w:style w:type="table" w:styleId="1041" w:customStyle="1">
    <w:name w:val="网格表 31"/>
    <w:uiPriority w:val="99"/>
    <w:qFormat/>
    <w:tblPr/>
  </w:style>
  <w:style w:type="table" w:styleId="1042" w:customStyle="1">
    <w:name w:val="Grid Table 3 - Accent 1"/>
    <w:uiPriority w:val="99"/>
    <w:qFormat/>
    <w:tblPr/>
  </w:style>
  <w:style w:type="table" w:styleId="1043" w:customStyle="1">
    <w:name w:val="Grid Table 3 - Accent 2"/>
    <w:uiPriority w:val="99"/>
    <w:qFormat/>
    <w:tblPr/>
  </w:style>
  <w:style w:type="table" w:styleId="1044" w:customStyle="1">
    <w:name w:val="Grid Table 3 - Accent 3"/>
    <w:uiPriority w:val="99"/>
    <w:qFormat/>
    <w:tblPr/>
  </w:style>
  <w:style w:type="table" w:styleId="1045" w:customStyle="1">
    <w:name w:val="Grid Table 3 - Accent 4"/>
    <w:uiPriority w:val="99"/>
    <w:qFormat/>
    <w:tblPr/>
  </w:style>
  <w:style w:type="table" w:styleId="1046" w:customStyle="1">
    <w:name w:val="Grid Table 3 - Accent 5"/>
    <w:uiPriority w:val="99"/>
    <w:qFormat/>
    <w:tblPr/>
  </w:style>
  <w:style w:type="table" w:styleId="1047" w:customStyle="1">
    <w:name w:val="Grid Table 3 - Accent 6"/>
    <w:uiPriority w:val="99"/>
    <w:qFormat/>
    <w:tblPr/>
  </w:style>
  <w:style w:type="table" w:styleId="1048" w:customStyle="1">
    <w:name w:val="网格表 41"/>
    <w:uiPriority w:val="59"/>
    <w:qFormat/>
    <w:tblPr/>
  </w:style>
  <w:style w:type="table" w:styleId="1049" w:customStyle="1">
    <w:name w:val="Grid Table 4 - Accent 1"/>
    <w:uiPriority w:val="59"/>
    <w:qFormat/>
    <w:tblPr/>
  </w:style>
  <w:style w:type="table" w:styleId="1050" w:customStyle="1">
    <w:name w:val="Grid Table 4 - Accent 2"/>
    <w:uiPriority w:val="59"/>
    <w:qFormat/>
    <w:tblPr/>
  </w:style>
  <w:style w:type="table" w:styleId="1051" w:customStyle="1">
    <w:name w:val="Grid Table 4 - Accent 3"/>
    <w:uiPriority w:val="59"/>
    <w:qFormat/>
    <w:tblPr/>
  </w:style>
  <w:style w:type="table" w:styleId="1052" w:customStyle="1">
    <w:name w:val="Grid Table 4 - Accent 4"/>
    <w:uiPriority w:val="59"/>
    <w:qFormat/>
    <w:tblPr/>
  </w:style>
  <w:style w:type="table" w:styleId="1053" w:customStyle="1">
    <w:name w:val="Grid Table 4 - Accent 5"/>
    <w:uiPriority w:val="59"/>
    <w:qFormat/>
    <w:tblPr/>
  </w:style>
  <w:style w:type="table" w:styleId="1054" w:customStyle="1">
    <w:name w:val="Grid Table 4 - Accent 6"/>
    <w:uiPriority w:val="59"/>
    <w:qFormat/>
    <w:tblPr/>
  </w:style>
  <w:style w:type="table" w:styleId="1055" w:customStyle="1">
    <w:name w:val="网格表 5 深色1"/>
    <w:uiPriority w:val="99"/>
    <w:qFormat/>
    <w:tblPr/>
  </w:style>
  <w:style w:type="table" w:styleId="1056" w:customStyle="1">
    <w:name w:val="Grid Table 5 Dark- Accent 1"/>
    <w:uiPriority w:val="99"/>
    <w:qFormat/>
    <w:tblPr/>
  </w:style>
  <w:style w:type="table" w:styleId="1057" w:customStyle="1">
    <w:name w:val="Grid Table 5 Dark - Accent 2"/>
    <w:uiPriority w:val="99"/>
    <w:qFormat/>
    <w:tblPr/>
  </w:style>
  <w:style w:type="table" w:styleId="1058" w:customStyle="1">
    <w:name w:val="Grid Table 5 Dark - Accent 3"/>
    <w:uiPriority w:val="99"/>
    <w:qFormat/>
    <w:tblPr/>
  </w:style>
  <w:style w:type="table" w:styleId="1059" w:customStyle="1">
    <w:name w:val="Grid Table 5 Dark- Accent 4"/>
    <w:uiPriority w:val="99"/>
    <w:qFormat/>
    <w:tblPr/>
  </w:style>
  <w:style w:type="table" w:styleId="1060" w:customStyle="1">
    <w:name w:val="Grid Table 5 Dark - Accent 5"/>
    <w:uiPriority w:val="99"/>
    <w:qFormat/>
    <w:tblPr/>
  </w:style>
  <w:style w:type="table" w:styleId="1061" w:customStyle="1">
    <w:name w:val="Grid Table 5 Dark - Accent 6"/>
    <w:uiPriority w:val="99"/>
    <w:qFormat/>
    <w:tblPr/>
  </w:style>
  <w:style w:type="table" w:styleId="1062" w:customStyle="1">
    <w:name w:val="网格表 6 彩色1"/>
    <w:uiPriority w:val="99"/>
    <w:qFormat/>
    <w:tblPr/>
  </w:style>
  <w:style w:type="table" w:styleId="1063" w:customStyle="1">
    <w:name w:val="Grid Table 6 Colorful - Accent 1"/>
    <w:uiPriority w:val="99"/>
    <w:qFormat/>
    <w:tblPr/>
  </w:style>
  <w:style w:type="table" w:styleId="1064" w:customStyle="1">
    <w:name w:val="Grid Table 6 Colorful - Accent 2"/>
    <w:uiPriority w:val="99"/>
    <w:qFormat/>
    <w:tblPr/>
  </w:style>
  <w:style w:type="table" w:styleId="1065" w:customStyle="1">
    <w:name w:val="Grid Table 6 Colorful - Accent 3"/>
    <w:uiPriority w:val="99"/>
    <w:qFormat/>
    <w:tblPr/>
  </w:style>
  <w:style w:type="table" w:styleId="1066" w:customStyle="1">
    <w:name w:val="Grid Table 6 Colorful - Accent 4"/>
    <w:uiPriority w:val="99"/>
    <w:qFormat/>
    <w:tblPr/>
  </w:style>
  <w:style w:type="table" w:styleId="1067" w:customStyle="1">
    <w:name w:val="Grid Table 6 Colorful - Accent 5"/>
    <w:uiPriority w:val="99"/>
    <w:qFormat/>
    <w:tblPr/>
  </w:style>
  <w:style w:type="table" w:styleId="1068" w:customStyle="1">
    <w:name w:val="Grid Table 6 Colorful - Accent 6"/>
    <w:uiPriority w:val="99"/>
    <w:qFormat/>
    <w:tblPr/>
  </w:style>
  <w:style w:type="table" w:styleId="1069" w:customStyle="1">
    <w:name w:val="网格表 7 彩色1"/>
    <w:uiPriority w:val="99"/>
    <w:qFormat/>
    <w:tblPr/>
  </w:style>
  <w:style w:type="table" w:styleId="1070" w:customStyle="1">
    <w:name w:val="Grid Table 7 Colorful - Accent 1"/>
    <w:uiPriority w:val="99"/>
    <w:qFormat/>
    <w:tblPr/>
  </w:style>
  <w:style w:type="table" w:styleId="1071" w:customStyle="1">
    <w:name w:val="Grid Table 7 Colorful - Accent 2"/>
    <w:uiPriority w:val="99"/>
    <w:qFormat/>
    <w:tblPr/>
  </w:style>
  <w:style w:type="table" w:styleId="1072" w:customStyle="1">
    <w:name w:val="Grid Table 7 Colorful - Accent 3"/>
    <w:uiPriority w:val="99"/>
    <w:qFormat/>
    <w:tblPr/>
  </w:style>
  <w:style w:type="table" w:styleId="1073" w:customStyle="1">
    <w:name w:val="Grid Table 7 Colorful - Accent 4"/>
    <w:uiPriority w:val="99"/>
    <w:qFormat/>
    <w:tblPr/>
  </w:style>
  <w:style w:type="table" w:styleId="1074" w:customStyle="1">
    <w:name w:val="Grid Table 7 Colorful - Accent 5"/>
    <w:uiPriority w:val="99"/>
    <w:qFormat/>
    <w:tblPr/>
  </w:style>
  <w:style w:type="table" w:styleId="1075" w:customStyle="1">
    <w:name w:val="Grid Table 7 Colorful - Accent 6"/>
    <w:uiPriority w:val="99"/>
    <w:qFormat/>
    <w:tblPr/>
  </w:style>
  <w:style w:type="table" w:styleId="1076" w:customStyle="1">
    <w:name w:val="清单表 1 浅色1"/>
    <w:uiPriority w:val="99"/>
    <w:qFormat/>
    <w:tblPr/>
  </w:style>
  <w:style w:type="table" w:styleId="1077" w:customStyle="1">
    <w:name w:val="List Table 1 Light - Accent 1"/>
    <w:uiPriority w:val="99"/>
    <w:qFormat/>
    <w:tblPr/>
  </w:style>
  <w:style w:type="table" w:styleId="1078" w:customStyle="1">
    <w:name w:val="List Table 1 Light - Accent 2"/>
    <w:uiPriority w:val="99"/>
    <w:qFormat/>
    <w:tblPr/>
  </w:style>
  <w:style w:type="table" w:styleId="1079" w:customStyle="1">
    <w:name w:val="List Table 1 Light - Accent 3"/>
    <w:uiPriority w:val="99"/>
    <w:qFormat/>
    <w:tblPr/>
  </w:style>
  <w:style w:type="table" w:styleId="1080" w:customStyle="1">
    <w:name w:val="List Table 1 Light - Accent 4"/>
    <w:uiPriority w:val="99"/>
    <w:qFormat/>
    <w:tblPr/>
  </w:style>
  <w:style w:type="table" w:styleId="1081" w:customStyle="1">
    <w:name w:val="List Table 1 Light - Accent 5"/>
    <w:uiPriority w:val="99"/>
    <w:qFormat/>
    <w:tblPr/>
  </w:style>
  <w:style w:type="table" w:styleId="1082" w:customStyle="1">
    <w:name w:val="List Table 1 Light - Accent 6"/>
    <w:uiPriority w:val="99"/>
    <w:qFormat/>
    <w:tblPr/>
  </w:style>
  <w:style w:type="table" w:styleId="1083" w:customStyle="1">
    <w:name w:val="清单表 21"/>
    <w:uiPriority w:val="99"/>
    <w:qFormat/>
    <w:tblPr/>
  </w:style>
  <w:style w:type="table" w:styleId="1084" w:customStyle="1">
    <w:name w:val="List Table 2 - Accent 1"/>
    <w:uiPriority w:val="99"/>
    <w:qFormat/>
    <w:tblPr/>
  </w:style>
  <w:style w:type="table" w:styleId="1085" w:customStyle="1">
    <w:name w:val="List Table 2 - Accent 2"/>
    <w:uiPriority w:val="99"/>
    <w:qFormat/>
    <w:tblPr/>
  </w:style>
  <w:style w:type="table" w:styleId="1086" w:customStyle="1">
    <w:name w:val="List Table 2 - Accent 3"/>
    <w:uiPriority w:val="99"/>
    <w:qFormat/>
    <w:tblPr/>
  </w:style>
  <w:style w:type="table" w:styleId="1087" w:customStyle="1">
    <w:name w:val="List Table 2 - Accent 4"/>
    <w:uiPriority w:val="99"/>
    <w:qFormat/>
    <w:tblPr/>
  </w:style>
  <w:style w:type="table" w:styleId="1088" w:customStyle="1">
    <w:name w:val="List Table 2 - Accent 5"/>
    <w:uiPriority w:val="99"/>
    <w:qFormat/>
    <w:tblPr/>
  </w:style>
  <w:style w:type="table" w:styleId="1089" w:customStyle="1">
    <w:name w:val="List Table 2 - Accent 6"/>
    <w:uiPriority w:val="99"/>
    <w:qFormat/>
    <w:tblPr/>
  </w:style>
  <w:style w:type="table" w:styleId="1090" w:customStyle="1">
    <w:name w:val="清单表 31"/>
    <w:uiPriority w:val="99"/>
    <w:qFormat/>
    <w:tblPr/>
  </w:style>
  <w:style w:type="table" w:styleId="1091" w:customStyle="1">
    <w:name w:val="List Table 3 - Accent 1"/>
    <w:uiPriority w:val="99"/>
    <w:qFormat/>
    <w:tblPr/>
  </w:style>
  <w:style w:type="table" w:styleId="1092" w:customStyle="1">
    <w:name w:val="List Table 3 - Accent 2"/>
    <w:uiPriority w:val="99"/>
    <w:qFormat/>
    <w:tblPr/>
  </w:style>
  <w:style w:type="table" w:styleId="1093" w:customStyle="1">
    <w:name w:val="List Table 3 - Accent 3"/>
    <w:uiPriority w:val="99"/>
    <w:qFormat/>
    <w:tblPr/>
  </w:style>
  <w:style w:type="table" w:styleId="1094" w:customStyle="1">
    <w:name w:val="List Table 3 - Accent 4"/>
    <w:uiPriority w:val="99"/>
    <w:qFormat/>
    <w:tblPr/>
  </w:style>
  <w:style w:type="table" w:styleId="1095" w:customStyle="1">
    <w:name w:val="List Table 3 - Accent 5"/>
    <w:uiPriority w:val="99"/>
    <w:qFormat/>
    <w:tblPr/>
  </w:style>
  <w:style w:type="table" w:styleId="1096" w:customStyle="1">
    <w:name w:val="List Table 3 - Accent 6"/>
    <w:uiPriority w:val="99"/>
    <w:qFormat/>
    <w:tblPr/>
  </w:style>
  <w:style w:type="table" w:styleId="1097" w:customStyle="1">
    <w:name w:val="清单表 41"/>
    <w:uiPriority w:val="99"/>
    <w:qFormat/>
    <w:tblPr/>
  </w:style>
  <w:style w:type="table" w:styleId="1098" w:customStyle="1">
    <w:name w:val="List Table 4 - Accent 1"/>
    <w:uiPriority w:val="99"/>
    <w:qFormat/>
    <w:tblPr/>
  </w:style>
  <w:style w:type="table" w:styleId="1099" w:customStyle="1">
    <w:name w:val="List Table 4 - Accent 2"/>
    <w:uiPriority w:val="99"/>
    <w:qFormat/>
    <w:tblPr/>
  </w:style>
  <w:style w:type="table" w:styleId="1100" w:customStyle="1">
    <w:name w:val="List Table 4 - Accent 3"/>
    <w:uiPriority w:val="99"/>
    <w:qFormat/>
    <w:tblPr/>
  </w:style>
  <w:style w:type="table" w:styleId="1101" w:customStyle="1">
    <w:name w:val="List Table 4 - Accent 4"/>
    <w:uiPriority w:val="99"/>
    <w:qFormat/>
    <w:tblPr/>
  </w:style>
  <w:style w:type="table" w:styleId="1102" w:customStyle="1">
    <w:name w:val="List Table 4 - Accent 5"/>
    <w:uiPriority w:val="99"/>
    <w:qFormat/>
    <w:tblPr/>
  </w:style>
  <w:style w:type="table" w:styleId="1103" w:customStyle="1">
    <w:name w:val="List Table 4 - Accent 6"/>
    <w:uiPriority w:val="99"/>
    <w:qFormat/>
    <w:tblPr/>
  </w:style>
  <w:style w:type="table" w:styleId="1104" w:customStyle="1">
    <w:name w:val="清单表 5 深色1"/>
    <w:uiPriority w:val="99"/>
    <w:qFormat/>
    <w:tblPr/>
  </w:style>
  <w:style w:type="table" w:styleId="1105" w:customStyle="1">
    <w:name w:val="List Table 5 Dark - Accent 1"/>
    <w:uiPriority w:val="99"/>
    <w:qFormat/>
    <w:tblPr/>
  </w:style>
  <w:style w:type="table" w:styleId="1106" w:customStyle="1">
    <w:name w:val="List Table 5 Dark - Accent 2"/>
    <w:uiPriority w:val="99"/>
    <w:qFormat/>
    <w:tblPr/>
  </w:style>
  <w:style w:type="table" w:styleId="1107" w:customStyle="1">
    <w:name w:val="List Table 5 Dark - Accent 3"/>
    <w:uiPriority w:val="99"/>
    <w:qFormat/>
    <w:tblPr/>
  </w:style>
  <w:style w:type="table" w:styleId="1108" w:customStyle="1">
    <w:name w:val="List Table 5 Dark - Accent 4"/>
    <w:uiPriority w:val="99"/>
    <w:qFormat/>
    <w:tblPr/>
  </w:style>
  <w:style w:type="table" w:styleId="1109" w:customStyle="1">
    <w:name w:val="List Table 5 Dark - Accent 5"/>
    <w:uiPriority w:val="99"/>
    <w:qFormat/>
    <w:tblPr/>
  </w:style>
  <w:style w:type="table" w:styleId="1110" w:customStyle="1">
    <w:name w:val="List Table 5 Dark - Accent 6"/>
    <w:uiPriority w:val="99"/>
    <w:qFormat/>
    <w:tblPr/>
  </w:style>
  <w:style w:type="table" w:styleId="1111" w:customStyle="1">
    <w:name w:val="清单表 6 彩色1"/>
    <w:uiPriority w:val="99"/>
    <w:qFormat/>
    <w:tblPr/>
  </w:style>
  <w:style w:type="table" w:styleId="1112" w:customStyle="1">
    <w:name w:val="List Table 6 Colorful - Accent 1"/>
    <w:uiPriority w:val="99"/>
    <w:qFormat/>
    <w:tblPr/>
  </w:style>
  <w:style w:type="table" w:styleId="1113" w:customStyle="1">
    <w:name w:val="List Table 6 Colorful - Accent 2"/>
    <w:uiPriority w:val="99"/>
    <w:qFormat/>
    <w:tblPr/>
  </w:style>
  <w:style w:type="table" w:styleId="1114" w:customStyle="1">
    <w:name w:val="List Table 6 Colorful - Accent 3"/>
    <w:uiPriority w:val="99"/>
    <w:qFormat/>
    <w:tblPr/>
  </w:style>
  <w:style w:type="table" w:styleId="1115" w:customStyle="1">
    <w:name w:val="List Table 6 Colorful - Accent 4"/>
    <w:uiPriority w:val="99"/>
    <w:qFormat/>
    <w:tblPr/>
  </w:style>
  <w:style w:type="table" w:styleId="1116" w:customStyle="1">
    <w:name w:val="List Table 6 Colorful - Accent 5"/>
    <w:uiPriority w:val="99"/>
    <w:qFormat/>
    <w:tblPr/>
  </w:style>
  <w:style w:type="table" w:styleId="1117" w:customStyle="1">
    <w:name w:val="List Table 6 Colorful - Accent 6"/>
    <w:uiPriority w:val="99"/>
    <w:qFormat/>
    <w:tblPr/>
  </w:style>
  <w:style w:type="table" w:styleId="1118" w:customStyle="1">
    <w:name w:val="清单表 7 彩色1"/>
    <w:uiPriority w:val="99"/>
    <w:qFormat/>
    <w:tblPr/>
  </w:style>
  <w:style w:type="table" w:styleId="1119" w:customStyle="1">
    <w:name w:val="List Table 7 Colorful - Accent 1"/>
    <w:uiPriority w:val="99"/>
    <w:qFormat/>
    <w:tblPr/>
  </w:style>
  <w:style w:type="table" w:styleId="1120" w:customStyle="1">
    <w:name w:val="List Table 7 Colorful - Accent 2"/>
    <w:uiPriority w:val="99"/>
    <w:qFormat/>
    <w:tblPr/>
  </w:style>
  <w:style w:type="table" w:styleId="1121" w:customStyle="1">
    <w:name w:val="List Table 7 Colorful - Accent 3"/>
    <w:uiPriority w:val="99"/>
    <w:qFormat/>
    <w:tblPr/>
  </w:style>
  <w:style w:type="table" w:styleId="1122" w:customStyle="1">
    <w:name w:val="List Table 7 Colorful - Accent 4"/>
    <w:uiPriority w:val="99"/>
    <w:qFormat/>
    <w:tblPr/>
  </w:style>
  <w:style w:type="table" w:styleId="1123" w:customStyle="1">
    <w:name w:val="List Table 7 Colorful - Accent 5"/>
    <w:uiPriority w:val="99"/>
    <w:qFormat/>
    <w:tblPr/>
  </w:style>
  <w:style w:type="table" w:styleId="1124" w:customStyle="1">
    <w:name w:val="List Table 7 Colorful - Accent 6"/>
    <w:uiPriority w:val="99"/>
    <w:qFormat/>
    <w:tblPr/>
  </w:style>
  <w:style w:type="table" w:styleId="1125" w:customStyle="1">
    <w:name w:val="Lined - Accent"/>
    <w:uiPriority w:val="99"/>
    <w:qFormat/>
    <w:rPr>
      <w:color w:val="404040"/>
    </w:rPr>
    <w:tblPr/>
  </w:style>
  <w:style w:type="table" w:styleId="1126" w:customStyle="1">
    <w:name w:val="Lined - Accent 1"/>
    <w:uiPriority w:val="99"/>
    <w:qFormat/>
    <w:rPr>
      <w:color w:val="404040"/>
    </w:rPr>
    <w:tblPr/>
  </w:style>
  <w:style w:type="table" w:styleId="1127" w:customStyle="1">
    <w:name w:val="Lined - Accent 2"/>
    <w:uiPriority w:val="99"/>
    <w:qFormat/>
    <w:rPr>
      <w:color w:val="404040"/>
    </w:rPr>
    <w:tblPr/>
  </w:style>
  <w:style w:type="table" w:styleId="1128" w:customStyle="1">
    <w:name w:val="Lined - Accent 3"/>
    <w:uiPriority w:val="99"/>
    <w:qFormat/>
    <w:rPr>
      <w:color w:val="404040"/>
    </w:rPr>
    <w:tblPr/>
  </w:style>
  <w:style w:type="table" w:styleId="1129" w:customStyle="1">
    <w:name w:val="Lined - Accent 4"/>
    <w:uiPriority w:val="99"/>
    <w:qFormat/>
    <w:rPr>
      <w:color w:val="404040"/>
    </w:rPr>
    <w:tblPr/>
  </w:style>
  <w:style w:type="table" w:styleId="1130" w:customStyle="1">
    <w:name w:val="Lined - Accent 5"/>
    <w:uiPriority w:val="99"/>
    <w:qFormat/>
    <w:rPr>
      <w:color w:val="404040"/>
    </w:rPr>
    <w:tblPr/>
  </w:style>
  <w:style w:type="table" w:styleId="1131" w:customStyle="1">
    <w:name w:val="Lined - Accent 6"/>
    <w:uiPriority w:val="99"/>
    <w:qFormat/>
    <w:rPr>
      <w:color w:val="404040"/>
    </w:rPr>
    <w:tblPr/>
  </w:style>
  <w:style w:type="table" w:styleId="1132" w:customStyle="1">
    <w:name w:val="Bordered &amp; Lined - Accent"/>
    <w:uiPriority w:val="99"/>
    <w:qFormat/>
    <w:rPr>
      <w:color w:val="404040"/>
    </w:rPr>
    <w:tblPr/>
  </w:style>
  <w:style w:type="table" w:styleId="1133" w:customStyle="1">
    <w:name w:val="Bordered &amp; Lined - Accent 1"/>
    <w:uiPriority w:val="99"/>
    <w:qFormat/>
    <w:rPr>
      <w:color w:val="404040"/>
    </w:rPr>
    <w:tblPr/>
  </w:style>
  <w:style w:type="table" w:styleId="1134" w:customStyle="1">
    <w:name w:val="Bordered &amp; Lined - Accent 2"/>
    <w:uiPriority w:val="99"/>
    <w:qFormat/>
    <w:rPr>
      <w:color w:val="404040"/>
    </w:rPr>
    <w:tblPr/>
  </w:style>
  <w:style w:type="table" w:styleId="1135" w:customStyle="1">
    <w:name w:val="Bordered &amp; Lined - Accent 3"/>
    <w:uiPriority w:val="99"/>
    <w:qFormat/>
    <w:rPr>
      <w:color w:val="404040"/>
    </w:rPr>
    <w:tblPr/>
  </w:style>
  <w:style w:type="table" w:styleId="1136" w:customStyle="1">
    <w:name w:val="Bordered &amp; Lined - Accent 4"/>
    <w:uiPriority w:val="99"/>
    <w:qFormat/>
    <w:rPr>
      <w:color w:val="404040"/>
    </w:rPr>
    <w:tblPr/>
  </w:style>
  <w:style w:type="table" w:styleId="1137" w:customStyle="1">
    <w:name w:val="Bordered &amp; Lined - Accent 5"/>
    <w:uiPriority w:val="99"/>
    <w:qFormat/>
    <w:rPr>
      <w:color w:val="404040"/>
    </w:rPr>
    <w:tblPr/>
  </w:style>
  <w:style w:type="table" w:styleId="1138" w:customStyle="1">
    <w:name w:val="Bordered &amp; Lined - Accent 6"/>
    <w:uiPriority w:val="99"/>
    <w:qFormat/>
    <w:rPr>
      <w:color w:val="404040"/>
    </w:rPr>
    <w:tblPr/>
  </w:style>
  <w:style w:type="table" w:styleId="1139" w:customStyle="1">
    <w:name w:val="Bordered"/>
    <w:uiPriority w:val="99"/>
    <w:qFormat/>
    <w:tblPr/>
  </w:style>
  <w:style w:type="table" w:styleId="1140" w:customStyle="1">
    <w:name w:val="Bordered - Accent 1"/>
    <w:uiPriority w:val="99"/>
    <w:qFormat/>
    <w:tblPr/>
  </w:style>
  <w:style w:type="table" w:styleId="1141" w:customStyle="1">
    <w:name w:val="Bordered - Accent 2"/>
    <w:uiPriority w:val="99"/>
    <w:qFormat/>
    <w:tblPr/>
  </w:style>
  <w:style w:type="table" w:styleId="1142" w:customStyle="1">
    <w:name w:val="Bordered - Accent 3"/>
    <w:uiPriority w:val="99"/>
    <w:qFormat/>
    <w:tblPr/>
  </w:style>
  <w:style w:type="table" w:styleId="1143" w:customStyle="1">
    <w:name w:val="Bordered - Accent 4"/>
    <w:uiPriority w:val="99"/>
    <w:qFormat/>
    <w:tblPr/>
  </w:style>
  <w:style w:type="table" w:styleId="1144" w:customStyle="1">
    <w:name w:val="Bordered - Accent 5"/>
    <w:uiPriority w:val="99"/>
    <w:qFormat/>
    <w:tblPr/>
  </w:style>
  <w:style w:type="table" w:styleId="1145" w:customStyle="1">
    <w:name w:val="Bordered - Accent 6"/>
    <w:uiPriority w:val="99"/>
    <w:qFormat/>
    <w:tblPr/>
  </w:style>
  <w:style w:type="paragraph" w:styleId="1146" w:customStyle="1">
    <w:name w:val="TOC 标题11"/>
    <w:uiPriority w:val="39"/>
    <w:unhideWhenUsed/>
    <w:qFormat/>
    <w:rPr>
      <w:rFonts w:hint="default" w:ascii="Times New Roman" w:hAnsi="Times New Roman" w:eastAsia="宋体" w:cs="Times New Roman"/>
      <w:lang w:val="en-US" w:eastAsia="zh-CN" w:bidi="ar-SA"/>
    </w:rPr>
  </w:style>
  <w:style w:type="paragraph" w:styleId="1147" w:customStyle="1">
    <w:name w:val="正文缩进1"/>
    <w:basedOn w:val="776"/>
    <w:uiPriority w:val="99"/>
    <w:qFormat/>
    <w:pPr>
      <w:ind w:firstLine="420"/>
    </w:pPr>
  </w:style>
  <w:style w:type="paragraph" w:styleId="1148" w:customStyle="1">
    <w:name w:val="标题 31"/>
    <w:basedOn w:val="776"/>
    <w:next w:val="776"/>
    <w:uiPriority w:val="0"/>
    <w:qFormat/>
    <w:pPr>
      <w:jc w:val="left"/>
      <w:spacing w:beforeAutospacing="1" w:afterAutospacing="1"/>
      <w:outlineLvl w:val="2"/>
    </w:pPr>
    <w:rPr>
      <w:rFonts w:hint="eastAsia" w:ascii="宋体" w:hAnsi="宋体"/>
      <w:b/>
      <w:bCs/>
      <w:sz w:val="27"/>
      <w:szCs w:val="27"/>
    </w:rPr>
  </w:style>
  <w:style w:type="character" w:styleId="1149" w:customStyle="1">
    <w:name w:val="默认段落字体1"/>
    <w:link w:val="776"/>
    <w:uiPriority w:val="1"/>
    <w:unhideWhenUsed/>
    <w:qFormat/>
  </w:style>
  <w:style w:type="table" w:styleId="1150" w:customStyle="1">
    <w:name w:val="普通表格1"/>
    <w:uiPriority w:val="99"/>
    <w:unhideWhenUsed/>
    <w:qFormat/>
    <w:tblPr/>
  </w:style>
  <w:style w:type="paragraph" w:styleId="1151" w:customStyle="1">
    <w:name w:val="文本块111"/>
    <w:basedOn w:val="776"/>
    <w:uiPriority w:val="0"/>
    <w:qFormat/>
    <w:pPr>
      <w:ind w:left="256" w:right="6" w:firstLine="624"/>
    </w:pPr>
    <w:rPr>
      <w:rFonts w:eastAsia="仿宋_GB2312"/>
      <w:sz w:val="28"/>
      <w:szCs w:val="20"/>
    </w:rPr>
  </w:style>
  <w:style w:type="paragraph" w:styleId="1152" w:customStyle="1">
    <w:name w:val="索引 511"/>
    <w:basedOn w:val="776"/>
    <w:next w:val="776"/>
    <w:uiPriority w:val="0"/>
    <w:qFormat/>
    <w:pPr>
      <w:ind w:left="798"/>
      <w:jc w:val="left"/>
    </w:pPr>
  </w:style>
  <w:style w:type="paragraph" w:styleId="1153" w:customStyle="1">
    <w:name w:val="批注文字1"/>
    <w:basedOn w:val="776"/>
    <w:uiPriority w:val="0"/>
    <w:qFormat/>
    <w:pPr>
      <w:jc w:val="left"/>
    </w:pPr>
  </w:style>
  <w:style w:type="paragraph" w:styleId="1154" w:customStyle="1">
    <w:name w:val="正文文本111"/>
    <w:basedOn w:val="776"/>
    <w:next w:val="940"/>
    <w:link w:val="1155"/>
    <w:uiPriority w:val="0"/>
    <w:qFormat/>
    <w:rPr>
      <w:rFonts w:ascii="Verdana" w:hAnsi="Verdana"/>
      <w:sz w:val="24"/>
      <w:szCs w:val="18"/>
    </w:rPr>
  </w:style>
  <w:style w:type="character" w:styleId="1155" w:customStyle="1">
    <w:name w:val="正文文本 Char"/>
    <w:basedOn w:val="1149"/>
    <w:link w:val="1154"/>
    <w:uiPriority w:val="0"/>
    <w:qFormat/>
    <w:rPr>
      <w:rFonts w:ascii="Verdana" w:hAnsi="Verdana"/>
      <w:sz w:val="24"/>
      <w:szCs w:val="18"/>
    </w:rPr>
  </w:style>
  <w:style w:type="paragraph" w:styleId="1156" w:customStyle="1">
    <w:name w:val="纯文本1"/>
    <w:basedOn w:val="949"/>
    <w:uiPriority w:val="0"/>
    <w:qFormat/>
    <w:rPr>
      <w:rFonts w:ascii="宋体" w:hAnsi="Courier New"/>
    </w:rPr>
  </w:style>
  <w:style w:type="paragraph" w:styleId="1157" w:customStyle="1">
    <w:name w:val="BlockQuote1"/>
    <w:basedOn w:val="831"/>
    <w:uiPriority w:val="0"/>
    <w:qFormat/>
    <w:pPr>
      <w:ind w:left="256" w:right="6" w:firstLine="624"/>
    </w:pPr>
    <w:rPr>
      <w:rFonts w:eastAsia="仿宋_GB2312"/>
      <w:sz w:val="28"/>
    </w:rPr>
  </w:style>
  <w:style w:type="paragraph" w:styleId="1158" w:customStyle="1">
    <w:name w:val="日期1"/>
    <w:basedOn w:val="776"/>
    <w:next w:val="776"/>
    <w:uiPriority w:val="0"/>
    <w:qFormat/>
    <w:rPr>
      <w:rFonts w:eastAsia="仿宋_GB2312"/>
      <w:sz w:val="28"/>
      <w:szCs w:val="20"/>
    </w:rPr>
  </w:style>
  <w:style w:type="paragraph" w:styleId="1159" w:customStyle="1">
    <w:name w:val="批注框文本1"/>
    <w:basedOn w:val="776"/>
    <w:link w:val="1160"/>
    <w:uiPriority w:val="0"/>
    <w:qFormat/>
    <w:rPr>
      <w:sz w:val="18"/>
      <w:szCs w:val="18"/>
    </w:rPr>
  </w:style>
  <w:style w:type="character" w:styleId="1160" w:customStyle="1">
    <w:name w:val="批注框文本 Char"/>
    <w:basedOn w:val="1149"/>
    <w:link w:val="1159"/>
    <w:uiPriority w:val="0"/>
    <w:qFormat/>
    <w:rPr>
      <w:rFonts w:ascii="Calibri" w:hAnsi="Calibri" w:eastAsia="宋体" w:cs="Times New Roman"/>
      <w:sz w:val="18"/>
      <w:szCs w:val="18"/>
    </w:rPr>
  </w:style>
  <w:style w:type="paragraph" w:styleId="1161" w:customStyle="1">
    <w:name w:val="页脚1"/>
    <w:basedOn w:val="776"/>
    <w:uiPriority w:val="0"/>
    <w:qFormat/>
    <w:pPr>
      <w:jc w:val="left"/>
      <w:tabs>
        <w:tab w:val="center" w:pos="4153" w:leader="none"/>
        <w:tab w:val="right" w:pos="8306" w:leader="none"/>
      </w:tabs>
    </w:pPr>
    <w:rPr>
      <w:sz w:val="18"/>
    </w:rPr>
  </w:style>
  <w:style w:type="paragraph" w:styleId="1162" w:customStyle="1">
    <w:name w:val="页眉1"/>
    <w:basedOn w:val="776"/>
    <w:uiPriority w:val="0"/>
    <w:qFormat/>
    <w:pPr>
      <w:jc w:val="center"/>
      <w:tabs>
        <w:tab w:val="center" w:pos="4153" w:leader="none"/>
        <w:tab w:val="right" w:pos="8306" w:leader="none"/>
      </w:tabs>
      <w:pBdr>
        <w:bottom w:val="single" w:color="000000" w:sz="6" w:space="1"/>
      </w:pBdr>
    </w:pPr>
    <w:rPr>
      <w:sz w:val="18"/>
      <w:szCs w:val="18"/>
    </w:rPr>
  </w:style>
  <w:style w:type="paragraph" w:styleId="1163" w:customStyle="1">
    <w:name w:val="脚注文本11"/>
    <w:basedOn w:val="776"/>
    <w:next w:val="1152"/>
    <w:link w:val="1164"/>
    <w:uiPriority w:val="0"/>
    <w:qFormat/>
    <w:pPr>
      <w:jc w:val="left"/>
    </w:pPr>
    <w:rPr>
      <w:rFonts w:ascii="宋体" w:eastAsia="Times New Roman"/>
      <w:sz w:val="18"/>
      <w:szCs w:val="18"/>
    </w:rPr>
  </w:style>
  <w:style w:type="character" w:styleId="1164" w:customStyle="1">
    <w:name w:val="脚注文本 Char"/>
    <w:basedOn w:val="1149"/>
    <w:link w:val="1163"/>
    <w:uiPriority w:val="0"/>
    <w:qFormat/>
    <w:rPr>
      <w:rFonts w:ascii="宋体" w:hAnsi="Calibri" w:eastAsia="Times New Roman"/>
      <w:sz w:val="18"/>
      <w:szCs w:val="18"/>
    </w:rPr>
  </w:style>
  <w:style w:type="paragraph" w:styleId="1165" w:customStyle="1">
    <w:name w:val="普通(网站)1"/>
    <w:basedOn w:val="776"/>
    <w:uiPriority w:val="0"/>
    <w:qFormat/>
    <w:pPr>
      <w:jc w:val="left"/>
      <w:spacing w:beforeAutospacing="1" w:afterAutospacing="1"/>
    </w:pPr>
    <w:rPr>
      <w:sz w:val="24"/>
    </w:rPr>
  </w:style>
  <w:style w:type="table" w:styleId="1166" w:customStyle="1">
    <w:name w:val="网格型1"/>
    <w:basedOn w:val="1150"/>
    <w:uiPriority w:val="59"/>
    <w:qFormat/>
    <w:rPr>
      <w:rFonts w:ascii="Calibri" w:hAnsi="Calibri"/>
      <w:sz w:val="21"/>
      <w:szCs w:val="22"/>
    </w:rPr>
    <w:tblPr/>
  </w:style>
  <w:style w:type="character" w:styleId="1167" w:customStyle="1">
    <w:name w:val="页码1"/>
    <w:basedOn w:val="1149"/>
    <w:link w:val="776"/>
    <w:uiPriority w:val="0"/>
    <w:qFormat/>
  </w:style>
  <w:style w:type="character" w:styleId="1168" w:customStyle="1">
    <w:name w:val="超链接1"/>
    <w:link w:val="776"/>
    <w:uiPriority w:val="99"/>
    <w:qFormat/>
    <w:rPr>
      <w:rFonts w:cs="Times New Roman"/>
      <w:color w:val="0000ff"/>
      <w:u w:val="single"/>
    </w:rPr>
  </w:style>
  <w:style w:type="character" w:styleId="1169" w:customStyle="1">
    <w:name w:val="批注引用1"/>
    <w:basedOn w:val="1149"/>
    <w:link w:val="776"/>
    <w:uiPriority w:val="0"/>
    <w:qFormat/>
    <w:rPr>
      <w:sz w:val="21"/>
      <w:szCs w:val="21"/>
    </w:rPr>
  </w:style>
  <w:style w:type="paragraph" w:styleId="1170" w:customStyle="1">
    <w:name w:val="BlockQuote11"/>
    <w:basedOn w:val="776"/>
    <w:uiPriority w:val="0"/>
    <w:qFormat/>
    <w:pPr>
      <w:ind w:left="256" w:right="6" w:firstLine="624"/>
    </w:pPr>
    <w:rPr>
      <w:rFonts w:eastAsia="仿宋_GB2312"/>
      <w:sz w:val="28"/>
    </w:rPr>
  </w:style>
  <w:style w:type="paragraph" w:styleId="117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172" w:customStyle="1">
    <w:name w:val="font81"/>
    <w:basedOn w:val="1149"/>
    <w:link w:val="776"/>
    <w:uiPriority w:val="0"/>
    <w:qFormat/>
    <w:rPr>
      <w:rFonts w:hint="eastAsia" w:ascii="宋体" w:hAnsi="宋体" w:eastAsia="宋体" w:cs="宋体"/>
      <w:color w:val="ff0000"/>
      <w:sz w:val="20"/>
      <w:szCs w:val="20"/>
      <w:u w:val="none"/>
    </w:rPr>
  </w:style>
  <w:style w:type="character" w:styleId="1173" w:customStyle="1">
    <w:name w:val="font71"/>
    <w:basedOn w:val="1149"/>
    <w:link w:val="776"/>
    <w:uiPriority w:val="0"/>
    <w:qFormat/>
    <w:rPr>
      <w:rFonts w:hint="eastAsia" w:ascii="宋体" w:hAnsi="宋体" w:eastAsia="宋体" w:cs="宋体"/>
      <w:color w:val="000000"/>
      <w:sz w:val="20"/>
      <w:szCs w:val="20"/>
      <w:u w:val="none"/>
    </w:rPr>
  </w:style>
  <w:style w:type="character" w:styleId="1174" w:customStyle="1">
    <w:name w:val="font01"/>
    <w:basedOn w:val="902"/>
    <w:link w:val="776"/>
    <w:uiPriority w:val="0"/>
    <w:qFormat/>
    <w:rPr>
      <w:rFonts w:hint="eastAsia" w:ascii="宋体" w:hAnsi="宋体" w:eastAsia="宋体" w:cs="宋体"/>
      <w:color w:val="000000"/>
      <w:sz w:val="21"/>
      <w:szCs w:val="21"/>
      <w:u w:val="none"/>
    </w:rPr>
  </w:style>
  <w:style w:type="character" w:styleId="1175" w:customStyle="1">
    <w:name w:val="font21"/>
    <w:basedOn w:val="1149"/>
    <w:link w:val="776"/>
    <w:uiPriority w:val="0"/>
    <w:qFormat/>
    <w:rPr>
      <w:rFonts w:hint="eastAsia" w:ascii="宋体" w:hAnsi="宋体" w:eastAsia="宋体" w:cs="宋体"/>
      <w:color w:val="000000"/>
      <w:sz w:val="20"/>
      <w:szCs w:val="20"/>
      <w:u w:val="none"/>
    </w:rPr>
  </w:style>
  <w:style w:type="character" w:styleId="1176" w:customStyle="1">
    <w:name w:val="font112"/>
    <w:basedOn w:val="1149"/>
    <w:link w:val="776"/>
    <w:uiPriority w:val="0"/>
    <w:qFormat/>
    <w:rPr>
      <w:rFonts w:hint="eastAsia" w:ascii="宋体" w:hAnsi="宋体" w:eastAsia="宋体" w:cs="宋体"/>
      <w:color w:val="000000"/>
      <w:sz w:val="20"/>
      <w:szCs w:val="20"/>
      <w:u w:val="none"/>
    </w:rPr>
  </w:style>
  <w:style w:type="character" w:styleId="1177" w:customStyle="1">
    <w:name w:val="font101"/>
    <w:basedOn w:val="1149"/>
    <w:link w:val="776"/>
    <w:uiPriority w:val="0"/>
    <w:qFormat/>
    <w:rPr>
      <w:rFonts w:hint="eastAsia" w:ascii="宋体" w:hAnsi="宋体" w:eastAsia="宋体" w:cs="宋体"/>
      <w:color w:val="ff0000"/>
      <w:sz w:val="20"/>
      <w:szCs w:val="20"/>
      <w:u w:val="none"/>
    </w:rPr>
  </w:style>
  <w:style w:type="character" w:styleId="1178" w:customStyle="1">
    <w:name w:val="font91"/>
    <w:basedOn w:val="1149"/>
    <w:link w:val="776"/>
    <w:uiPriority w:val="0"/>
    <w:qFormat/>
    <w:rPr>
      <w:rFonts w:hint="eastAsia" w:ascii="宋体" w:hAnsi="宋体" w:eastAsia="宋体" w:cs="宋体"/>
      <w:color w:val="000000"/>
      <w:sz w:val="20"/>
      <w:szCs w:val="20"/>
      <w:u w:val="none"/>
    </w:rPr>
  </w:style>
  <w:style w:type="character" w:styleId="1179" w:customStyle="1">
    <w:name w:val="NormalCharacter11"/>
    <w:link w:val="776"/>
    <w:uiPriority w:val="0"/>
    <w:qFormat/>
    <w:rPr>
      <w:lang w:val="en-US" w:eastAsia="zh-CN" w:bidi="ar-SA"/>
    </w:rPr>
  </w:style>
  <w:style w:type="paragraph" w:styleId="1180" w:customStyle="1">
    <w:name w:val="Heading21"/>
    <w:basedOn w:val="776"/>
    <w:next w:val="776"/>
    <w:uiPriority w:val="0"/>
    <w:qFormat/>
    <w:pPr>
      <w:keepLines/>
      <w:keepNext/>
    </w:pPr>
    <w:rPr>
      <w:rFonts w:ascii="Arial" w:hAnsi="Arial"/>
      <w:sz w:val="28"/>
    </w:rPr>
  </w:style>
  <w:style w:type="paragraph" w:styleId="1181" w:customStyle="1">
    <w:name w:val="标准"/>
    <w:basedOn w:val="776"/>
    <w:uiPriority w:val="0"/>
    <w:qFormat/>
    <w:pPr>
      <w:ind w:firstLine="200"/>
      <w:spacing w:line="360" w:lineRule="auto"/>
    </w:pPr>
    <w:rPr>
      <w:rFonts w:cs="宋体"/>
      <w:szCs w:val="20"/>
    </w:rPr>
  </w:style>
  <w:style w:type="paragraph" w:styleId="1182" w:customStyle="1">
    <w:name w:val="列出段落2"/>
    <w:basedOn w:val="776"/>
    <w:uiPriority w:val="34"/>
    <w:qFormat/>
    <w:pPr>
      <w:ind w:firstLine="420"/>
    </w:pPr>
  </w:style>
  <w:style w:type="paragraph" w:styleId="1183" w:customStyle="1">
    <w:name w:val="正文（缩进）"/>
    <w:basedOn w:val="776"/>
    <w:uiPriority w:val="0"/>
    <w:qFormat/>
    <w:pPr>
      <w:ind w:firstLine="480"/>
      <w:spacing w:line="360" w:lineRule="auto"/>
    </w:pPr>
    <w:rPr>
      <w:sz w:val="24"/>
    </w:rPr>
  </w:style>
  <w:style w:type="paragraph" w:styleId="1184" w:customStyle="1">
    <w:name w:val="Table Paragraph"/>
    <w:basedOn w:val="831"/>
    <w:uiPriority w:val="0"/>
    <w:qFormat/>
    <w:pPr>
      <w:jc w:val="left"/>
      <w:widowControl w:val="off"/>
    </w:pPr>
    <w:rPr>
      <w:rFonts w:ascii="仿宋" w:hAnsi="仿宋" w:eastAsia="仿宋"/>
      <w:sz w:val="22"/>
      <w:szCs w:val="22"/>
    </w:rPr>
  </w:style>
  <w:style w:type="paragraph" w:styleId="1185" w:customStyle="1">
    <w:name w:val="p0"/>
    <w:basedOn w:val="776"/>
    <w:uiPriority w:val="0"/>
    <w:qFormat/>
  </w:style>
  <w:style w:type="paragraph" w:styleId="1186" w:customStyle="1">
    <w:name w:val="Normal1"/>
    <w:uiPriority w:val="0"/>
    <w:qFormat/>
    <w:pPr>
      <w:jc w:val="both"/>
    </w:pPr>
    <w:rPr>
      <w:rFonts w:hint="default" w:ascii="Times New Roman" w:hAnsi="Times New Roman" w:eastAsia="宋体" w:cs="Times New Roman"/>
      <w:sz w:val="21"/>
      <w:szCs w:val="21"/>
      <w:lang w:val="en-US" w:eastAsia="zh-CN" w:bidi="ar-SA"/>
    </w:rPr>
  </w:style>
  <w:style w:type="character" w:styleId="1187" w:customStyle="1">
    <w:name w:val="font61"/>
    <w:basedOn w:val="902"/>
    <w:link w:val="776"/>
    <w:uiPriority w:val="0"/>
    <w:qFormat/>
    <w:rPr>
      <w:rFonts w:ascii="Calibri" w:hAnsi="Calibri" w:cs="Calibri"/>
      <w:color w:val="000000"/>
      <w:sz w:val="24"/>
      <w:szCs w:val="24"/>
      <w:u w:val="none"/>
    </w:rPr>
  </w:style>
  <w:style w:type="character" w:styleId="1188" w:customStyle="1">
    <w:name w:val="font11"/>
    <w:basedOn w:val="902"/>
    <w:link w:val="776"/>
    <w:uiPriority w:val="0"/>
    <w:qFormat/>
    <w:rPr>
      <w:rFonts w:hint="eastAsia" w:ascii="宋体" w:hAnsi="宋体" w:eastAsia="宋体" w:cs="宋体"/>
      <w:color w:val="000000"/>
      <w:sz w:val="22"/>
      <w:szCs w:val="22"/>
      <w:u w:val="none"/>
    </w:rPr>
  </w:style>
  <w:style w:type="table" w:styleId="1189" w:customStyle="1">
    <w:name w:val="网格型6"/>
    <w:basedOn w:val="972"/>
    <w:uiPriority w:val="99"/>
    <w:unhideWhenUsed/>
    <w:qFormat/>
    <w:rPr>
      <w:rFonts w:eastAsia="Times New Roman"/>
    </w:rPr>
    <w:tblPr/>
  </w:style>
  <w:style w:type="table" w:styleId="1190" w:customStyle="1">
    <w:name w:val="Table Normal"/>
    <w:uiPriority w:val="2"/>
    <w:unhideWhenUsed/>
    <w:qFormat/>
    <w:pPr>
      <w:widowControl w:val="off"/>
    </w:pPr>
    <w:rPr>
      <w:sz w:val="22"/>
      <w:lang w:eastAsia="en-US"/>
    </w:rPr>
    <w:tblPr/>
  </w:style>
  <w:style w:type="paragraph" w:styleId="1191" w:customStyle="1">
    <w:name w:val="WPSOffice手动目录 1"/>
    <w:uiPriority w:val="0"/>
    <w:qFormat/>
    <w:rPr>
      <w:rFonts w:hint="default" w:ascii="Times New Roman" w:hAnsi="Times New Roman" w:eastAsia="宋体" w:cs="Times New Roman"/>
      <w:lang w:val="en-US" w:eastAsia="zh-CN" w:bidi="ar-SA"/>
    </w:rPr>
  </w:style>
  <w:style w:type="paragraph" w:styleId="1192" w:customStyle="1">
    <w:name w:val="列出段落"/>
    <w:basedOn w:val="831"/>
    <w:uiPriority w:val="0"/>
    <w:qFormat/>
    <w:pPr>
      <w:ind w:firstLine="420"/>
    </w:pPr>
    <w:rPr>
      <w:rFonts w:ascii="Times New Roman" w:hAnsi="Times New Roman" w:eastAsia="宋体"/>
      <w:sz w:val="21"/>
    </w:rPr>
  </w:style>
  <w:style w:type="character" w:styleId="1193" w:customStyle="1">
    <w:name w:val="NormalCharacter"/>
    <w:uiPriority w:val="0"/>
    <w:semiHidden/>
    <w:qFormat/>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朱文颖</cp:lastModifiedBy>
  <cp:revision>5</cp:revision>
  <dcterms:created xsi:type="dcterms:W3CDTF">2014-10-30T12:08:00Z</dcterms:created>
  <dcterms:modified xsi:type="dcterms:W3CDTF">2026-09-29T07:17:59Z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eyJoZGlkIjoiNGE3NTRiNjhkNzA3NzAwMzE5Mjk4NWQ4ZGU1MjM4NDEiLCJ1c2VySWQiOiI0ODkyMzMxMDQifQ==</vt:lpwstr>
  </property>
  <property fmtid="{D5CDD505-2E9C-101B-9397-08002B2CF9AE}" pid="3" name="KSOProductBuildVer">
    <vt:lpwstr>2052-12.1.0.29161</vt:lpwstr>
  </property>
  <property fmtid="{D5CDD505-2E9C-101B-9397-08002B2CF9AE}" pid="4" name="ICV">
    <vt:lpwstr>AB4FD7A9588240E99602B110BFFB8462_13</vt:lpwstr>
  </property>
</Properties>
</file>