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E0272">
      <w:pPr>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en-US" w:eastAsia="zh-CN" w:bidi="ar-SA"/>
        </w:rPr>
        <w:t>如有建议或意见，请以书面形式并加盖公章、注明联系人、联系方式，于2026年10月9日17:00之前送至我单位，逾期不受理（如邮寄，2026年10月9日17:00之后到达本公司的邮件将不再受理）。</w:t>
      </w:r>
    </w:p>
    <w:p w14:paraId="02BDBB04">
      <w:pPr>
        <w:rPr>
          <w:rFonts w:hint="eastAsia" w:ascii="仿宋" w:hAnsi="仿宋" w:eastAsia="仿宋" w:cs="仿宋"/>
          <w:b w:val="0"/>
          <w:bCs w:val="0"/>
          <w:color w:val="auto"/>
          <w:kern w:val="0"/>
          <w:sz w:val="28"/>
          <w:szCs w:val="28"/>
          <w:highlight w:val="none"/>
          <w:lang w:val="en-US" w:eastAsia="zh-CN" w:bidi="ar-SA"/>
        </w:rPr>
      </w:pPr>
    </w:p>
    <w:p w14:paraId="45177C9D">
      <w:pPr>
        <w:rPr>
          <w:rFonts w:hint="eastAsia" w:ascii="仿宋" w:hAnsi="仿宋" w:eastAsia="仿宋" w:cs="仿宋"/>
          <w:b w:val="0"/>
          <w:bCs w:val="0"/>
          <w:color w:val="auto"/>
          <w:kern w:val="0"/>
          <w:sz w:val="28"/>
          <w:szCs w:val="28"/>
          <w:highlight w:val="none"/>
          <w:lang w:val="en-US" w:eastAsia="zh-CN" w:bidi="ar-SA"/>
        </w:rPr>
      </w:pPr>
    </w:p>
    <w:p w14:paraId="1F1E344E">
      <w:pPr>
        <w:rPr>
          <w:rFonts w:hint="eastAsia" w:ascii="仿宋" w:hAnsi="仿宋" w:eastAsia="仿宋" w:cs="仿宋"/>
          <w:b w:val="0"/>
          <w:bCs w:val="0"/>
          <w:color w:val="auto"/>
          <w:kern w:val="0"/>
          <w:sz w:val="28"/>
          <w:szCs w:val="28"/>
          <w:highlight w:val="none"/>
          <w:lang w:val="en-US" w:eastAsia="zh-CN" w:bidi="ar-SA"/>
        </w:rPr>
      </w:pPr>
    </w:p>
    <w:p w14:paraId="6FAAA88A">
      <w:pPr>
        <w:rPr>
          <w:rFonts w:hint="eastAsia" w:ascii="仿宋" w:hAnsi="仿宋" w:eastAsia="仿宋" w:cs="仿宋"/>
          <w:b w:val="0"/>
          <w:bCs w:val="0"/>
          <w:color w:val="auto"/>
          <w:kern w:val="0"/>
          <w:sz w:val="28"/>
          <w:szCs w:val="28"/>
          <w:highlight w:val="none"/>
          <w:lang w:val="en-US" w:eastAsia="zh-CN" w:bidi="ar-SA"/>
        </w:rPr>
      </w:pPr>
    </w:p>
    <w:p w14:paraId="17BF9893">
      <w:pPr>
        <w:rPr>
          <w:rFonts w:hint="eastAsia" w:ascii="仿宋" w:hAnsi="仿宋" w:eastAsia="仿宋" w:cs="仿宋"/>
          <w:b w:val="0"/>
          <w:bCs w:val="0"/>
          <w:color w:val="auto"/>
          <w:kern w:val="0"/>
          <w:sz w:val="28"/>
          <w:szCs w:val="28"/>
          <w:highlight w:val="none"/>
          <w:lang w:val="en-US" w:eastAsia="zh-CN" w:bidi="ar-SA"/>
        </w:rPr>
      </w:pPr>
    </w:p>
    <w:p w14:paraId="36372AAD">
      <w:pPr>
        <w:rPr>
          <w:rFonts w:hint="eastAsia" w:ascii="仿宋" w:hAnsi="仿宋" w:eastAsia="仿宋" w:cs="仿宋"/>
          <w:b w:val="0"/>
          <w:bCs w:val="0"/>
          <w:color w:val="auto"/>
          <w:kern w:val="0"/>
          <w:sz w:val="28"/>
          <w:szCs w:val="28"/>
          <w:highlight w:val="none"/>
          <w:lang w:val="en-US" w:eastAsia="zh-CN" w:bidi="ar-SA"/>
        </w:rPr>
      </w:pPr>
    </w:p>
    <w:p w14:paraId="401FE436">
      <w:pPr>
        <w:rPr>
          <w:rFonts w:hint="eastAsia" w:ascii="仿宋" w:hAnsi="仿宋" w:eastAsia="仿宋" w:cs="仿宋"/>
          <w:b w:val="0"/>
          <w:bCs w:val="0"/>
          <w:color w:val="auto"/>
          <w:kern w:val="0"/>
          <w:sz w:val="28"/>
          <w:szCs w:val="28"/>
          <w:highlight w:val="none"/>
          <w:lang w:val="en-US" w:eastAsia="zh-CN" w:bidi="ar-SA"/>
        </w:rPr>
      </w:pPr>
    </w:p>
    <w:p w14:paraId="1DA10C7D">
      <w:pPr>
        <w:rPr>
          <w:rFonts w:hint="eastAsia" w:ascii="仿宋" w:hAnsi="仿宋" w:eastAsia="仿宋" w:cs="仿宋"/>
          <w:b w:val="0"/>
          <w:bCs w:val="0"/>
          <w:color w:val="auto"/>
          <w:kern w:val="0"/>
          <w:sz w:val="28"/>
          <w:szCs w:val="28"/>
          <w:highlight w:val="none"/>
          <w:lang w:val="en-US" w:eastAsia="zh-CN" w:bidi="ar-SA"/>
        </w:rPr>
      </w:pPr>
    </w:p>
    <w:p w14:paraId="1370FF55">
      <w:pPr>
        <w:rPr>
          <w:rFonts w:hint="eastAsia" w:ascii="仿宋" w:hAnsi="仿宋" w:eastAsia="仿宋" w:cs="仿宋"/>
          <w:b w:val="0"/>
          <w:bCs w:val="0"/>
          <w:color w:val="auto"/>
          <w:kern w:val="0"/>
          <w:sz w:val="28"/>
          <w:szCs w:val="28"/>
          <w:highlight w:val="none"/>
          <w:lang w:val="en-US" w:eastAsia="zh-CN" w:bidi="ar-SA"/>
        </w:rPr>
      </w:pPr>
    </w:p>
    <w:p w14:paraId="14EC1D89">
      <w:pPr>
        <w:rPr>
          <w:rFonts w:hint="eastAsia" w:ascii="仿宋" w:hAnsi="仿宋" w:eastAsia="仿宋" w:cs="仿宋"/>
          <w:b w:val="0"/>
          <w:bCs w:val="0"/>
          <w:color w:val="auto"/>
          <w:kern w:val="0"/>
          <w:sz w:val="28"/>
          <w:szCs w:val="28"/>
          <w:highlight w:val="none"/>
          <w:lang w:val="en-US" w:eastAsia="zh-CN" w:bidi="ar-SA"/>
        </w:rPr>
      </w:pPr>
    </w:p>
    <w:p w14:paraId="25351382">
      <w:pPr>
        <w:rPr>
          <w:rFonts w:hint="eastAsia" w:ascii="仿宋" w:hAnsi="仿宋" w:eastAsia="仿宋" w:cs="仿宋"/>
          <w:b w:val="0"/>
          <w:bCs w:val="0"/>
          <w:color w:val="auto"/>
          <w:kern w:val="0"/>
          <w:sz w:val="28"/>
          <w:szCs w:val="28"/>
          <w:highlight w:val="none"/>
          <w:lang w:val="en-US" w:eastAsia="zh-CN" w:bidi="ar-SA"/>
        </w:rPr>
      </w:pPr>
    </w:p>
    <w:p w14:paraId="7A137C04">
      <w:pPr>
        <w:rPr>
          <w:rFonts w:hint="eastAsia" w:ascii="仿宋" w:hAnsi="仿宋" w:eastAsia="仿宋" w:cs="仿宋"/>
          <w:b w:val="0"/>
          <w:bCs w:val="0"/>
          <w:color w:val="auto"/>
          <w:kern w:val="0"/>
          <w:sz w:val="28"/>
          <w:szCs w:val="28"/>
          <w:highlight w:val="none"/>
          <w:lang w:val="en-US" w:eastAsia="zh-CN" w:bidi="ar-SA"/>
        </w:rPr>
      </w:pPr>
    </w:p>
    <w:p w14:paraId="41EEB79D">
      <w:pPr>
        <w:rPr>
          <w:rFonts w:hint="eastAsia" w:ascii="仿宋" w:hAnsi="仿宋" w:eastAsia="仿宋" w:cs="仿宋"/>
          <w:b w:val="0"/>
          <w:bCs w:val="0"/>
          <w:color w:val="auto"/>
          <w:kern w:val="0"/>
          <w:sz w:val="28"/>
          <w:szCs w:val="28"/>
          <w:highlight w:val="none"/>
          <w:lang w:val="en-US" w:eastAsia="zh-CN" w:bidi="ar-SA"/>
        </w:rPr>
      </w:pPr>
    </w:p>
    <w:p w14:paraId="6460B7CD">
      <w:pPr>
        <w:rPr>
          <w:rFonts w:hint="eastAsia" w:ascii="仿宋" w:hAnsi="仿宋" w:eastAsia="仿宋" w:cs="仿宋"/>
          <w:b w:val="0"/>
          <w:bCs w:val="0"/>
          <w:color w:val="auto"/>
          <w:kern w:val="0"/>
          <w:sz w:val="28"/>
          <w:szCs w:val="28"/>
          <w:highlight w:val="none"/>
          <w:lang w:val="en-US" w:eastAsia="zh-CN" w:bidi="ar-SA"/>
        </w:rPr>
      </w:pPr>
    </w:p>
    <w:p w14:paraId="01BC2820">
      <w:pPr>
        <w:rPr>
          <w:rFonts w:hint="eastAsia" w:ascii="仿宋" w:hAnsi="仿宋" w:eastAsia="仿宋" w:cs="仿宋"/>
          <w:b w:val="0"/>
          <w:bCs w:val="0"/>
          <w:color w:val="auto"/>
          <w:kern w:val="0"/>
          <w:sz w:val="28"/>
          <w:szCs w:val="28"/>
          <w:highlight w:val="none"/>
          <w:lang w:val="en-US" w:eastAsia="zh-CN" w:bidi="ar-SA"/>
        </w:rPr>
      </w:pPr>
    </w:p>
    <w:p w14:paraId="1B41B8E9">
      <w:pPr>
        <w:rPr>
          <w:rFonts w:hint="eastAsia" w:ascii="仿宋" w:hAnsi="仿宋" w:eastAsia="仿宋" w:cs="仿宋"/>
          <w:b w:val="0"/>
          <w:bCs w:val="0"/>
          <w:color w:val="auto"/>
          <w:kern w:val="0"/>
          <w:sz w:val="28"/>
          <w:szCs w:val="28"/>
          <w:highlight w:val="none"/>
          <w:lang w:val="en-US" w:eastAsia="zh-CN" w:bidi="ar-SA"/>
        </w:rPr>
      </w:pPr>
    </w:p>
    <w:p w14:paraId="3368B9BD">
      <w:pPr>
        <w:rPr>
          <w:rFonts w:hint="eastAsia" w:ascii="仿宋" w:hAnsi="仿宋" w:eastAsia="仿宋" w:cs="仿宋"/>
          <w:b w:val="0"/>
          <w:bCs w:val="0"/>
          <w:color w:val="auto"/>
          <w:kern w:val="0"/>
          <w:sz w:val="28"/>
          <w:szCs w:val="28"/>
          <w:highlight w:val="none"/>
          <w:lang w:val="en-US" w:eastAsia="zh-CN" w:bidi="ar-SA"/>
        </w:rPr>
      </w:pPr>
    </w:p>
    <w:p w14:paraId="0473F9D0">
      <w:pPr>
        <w:rPr>
          <w:rFonts w:hint="eastAsia" w:ascii="仿宋" w:hAnsi="仿宋" w:eastAsia="仿宋" w:cs="仿宋"/>
          <w:b w:val="0"/>
          <w:bCs w:val="0"/>
          <w:color w:val="auto"/>
          <w:kern w:val="0"/>
          <w:sz w:val="28"/>
          <w:szCs w:val="28"/>
          <w:highlight w:val="none"/>
          <w:lang w:val="en-US" w:eastAsia="zh-CN" w:bidi="ar-SA"/>
        </w:rPr>
      </w:pPr>
    </w:p>
    <w:p w14:paraId="73FAE6A0">
      <w:pPr>
        <w:rPr>
          <w:rFonts w:hint="eastAsia" w:ascii="仿宋" w:hAnsi="仿宋" w:eastAsia="仿宋" w:cs="仿宋"/>
          <w:b w:val="0"/>
          <w:bCs w:val="0"/>
          <w:color w:val="auto"/>
          <w:kern w:val="0"/>
          <w:sz w:val="28"/>
          <w:szCs w:val="28"/>
          <w:highlight w:val="none"/>
          <w:lang w:val="en-US" w:eastAsia="zh-CN" w:bidi="ar-SA"/>
        </w:rPr>
      </w:pPr>
    </w:p>
    <w:p w14:paraId="72E9C3AA">
      <w:pPr>
        <w:keepNext w:val="0"/>
        <w:keepLines w:val="0"/>
        <w:pageBreakBefore w:val="0"/>
        <w:widowControl w:val="0"/>
        <w:kinsoku/>
        <w:wordWrap/>
        <w:overflowPunct/>
        <w:topLinePunct w:val="0"/>
        <w:autoSpaceDE/>
        <w:autoSpaceDN/>
        <w:bidi w:val="0"/>
        <w:adjustRightInd/>
        <w:snapToGrid/>
        <w:spacing w:line="360" w:lineRule="auto"/>
        <w:ind w:firstLine="480"/>
        <w:jc w:val="center"/>
        <w:textAlignment w:val="auto"/>
        <w:rPr>
          <w:rFonts w:hint="eastAsia" w:ascii="仿宋_GB2312" w:hAnsi="仿宋_GB2312" w:eastAsia="仿宋_GB2312" w:cs="仿宋_GB2312"/>
          <w:b/>
          <w:bCs/>
          <w:kern w:val="0"/>
          <w:sz w:val="30"/>
          <w:szCs w:val="30"/>
          <w:lang w:val="en-US" w:eastAsia="zh-CN"/>
        </w:rPr>
      </w:pPr>
      <w:r>
        <w:rPr>
          <w:rFonts w:hint="eastAsia" w:ascii="仿宋_GB2312" w:hAnsi="仿宋_GB2312" w:eastAsia="仿宋_GB2312" w:cs="仿宋_GB2312"/>
          <w:b/>
          <w:bCs/>
          <w:kern w:val="0"/>
          <w:sz w:val="30"/>
          <w:szCs w:val="30"/>
          <w:lang w:val="en-US" w:eastAsia="zh-CN"/>
        </w:rPr>
        <w:t>采购需求</w:t>
      </w:r>
    </w:p>
    <w:p w14:paraId="51BC7F9D">
      <w:pPr>
        <w:pStyle w:val="5"/>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outlineLvl w:val="9"/>
        <w:rPr>
          <w:rFonts w:hint="eastAsia" w:ascii="仿宋" w:hAnsi="仿宋" w:eastAsia="仿宋" w:cs="仿宋"/>
          <w:b/>
          <w:bCs/>
          <w:szCs w:val="22"/>
          <w:highlight w:val="none"/>
          <w:lang w:val="en-US" w:eastAsia="zh-CN"/>
        </w:rPr>
      </w:pPr>
      <w:bookmarkStart w:id="0" w:name="_Toc80122298"/>
      <w:r>
        <w:rPr>
          <w:rFonts w:hint="eastAsia" w:ascii="仿宋" w:hAnsi="仿宋" w:eastAsia="仿宋" w:cs="仿宋"/>
          <w:b/>
          <w:bCs/>
          <w:szCs w:val="22"/>
          <w:highlight w:val="none"/>
          <w:lang w:val="en-US" w:eastAsia="zh-CN"/>
        </w:rPr>
        <w:t>一、项目内容</w:t>
      </w:r>
    </w:p>
    <w:p w14:paraId="360C4D71">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lang w:eastAsia="zh-CN"/>
        </w:rPr>
      </w:pPr>
      <w:r>
        <w:rPr>
          <w:rFonts w:hint="eastAsia" w:ascii="仿宋" w:hAnsi="仿宋" w:eastAsia="仿宋" w:cs="仿宋"/>
          <w:highlight w:val="none"/>
        </w:rPr>
        <w:t>项目名称：</w:t>
      </w:r>
      <w:r>
        <w:rPr>
          <w:rFonts w:hint="eastAsia" w:ascii="仿宋" w:hAnsi="仿宋" w:eastAsia="仿宋" w:cs="仿宋"/>
          <w:highlight w:val="none"/>
          <w:lang w:eastAsia="zh-CN"/>
        </w:rPr>
        <w:t>邳州市“一河一案”“一镇一案”“一库一案”编制</w:t>
      </w:r>
    </w:p>
    <w:p w14:paraId="561A53FB">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rPr>
      </w:pPr>
      <w:r>
        <w:rPr>
          <w:rFonts w:hint="eastAsia" w:ascii="仿宋" w:hAnsi="仿宋" w:eastAsia="仿宋" w:cs="仿宋"/>
          <w:highlight w:val="none"/>
        </w:rPr>
        <w:t>采购预算：本项目采购预算金额为</w:t>
      </w:r>
      <w:r>
        <w:rPr>
          <w:rFonts w:hint="eastAsia" w:ascii="仿宋" w:hAnsi="仿宋" w:eastAsia="仿宋" w:cs="仿宋"/>
          <w:highlight w:val="none"/>
          <w:lang w:val="en-US" w:eastAsia="zh-CN"/>
        </w:rPr>
        <w:t>158万元</w:t>
      </w:r>
      <w:r>
        <w:rPr>
          <w:rFonts w:hint="eastAsia" w:ascii="仿宋" w:hAnsi="仿宋" w:eastAsia="仿宋" w:cs="仿宋"/>
          <w:highlight w:val="none"/>
        </w:rPr>
        <w:t>。</w:t>
      </w:r>
      <w:bookmarkEnd w:id="0"/>
      <w:r>
        <w:rPr>
          <w:rFonts w:hint="eastAsia" w:ascii="仿宋" w:hAnsi="仿宋" w:eastAsia="仿宋" w:cs="仿宋"/>
          <w:highlight w:val="none"/>
          <w:lang w:eastAsia="zh-CN"/>
        </w:rPr>
        <w:t>报价包含完成项目的所有费用，</w:t>
      </w:r>
      <w:r>
        <w:rPr>
          <w:rFonts w:hint="eastAsia" w:ascii="仿宋" w:hAnsi="仿宋" w:eastAsia="仿宋" w:cs="仿宋"/>
          <w:highlight w:val="none"/>
        </w:rPr>
        <w:t>采购人不再支付报价以外的任何费用。</w:t>
      </w:r>
    </w:p>
    <w:p w14:paraId="622A4124">
      <w:pPr>
        <w:pStyle w:val="5"/>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outlineLvl w:val="9"/>
        <w:rPr>
          <w:rFonts w:hint="eastAsia" w:ascii="仿宋" w:hAnsi="仿宋" w:eastAsia="仿宋" w:cs="仿宋"/>
          <w:b/>
          <w:bCs/>
          <w:szCs w:val="22"/>
          <w:highlight w:val="none"/>
          <w:lang w:val="en-US" w:eastAsia="zh-CN"/>
        </w:rPr>
      </w:pPr>
      <w:r>
        <w:rPr>
          <w:rFonts w:hint="eastAsia" w:ascii="仿宋" w:hAnsi="仿宋" w:eastAsia="仿宋" w:cs="仿宋"/>
          <w:b/>
          <w:bCs/>
          <w:szCs w:val="22"/>
          <w:highlight w:val="none"/>
          <w:lang w:val="en-US" w:eastAsia="zh-CN"/>
        </w:rPr>
        <w:t>二、项目背景</w:t>
      </w:r>
    </w:p>
    <w:p w14:paraId="59E4C761">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lang w:val="en-US" w:eastAsia="zh-CN"/>
        </w:rPr>
      </w:pPr>
      <w:r>
        <w:rPr>
          <w:rFonts w:hint="eastAsia" w:ascii="仿宋" w:hAnsi="仿宋" w:eastAsia="仿宋" w:cs="仿宋"/>
          <w:highlight w:val="none"/>
          <w:lang w:val="en-US" w:eastAsia="zh-CN"/>
        </w:rPr>
        <w:t>为深入贯彻习近平总书记“河长制必须一以贯之”重要指示精神，全面落实省总河长决策部署和省水利厅完善加强河湖长制试点工作会议要求，高标准推进试点建设，打造河湖治理保护“邳州样板”。根据省河长办《完善和加强河湖长制工作试点工作方案》（省河长办〔2026〕8号）文件要求，需采集邳州市域内全部水体地理信息数据，编制全市32条骨干及长度较短非重要河道的“一河一案”报告（中运河及京杭运河不牢河除外）逐镇编制全市25个镇街“一镇一案”报告，逐库编制全市7个水库和所有塘坝“一库一案”报告。</w:t>
      </w:r>
    </w:p>
    <w:p w14:paraId="2A138FF9">
      <w:pPr>
        <w:pStyle w:val="5"/>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outlineLvl w:val="9"/>
        <w:rPr>
          <w:rFonts w:hint="default" w:ascii="仿宋" w:hAnsi="仿宋" w:eastAsia="仿宋" w:cs="仿宋"/>
          <w:b/>
          <w:bCs/>
          <w:highlight w:val="none"/>
          <w:lang w:val="en-US" w:eastAsia="zh-CN"/>
        </w:rPr>
      </w:pPr>
      <w:r>
        <w:rPr>
          <w:rFonts w:hint="eastAsia" w:ascii="仿宋" w:hAnsi="仿宋" w:eastAsia="仿宋" w:cs="仿宋"/>
          <w:b/>
          <w:bCs/>
          <w:highlight w:val="none"/>
          <w:lang w:val="en-US" w:eastAsia="zh-CN"/>
        </w:rPr>
        <w:t>三、主要工作任务</w:t>
      </w:r>
    </w:p>
    <w:p w14:paraId="2E6D50F6">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lang w:val="en-US" w:eastAsia="zh-CN"/>
        </w:rPr>
      </w:pPr>
      <w:r>
        <w:rPr>
          <w:rFonts w:hint="eastAsia" w:ascii="仿宋" w:hAnsi="仿宋" w:eastAsia="仿宋" w:cs="仿宋"/>
          <w:highlight w:val="none"/>
          <w:lang w:val="en-US" w:eastAsia="zh-CN"/>
        </w:rPr>
        <w:t>根据省河长办《完善和加强河湖长制工作试点工作方案》（省河长办〔2026〕8号）文件要求，需采集邳州市域内全部水体地理信息数据，编制全市32条骨干及长度较短非重要河道的“一河一案”报告（中运河及京杭运河不牢河除外），逐镇编制全市25个镇街“一镇一案”报告，逐库编制全市7个水库和所有塘坝“一库一案”报告。</w:t>
      </w:r>
    </w:p>
    <w:p w14:paraId="6C2E0060">
      <w:pPr>
        <w:pStyle w:val="5"/>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outlineLvl w:val="9"/>
        <w:rPr>
          <w:rFonts w:hint="eastAsia" w:ascii="仿宋" w:hAnsi="仿宋" w:eastAsia="仿宋" w:cs="仿宋"/>
          <w:b/>
          <w:bCs/>
          <w:szCs w:val="22"/>
          <w:highlight w:val="none"/>
          <w:lang w:val="zh-CN" w:eastAsia="zh-CN"/>
        </w:rPr>
      </w:pPr>
      <w:r>
        <w:rPr>
          <w:rFonts w:hint="eastAsia" w:ascii="仿宋" w:hAnsi="仿宋" w:eastAsia="仿宋" w:cs="仿宋"/>
          <w:b/>
          <w:bCs/>
          <w:szCs w:val="22"/>
          <w:highlight w:val="none"/>
          <w:lang w:val="en-US" w:eastAsia="zh-CN"/>
        </w:rPr>
        <w:t>四、服务成果</w:t>
      </w:r>
    </w:p>
    <w:p w14:paraId="47E4E20D">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rPr>
      </w:pPr>
      <w:r>
        <w:rPr>
          <w:rFonts w:hint="eastAsia" w:ascii="仿宋" w:hAnsi="仿宋" w:eastAsia="仿宋" w:cs="仿宋"/>
          <w:highlight w:val="none"/>
          <w:lang w:val="en-US" w:eastAsia="zh-CN"/>
        </w:rPr>
        <w:t>编制全市32条骨干及长度较短非重要河道的“一河一案”报告（中运河及京杭运河不牢河除外）；逐镇编制全市25个镇街“一镇一案”报告；逐库编制全市7个水库和所有塘坝“一库一案”报告。</w:t>
      </w:r>
    </w:p>
    <w:p w14:paraId="7C9BACD3">
      <w:pPr>
        <w:pStyle w:val="5"/>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outlineLvl w:val="9"/>
        <w:rPr>
          <w:rFonts w:hint="eastAsia" w:ascii="仿宋" w:hAnsi="仿宋" w:eastAsia="仿宋" w:cs="仿宋"/>
          <w:b/>
          <w:bCs/>
          <w:highlight w:val="none"/>
          <w:lang w:val="zh-CN" w:eastAsia="zh-CN"/>
        </w:rPr>
      </w:pPr>
      <w:r>
        <w:rPr>
          <w:rFonts w:hint="eastAsia" w:ascii="仿宋" w:hAnsi="仿宋" w:eastAsia="仿宋" w:cs="仿宋"/>
          <w:b/>
          <w:bCs/>
          <w:highlight w:val="none"/>
          <w:lang w:val="zh-CN" w:eastAsia="zh-CN"/>
        </w:rPr>
        <w:t>五、质量要求</w:t>
      </w:r>
    </w:p>
    <w:p w14:paraId="6DFBC7F6">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rPr>
      </w:pPr>
      <w:r>
        <w:rPr>
          <w:rFonts w:hint="eastAsia" w:ascii="仿宋" w:hAnsi="仿宋" w:eastAsia="仿宋" w:cs="仿宋"/>
          <w:highlight w:val="none"/>
          <w:lang w:eastAsia="zh-CN"/>
        </w:rPr>
        <w:t>项目中标单位必须保证成果数据质量合格，项目成果需通过水利部、江苏省水利厅及采购人等上级部门的检查</w:t>
      </w:r>
      <w:r>
        <w:rPr>
          <w:rFonts w:hint="eastAsia" w:ascii="仿宋" w:hAnsi="仿宋" w:eastAsia="仿宋" w:cs="仿宋"/>
          <w:highlight w:val="none"/>
        </w:rPr>
        <w:t>。</w:t>
      </w:r>
    </w:p>
    <w:p w14:paraId="1F9B201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六、报价要求</w:t>
      </w:r>
    </w:p>
    <w:p w14:paraId="2F4476A4">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lang w:val="en-US" w:eastAsia="zh-CN"/>
        </w:rPr>
      </w:pPr>
      <w:r>
        <w:rPr>
          <w:rFonts w:hint="eastAsia" w:ascii="仿宋" w:hAnsi="仿宋" w:eastAsia="仿宋" w:cs="仿宋"/>
          <w:highlight w:val="none"/>
          <w:lang w:val="en-US" w:eastAsia="zh-CN"/>
        </w:rPr>
        <w:t>1.本项目报价为固定总价（总价包干）。投标报价应包括采购文件要求范围内的全部工作内容的价格体现，包括实施和完成本次招标内容所需人员（包括工资和补贴）、办公场所及设施、保险、劳保、管理、各种税费、利润、税金、政策性文件规定及合同包含的所有风险、责任等各项应有费用，以及为完成该项服务项目所涉及的一切相关费用，采购人不再支付其他任何费用。</w:t>
      </w:r>
    </w:p>
    <w:p w14:paraId="5F3169C8">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lang w:val="en-US" w:eastAsia="zh-CN"/>
        </w:rPr>
      </w:pPr>
      <w:r>
        <w:rPr>
          <w:rFonts w:hint="eastAsia" w:ascii="仿宋" w:hAnsi="仿宋" w:eastAsia="仿宋" w:cs="仿宋"/>
          <w:highlight w:val="none"/>
          <w:lang w:val="en-US" w:eastAsia="zh-CN"/>
        </w:rPr>
        <w:t>2.报价货币为人民币，评审时以人民币为准。</w:t>
      </w:r>
    </w:p>
    <w:p w14:paraId="60E3FE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仿宋" w:hAnsi="仿宋" w:eastAsia="仿宋" w:cs="仿宋"/>
          <w:b/>
          <w:bCs/>
          <w:kern w:val="0"/>
          <w:sz w:val="24"/>
          <w:szCs w:val="24"/>
          <w:lang w:val="en-US" w:eastAsia="zh-CN"/>
        </w:rPr>
      </w:pPr>
      <w:bookmarkStart w:id="1" w:name="_Toc93563409"/>
      <w:r>
        <w:rPr>
          <w:rFonts w:hint="eastAsia" w:ascii="仿宋" w:hAnsi="仿宋" w:eastAsia="仿宋" w:cs="仿宋"/>
          <w:b/>
          <w:bCs/>
          <w:kern w:val="0"/>
          <w:sz w:val="24"/>
          <w:szCs w:val="24"/>
          <w:lang w:val="en-US" w:eastAsia="zh-CN"/>
        </w:rPr>
        <w:t>七、工期要求</w:t>
      </w:r>
    </w:p>
    <w:p w14:paraId="500DD9CF">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仿宋" w:hAnsi="仿宋" w:eastAsia="仿宋" w:cs="仿宋"/>
          <w:highlight w:val="none"/>
          <w:lang w:val="en-US" w:eastAsia="zh-CN"/>
        </w:rPr>
      </w:pPr>
      <w:r>
        <w:rPr>
          <w:rFonts w:hint="eastAsia" w:ascii="仿宋" w:hAnsi="仿宋" w:eastAsia="仿宋" w:cs="仿宋"/>
          <w:highlight w:val="none"/>
          <w:lang w:val="en-US" w:eastAsia="zh-CN"/>
        </w:rPr>
        <w:t>30日历天。</w:t>
      </w:r>
    </w:p>
    <w:p w14:paraId="7CBDEB4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default"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八、</w:t>
      </w:r>
      <w:r>
        <w:rPr>
          <w:rFonts w:hint="default" w:ascii="仿宋" w:hAnsi="仿宋" w:eastAsia="仿宋" w:cs="仿宋"/>
          <w:b/>
          <w:bCs/>
          <w:kern w:val="0"/>
          <w:sz w:val="24"/>
          <w:szCs w:val="24"/>
          <w:lang w:val="en-US" w:eastAsia="zh-CN"/>
        </w:rPr>
        <w:t>安全要求</w:t>
      </w:r>
      <w:bookmarkEnd w:id="1"/>
    </w:p>
    <w:p w14:paraId="39FFC8C9">
      <w:pPr>
        <w:pStyle w:val="5"/>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ascii="仿宋" w:hAnsi="仿宋" w:eastAsia="仿宋" w:cs="仿宋"/>
          <w:highlight w:val="none"/>
          <w:lang w:val="en-US" w:eastAsia="zh-CN"/>
        </w:rPr>
      </w:pPr>
      <w:r>
        <w:rPr>
          <w:rFonts w:hint="default" w:ascii="仿宋" w:hAnsi="仿宋" w:eastAsia="仿宋" w:cs="仿宋"/>
          <w:highlight w:val="none"/>
          <w:lang w:val="en-US" w:eastAsia="zh-CN"/>
        </w:rPr>
        <w:t>实施单位在项目的实施过程中应做好人身、财产、交通、数据成果等的安全工作，如自身管理疏忽造成的安全问题，所有的损失皆由实施单位自行承担，与采购人无关。</w:t>
      </w:r>
    </w:p>
    <w:p w14:paraId="2AFAA0C8">
      <w:pPr>
        <w:rPr>
          <w:rFonts w:hint="default"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bCs/>
          <w:highlight w:val="none"/>
          <w:lang w:val="en-US" w:eastAsia="zh-CN"/>
        </w:rPr>
        <w:t>九</w:t>
      </w:r>
      <w:bookmarkStart w:id="2" w:name="_GoBack"/>
      <w:bookmarkEnd w:id="2"/>
      <w:r>
        <w:rPr>
          <w:rFonts w:hint="eastAsia" w:ascii="仿宋" w:hAnsi="仿宋" w:eastAsia="仿宋" w:cs="仿宋"/>
          <w:b/>
          <w:bCs/>
          <w:highlight w:val="none"/>
          <w:lang w:val="en-US" w:eastAsia="zh-CN"/>
        </w:rPr>
        <w:t>、其他要求：见采购文件 《拟签订的合同文本》。</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480929"/>
    <w:rsid w:val="01480929"/>
    <w:rsid w:val="0A157F60"/>
    <w:rsid w:val="0A477165"/>
    <w:rsid w:val="16184DFC"/>
    <w:rsid w:val="385C689A"/>
    <w:rsid w:val="4B726781"/>
    <w:rsid w:val="61590256"/>
    <w:rsid w:val="6E322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320" w:after="200"/>
      <w:outlineLvl w:val="2"/>
    </w:pPr>
    <w:rPr>
      <w:rFonts w:ascii="Arial" w:hAnsi="Arial" w:eastAsia="Arial" w:cs="Arial"/>
      <w:sz w:val="30"/>
      <w:szCs w:val="3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Default"/>
    <w:qFormat/>
    <w:uiPriority w:val="0"/>
    <w:pPr>
      <w:widowControl w:val="0"/>
    </w:pPr>
    <w:rPr>
      <w:rFonts w:hint="default" w:ascii="宋体" w:hAnsi="Courier New" w:eastAsia="宋体" w:cs="黑体"/>
      <w:color w:val="000000"/>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1199</Words>
  <Characters>1239</Characters>
  <Lines>0</Lines>
  <Paragraphs>0</Paragraphs>
  <TotalTime>5</TotalTime>
  <ScaleCrop>false</ScaleCrop>
  <LinksUpToDate>false</LinksUpToDate>
  <CharactersWithSpaces>1240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2026-09-24T08:01:00Z</dcterms:created>
  <dc:creator>爱-翼</dc:creator>
  <cp:lastModifiedBy>爱-翼</cp:lastModifiedBy>
  <dcterms:modified xsi:type="dcterms:W3CDTF">2026-09-29T07:24:45Z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5C171CA9AEFA4638ABC1F000E1C5BF2F_11</vt:lpwstr>
  </property>
  <property fmtid="{D5CDD505-2E9C-101B-9397-08002B2CF9AE}" pid="4" name="KSOTemplateDocerSaveRecord">
    <vt:lpwstr>eyJoZGlkIjoiMjQ4ZmIzNGQ5MDg1OTI0YTVlNTJiOTViODk2NzI0YWQiLCJ1c2VySWQiOiI3NTE4ODI1MTgifQ==</vt:lpwstr>
  </property>
</Properties>
</file>