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18113">
      <w:pPr>
        <w:keepNext/>
        <w:keepLines/>
        <w:spacing w:after="120" w:line="360" w:lineRule="auto"/>
        <w:ind w:left="0" w:firstLine="0"/>
        <w:jc w:val="center"/>
        <w:outlineLvl w:val="0"/>
        <w:rPr>
          <w:rFonts w:hint="eastAsia" w:ascii="仿宋" w:hAnsi="仿宋" w:eastAsia="仿宋" w:cs="仿宋"/>
          <w:b/>
          <w:bCs/>
          <w:i w:val="0"/>
          <w:iCs w:val="0"/>
          <w:caps w:val="0"/>
          <w:color w:val="000000"/>
          <w:spacing w:val="0"/>
          <w:sz w:val="28"/>
          <w:szCs w:val="28"/>
        </w:rPr>
      </w:pPr>
    </w:p>
    <w:p w14:paraId="748719F5">
      <w:pPr>
        <w:keepNext/>
        <w:keepLines/>
        <w:spacing w:after="120" w:line="360" w:lineRule="auto"/>
        <w:ind w:left="0" w:firstLine="0"/>
        <w:jc w:val="center"/>
        <w:outlineLvl w:val="0"/>
        <w:rPr>
          <w:rFonts w:hint="eastAsia" w:ascii="仿宋" w:hAnsi="仿宋" w:eastAsia="仿宋" w:cs="仿宋"/>
          <w:b/>
          <w:bCs/>
          <w:i w:val="0"/>
          <w:iCs w:val="0"/>
          <w:caps w:val="0"/>
          <w:color w:val="000000"/>
          <w:spacing w:val="0"/>
          <w:sz w:val="28"/>
          <w:szCs w:val="28"/>
        </w:rPr>
      </w:pPr>
    </w:p>
    <w:p w14:paraId="286F330B">
      <w:pPr>
        <w:keepNext/>
        <w:keepLines/>
        <w:spacing w:after="120" w:line="360" w:lineRule="auto"/>
        <w:ind w:left="0" w:firstLine="0"/>
        <w:jc w:val="center"/>
        <w:outlineLvl w:val="0"/>
        <w:rPr>
          <w:rFonts w:hint="eastAsia" w:ascii="宋体" w:hAnsi="宋体" w:eastAsia="宋体" w:cs="宋体"/>
          <w:b/>
          <w:color w:val="auto"/>
          <w:sz w:val="36"/>
          <w:szCs w:val="40"/>
          <w:highlight w:val="none"/>
          <w:lang w:val="en-US" w:eastAsia="zh-CN" w:bidi="ar-SA"/>
        </w:rPr>
      </w:pPr>
      <w:r>
        <w:rPr>
          <w:rFonts w:hint="eastAsia" w:ascii="仿宋" w:hAnsi="仿宋" w:eastAsia="仿宋" w:cs="仿宋"/>
          <w:b/>
          <w:bCs/>
          <w:i w:val="0"/>
          <w:iCs w:val="0"/>
          <w:caps w:val="0"/>
          <w:color w:val="000000"/>
          <w:spacing w:val="0"/>
          <w:sz w:val="28"/>
          <w:szCs w:val="28"/>
        </w:rPr>
        <w:t>如有建议或意见，请以书面形式并加盖公章、注明联系人、联系方式，于2026</w:t>
      </w:r>
      <w:r>
        <w:rPr>
          <w:rFonts w:hint="eastAsia" w:ascii="仿宋" w:hAnsi="仿宋" w:eastAsia="仿宋" w:cs="仿宋"/>
          <w:b/>
          <w:bCs/>
          <w:i w:val="0"/>
          <w:iCs w:val="0"/>
          <w:caps w:val="0"/>
          <w:color w:val="000000"/>
          <w:spacing w:val="0"/>
          <w:sz w:val="28"/>
          <w:szCs w:val="28"/>
          <w:lang w:val="en-US" w:eastAsia="zh-CN"/>
        </w:rPr>
        <w:t>年9月30日</w:t>
      </w:r>
      <w:r>
        <w:rPr>
          <w:rFonts w:hint="eastAsia" w:ascii="仿宋" w:hAnsi="仿宋" w:eastAsia="仿宋" w:cs="仿宋"/>
          <w:b/>
          <w:bCs/>
          <w:i w:val="0"/>
          <w:iCs w:val="0"/>
          <w:caps w:val="0"/>
          <w:color w:val="000000"/>
          <w:spacing w:val="0"/>
          <w:sz w:val="28"/>
          <w:szCs w:val="28"/>
        </w:rPr>
        <w:t>17:00之前送至我单位，逾期不受理（如邮寄，2026年</w:t>
      </w:r>
      <w:r>
        <w:rPr>
          <w:rFonts w:hint="eastAsia" w:ascii="仿宋" w:hAnsi="仿宋" w:eastAsia="仿宋" w:cs="仿宋"/>
          <w:b/>
          <w:bCs/>
          <w:i w:val="0"/>
          <w:iCs w:val="0"/>
          <w:caps w:val="0"/>
          <w:color w:val="000000"/>
          <w:spacing w:val="0"/>
          <w:sz w:val="28"/>
          <w:szCs w:val="28"/>
          <w:lang w:val="en-US" w:eastAsia="zh-CN"/>
        </w:rPr>
        <w:t>9月30日</w:t>
      </w:r>
      <w:r>
        <w:rPr>
          <w:rFonts w:hint="eastAsia" w:ascii="仿宋" w:hAnsi="仿宋" w:eastAsia="仿宋" w:cs="仿宋"/>
          <w:b/>
          <w:bCs/>
          <w:i w:val="0"/>
          <w:iCs w:val="0"/>
          <w:caps w:val="0"/>
          <w:color w:val="000000"/>
          <w:spacing w:val="0"/>
          <w:sz w:val="28"/>
          <w:szCs w:val="28"/>
        </w:rPr>
        <w:t>17:00之后到达本单位的邮件将不再受理）。</w:t>
      </w:r>
      <w:bookmarkStart w:id="2" w:name="_GoBack"/>
      <w:bookmarkEnd w:id="2"/>
    </w:p>
    <w:p w14:paraId="72EA3F25">
      <w:pPr>
        <w:keepNext/>
        <w:keepLines/>
        <w:spacing w:after="120" w:line="360" w:lineRule="auto"/>
        <w:ind w:left="0" w:firstLine="0"/>
        <w:jc w:val="center"/>
        <w:outlineLvl w:val="0"/>
        <w:rPr>
          <w:rFonts w:hint="eastAsia" w:ascii="宋体" w:hAnsi="宋体" w:eastAsia="宋体" w:cs="宋体"/>
          <w:b/>
          <w:color w:val="auto"/>
          <w:sz w:val="36"/>
          <w:szCs w:val="40"/>
          <w:highlight w:val="none"/>
          <w:lang w:val="en-US" w:eastAsia="zh-CN" w:bidi="ar-SA"/>
        </w:rPr>
        <w:sectPr>
          <w:footerReference r:id="rId3" w:type="default"/>
          <w:pgSz w:w="11912" w:h="16839"/>
          <w:pgMar w:top="400" w:right="1055" w:bottom="1336" w:left="1111" w:header="283" w:footer="1012" w:gutter="0"/>
          <w:pgNumType w:fmt="decimal"/>
          <w:cols w:space="720" w:num="1"/>
        </w:sectPr>
      </w:pPr>
    </w:p>
    <w:p w14:paraId="524717D0">
      <w:pPr>
        <w:keepNext/>
        <w:keepLines/>
        <w:spacing w:after="120" w:line="360" w:lineRule="auto"/>
        <w:ind w:left="0" w:firstLine="0"/>
        <w:jc w:val="center"/>
        <w:outlineLvl w:val="0"/>
        <w:rPr>
          <w:rFonts w:hint="eastAsia" w:ascii="宋体" w:hAnsi="宋体" w:eastAsia="宋体" w:cs="宋体"/>
          <w:b/>
          <w:color w:val="auto"/>
          <w:sz w:val="20"/>
          <w:szCs w:val="22"/>
          <w:highlight w:val="none"/>
          <w:lang w:val="en-US" w:eastAsia="zh-CN" w:bidi="ar-SA"/>
        </w:rPr>
      </w:pPr>
      <w:r>
        <w:rPr>
          <w:rFonts w:hint="eastAsia" w:ascii="宋体" w:hAnsi="宋体" w:eastAsia="宋体" w:cs="宋体"/>
          <w:b/>
          <w:color w:val="auto"/>
          <w:sz w:val="36"/>
          <w:szCs w:val="40"/>
          <w:highlight w:val="none"/>
          <w:lang w:val="en-US" w:eastAsia="zh-CN" w:bidi="ar-SA"/>
        </w:rPr>
        <w:t>采购需求</w:t>
      </w:r>
    </w:p>
    <w:p w14:paraId="4D55477A">
      <w:pPr>
        <w:keepNext w:val="0"/>
        <w:keepLines w:val="0"/>
        <w:pageBreakBefore w:val="0"/>
        <w:widowControl w:val="0"/>
        <w:tabs>
          <w:tab w:val="left" w:pos="0"/>
        </w:tabs>
        <w:spacing w:line="440" w:lineRule="exact"/>
        <w:ind w:firstLine="484"/>
        <w:jc w:val="both"/>
        <w:rPr>
          <w:rFonts w:hint="default" w:ascii="宋体" w:hAnsi="宋体" w:eastAsia="宋体" w:cs="宋体"/>
          <w:b/>
          <w:bCs/>
          <w:color w:val="auto"/>
          <w:kern w:val="0"/>
          <w:sz w:val="24"/>
          <w:szCs w:val="24"/>
        </w:rPr>
      </w:pPr>
      <w:r>
        <w:rPr>
          <w:rFonts w:hint="default" w:ascii="宋体" w:hAnsi="宋体" w:eastAsia="宋体" w:cs="宋体"/>
          <w:b/>
          <w:bCs/>
          <w:color w:val="auto"/>
          <w:kern w:val="0"/>
          <w:sz w:val="24"/>
          <w:szCs w:val="24"/>
          <w:lang w:val="en-US" w:eastAsia="zh-CN" w:bidi="ar-SA"/>
        </w:rPr>
        <w:t>一、项目说明</w:t>
      </w:r>
    </w:p>
    <w:p w14:paraId="044C0336">
      <w:pPr>
        <w:keepNext w:val="0"/>
        <w:keepLines w:val="0"/>
        <w:pageBreakBefore w:val="0"/>
        <w:widowControl w:val="0"/>
        <w:spacing w:line="440" w:lineRule="exact"/>
        <w:ind w:left="0" w:right="0" w:firstLine="480"/>
        <w:jc w:val="both"/>
        <w:rPr>
          <w:rFonts w:hint="default" w:ascii="宋体" w:hAnsi="宋体" w:eastAsia="宋体" w:cs="宋体"/>
          <w:b w:val="0"/>
          <w:bCs w:val="0"/>
          <w:color w:val="auto"/>
          <w:kern w:val="0"/>
          <w:sz w:val="24"/>
          <w:szCs w:val="24"/>
          <w:highlight w:val="none"/>
        </w:rPr>
      </w:pPr>
      <w:r>
        <w:rPr>
          <w:rFonts w:hint="default" w:ascii="宋体" w:hAnsi="宋体" w:eastAsia="宋体" w:cs="宋体"/>
          <w:b w:val="0"/>
          <w:bCs w:val="0"/>
          <w:color w:val="auto"/>
          <w:kern w:val="0"/>
          <w:sz w:val="24"/>
          <w:szCs w:val="24"/>
          <w:highlight w:val="none"/>
          <w:lang w:val="en-US" w:eastAsia="zh-CN" w:bidi="ar-SA"/>
        </w:rPr>
        <w:t>（一）采购标的：</w:t>
      </w:r>
      <w:r>
        <w:rPr>
          <w:rFonts w:hint="eastAsia" w:ascii="宋体" w:hAnsi="宋体" w:eastAsia="宋体" w:cs="宋体"/>
          <w:b w:val="0"/>
          <w:bCs w:val="0"/>
          <w:color w:val="auto"/>
          <w:kern w:val="0"/>
          <w:sz w:val="24"/>
          <w:szCs w:val="24"/>
          <w:highlight w:val="none"/>
          <w:lang w:val="en-US" w:eastAsia="zh-CN"/>
        </w:rPr>
        <w:t>丰县分布式污水处理项目(城西、城南、五号沟站点)</w:t>
      </w:r>
    </w:p>
    <w:p w14:paraId="6A961E7A">
      <w:pPr>
        <w:keepNext w:val="0"/>
        <w:keepLines w:val="0"/>
        <w:pageBreakBefore w:val="0"/>
        <w:widowControl w:val="0"/>
        <w:spacing w:line="440" w:lineRule="exact"/>
        <w:ind w:left="0" w:right="0" w:firstLine="480"/>
        <w:jc w:val="left"/>
        <w:rPr>
          <w:rFonts w:hint="default" w:ascii="宋体" w:hAnsi="宋体" w:eastAsia="宋体" w:cs="宋体"/>
          <w:b/>
          <w:bCs/>
          <w:color w:val="auto"/>
          <w:kern w:val="0"/>
          <w:sz w:val="24"/>
          <w:szCs w:val="24"/>
          <w:shd w:val="clear" w:color="auto" w:fill="FFFFFF"/>
        </w:rPr>
      </w:pPr>
      <w:r>
        <w:rPr>
          <w:rFonts w:hint="default" w:ascii="宋体" w:hAnsi="宋体" w:eastAsia="宋体" w:cs="宋体"/>
          <w:b w:val="0"/>
          <w:bCs w:val="0"/>
          <w:color w:val="auto"/>
          <w:kern w:val="0"/>
          <w:sz w:val="24"/>
          <w:szCs w:val="24"/>
          <w:highlight w:val="none"/>
          <w:lang w:val="en-US" w:eastAsia="zh-CN" w:bidi="ar-SA"/>
        </w:rPr>
        <w:t>（二）预算金额：</w:t>
      </w:r>
      <w:r>
        <w:rPr>
          <w:rFonts w:hint="default" w:ascii="宋体" w:hAnsi="宋体" w:eastAsia="宋体" w:cs="宋体"/>
          <w:b/>
          <w:bCs/>
          <w:color w:val="auto"/>
          <w:kern w:val="0"/>
          <w:sz w:val="24"/>
          <w:szCs w:val="24"/>
          <w:highlight w:val="none"/>
          <w:lang w:val="en-US" w:eastAsia="zh-CN"/>
        </w:rPr>
        <w:t>本项目不接受单价报价超过2.64元/吨</w:t>
      </w:r>
      <w:r>
        <w:rPr>
          <w:rFonts w:hint="default" w:ascii="宋体" w:hAnsi="宋体" w:eastAsia="宋体" w:cs="宋体"/>
          <w:b/>
          <w:bCs/>
          <w:color w:val="auto"/>
          <w:kern w:val="0"/>
          <w:sz w:val="24"/>
          <w:szCs w:val="24"/>
          <w:highlight w:val="none"/>
        </w:rPr>
        <w:t>人民币的报</w:t>
      </w:r>
      <w:r>
        <w:rPr>
          <w:rFonts w:hint="eastAsia" w:ascii="宋体" w:hAnsi="宋体" w:eastAsia="宋体" w:cs="宋体"/>
          <w:b/>
          <w:bCs/>
          <w:color w:val="auto"/>
          <w:kern w:val="0"/>
          <w:sz w:val="24"/>
          <w:szCs w:val="24"/>
          <w:highlight w:val="none"/>
          <w:lang w:val="en-US" w:eastAsia="zh-CN"/>
        </w:rPr>
        <w:t>价</w:t>
      </w:r>
      <w:r>
        <w:rPr>
          <w:rFonts w:hint="default" w:ascii="宋体" w:hAnsi="宋体" w:eastAsia="宋体" w:cs="宋体"/>
          <w:b/>
          <w:bCs/>
          <w:color w:val="auto"/>
          <w:kern w:val="0"/>
          <w:sz w:val="24"/>
          <w:szCs w:val="24"/>
          <w:highlight w:val="none"/>
          <w:lang w:val="en-US" w:eastAsia="zh-CN"/>
        </w:rPr>
        <w:t>，</w:t>
      </w:r>
      <w:r>
        <w:rPr>
          <w:rFonts w:hint="default" w:ascii="宋体" w:hAnsi="宋体" w:eastAsia="宋体" w:cs="宋体"/>
          <w:b w:val="0"/>
          <w:bCs w:val="0"/>
          <w:color w:val="auto"/>
          <w:kern w:val="0"/>
          <w:sz w:val="24"/>
          <w:szCs w:val="24"/>
          <w:highlight w:val="none"/>
          <w:lang w:val="en-US" w:eastAsia="zh-CN"/>
        </w:rPr>
        <w:t>最终结算价格以实际处理量据实结算</w:t>
      </w:r>
      <w:r>
        <w:rPr>
          <w:rFonts w:hint="eastAsia" w:ascii="宋体" w:hAnsi="宋体" w:eastAsia="宋体" w:cs="宋体"/>
          <w:b w:val="0"/>
          <w:bCs w:val="0"/>
          <w:color w:val="auto"/>
          <w:kern w:val="0"/>
          <w:sz w:val="24"/>
          <w:szCs w:val="24"/>
          <w:highlight w:val="none"/>
          <w:lang w:val="en-US" w:eastAsia="zh-CN"/>
        </w:rPr>
        <w:t>。</w:t>
      </w:r>
    </w:p>
    <w:p w14:paraId="352BE230">
      <w:pPr>
        <w:keepNext w:val="0"/>
        <w:keepLines w:val="0"/>
        <w:pageBreakBefore w:val="0"/>
        <w:widowControl w:val="0"/>
        <w:spacing w:line="440" w:lineRule="exact"/>
        <w:ind w:left="0" w:right="0" w:firstLine="482"/>
        <w:jc w:val="left"/>
        <w:rPr>
          <w:rFonts w:hint="default" w:ascii="宋体" w:hAnsi="宋体" w:eastAsia="宋体" w:cs="宋体"/>
          <w:b/>
          <w:bCs/>
          <w:color w:val="auto"/>
          <w:kern w:val="0"/>
          <w:sz w:val="24"/>
          <w:szCs w:val="24"/>
          <w:highlight w:val="none"/>
          <w:shd w:val="clear" w:color="auto" w:fill="FFFFFF"/>
        </w:rPr>
      </w:pPr>
      <w:r>
        <w:rPr>
          <w:rFonts w:hint="default" w:ascii="宋体" w:hAnsi="宋体" w:eastAsia="宋体" w:cs="宋体"/>
          <w:b/>
          <w:bCs/>
          <w:color w:val="auto"/>
          <w:kern w:val="0"/>
          <w:sz w:val="24"/>
          <w:szCs w:val="24"/>
          <w:shd w:val="clear" w:color="auto" w:fill="FFFFFF"/>
          <w:lang w:val="en-US" w:eastAsia="zh-CN"/>
        </w:rPr>
        <w:t>二</w:t>
      </w:r>
      <w:r>
        <w:rPr>
          <w:rFonts w:hint="default" w:ascii="宋体" w:hAnsi="宋体" w:eastAsia="宋体" w:cs="宋体"/>
          <w:b/>
          <w:bCs/>
          <w:color w:val="auto"/>
          <w:kern w:val="0"/>
          <w:sz w:val="24"/>
          <w:szCs w:val="24"/>
          <w:shd w:val="clear" w:color="auto" w:fill="FFFFFF"/>
        </w:rPr>
        <w:t>、项目概况</w:t>
      </w:r>
    </w:p>
    <w:p w14:paraId="6FD107D8">
      <w:pPr>
        <w:keepNext w:val="0"/>
        <w:keepLines w:val="0"/>
        <w:pageBreakBefore w:val="0"/>
        <w:widowControl w:val="0"/>
        <w:spacing w:line="440" w:lineRule="exact"/>
        <w:ind w:left="0" w:right="0" w:firstLine="482"/>
        <w:jc w:val="left"/>
        <w:rPr>
          <w:rFonts w:hint="default" w:ascii="宋体" w:hAnsi="宋体" w:eastAsia="宋体" w:cs="宋体"/>
          <w:b w:val="0"/>
          <w:bCs w:val="0"/>
          <w:color w:val="auto"/>
          <w:kern w:val="0"/>
          <w:sz w:val="24"/>
          <w:szCs w:val="24"/>
          <w:highlight w:val="none"/>
          <w:lang w:val="en-US" w:eastAsia="zh-CN"/>
        </w:rPr>
      </w:pPr>
      <w:bookmarkStart w:id="0" w:name="_Toc13057"/>
      <w:r>
        <w:rPr>
          <w:rFonts w:hint="default" w:ascii="宋体" w:hAnsi="宋体" w:eastAsia="宋体" w:cs="宋体"/>
          <w:b w:val="0"/>
          <w:bCs w:val="0"/>
          <w:color w:val="auto"/>
          <w:kern w:val="0"/>
          <w:sz w:val="24"/>
          <w:szCs w:val="24"/>
          <w:highlight w:val="none"/>
          <w:lang w:val="en-US" w:eastAsia="zh-CN"/>
        </w:rPr>
        <w:t>拟分别在城西（</w:t>
      </w:r>
      <w:r>
        <w:rPr>
          <w:rFonts w:hint="eastAsia" w:ascii="宋体" w:hAnsi="宋体" w:eastAsia="宋体" w:cs="宋体"/>
          <w:b w:val="0"/>
          <w:bCs w:val="0"/>
          <w:color w:val="auto"/>
          <w:kern w:val="0"/>
          <w:sz w:val="24"/>
          <w:szCs w:val="24"/>
          <w:highlight w:val="none"/>
          <w:lang w:val="en-US" w:eastAsia="zh-CN"/>
        </w:rPr>
        <w:t>25</w:t>
      </w:r>
      <w:r>
        <w:rPr>
          <w:rFonts w:hint="default" w:ascii="宋体" w:hAnsi="宋体" w:eastAsia="宋体" w:cs="宋体"/>
          <w:b w:val="0"/>
          <w:bCs w:val="0"/>
          <w:color w:val="auto"/>
          <w:kern w:val="0"/>
          <w:sz w:val="24"/>
          <w:szCs w:val="24"/>
          <w:highlight w:val="none"/>
          <w:lang w:val="en-US" w:eastAsia="zh-CN"/>
        </w:rPr>
        <w:t>00 吨/天）、城南（5000 吨/天）、五号沟（3000 吨/天）建设 3 座水质净化设施，出水水质地表水环境质量标准（GB3838-2002）准Ⅲ类水标准。采用采购服务的形式对污水或劣质河水水进行净化，服务期三年。</w:t>
      </w:r>
    </w:p>
    <w:p w14:paraId="5F3B1140">
      <w:pPr>
        <w:keepNext w:val="0"/>
        <w:keepLines w:val="0"/>
        <w:pageBreakBefore w:val="0"/>
        <w:widowControl w:val="0"/>
        <w:spacing w:line="440" w:lineRule="exact"/>
        <w:ind w:left="0" w:right="0" w:firstLine="482"/>
        <w:jc w:val="left"/>
        <w:rPr>
          <w:rFonts w:hint="default" w:ascii="宋体" w:hAnsi="宋体" w:eastAsia="宋体" w:cs="宋体"/>
          <w:b/>
          <w:bCs/>
          <w:color w:val="auto"/>
          <w:kern w:val="0"/>
          <w:sz w:val="24"/>
          <w:szCs w:val="24"/>
          <w:shd w:val="clear" w:color="auto" w:fill="FFFFFF"/>
        </w:rPr>
      </w:pPr>
      <w:r>
        <w:rPr>
          <w:rFonts w:hint="default" w:ascii="宋体" w:hAnsi="宋体" w:eastAsia="宋体" w:cs="宋体"/>
          <w:b/>
          <w:bCs/>
          <w:color w:val="auto"/>
          <w:kern w:val="0"/>
          <w:sz w:val="24"/>
          <w:szCs w:val="24"/>
          <w:shd w:val="clear" w:color="auto" w:fill="FFFFFF"/>
          <w:lang w:val="en-US" w:eastAsia="zh-CN"/>
        </w:rPr>
        <w:t>三</w:t>
      </w:r>
      <w:r>
        <w:rPr>
          <w:rFonts w:hint="default" w:ascii="宋体" w:hAnsi="宋体" w:eastAsia="宋体" w:cs="宋体"/>
          <w:b/>
          <w:bCs/>
          <w:color w:val="auto"/>
          <w:kern w:val="0"/>
          <w:sz w:val="24"/>
          <w:szCs w:val="24"/>
          <w:shd w:val="clear" w:color="auto" w:fill="FFFFFF"/>
        </w:rPr>
        <w:t>、项目技术参数及要求</w:t>
      </w:r>
      <w:bookmarkEnd w:id="0"/>
    </w:p>
    <w:p w14:paraId="5827C048">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1、供应商自行勘察现场， 并进行根据水质指标进行设计，同时需考虑水质波动时的安全余量和预案。</w:t>
      </w:r>
    </w:p>
    <w:p w14:paraId="3B4B13AF">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2、主体工艺必须采用 MBR 处理工艺，不得产生二次污染，不得破坏后续水体生态健康。</w:t>
      </w:r>
    </w:p>
    <w:p w14:paraId="3D141C82">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本项目服务期间可能发生的污泥处置、仪表校准、噪音及气味扰民、安全生产应由供应商负责解决，并由供应商承担相应的法律责任。由此产生的污泥处置费用、校准费等所产生的一切费用都应包含在投标报价中，采购人不再另行支付任何费用。</w:t>
      </w:r>
    </w:p>
    <w:p w14:paraId="50C513AC">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4、供应商在投标时应当提供但不限于以下详细内容及方案： 项目设计方案、运维服务方案、进度计划及质量保证、项目负责人实力、供应商实力、供应商业绩、评分标准中要求提供的其他相关评分证明。</w:t>
      </w:r>
    </w:p>
    <w:p w14:paraId="2A375EB2">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供应商提供一套完整的水质净化服务设施用于水质净化服务（设施位置、处理规模和进水水质见下表）。</w:t>
      </w:r>
    </w:p>
    <w:tbl>
      <w:tblPr>
        <w:tblStyle w:val="4"/>
        <w:tblW w:w="96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3"/>
        <w:gridCol w:w="1288"/>
        <w:gridCol w:w="1267"/>
        <w:gridCol w:w="1214"/>
        <w:gridCol w:w="1252"/>
        <w:gridCol w:w="1344"/>
        <w:gridCol w:w="1305"/>
        <w:gridCol w:w="1425"/>
      </w:tblGrid>
      <w:tr w14:paraId="2013B4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593" w:type="dxa"/>
            <w:vMerge w:val="restart"/>
            <w:tcBorders>
              <w:bottom w:val="nil"/>
            </w:tcBorders>
            <w:vAlign w:val="top"/>
          </w:tcPr>
          <w:p w14:paraId="5995E19A">
            <w:pPr>
              <w:widowControl/>
              <w:spacing w:line="270" w:lineRule="auto"/>
              <w:jc w:val="left"/>
              <w:rPr>
                <w:rFonts w:hint="eastAsia" w:ascii="宋体" w:hAnsi="宋体" w:eastAsia="宋体" w:cs="宋体"/>
                <w:kern w:val="0"/>
                <w:sz w:val="24"/>
                <w:szCs w:val="24"/>
              </w:rPr>
            </w:pPr>
          </w:p>
          <w:p w14:paraId="466A83A6">
            <w:pPr>
              <w:widowControl/>
              <w:spacing w:line="270" w:lineRule="auto"/>
              <w:jc w:val="left"/>
              <w:rPr>
                <w:rFonts w:hint="eastAsia" w:ascii="宋体" w:hAnsi="宋体" w:eastAsia="宋体" w:cs="宋体"/>
                <w:kern w:val="0"/>
                <w:sz w:val="24"/>
                <w:szCs w:val="24"/>
              </w:rPr>
            </w:pPr>
          </w:p>
          <w:p w14:paraId="4B6E5C88">
            <w:pPr>
              <w:spacing w:before="109" w:line="191" w:lineRule="auto"/>
              <w:ind w:left="61"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序号</w:t>
            </w:r>
          </w:p>
        </w:tc>
        <w:tc>
          <w:tcPr>
            <w:tcW w:w="1288" w:type="dxa"/>
            <w:vMerge w:val="restart"/>
            <w:tcBorders>
              <w:bottom w:val="nil"/>
            </w:tcBorders>
            <w:vAlign w:val="top"/>
          </w:tcPr>
          <w:p w14:paraId="0196185E">
            <w:pPr>
              <w:widowControl/>
              <w:spacing w:line="270" w:lineRule="auto"/>
              <w:jc w:val="left"/>
              <w:rPr>
                <w:rFonts w:hint="eastAsia" w:ascii="宋体" w:hAnsi="宋体" w:eastAsia="宋体" w:cs="宋体"/>
                <w:kern w:val="0"/>
                <w:sz w:val="24"/>
                <w:szCs w:val="24"/>
              </w:rPr>
            </w:pPr>
          </w:p>
          <w:p w14:paraId="722899A8">
            <w:pPr>
              <w:widowControl/>
              <w:spacing w:line="270" w:lineRule="auto"/>
              <w:jc w:val="left"/>
              <w:rPr>
                <w:rFonts w:hint="eastAsia" w:ascii="宋体" w:hAnsi="宋体" w:eastAsia="宋体" w:cs="宋体"/>
                <w:kern w:val="0"/>
                <w:sz w:val="24"/>
                <w:szCs w:val="24"/>
              </w:rPr>
            </w:pPr>
          </w:p>
          <w:p w14:paraId="7A32C4AF">
            <w:pPr>
              <w:spacing w:before="109" w:line="191" w:lineRule="auto"/>
              <w:ind w:left="410"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位置</w:t>
            </w:r>
          </w:p>
        </w:tc>
        <w:tc>
          <w:tcPr>
            <w:tcW w:w="1267" w:type="dxa"/>
            <w:vMerge w:val="restart"/>
            <w:tcBorders>
              <w:bottom w:val="nil"/>
            </w:tcBorders>
            <w:vAlign w:val="top"/>
          </w:tcPr>
          <w:p w14:paraId="1366C673">
            <w:pPr>
              <w:widowControl/>
              <w:spacing w:line="348" w:lineRule="auto"/>
              <w:jc w:val="left"/>
              <w:rPr>
                <w:rFonts w:hint="eastAsia" w:ascii="宋体" w:hAnsi="宋体" w:eastAsia="宋体" w:cs="宋体"/>
                <w:kern w:val="0"/>
                <w:sz w:val="24"/>
                <w:szCs w:val="24"/>
              </w:rPr>
            </w:pPr>
          </w:p>
          <w:p w14:paraId="63EE13A7">
            <w:pPr>
              <w:spacing w:before="109" w:line="237" w:lineRule="auto"/>
              <w:ind w:left="134" w:leftChars="0" w:right="131" w:rightChars="0" w:firstLine="31" w:firstLine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4"/>
                <w:sz w:val="24"/>
                <w:szCs w:val="24"/>
                <w:lang w:val="en-US" w:eastAsia="en-US" w:bidi="ar-SA"/>
              </w:rPr>
              <w:t>处理能力</w:t>
            </w:r>
            <w:r>
              <w:rPr>
                <w:rFonts w:hint="eastAsia" w:ascii="宋体" w:hAnsi="宋体" w:eastAsia="宋体" w:cs="宋体"/>
                <w:spacing w:val="-7"/>
                <w:sz w:val="24"/>
                <w:szCs w:val="24"/>
                <w:lang w:val="en-US" w:eastAsia="en-US" w:bidi="ar-SA"/>
              </w:rPr>
              <w:t>（吨/日）</w:t>
            </w:r>
          </w:p>
        </w:tc>
        <w:tc>
          <w:tcPr>
            <w:tcW w:w="6540" w:type="dxa"/>
            <w:gridSpan w:val="5"/>
            <w:vAlign w:val="top"/>
          </w:tcPr>
          <w:p w14:paraId="6240C0FE">
            <w:pPr>
              <w:spacing w:before="160" w:line="191" w:lineRule="auto"/>
              <w:ind w:left="2795"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2"/>
                <w:sz w:val="24"/>
                <w:szCs w:val="24"/>
                <w:lang w:val="en-US" w:eastAsia="en-US" w:bidi="ar-SA"/>
              </w:rPr>
              <w:t>进水水质</w:t>
            </w:r>
          </w:p>
        </w:tc>
      </w:tr>
      <w:tr w14:paraId="41E4F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8" w:hRule="atLeast"/>
        </w:trPr>
        <w:tc>
          <w:tcPr>
            <w:tcW w:w="593" w:type="dxa"/>
            <w:vMerge w:val="continue"/>
            <w:tcBorders>
              <w:top w:val="nil"/>
            </w:tcBorders>
            <w:vAlign w:val="top"/>
          </w:tcPr>
          <w:p w14:paraId="0B9E626B">
            <w:pPr>
              <w:widowControl/>
              <w:spacing w:line="312" w:lineRule="auto"/>
              <w:jc w:val="left"/>
              <w:rPr>
                <w:rFonts w:hint="eastAsia" w:ascii="宋体" w:hAnsi="宋体" w:eastAsia="宋体" w:cs="宋体"/>
                <w:b w:val="0"/>
                <w:bCs w:val="0"/>
                <w:color w:val="auto"/>
                <w:kern w:val="0"/>
                <w:sz w:val="24"/>
                <w:szCs w:val="24"/>
                <w:highlight w:val="none"/>
                <w:lang w:val="en-US" w:eastAsia="zh-CN"/>
              </w:rPr>
            </w:pPr>
          </w:p>
        </w:tc>
        <w:tc>
          <w:tcPr>
            <w:tcW w:w="1288" w:type="dxa"/>
            <w:vMerge w:val="continue"/>
            <w:tcBorders>
              <w:top w:val="nil"/>
            </w:tcBorders>
            <w:vAlign w:val="top"/>
          </w:tcPr>
          <w:p w14:paraId="649573CE">
            <w:pPr>
              <w:widowControl/>
              <w:spacing w:line="312" w:lineRule="auto"/>
              <w:jc w:val="left"/>
              <w:rPr>
                <w:rFonts w:hint="eastAsia" w:ascii="宋体" w:hAnsi="宋体" w:eastAsia="宋体" w:cs="宋体"/>
                <w:b w:val="0"/>
                <w:bCs w:val="0"/>
                <w:color w:val="auto"/>
                <w:kern w:val="0"/>
                <w:sz w:val="24"/>
                <w:szCs w:val="24"/>
                <w:highlight w:val="none"/>
                <w:lang w:val="en-US" w:eastAsia="zh-CN"/>
              </w:rPr>
            </w:pPr>
          </w:p>
        </w:tc>
        <w:tc>
          <w:tcPr>
            <w:tcW w:w="1267" w:type="dxa"/>
            <w:vMerge w:val="continue"/>
            <w:tcBorders>
              <w:top w:val="nil"/>
            </w:tcBorders>
            <w:vAlign w:val="top"/>
          </w:tcPr>
          <w:p w14:paraId="3C799582">
            <w:pPr>
              <w:widowControl/>
              <w:spacing w:line="312" w:lineRule="auto"/>
              <w:jc w:val="left"/>
              <w:rPr>
                <w:rFonts w:hint="eastAsia" w:ascii="宋体" w:hAnsi="宋体" w:eastAsia="宋体" w:cs="宋体"/>
                <w:b w:val="0"/>
                <w:bCs w:val="0"/>
                <w:color w:val="auto"/>
                <w:kern w:val="0"/>
                <w:sz w:val="24"/>
                <w:szCs w:val="24"/>
                <w:highlight w:val="none"/>
                <w:lang w:val="en-US" w:eastAsia="zh-CN"/>
              </w:rPr>
            </w:pPr>
          </w:p>
        </w:tc>
        <w:tc>
          <w:tcPr>
            <w:tcW w:w="1214" w:type="dxa"/>
            <w:vAlign w:val="top"/>
          </w:tcPr>
          <w:p w14:paraId="28A65C13">
            <w:pPr>
              <w:widowControl/>
              <w:spacing w:before="174" w:line="188" w:lineRule="auto"/>
              <w:ind w:left="267"/>
              <w:jc w:val="left"/>
              <w:rPr>
                <w:rFonts w:hint="eastAsia" w:ascii="宋体" w:hAnsi="宋体" w:eastAsia="宋体" w:cs="宋体"/>
                <w:kern w:val="0"/>
                <w:sz w:val="24"/>
                <w:szCs w:val="24"/>
              </w:rPr>
            </w:pPr>
            <w:r>
              <w:rPr>
                <w:rFonts w:hint="eastAsia" w:ascii="宋体" w:hAnsi="宋体" w:eastAsia="宋体" w:cs="宋体"/>
                <w:spacing w:val="-2"/>
                <w:kern w:val="0"/>
                <w:sz w:val="24"/>
                <w:szCs w:val="24"/>
              </w:rPr>
              <w:t>CODcr</w:t>
            </w:r>
          </w:p>
          <w:p w14:paraId="78D977EE">
            <w:pPr>
              <w:spacing w:before="111" w:line="186" w:lineRule="auto"/>
              <w:ind w:left="120"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（mg/L）</w:t>
            </w:r>
          </w:p>
        </w:tc>
        <w:tc>
          <w:tcPr>
            <w:tcW w:w="1252" w:type="dxa"/>
            <w:vAlign w:val="top"/>
          </w:tcPr>
          <w:p w14:paraId="433DA9F1">
            <w:pPr>
              <w:widowControl/>
              <w:spacing w:before="174" w:line="188" w:lineRule="auto"/>
              <w:ind w:left="373"/>
              <w:jc w:val="left"/>
              <w:rPr>
                <w:rFonts w:hint="eastAsia" w:ascii="宋体" w:hAnsi="宋体" w:eastAsia="宋体" w:cs="宋体"/>
                <w:kern w:val="0"/>
                <w:sz w:val="24"/>
                <w:szCs w:val="24"/>
              </w:rPr>
            </w:pPr>
            <w:r>
              <w:rPr>
                <w:rFonts w:hint="eastAsia" w:ascii="宋体" w:hAnsi="宋体" w:eastAsia="宋体" w:cs="宋体"/>
                <w:spacing w:val="-2"/>
                <w:kern w:val="0"/>
                <w:sz w:val="24"/>
                <w:szCs w:val="24"/>
              </w:rPr>
              <w:t>BOD</w:t>
            </w:r>
          </w:p>
          <w:p w14:paraId="6582170C">
            <w:pPr>
              <w:spacing w:before="111" w:line="186" w:lineRule="auto"/>
              <w:ind w:left="13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（mg/L）</w:t>
            </w:r>
          </w:p>
        </w:tc>
        <w:tc>
          <w:tcPr>
            <w:tcW w:w="1344" w:type="dxa"/>
            <w:vAlign w:val="top"/>
          </w:tcPr>
          <w:p w14:paraId="02374A41">
            <w:pPr>
              <w:spacing w:before="329" w:line="186" w:lineRule="auto"/>
              <w:ind w:left="51"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2"/>
                <w:sz w:val="24"/>
                <w:szCs w:val="24"/>
                <w:lang w:val="en-US" w:eastAsia="en-US" w:bidi="ar-SA"/>
              </w:rPr>
              <w:t>SS（mg/L）</w:t>
            </w:r>
          </w:p>
        </w:tc>
        <w:tc>
          <w:tcPr>
            <w:tcW w:w="1305" w:type="dxa"/>
            <w:vAlign w:val="top"/>
          </w:tcPr>
          <w:p w14:paraId="32CA821C">
            <w:pPr>
              <w:spacing w:before="329" w:line="186" w:lineRule="auto"/>
              <w:jc w:val="right"/>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16"/>
                <w:w w:val="94"/>
                <w:sz w:val="24"/>
                <w:szCs w:val="24"/>
                <w:lang w:val="en-US" w:eastAsia="en-US" w:bidi="ar-SA"/>
              </w:rPr>
              <w:t>氨氮（mg/L）</w:t>
            </w:r>
          </w:p>
        </w:tc>
        <w:tc>
          <w:tcPr>
            <w:tcW w:w="1425" w:type="dxa"/>
            <w:vAlign w:val="top"/>
          </w:tcPr>
          <w:p w14:paraId="0F03BA54">
            <w:pPr>
              <w:spacing w:before="329" w:line="186" w:lineRule="auto"/>
              <w:jc w:val="right"/>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12"/>
                <w:sz w:val="24"/>
                <w:szCs w:val="24"/>
                <w:lang w:val="en-US" w:eastAsia="en-US" w:bidi="ar-SA"/>
              </w:rPr>
              <w:t>总磷（mg/L）</w:t>
            </w:r>
          </w:p>
        </w:tc>
      </w:tr>
      <w:tr w14:paraId="2C22B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93" w:type="dxa"/>
            <w:vAlign w:val="center"/>
          </w:tcPr>
          <w:p w14:paraId="363E4E12">
            <w:pPr>
              <w:widowControl/>
              <w:spacing w:before="196" w:line="235"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kern w:val="0"/>
                <w:sz w:val="24"/>
                <w:szCs w:val="24"/>
              </w:rPr>
              <w:t>1</w:t>
            </w:r>
          </w:p>
        </w:tc>
        <w:tc>
          <w:tcPr>
            <w:tcW w:w="1288" w:type="dxa"/>
            <w:vAlign w:val="center"/>
          </w:tcPr>
          <w:p w14:paraId="694F4A93">
            <w:pPr>
              <w:spacing w:before="158" w:line="192" w:lineRule="auto"/>
              <w:jc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城西</w:t>
            </w:r>
          </w:p>
        </w:tc>
        <w:tc>
          <w:tcPr>
            <w:tcW w:w="1267" w:type="dxa"/>
            <w:vAlign w:val="center"/>
          </w:tcPr>
          <w:p w14:paraId="3C4D62B0">
            <w:pPr>
              <w:widowControl/>
              <w:spacing w:before="232" w:line="232"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spacing w:val="-3"/>
                <w:kern w:val="0"/>
                <w:sz w:val="24"/>
                <w:szCs w:val="24"/>
                <w:lang w:val="en-US" w:eastAsia="zh-CN"/>
              </w:rPr>
              <w:t>25</w:t>
            </w:r>
            <w:r>
              <w:rPr>
                <w:rFonts w:hint="eastAsia" w:ascii="宋体" w:hAnsi="宋体" w:eastAsia="宋体" w:cs="宋体"/>
                <w:spacing w:val="-3"/>
                <w:kern w:val="0"/>
                <w:sz w:val="24"/>
                <w:szCs w:val="24"/>
              </w:rPr>
              <w:t>00</w:t>
            </w:r>
          </w:p>
        </w:tc>
        <w:tc>
          <w:tcPr>
            <w:tcW w:w="1214" w:type="dxa"/>
            <w:vAlign w:val="top"/>
          </w:tcPr>
          <w:p w14:paraId="2DE50E9F">
            <w:pPr>
              <w:spacing w:before="158" w:line="213" w:lineRule="auto"/>
              <w:ind w:left="332"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≤300</w:t>
            </w:r>
          </w:p>
        </w:tc>
        <w:tc>
          <w:tcPr>
            <w:tcW w:w="1252" w:type="dxa"/>
            <w:vAlign w:val="top"/>
          </w:tcPr>
          <w:p w14:paraId="1C35AED3">
            <w:pPr>
              <w:spacing w:before="158" w:line="213" w:lineRule="auto"/>
              <w:ind w:left="350"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≤150</w:t>
            </w:r>
          </w:p>
        </w:tc>
        <w:tc>
          <w:tcPr>
            <w:tcW w:w="1344" w:type="dxa"/>
            <w:vAlign w:val="top"/>
          </w:tcPr>
          <w:p w14:paraId="2A309FE2">
            <w:pPr>
              <w:spacing w:before="158" w:line="213" w:lineRule="auto"/>
              <w:ind w:left="396"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≤100</w:t>
            </w:r>
          </w:p>
        </w:tc>
        <w:tc>
          <w:tcPr>
            <w:tcW w:w="1305" w:type="dxa"/>
            <w:vAlign w:val="top"/>
          </w:tcPr>
          <w:p w14:paraId="033C739E">
            <w:pPr>
              <w:spacing w:before="158" w:line="213" w:lineRule="auto"/>
              <w:ind w:left="43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8"/>
                <w:sz w:val="24"/>
                <w:szCs w:val="24"/>
                <w:lang w:val="en-US" w:eastAsia="en-US" w:bidi="ar-SA"/>
              </w:rPr>
              <w:t>≤35</w:t>
            </w:r>
          </w:p>
        </w:tc>
        <w:tc>
          <w:tcPr>
            <w:tcW w:w="1425" w:type="dxa"/>
            <w:vAlign w:val="top"/>
          </w:tcPr>
          <w:p w14:paraId="0FCF12A9">
            <w:pPr>
              <w:spacing w:before="159" w:line="212" w:lineRule="auto"/>
              <w:ind w:left="46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≤3.5</w:t>
            </w:r>
          </w:p>
        </w:tc>
      </w:tr>
      <w:tr w14:paraId="0CF2C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93" w:type="dxa"/>
            <w:vAlign w:val="center"/>
          </w:tcPr>
          <w:p w14:paraId="18443AD7">
            <w:pPr>
              <w:widowControl/>
              <w:spacing w:before="198" w:line="235"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kern w:val="0"/>
                <w:sz w:val="24"/>
                <w:szCs w:val="24"/>
              </w:rPr>
              <w:t>2</w:t>
            </w:r>
          </w:p>
        </w:tc>
        <w:tc>
          <w:tcPr>
            <w:tcW w:w="1288" w:type="dxa"/>
            <w:vAlign w:val="center"/>
          </w:tcPr>
          <w:p w14:paraId="21741DE0">
            <w:pPr>
              <w:spacing w:before="159" w:line="191" w:lineRule="auto"/>
              <w:jc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3"/>
                <w:sz w:val="24"/>
                <w:szCs w:val="24"/>
                <w:lang w:val="en-US" w:eastAsia="en-US" w:bidi="ar-SA"/>
              </w:rPr>
              <w:t>城南</w:t>
            </w:r>
          </w:p>
        </w:tc>
        <w:tc>
          <w:tcPr>
            <w:tcW w:w="1267" w:type="dxa"/>
            <w:vAlign w:val="center"/>
          </w:tcPr>
          <w:p w14:paraId="5BEEB6BE">
            <w:pPr>
              <w:widowControl/>
              <w:spacing w:before="233" w:line="232"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spacing w:val="-3"/>
                <w:kern w:val="0"/>
                <w:sz w:val="24"/>
                <w:szCs w:val="24"/>
              </w:rPr>
              <w:t>5000</w:t>
            </w:r>
          </w:p>
        </w:tc>
        <w:tc>
          <w:tcPr>
            <w:tcW w:w="1214" w:type="dxa"/>
            <w:vAlign w:val="top"/>
          </w:tcPr>
          <w:p w14:paraId="3E6C0ADC">
            <w:pPr>
              <w:spacing w:before="158" w:line="213" w:lineRule="auto"/>
              <w:ind w:left="332"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≤300</w:t>
            </w:r>
          </w:p>
        </w:tc>
        <w:tc>
          <w:tcPr>
            <w:tcW w:w="1252" w:type="dxa"/>
            <w:vAlign w:val="top"/>
          </w:tcPr>
          <w:p w14:paraId="6D24C013">
            <w:pPr>
              <w:spacing w:before="158" w:line="213" w:lineRule="auto"/>
              <w:ind w:left="350"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≤150</w:t>
            </w:r>
          </w:p>
        </w:tc>
        <w:tc>
          <w:tcPr>
            <w:tcW w:w="1344" w:type="dxa"/>
            <w:vAlign w:val="top"/>
          </w:tcPr>
          <w:p w14:paraId="51C7D1B0">
            <w:pPr>
              <w:spacing w:before="158" w:line="213" w:lineRule="auto"/>
              <w:ind w:left="396"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≤100</w:t>
            </w:r>
          </w:p>
        </w:tc>
        <w:tc>
          <w:tcPr>
            <w:tcW w:w="1305" w:type="dxa"/>
            <w:vAlign w:val="top"/>
          </w:tcPr>
          <w:p w14:paraId="12031DF7">
            <w:pPr>
              <w:spacing w:before="158" w:line="213" w:lineRule="auto"/>
              <w:ind w:left="43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8"/>
                <w:sz w:val="24"/>
                <w:szCs w:val="24"/>
                <w:lang w:val="en-US" w:eastAsia="en-US" w:bidi="ar-SA"/>
              </w:rPr>
              <w:t>≤35</w:t>
            </w:r>
          </w:p>
        </w:tc>
        <w:tc>
          <w:tcPr>
            <w:tcW w:w="1425" w:type="dxa"/>
            <w:vAlign w:val="top"/>
          </w:tcPr>
          <w:p w14:paraId="149C548B">
            <w:pPr>
              <w:spacing w:before="160" w:line="212" w:lineRule="auto"/>
              <w:ind w:left="46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≤3.5</w:t>
            </w:r>
          </w:p>
        </w:tc>
      </w:tr>
      <w:tr w14:paraId="7EC1B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593" w:type="dxa"/>
            <w:vAlign w:val="center"/>
          </w:tcPr>
          <w:p w14:paraId="7D6B0B2C">
            <w:pPr>
              <w:widowControl/>
              <w:spacing w:before="69" w:line="232"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kern w:val="0"/>
                <w:sz w:val="24"/>
                <w:szCs w:val="24"/>
              </w:rPr>
              <w:t>3</w:t>
            </w:r>
          </w:p>
        </w:tc>
        <w:tc>
          <w:tcPr>
            <w:tcW w:w="1288" w:type="dxa"/>
            <w:vAlign w:val="top"/>
          </w:tcPr>
          <w:p w14:paraId="49C2F99A">
            <w:pPr>
              <w:spacing w:before="301" w:line="192" w:lineRule="auto"/>
              <w:jc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5"/>
                <w:sz w:val="24"/>
                <w:szCs w:val="24"/>
                <w:lang w:val="en-US" w:eastAsia="en-US" w:bidi="ar-SA"/>
              </w:rPr>
              <w:t>五号沟</w:t>
            </w:r>
          </w:p>
        </w:tc>
        <w:tc>
          <w:tcPr>
            <w:tcW w:w="1267" w:type="dxa"/>
            <w:vAlign w:val="center"/>
          </w:tcPr>
          <w:p w14:paraId="09933BB9">
            <w:pPr>
              <w:widowControl/>
              <w:spacing w:before="69" w:line="232"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spacing w:val="-2"/>
                <w:kern w:val="0"/>
                <w:sz w:val="24"/>
                <w:szCs w:val="24"/>
              </w:rPr>
              <w:t>3000</w:t>
            </w:r>
          </w:p>
        </w:tc>
        <w:tc>
          <w:tcPr>
            <w:tcW w:w="1214" w:type="dxa"/>
            <w:vAlign w:val="top"/>
          </w:tcPr>
          <w:p w14:paraId="32B9C1BC">
            <w:pPr>
              <w:spacing w:before="301" w:line="213" w:lineRule="auto"/>
              <w:ind w:left="332"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≤300</w:t>
            </w:r>
          </w:p>
        </w:tc>
        <w:tc>
          <w:tcPr>
            <w:tcW w:w="1252" w:type="dxa"/>
            <w:vAlign w:val="top"/>
          </w:tcPr>
          <w:p w14:paraId="20A743A2">
            <w:pPr>
              <w:spacing w:before="301" w:line="213" w:lineRule="auto"/>
              <w:ind w:left="350"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≤150</w:t>
            </w:r>
          </w:p>
        </w:tc>
        <w:tc>
          <w:tcPr>
            <w:tcW w:w="1344" w:type="dxa"/>
            <w:vAlign w:val="top"/>
          </w:tcPr>
          <w:p w14:paraId="5F5A2A54">
            <w:pPr>
              <w:spacing w:before="301" w:line="213" w:lineRule="auto"/>
              <w:ind w:left="396"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≤100</w:t>
            </w:r>
          </w:p>
        </w:tc>
        <w:tc>
          <w:tcPr>
            <w:tcW w:w="1305" w:type="dxa"/>
            <w:vAlign w:val="top"/>
          </w:tcPr>
          <w:p w14:paraId="52F14B6E">
            <w:pPr>
              <w:spacing w:before="301" w:line="213" w:lineRule="auto"/>
              <w:ind w:left="43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8"/>
                <w:sz w:val="24"/>
                <w:szCs w:val="24"/>
                <w:lang w:val="en-US" w:eastAsia="en-US" w:bidi="ar-SA"/>
              </w:rPr>
              <w:t>≤35</w:t>
            </w:r>
          </w:p>
        </w:tc>
        <w:tc>
          <w:tcPr>
            <w:tcW w:w="1425" w:type="dxa"/>
            <w:vAlign w:val="top"/>
          </w:tcPr>
          <w:p w14:paraId="4F842E5F">
            <w:pPr>
              <w:spacing w:before="303" w:line="212" w:lineRule="auto"/>
              <w:ind w:left="467" w:leftChars="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spacing w:val="6"/>
                <w:sz w:val="24"/>
                <w:szCs w:val="24"/>
                <w:lang w:val="en-US" w:eastAsia="en-US" w:bidi="ar-SA"/>
              </w:rPr>
              <w:t>≤3.5</w:t>
            </w:r>
          </w:p>
        </w:tc>
      </w:tr>
    </w:tbl>
    <w:p w14:paraId="164C69EC">
      <w:pPr>
        <w:keepNext w:val="0"/>
        <w:keepLines w:val="0"/>
        <w:pageBreakBefore w:val="0"/>
        <w:widowControl w:val="0"/>
        <w:spacing w:line="440" w:lineRule="exact"/>
        <w:ind w:left="0" w:right="0" w:firstLine="480"/>
        <w:rPr>
          <w:rFonts w:hint="eastAsia" w:ascii="宋体" w:hAnsi="宋体" w:eastAsia="宋体" w:cs="宋体"/>
          <w:b w:val="0"/>
          <w:bCs w:val="0"/>
          <w:color w:val="auto"/>
          <w:kern w:val="0"/>
          <w:sz w:val="24"/>
          <w:szCs w:val="24"/>
          <w:highlight w:val="none"/>
          <w:lang w:val="en-US" w:eastAsia="zh-CN"/>
        </w:rPr>
        <w:sectPr>
          <w:pgSz w:w="11912" w:h="16839"/>
          <w:pgMar w:top="400" w:right="1055" w:bottom="1336" w:left="1111" w:header="283" w:footer="1012" w:gutter="0"/>
          <w:pgNumType w:fmt="decimal"/>
          <w:cols w:space="720" w:num="1"/>
        </w:sectPr>
      </w:pPr>
    </w:p>
    <w:p w14:paraId="3562F1F1">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jc w:val="left"/>
        <w:textAlignment w:val="auto"/>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建设完成后，达到以下目标： 运维期内，水质净化设施运行正常，治理后出水考核水质指标（溶解氧、COD、氨氮、总磷）达到《地表水环境质量标准》（GB3838-2002）准Ⅲ类水标准，具体数值见下表：</w:t>
      </w:r>
    </w:p>
    <w:p w14:paraId="0EF4F231">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单位 mg/L</w:t>
      </w:r>
    </w:p>
    <w:tbl>
      <w:tblPr>
        <w:tblStyle w:val="4"/>
        <w:tblW w:w="8545" w:type="dxa"/>
        <w:tblInd w:w="32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0"/>
        <w:gridCol w:w="1391"/>
        <w:gridCol w:w="1619"/>
        <w:gridCol w:w="1188"/>
        <w:gridCol w:w="1648"/>
        <w:gridCol w:w="1549"/>
      </w:tblGrid>
      <w:tr w14:paraId="1989A7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150" w:type="dxa"/>
            <w:vAlign w:val="top"/>
          </w:tcPr>
          <w:p w14:paraId="19C25CAA">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序号</w:t>
            </w:r>
          </w:p>
        </w:tc>
        <w:tc>
          <w:tcPr>
            <w:tcW w:w="1391" w:type="dxa"/>
            <w:vAlign w:val="top"/>
          </w:tcPr>
          <w:p w14:paraId="1C437882">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指标</w:t>
            </w:r>
          </w:p>
        </w:tc>
        <w:tc>
          <w:tcPr>
            <w:tcW w:w="1619" w:type="dxa"/>
            <w:vAlign w:val="top"/>
          </w:tcPr>
          <w:p w14:paraId="37CC69FB">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氨氮</w:t>
            </w:r>
          </w:p>
        </w:tc>
        <w:tc>
          <w:tcPr>
            <w:tcW w:w="1188" w:type="dxa"/>
            <w:vAlign w:val="top"/>
          </w:tcPr>
          <w:p w14:paraId="2E484A9A">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溶解氧</w:t>
            </w:r>
          </w:p>
        </w:tc>
        <w:tc>
          <w:tcPr>
            <w:tcW w:w="1648" w:type="dxa"/>
            <w:vAlign w:val="top"/>
          </w:tcPr>
          <w:p w14:paraId="6803A95D">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COD</w:t>
            </w:r>
          </w:p>
        </w:tc>
        <w:tc>
          <w:tcPr>
            <w:tcW w:w="1549" w:type="dxa"/>
            <w:vAlign w:val="top"/>
          </w:tcPr>
          <w:p w14:paraId="1684D87A">
            <w:pPr>
              <w:keepNext w:val="0"/>
              <w:keepLines w:val="0"/>
              <w:pageBreakBefore w:val="0"/>
              <w:widowControl w:val="0"/>
              <w:spacing w:line="440" w:lineRule="exact"/>
              <w:ind w:right="0"/>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总磷</w:t>
            </w:r>
          </w:p>
        </w:tc>
      </w:tr>
      <w:tr w14:paraId="2465F4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150" w:type="dxa"/>
            <w:vAlign w:val="top"/>
          </w:tcPr>
          <w:p w14:paraId="2DECC98B">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w:t>
            </w:r>
          </w:p>
        </w:tc>
        <w:tc>
          <w:tcPr>
            <w:tcW w:w="1391" w:type="dxa"/>
            <w:vAlign w:val="top"/>
          </w:tcPr>
          <w:p w14:paraId="392FD281">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数值</w:t>
            </w:r>
          </w:p>
        </w:tc>
        <w:tc>
          <w:tcPr>
            <w:tcW w:w="1619" w:type="dxa"/>
            <w:vAlign w:val="top"/>
          </w:tcPr>
          <w:p w14:paraId="0E1EB743">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≤1.0</w:t>
            </w:r>
          </w:p>
        </w:tc>
        <w:tc>
          <w:tcPr>
            <w:tcW w:w="1188" w:type="dxa"/>
            <w:vAlign w:val="top"/>
          </w:tcPr>
          <w:p w14:paraId="5ACFC631">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≥5</w:t>
            </w:r>
          </w:p>
        </w:tc>
        <w:tc>
          <w:tcPr>
            <w:tcW w:w="1648" w:type="dxa"/>
            <w:vAlign w:val="top"/>
          </w:tcPr>
          <w:p w14:paraId="5F6017FF">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≤20</w:t>
            </w:r>
          </w:p>
        </w:tc>
        <w:tc>
          <w:tcPr>
            <w:tcW w:w="1549" w:type="dxa"/>
            <w:vAlign w:val="top"/>
          </w:tcPr>
          <w:p w14:paraId="1B843B42">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≤0.2</w:t>
            </w:r>
          </w:p>
        </w:tc>
      </w:tr>
    </w:tbl>
    <w:p w14:paraId="31F28F8C">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p>
    <w:p w14:paraId="36B3BCDA">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处理设施安装完毕后，进入运行调试期，在设备系统调试出水稳定达标后，正式进入运维期，运维期 3 年。运行调试期内对出水水质没有具体要求。</w:t>
      </w:r>
    </w:p>
    <w:p w14:paraId="469FB92F">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3.项目基本情况介绍：</w:t>
      </w:r>
    </w:p>
    <w:p w14:paraId="7022022A">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（1）配置在线监测设备及检测房，监测指标：溶解氧、COD、氨氮、总磷、流量计；</w:t>
      </w:r>
    </w:p>
    <w:p w14:paraId="350D1FC8">
      <w:pPr>
        <w:keepNext w:val="0"/>
        <w:keepLines w:val="0"/>
        <w:pageBreakBefore w:val="0"/>
        <w:widowControl w:val="0"/>
        <w:spacing w:line="440" w:lineRule="exact"/>
        <w:ind w:left="0" w:right="0" w:firstLine="480"/>
        <w:jc w:val="left"/>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（2）设备采用服务模式，设备归供应商所有。</w:t>
      </w:r>
    </w:p>
    <w:p w14:paraId="26362A6E">
      <w:pPr>
        <w:keepNext w:val="0"/>
        <w:keepLines w:val="0"/>
        <w:pageBreakBefore w:val="0"/>
        <w:widowControl w:val="0"/>
        <w:spacing w:line="440" w:lineRule="exact"/>
        <w:ind w:left="0" w:right="0" w:firstLine="482"/>
        <w:jc w:val="left"/>
        <w:rPr>
          <w:rFonts w:hint="eastAsia" w:ascii="宋体" w:hAnsi="宋体" w:eastAsia="宋体" w:cs="宋体"/>
          <w:bCs/>
          <w:kern w:val="0"/>
          <w:sz w:val="24"/>
          <w:szCs w:val="24"/>
          <w:highlight w:val="none"/>
        </w:rPr>
      </w:pPr>
      <w:bookmarkStart w:id="1" w:name="_Toc11710"/>
      <w:r>
        <w:rPr>
          <w:rFonts w:hint="eastAsia" w:ascii="宋体" w:hAnsi="宋体" w:eastAsia="宋体" w:cs="宋体"/>
          <w:b/>
          <w:bCs/>
          <w:kern w:val="0"/>
          <w:sz w:val="24"/>
          <w:szCs w:val="24"/>
          <w:highlight w:val="none"/>
          <w:shd w:val="clear" w:color="auto" w:fill="FFFFFF"/>
          <w:lang w:val="en-US" w:eastAsia="zh-CN"/>
        </w:rPr>
        <w:t>四</w:t>
      </w:r>
      <w:r>
        <w:rPr>
          <w:rFonts w:hint="eastAsia" w:ascii="宋体" w:hAnsi="宋体" w:eastAsia="宋体" w:cs="宋体"/>
          <w:b/>
          <w:bCs/>
          <w:kern w:val="0"/>
          <w:sz w:val="24"/>
          <w:szCs w:val="24"/>
          <w:highlight w:val="none"/>
          <w:shd w:val="clear" w:color="auto" w:fill="FFFFFF"/>
        </w:rPr>
        <w:t>、</w:t>
      </w:r>
      <w:bookmarkEnd w:id="1"/>
      <w:r>
        <w:rPr>
          <w:rFonts w:hint="eastAsia" w:ascii="宋体" w:hAnsi="宋体" w:eastAsia="宋体" w:cs="宋体"/>
          <w:b/>
          <w:bCs/>
          <w:kern w:val="0"/>
          <w:sz w:val="24"/>
          <w:szCs w:val="24"/>
          <w:highlight w:val="none"/>
          <w:shd w:val="clear" w:color="auto" w:fill="FFFFFF"/>
        </w:rPr>
        <w:t>其他要求</w:t>
      </w:r>
    </w:p>
    <w:p w14:paraId="6B264EB2">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1、供应商工作内容</w:t>
      </w:r>
    </w:p>
    <w:p w14:paraId="45EEB4F2">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（1）供应商负责提供 3 座完整的用于水质净化服务的净水站设施（含土建工程施工：包括设备基础、地面硬化、站区与外部道路连接、取水管线、排水管线施工以及办理用电手续等），按合同期限要求负责设施内部所有设备安装施工，按期完成设施调试，保证出水水质达到合同约定指标；</w:t>
      </w:r>
    </w:p>
    <w:p w14:paraId="2F7F13D4">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（2）提供水质净化处理服务，并保证达到合同要求；</w:t>
      </w:r>
    </w:p>
    <w:p w14:paraId="65F03548">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（3）每月向采购人提供一份有资质的第三方检测机构出具的水质检测报告（检测费用由</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bCs/>
          <w:kern w:val="0"/>
          <w:sz w:val="24"/>
          <w:szCs w:val="24"/>
          <w:highlight w:val="none"/>
          <w:lang w:val="en-US" w:eastAsia="zh-CN" w:bidi="ar-SA"/>
        </w:rPr>
        <w:t>承担）；</w:t>
      </w:r>
    </w:p>
    <w:p w14:paraId="4EFD5897">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（4）每月1日，</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bCs/>
          <w:kern w:val="0"/>
          <w:sz w:val="24"/>
          <w:szCs w:val="24"/>
          <w:highlight w:val="none"/>
          <w:lang w:val="en-US" w:eastAsia="zh-CN" w:bidi="ar-SA"/>
        </w:rPr>
        <w:t>应汇总上个月的报表上报采购人，报表内容包含但不限于以下数据：（1）上月流量仪起止读数；（2）每日出水量、月累计出水量；（3）每日水质自检数据。</w:t>
      </w:r>
    </w:p>
    <w:p w14:paraId="41BEFF75">
      <w:pPr>
        <w:keepNext w:val="0"/>
        <w:keepLines w:val="0"/>
        <w:pageBreakBefore w:val="0"/>
        <w:widowControl w:val="0"/>
        <w:spacing w:line="440" w:lineRule="exact"/>
        <w:ind w:right="0" w:firstLine="480" w:firstLineChars="20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（5）</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bCs/>
          <w:kern w:val="0"/>
          <w:sz w:val="24"/>
          <w:szCs w:val="24"/>
          <w:highlight w:val="none"/>
          <w:lang w:val="en-US" w:eastAsia="zh-CN" w:bidi="ar-SA"/>
        </w:rPr>
        <w:t>施工及驻厂运维期间的所有人员的行为及人身安全均由</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bCs/>
          <w:kern w:val="0"/>
          <w:sz w:val="24"/>
          <w:szCs w:val="24"/>
          <w:highlight w:val="none"/>
          <w:lang w:val="en-US" w:eastAsia="zh-CN" w:bidi="ar-SA"/>
        </w:rPr>
        <w:t>负责。工作过程中发生的人身伤亡事故、财产损失、设备事故或其</w:t>
      </w:r>
      <w:r>
        <w:rPr>
          <w:rFonts w:hint="eastAsia" w:ascii="宋体" w:hAnsi="宋体" w:eastAsia="宋体" w:cs="宋体"/>
          <w:bCs/>
          <w:color w:val="auto"/>
          <w:kern w:val="0"/>
          <w:sz w:val="24"/>
          <w:szCs w:val="24"/>
          <w:highlight w:val="none"/>
          <w:lang w:val="en-US" w:eastAsia="zh-CN" w:bidi="ar-SA"/>
        </w:rPr>
        <w:t>他</w:t>
      </w:r>
      <w:r>
        <w:rPr>
          <w:rFonts w:hint="eastAsia" w:ascii="宋体" w:hAnsi="宋体" w:eastAsia="宋体" w:cs="宋体"/>
          <w:bCs/>
          <w:kern w:val="0"/>
          <w:sz w:val="24"/>
          <w:szCs w:val="24"/>
          <w:highlight w:val="none"/>
          <w:lang w:val="en-US" w:eastAsia="zh-CN" w:bidi="ar-SA"/>
        </w:rPr>
        <w:t>侵害事件，均由</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bCs/>
          <w:kern w:val="0"/>
          <w:sz w:val="24"/>
          <w:szCs w:val="24"/>
          <w:highlight w:val="none"/>
          <w:lang w:val="en-US" w:eastAsia="zh-CN" w:bidi="ar-SA"/>
        </w:rPr>
        <w:t>自行承担法律责任，与采购人无关。</w:t>
      </w:r>
    </w:p>
    <w:p w14:paraId="7B6DA9C8">
      <w:pPr>
        <w:keepNext w:val="0"/>
        <w:keepLines w:val="0"/>
        <w:pageBreakBefore w:val="0"/>
        <w:widowControl w:val="0"/>
        <w:spacing w:line="440" w:lineRule="exact"/>
        <w:ind w:left="0" w:right="0" w:firstLine="482"/>
        <w:jc w:val="left"/>
        <w:rPr>
          <w:rFonts w:hint="eastAsia" w:ascii="宋体" w:hAnsi="宋体" w:eastAsia="宋体" w:cs="宋体"/>
          <w:b/>
          <w:bCs/>
          <w:kern w:val="0"/>
          <w:sz w:val="24"/>
          <w:szCs w:val="24"/>
          <w:highlight w:val="none"/>
          <w:shd w:val="clear" w:color="auto" w:fill="FFFFFF"/>
        </w:rPr>
      </w:pPr>
      <w:r>
        <w:rPr>
          <w:rFonts w:hint="eastAsia" w:ascii="宋体" w:hAnsi="宋体" w:eastAsia="宋体" w:cs="宋体"/>
          <w:b/>
          <w:bCs/>
          <w:kern w:val="0"/>
          <w:sz w:val="24"/>
          <w:szCs w:val="24"/>
          <w:highlight w:val="none"/>
          <w:shd w:val="clear" w:color="auto" w:fill="FFFFFF"/>
          <w:lang w:val="en-US" w:eastAsia="zh-CN"/>
        </w:rPr>
        <w:t>五</w:t>
      </w:r>
      <w:r>
        <w:rPr>
          <w:rFonts w:hint="eastAsia" w:ascii="宋体" w:hAnsi="宋体" w:eastAsia="宋体" w:cs="宋体"/>
          <w:b/>
          <w:bCs/>
          <w:kern w:val="0"/>
          <w:sz w:val="24"/>
          <w:szCs w:val="24"/>
          <w:highlight w:val="none"/>
          <w:shd w:val="clear" w:color="auto" w:fill="FFFFFF"/>
        </w:rPr>
        <w:t>、建设及运营服务期</w:t>
      </w:r>
    </w:p>
    <w:p w14:paraId="0C6146FC">
      <w:pPr>
        <w:keepNext w:val="0"/>
        <w:keepLines w:val="0"/>
        <w:pageBreakBefore w:val="0"/>
        <w:widowControl w:val="0"/>
        <w:spacing w:line="440" w:lineRule="exact"/>
        <w:ind w:left="0" w:right="0" w:firstLine="480"/>
        <w:jc w:val="left"/>
        <w:rPr>
          <w:rFonts w:hint="eastAsia" w:ascii="宋体" w:hAnsi="宋体" w:eastAsia="宋体" w:cs="宋体"/>
          <w:bCs/>
          <w:kern w:val="0"/>
          <w:sz w:val="24"/>
          <w:szCs w:val="24"/>
          <w:highlight w:val="none"/>
          <w:lang w:val="en-US" w:eastAsia="zh-CN" w:bidi="ar-SA"/>
        </w:rPr>
      </w:pPr>
      <w:r>
        <w:rPr>
          <w:rFonts w:hint="eastAsia" w:ascii="宋体" w:hAnsi="宋体" w:eastAsia="宋体" w:cs="宋体"/>
          <w:kern w:val="0"/>
          <w:sz w:val="24"/>
          <w:szCs w:val="24"/>
          <w:highlight w:val="none"/>
        </w:rPr>
        <w:t>建设期限：</w:t>
      </w:r>
      <w:r>
        <w:rPr>
          <w:rFonts w:hint="eastAsia" w:ascii="宋体" w:hAnsi="宋体" w:eastAsia="宋体" w:cs="宋体"/>
          <w:bCs/>
          <w:kern w:val="0"/>
          <w:sz w:val="24"/>
          <w:szCs w:val="24"/>
          <w:highlight w:val="none"/>
          <w:lang w:val="en-US" w:eastAsia="zh-CN" w:bidi="ar-SA"/>
        </w:rPr>
        <w:t>土建施工结束后20日历天内完成设备安装并通水，运行调试期不超过7日历天；</w:t>
      </w:r>
    </w:p>
    <w:p w14:paraId="3B27ED51">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运营服务期：运营服务期为3年（从安装调试完成，出水达标</w:t>
      </w:r>
      <w:r>
        <w:rPr>
          <w:rFonts w:hint="eastAsia" w:ascii="宋体" w:hAnsi="宋体" w:eastAsia="宋体" w:cs="宋体"/>
          <w:kern w:val="0"/>
          <w:sz w:val="24"/>
          <w:szCs w:val="24"/>
          <w:highlight w:val="none"/>
          <w:lang w:val="en-US" w:eastAsia="zh-CN"/>
        </w:rPr>
        <w:t>并通过验收次日</w:t>
      </w:r>
      <w:r>
        <w:rPr>
          <w:rFonts w:hint="eastAsia" w:ascii="宋体" w:hAnsi="宋体" w:eastAsia="宋体" w:cs="宋体"/>
          <w:kern w:val="0"/>
          <w:sz w:val="24"/>
          <w:szCs w:val="24"/>
          <w:highlight w:val="none"/>
        </w:rPr>
        <w:t>起算）。</w:t>
      </w:r>
    </w:p>
    <w:p w14:paraId="7F2B4392">
      <w:pPr>
        <w:keepNext w:val="0"/>
        <w:keepLines w:val="0"/>
        <w:pageBreakBefore w:val="0"/>
        <w:widowControl w:val="0"/>
        <w:spacing w:line="440" w:lineRule="exact"/>
        <w:ind w:left="0" w:right="0" w:firstLine="482"/>
        <w:jc w:val="left"/>
        <w:rPr>
          <w:rFonts w:hint="eastAsia" w:ascii="宋体" w:hAnsi="宋体" w:eastAsia="宋体" w:cs="宋体"/>
          <w:b/>
          <w:bCs/>
          <w:kern w:val="0"/>
          <w:sz w:val="24"/>
          <w:szCs w:val="24"/>
          <w:highlight w:val="none"/>
          <w:shd w:val="clear" w:color="auto" w:fill="FFFFFF"/>
          <w:lang w:eastAsia="zh-CN"/>
        </w:rPr>
      </w:pPr>
      <w:r>
        <w:rPr>
          <w:rFonts w:hint="eastAsia" w:ascii="宋体" w:hAnsi="宋体" w:eastAsia="宋体" w:cs="宋体"/>
          <w:b/>
          <w:bCs/>
          <w:kern w:val="0"/>
          <w:sz w:val="24"/>
          <w:szCs w:val="24"/>
          <w:highlight w:val="none"/>
          <w:shd w:val="clear" w:color="auto" w:fill="FFFFFF"/>
          <w:lang w:val="en-US" w:eastAsia="zh-CN"/>
        </w:rPr>
        <w:t>六</w:t>
      </w:r>
      <w:r>
        <w:rPr>
          <w:rFonts w:hint="eastAsia" w:ascii="宋体" w:hAnsi="宋体" w:eastAsia="宋体" w:cs="宋体"/>
          <w:b/>
          <w:bCs/>
          <w:kern w:val="0"/>
          <w:sz w:val="24"/>
          <w:szCs w:val="24"/>
          <w:highlight w:val="none"/>
          <w:shd w:val="clear" w:color="auto" w:fill="FFFFFF"/>
          <w:lang w:eastAsia="zh-CN"/>
        </w:rPr>
        <w:t>、验收要求</w:t>
      </w:r>
    </w:p>
    <w:p w14:paraId="5FD98A3B">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基础设施施工及</w:t>
      </w:r>
      <w:r>
        <w:rPr>
          <w:rFonts w:hint="eastAsia" w:ascii="宋体" w:hAnsi="宋体" w:eastAsia="宋体" w:cs="宋体"/>
          <w:kern w:val="0"/>
          <w:sz w:val="24"/>
          <w:szCs w:val="24"/>
          <w:highlight w:val="none"/>
        </w:rPr>
        <w:t>设备调试期结束出水达标，并经有资质的第三方检测机构检测达到</w:t>
      </w:r>
      <w:r>
        <w:rPr>
          <w:rFonts w:hint="eastAsia" w:ascii="宋体" w:hAnsi="宋体" w:eastAsia="宋体" w:cs="宋体"/>
          <w:kern w:val="0"/>
          <w:sz w:val="24"/>
          <w:szCs w:val="24"/>
          <w:highlight w:val="none"/>
          <w:lang w:val="en-US" w:eastAsia="zh-CN"/>
        </w:rPr>
        <w:t>出水</w:t>
      </w:r>
      <w:r>
        <w:rPr>
          <w:rFonts w:hint="eastAsia" w:ascii="宋体" w:hAnsi="宋体" w:eastAsia="宋体" w:cs="宋体"/>
          <w:kern w:val="0"/>
          <w:sz w:val="24"/>
          <w:szCs w:val="24"/>
          <w:highlight w:val="none"/>
        </w:rPr>
        <w:t>标准</w:t>
      </w:r>
      <w:r>
        <w:rPr>
          <w:rFonts w:hint="eastAsia" w:ascii="宋体" w:hAnsi="宋体" w:eastAsia="宋体" w:cs="宋体"/>
          <w:kern w:val="0"/>
          <w:sz w:val="24"/>
          <w:szCs w:val="24"/>
          <w:highlight w:val="none"/>
          <w:lang w:val="en-US" w:eastAsia="zh-CN"/>
        </w:rPr>
        <w:t>并出具检测报告</w:t>
      </w:r>
      <w:r>
        <w:rPr>
          <w:rFonts w:hint="eastAsia" w:ascii="宋体" w:hAnsi="宋体" w:eastAsia="宋体" w:cs="宋体"/>
          <w:kern w:val="0"/>
          <w:sz w:val="24"/>
          <w:szCs w:val="24"/>
          <w:highlight w:val="none"/>
        </w:rPr>
        <w:t>后</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验收合格次日</w:t>
      </w:r>
      <w:r>
        <w:rPr>
          <w:rFonts w:hint="eastAsia" w:ascii="宋体" w:hAnsi="宋体" w:eastAsia="宋体" w:cs="宋体"/>
          <w:kern w:val="0"/>
          <w:sz w:val="24"/>
          <w:szCs w:val="24"/>
          <w:highlight w:val="none"/>
        </w:rPr>
        <w:t>进入运维期，开始正式计量结算。</w:t>
      </w:r>
    </w:p>
    <w:p w14:paraId="07987AEA">
      <w:pPr>
        <w:keepNext w:val="0"/>
        <w:keepLines w:val="0"/>
        <w:pageBreakBefore w:val="0"/>
        <w:widowControl w:val="0"/>
        <w:spacing w:line="440" w:lineRule="exact"/>
        <w:ind w:left="0" w:right="0" w:firstLine="480"/>
        <w:jc w:val="left"/>
        <w:rPr>
          <w:rFonts w:hint="eastAsia" w:ascii="宋体" w:hAnsi="宋体" w:eastAsia="宋体" w:cs="宋体"/>
          <w:b/>
          <w:bCs/>
          <w:color w:val="auto"/>
          <w:kern w:val="0"/>
          <w:sz w:val="24"/>
          <w:szCs w:val="24"/>
          <w:highlight w:val="none"/>
          <w:shd w:val="clear" w:color="auto" w:fill="FFFFFF"/>
          <w:lang w:eastAsia="zh-CN"/>
        </w:rPr>
      </w:pPr>
      <w:r>
        <w:rPr>
          <w:rFonts w:hint="eastAsia" w:ascii="宋体" w:hAnsi="宋体" w:eastAsia="宋体" w:cs="宋体"/>
          <w:b/>
          <w:bCs/>
          <w:kern w:val="0"/>
          <w:sz w:val="24"/>
          <w:szCs w:val="24"/>
          <w:highlight w:val="none"/>
          <w:shd w:val="clear" w:color="auto" w:fill="FFFFFF"/>
          <w:lang w:val="en-US" w:eastAsia="zh-CN"/>
        </w:rPr>
        <w:t>七</w:t>
      </w:r>
      <w:r>
        <w:rPr>
          <w:rFonts w:hint="eastAsia" w:ascii="宋体" w:hAnsi="宋体" w:eastAsia="宋体" w:cs="宋体"/>
          <w:b/>
          <w:bCs/>
          <w:kern w:val="0"/>
          <w:sz w:val="24"/>
          <w:szCs w:val="24"/>
          <w:highlight w:val="none"/>
          <w:shd w:val="clear" w:color="auto" w:fill="FFFFFF"/>
          <w:lang w:eastAsia="zh-CN"/>
        </w:rPr>
        <w:t>、</w:t>
      </w:r>
      <w:r>
        <w:rPr>
          <w:rFonts w:hint="eastAsia" w:ascii="宋体" w:hAnsi="宋体" w:eastAsia="宋体" w:cs="宋体"/>
          <w:b/>
          <w:bCs/>
          <w:color w:val="auto"/>
          <w:kern w:val="0"/>
          <w:sz w:val="24"/>
          <w:szCs w:val="24"/>
          <w:highlight w:val="none"/>
          <w:shd w:val="clear" w:color="auto" w:fill="FFFFFF"/>
          <w:lang w:eastAsia="zh-CN"/>
        </w:rPr>
        <w:t>报价要求</w:t>
      </w:r>
    </w:p>
    <w:p w14:paraId="0C5DC6AF">
      <w:pPr>
        <w:keepNext w:val="0"/>
        <w:keepLines w:val="0"/>
        <w:pageBreakBefore w:val="0"/>
        <w:widowControl w:val="0"/>
        <w:spacing w:line="440" w:lineRule="exact"/>
        <w:ind w:left="0" w:right="0" w:firstLine="480"/>
        <w:jc w:val="left"/>
        <w:rPr>
          <w:rFonts w:hint="eastAsia" w:ascii="宋体" w:hAnsi="宋体" w:eastAsia="宋体" w:cs="宋体"/>
          <w:kern w:val="0"/>
          <w:sz w:val="24"/>
          <w:szCs w:val="24"/>
        </w:rPr>
      </w:pPr>
      <w:r>
        <w:rPr>
          <w:rFonts w:hint="eastAsia" w:ascii="宋体" w:hAnsi="宋体" w:eastAsia="宋体" w:cs="宋体"/>
          <w:color w:val="auto"/>
          <w:kern w:val="0"/>
          <w:sz w:val="24"/>
          <w:szCs w:val="24"/>
          <w:highlight w:val="none"/>
        </w:rPr>
        <w:t>1、</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提供水质</w:t>
      </w:r>
      <w:r>
        <w:rPr>
          <w:rFonts w:hint="eastAsia" w:ascii="宋体" w:hAnsi="宋体" w:eastAsia="宋体" w:cs="宋体"/>
          <w:color w:val="auto"/>
          <w:kern w:val="0"/>
          <w:sz w:val="24"/>
          <w:szCs w:val="24"/>
          <w:highlight w:val="none"/>
          <w:lang w:val="en-US" w:eastAsia="zh-CN"/>
        </w:rPr>
        <w:t>净化</w:t>
      </w:r>
      <w:r>
        <w:rPr>
          <w:rFonts w:hint="eastAsia" w:ascii="宋体" w:hAnsi="宋体" w:eastAsia="宋体" w:cs="宋体"/>
          <w:color w:val="auto"/>
          <w:kern w:val="0"/>
          <w:sz w:val="24"/>
          <w:szCs w:val="24"/>
          <w:highlight w:val="none"/>
        </w:rPr>
        <w:t>服务价格应包含水质净化设施</w:t>
      </w:r>
      <w:r>
        <w:rPr>
          <w:rFonts w:hint="eastAsia" w:ascii="宋体" w:hAnsi="宋体" w:eastAsia="宋体" w:cs="宋体"/>
          <w:color w:val="auto"/>
          <w:kern w:val="0"/>
          <w:sz w:val="24"/>
          <w:szCs w:val="24"/>
          <w:highlight w:val="none"/>
          <w:lang w:val="en-US" w:eastAsia="zh-CN"/>
        </w:rPr>
        <w:t>土建施工、净化</w:t>
      </w:r>
      <w:r>
        <w:rPr>
          <w:rFonts w:hint="eastAsia" w:ascii="宋体" w:hAnsi="宋体" w:eastAsia="宋体" w:cs="宋体"/>
          <w:color w:val="auto"/>
          <w:kern w:val="0"/>
          <w:sz w:val="24"/>
          <w:szCs w:val="24"/>
          <w:highlight w:val="none"/>
        </w:rPr>
        <w:t>设备、出水在线监测设备（</w:t>
      </w:r>
      <w:r>
        <w:rPr>
          <w:rFonts w:hint="eastAsia" w:ascii="宋体" w:hAnsi="宋体" w:eastAsia="宋体" w:cs="宋体"/>
          <w:bCs/>
          <w:color w:val="auto"/>
          <w:kern w:val="0"/>
          <w:sz w:val="24"/>
          <w:szCs w:val="24"/>
          <w:highlight w:val="none"/>
          <w:lang w:eastAsia="zh-CN"/>
        </w:rPr>
        <w:t>溶解氧、</w:t>
      </w:r>
      <w:r>
        <w:rPr>
          <w:rFonts w:hint="eastAsia" w:ascii="宋体" w:hAnsi="宋体" w:eastAsia="宋体" w:cs="宋体"/>
          <w:bCs/>
          <w:color w:val="auto"/>
          <w:kern w:val="0"/>
          <w:sz w:val="24"/>
          <w:szCs w:val="24"/>
          <w:highlight w:val="none"/>
          <w:lang w:val="en-US" w:eastAsia="zh-CN"/>
        </w:rPr>
        <w:t>COD</w:t>
      </w:r>
      <w:r>
        <w:rPr>
          <w:rFonts w:hint="eastAsia" w:ascii="宋体" w:hAnsi="宋体" w:eastAsia="宋体" w:cs="宋体"/>
          <w:bCs/>
          <w:color w:val="auto"/>
          <w:kern w:val="0"/>
          <w:sz w:val="24"/>
          <w:szCs w:val="24"/>
          <w:highlight w:val="none"/>
          <w:lang w:eastAsia="zh-CN"/>
        </w:rPr>
        <w:t>、氨氮、总磷、流量计</w:t>
      </w:r>
      <w:r>
        <w:rPr>
          <w:rFonts w:hint="eastAsia" w:ascii="宋体" w:hAnsi="宋体" w:eastAsia="宋体" w:cs="宋体"/>
          <w:color w:val="auto"/>
          <w:kern w:val="0"/>
          <w:sz w:val="24"/>
          <w:szCs w:val="24"/>
          <w:highlight w:val="none"/>
        </w:rPr>
        <w:t>）、中控、</w:t>
      </w:r>
      <w:r>
        <w:rPr>
          <w:rFonts w:hint="eastAsia" w:ascii="宋体" w:hAnsi="宋体" w:eastAsia="宋体" w:cs="宋体"/>
          <w:color w:val="auto"/>
          <w:kern w:val="0"/>
          <w:sz w:val="24"/>
          <w:szCs w:val="24"/>
          <w:highlight w:val="none"/>
          <w:lang w:eastAsia="zh-CN"/>
        </w:rPr>
        <w:t>在线数据远程接入、</w:t>
      </w:r>
      <w:r>
        <w:rPr>
          <w:rFonts w:hint="eastAsia" w:ascii="宋体" w:hAnsi="宋体" w:eastAsia="宋体" w:cs="宋体"/>
          <w:color w:val="auto"/>
          <w:kern w:val="0"/>
          <w:sz w:val="24"/>
          <w:szCs w:val="24"/>
          <w:highlight w:val="none"/>
        </w:rPr>
        <w:t>人员工资及社保（包括人员的食宿费等一切费用）、税金、用水用电、污泥处置、第三方水质检测费</w:t>
      </w:r>
      <w:r>
        <w:rPr>
          <w:rFonts w:hint="eastAsia" w:ascii="宋体" w:hAnsi="宋体" w:eastAsia="宋体" w:cs="宋体"/>
          <w:kern w:val="0"/>
          <w:sz w:val="24"/>
          <w:szCs w:val="24"/>
        </w:rPr>
        <w:t>等为保证工艺设备正常运行并达到合同规定的处理效果所采取的相应措施等所有费用。</w:t>
      </w:r>
    </w:p>
    <w:p w14:paraId="005A49E8">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rPr>
        <w:t>2、在正式运维期内，由采购人按季度向</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支付款项，</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开具等额增值税专用发票。每季度第一个月5日前，</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汇总上个季度报表上报采购人，采购人在当月月底前付清上个季度款项。</w:t>
      </w:r>
    </w:p>
    <w:p w14:paraId="276740F5">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、设施年运行天数按照365天计算。</w:t>
      </w:r>
    </w:p>
    <w:p w14:paraId="101F14F3">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4</w:t>
      </w:r>
      <w:r>
        <w:rPr>
          <w:rFonts w:hint="eastAsia" w:ascii="宋体" w:hAnsi="宋体" w:eastAsia="宋体" w:cs="宋体"/>
          <w:kern w:val="0"/>
          <w:sz w:val="24"/>
          <w:szCs w:val="24"/>
          <w:highlight w:val="none"/>
        </w:rPr>
        <w:t>、水质净化服务所用净水设施进水水质按采购需求规定进行设计考虑，运营期内如进水水质条件发生以下变化。</w:t>
      </w:r>
    </w:p>
    <w:p w14:paraId="7DD14D5D">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（1）实际进水水质超过合同约定的进水水质，为保证出水水质达标，可能导致净水设施降低处理水量运行，如不足保底水量，应视为非</w:t>
      </w:r>
      <w:r>
        <w:rPr>
          <w:rFonts w:hint="eastAsia" w:ascii="宋体" w:hAnsi="宋体" w:eastAsia="宋体" w:cs="宋体"/>
          <w:kern w:val="0"/>
          <w:sz w:val="24"/>
          <w:szCs w:val="24"/>
          <w:highlight w:val="none"/>
          <w:lang w:eastAsia="zh-CN"/>
        </w:rPr>
        <w:t>供应商</w:t>
      </w:r>
      <w:r>
        <w:rPr>
          <w:rFonts w:hint="eastAsia" w:ascii="宋体" w:hAnsi="宋体" w:eastAsia="宋体" w:cs="宋体"/>
          <w:kern w:val="0"/>
          <w:sz w:val="24"/>
          <w:szCs w:val="24"/>
          <w:highlight w:val="none"/>
        </w:rPr>
        <w:t>原因导致，采购人应按保底水量支付服务费；</w:t>
      </w:r>
    </w:p>
    <w:p w14:paraId="1A80BF5B">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（2）进水水质远低于约定的进水水质，因净水设施投入、人员投入等均已按合同约定进水水质进行投入，</w:t>
      </w:r>
      <w:r>
        <w:rPr>
          <w:rFonts w:hint="eastAsia" w:ascii="宋体" w:hAnsi="宋体" w:eastAsia="宋体" w:cs="宋体"/>
          <w:kern w:val="0"/>
          <w:sz w:val="24"/>
          <w:szCs w:val="24"/>
          <w:highlight w:val="none"/>
          <w:lang w:eastAsia="zh-CN"/>
        </w:rPr>
        <w:t>供应商</w:t>
      </w:r>
      <w:r>
        <w:rPr>
          <w:rFonts w:hint="eastAsia" w:ascii="宋体" w:hAnsi="宋体" w:eastAsia="宋体" w:cs="宋体"/>
          <w:kern w:val="0"/>
          <w:sz w:val="24"/>
          <w:szCs w:val="24"/>
          <w:highlight w:val="none"/>
        </w:rPr>
        <w:t>服务单价不</w:t>
      </w:r>
      <w:r>
        <w:rPr>
          <w:rFonts w:hint="eastAsia" w:ascii="宋体" w:hAnsi="宋体" w:eastAsia="宋体" w:cs="宋体"/>
          <w:color w:val="auto"/>
          <w:kern w:val="0"/>
          <w:sz w:val="24"/>
          <w:szCs w:val="24"/>
          <w:highlight w:val="none"/>
          <w:lang w:eastAsia="zh-CN"/>
        </w:rPr>
        <w:t>作</w:t>
      </w:r>
      <w:r>
        <w:rPr>
          <w:rFonts w:hint="eastAsia" w:ascii="宋体" w:hAnsi="宋体" w:eastAsia="宋体" w:cs="宋体"/>
          <w:kern w:val="0"/>
          <w:sz w:val="24"/>
          <w:szCs w:val="24"/>
          <w:highlight w:val="none"/>
        </w:rPr>
        <w:t>调整。</w:t>
      </w:r>
    </w:p>
    <w:p w14:paraId="2BA2A26F">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、非</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原因造成设备停运达到60天或未达到合同约定服务期终止服务的，采购人需支付剩余设备费用给</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，应按以下公式计算结果向</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highlight w:val="none"/>
        </w:rPr>
        <w:t>支付剩余设备费用。</w:t>
      </w:r>
    </w:p>
    <w:p w14:paraId="77DBA210">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剩余设备费用=合同总价-已支付服务费用-（3年×365天/年-已运维天数）×合同约定处理水量×直接运维成本。</w:t>
      </w:r>
    </w:p>
    <w:p w14:paraId="0FA1DE30">
      <w:pPr>
        <w:keepNext w:val="0"/>
        <w:keepLines w:val="0"/>
        <w:pageBreakBefore w:val="0"/>
        <w:widowControl w:val="0"/>
        <w:spacing w:line="440" w:lineRule="exact"/>
        <w:ind w:left="0" w:right="0" w:firstLine="48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其中，合同总价=服务单价×合同约定处理水量×运维期×365天/年；</w:t>
      </w:r>
    </w:p>
    <w:p w14:paraId="1BA8505E">
      <w:pPr>
        <w:keepNext w:val="0"/>
        <w:keepLines w:val="0"/>
        <w:pageBreakBefore w:val="0"/>
        <w:widowControl w:val="0"/>
        <w:spacing w:line="440" w:lineRule="exact"/>
        <w:ind w:left="0" w:right="0" w:firstLine="48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w:t>
      </w:r>
      <w:r>
        <w:rPr>
          <w:rFonts w:hint="eastAsia" w:ascii="宋体" w:hAnsi="宋体" w:eastAsia="宋体" w:cs="宋体"/>
          <w:kern w:val="0"/>
          <w:sz w:val="24"/>
          <w:szCs w:val="24"/>
        </w:rPr>
        <w:t>、运维期满后，如采购人需要继续服务，服务单价双方另行商议。</w:t>
      </w:r>
    </w:p>
    <w:p w14:paraId="4086FF55">
      <w:pPr>
        <w:keepNext w:val="0"/>
        <w:keepLines w:val="0"/>
        <w:pageBreakBefore w:val="0"/>
        <w:widowControl w:val="0"/>
        <w:spacing w:line="440" w:lineRule="exact"/>
        <w:ind w:left="0" w:right="0" w:firstLine="482"/>
        <w:jc w:val="left"/>
        <w:rPr>
          <w:rFonts w:hint="eastAsia" w:ascii="宋体" w:hAnsi="宋体" w:eastAsia="宋体" w:cs="宋体"/>
          <w:b/>
          <w:bCs/>
          <w:kern w:val="0"/>
          <w:sz w:val="24"/>
          <w:szCs w:val="24"/>
          <w:shd w:val="clear" w:color="auto" w:fill="FFFFFF"/>
          <w:lang w:eastAsia="zh-CN"/>
        </w:rPr>
      </w:pPr>
      <w:r>
        <w:rPr>
          <w:rFonts w:hint="eastAsia" w:ascii="宋体" w:hAnsi="宋体" w:eastAsia="宋体" w:cs="宋体"/>
          <w:b/>
          <w:bCs/>
          <w:color w:val="auto"/>
          <w:kern w:val="0"/>
          <w:sz w:val="24"/>
          <w:szCs w:val="24"/>
          <w:highlight w:val="none"/>
          <w:shd w:val="clear" w:color="auto" w:fill="FFFFFF"/>
          <w:lang w:val="en-US" w:eastAsia="zh-CN"/>
        </w:rPr>
        <w:t>八</w:t>
      </w:r>
      <w:r>
        <w:rPr>
          <w:rFonts w:hint="eastAsia" w:ascii="宋体" w:hAnsi="宋体" w:eastAsia="宋体" w:cs="宋体"/>
          <w:b/>
          <w:bCs/>
          <w:color w:val="auto"/>
          <w:kern w:val="0"/>
          <w:sz w:val="24"/>
          <w:szCs w:val="24"/>
          <w:highlight w:val="none"/>
          <w:shd w:val="clear" w:color="auto" w:fill="FFFFFF"/>
          <w:lang w:eastAsia="zh-CN"/>
        </w:rPr>
        <w:t>、</w:t>
      </w:r>
      <w:r>
        <w:rPr>
          <w:rFonts w:hint="eastAsia" w:ascii="宋体" w:hAnsi="宋体" w:eastAsia="宋体" w:cs="宋体"/>
          <w:b/>
          <w:bCs/>
          <w:kern w:val="0"/>
          <w:sz w:val="24"/>
          <w:szCs w:val="24"/>
          <w:shd w:val="clear" w:color="auto" w:fill="FFFFFF"/>
          <w:lang w:eastAsia="zh-CN"/>
        </w:rPr>
        <w:t>付款条件</w:t>
      </w:r>
    </w:p>
    <w:p w14:paraId="44FC62EC">
      <w:pPr>
        <w:keepNext w:val="0"/>
        <w:keepLines w:val="0"/>
        <w:pageBreakBefore w:val="0"/>
        <w:widowControl w:val="0"/>
        <w:spacing w:line="440" w:lineRule="exact"/>
        <w:ind w:left="0" w:right="0" w:firstLine="480"/>
        <w:jc w:val="left"/>
        <w:rPr>
          <w:rFonts w:hint="eastAsia" w:ascii="宋体" w:hAnsi="宋体" w:eastAsia="宋体" w:cs="宋体"/>
          <w:color w:val="FF0000"/>
          <w:kern w:val="0"/>
          <w:sz w:val="24"/>
          <w:szCs w:val="24"/>
        </w:rPr>
      </w:pPr>
      <w:r>
        <w:rPr>
          <w:rFonts w:hint="eastAsia" w:ascii="宋体" w:hAnsi="宋体" w:eastAsia="宋体" w:cs="宋体"/>
          <w:kern w:val="0"/>
          <w:sz w:val="24"/>
          <w:szCs w:val="24"/>
        </w:rPr>
        <w:t>1、</w:t>
      </w:r>
      <w:r>
        <w:rPr>
          <w:rFonts w:hint="eastAsia" w:ascii="宋体" w:hAnsi="宋体" w:eastAsia="宋体" w:cs="宋体"/>
          <w:color w:val="auto"/>
          <w:kern w:val="0"/>
          <w:sz w:val="24"/>
          <w:szCs w:val="24"/>
        </w:rPr>
        <w:t>本项目资金结算公式为：本季度水质净化处理服务费=吨水单价×本季度合格出水量。</w:t>
      </w:r>
    </w:p>
    <w:p w14:paraId="575D3C77">
      <w:pPr>
        <w:keepNext w:val="0"/>
        <w:keepLines w:val="0"/>
        <w:pageBreakBefore w:val="0"/>
        <w:widowControl w:val="0"/>
        <w:spacing w:line="440" w:lineRule="exact"/>
        <w:ind w:left="0" w:right="0" w:firstLine="480"/>
        <w:jc w:val="left"/>
        <w:rPr>
          <w:rFonts w:hint="eastAsia" w:ascii="宋体" w:hAnsi="宋体" w:eastAsia="宋体" w:cs="宋体"/>
          <w:kern w:val="0"/>
          <w:sz w:val="24"/>
          <w:szCs w:val="24"/>
        </w:rPr>
      </w:pPr>
      <w:r>
        <w:rPr>
          <w:rFonts w:hint="eastAsia" w:ascii="宋体" w:hAnsi="宋体" w:eastAsia="宋体" w:cs="宋体"/>
          <w:kern w:val="0"/>
          <w:sz w:val="24"/>
          <w:szCs w:val="24"/>
        </w:rPr>
        <w:t>每季度第一个月5日前，</w:t>
      </w:r>
      <w:r>
        <w:rPr>
          <w:rFonts w:hint="eastAsia" w:ascii="宋体" w:hAnsi="宋体" w:eastAsia="宋体" w:cs="宋体"/>
          <w:kern w:val="0"/>
          <w:sz w:val="24"/>
          <w:szCs w:val="24"/>
          <w:lang w:eastAsia="zh-CN"/>
        </w:rPr>
        <w:t>供应商</w:t>
      </w:r>
      <w:r>
        <w:rPr>
          <w:rFonts w:hint="eastAsia" w:ascii="宋体" w:hAnsi="宋体" w:eastAsia="宋体" w:cs="宋体"/>
          <w:kern w:val="0"/>
          <w:sz w:val="24"/>
          <w:szCs w:val="24"/>
        </w:rPr>
        <w:t>汇总上个季度报表上报采购人，采购人在当月月底前付清上个季度款项，</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rPr>
        <w:t>开具等额增值税专用发票。</w:t>
      </w:r>
    </w:p>
    <w:p w14:paraId="6F83CD6E">
      <w:pPr>
        <w:keepNext w:val="0"/>
        <w:keepLines w:val="0"/>
        <w:pageBreakBefore w:val="0"/>
        <w:widowControl w:val="0"/>
        <w:numPr>
          <w:ilvl w:val="0"/>
          <w:numId w:val="1"/>
        </w:numPr>
        <w:spacing w:line="440" w:lineRule="exact"/>
        <w:ind w:left="-60" w:right="0" w:firstLine="480"/>
        <w:jc w:val="left"/>
        <w:rPr>
          <w:rFonts w:hint="eastAsia" w:ascii="宋体" w:hAnsi="宋体" w:eastAsia="宋体" w:cs="宋体"/>
          <w:kern w:val="0"/>
          <w:sz w:val="24"/>
          <w:szCs w:val="20"/>
          <w:highlight w:val="none"/>
          <w:lang w:eastAsia="zh-CN"/>
        </w:rPr>
      </w:pPr>
      <w:r>
        <w:rPr>
          <w:rFonts w:hint="eastAsia" w:ascii="宋体" w:hAnsi="宋体" w:eastAsia="宋体" w:cs="宋体"/>
          <w:color w:val="auto"/>
          <w:kern w:val="0"/>
          <w:sz w:val="24"/>
          <w:szCs w:val="24"/>
          <w:highlight w:val="none"/>
        </w:rPr>
        <w:t>本项目保底水量为合同约定水量的80%。服务期内非</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原因，当处理水量超过合同约定水量，超出</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0%以内部分据实结算，超出</w:t>
      </w: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0%部分不予结算。</w:t>
      </w:r>
      <w:r>
        <w:rPr>
          <w:rFonts w:hint="eastAsia" w:ascii="宋体" w:hAnsi="宋体" w:eastAsia="宋体" w:cs="宋体"/>
          <w:color w:val="auto"/>
          <w:kern w:val="0"/>
          <w:sz w:val="24"/>
          <w:szCs w:val="24"/>
          <w:highlight w:val="none"/>
          <w:lang w:eastAsia="zh-CN"/>
        </w:rPr>
        <w:t>如甲方书面另行安排增加进水量，</w:t>
      </w:r>
      <w:r>
        <w:rPr>
          <w:rFonts w:hint="eastAsia" w:ascii="宋体" w:hAnsi="宋体" w:eastAsia="宋体" w:cs="宋体"/>
          <w:color w:val="auto"/>
          <w:kern w:val="0"/>
          <w:sz w:val="24"/>
          <w:szCs w:val="24"/>
          <w:highlight w:val="none"/>
        </w:rPr>
        <w:t>超出</w:t>
      </w:r>
      <w:r>
        <w:rPr>
          <w:rFonts w:hint="eastAsia" w:ascii="宋体" w:hAnsi="宋体" w:eastAsia="宋体" w:cs="宋体"/>
          <w:color w:val="auto"/>
          <w:kern w:val="0"/>
          <w:sz w:val="24"/>
          <w:szCs w:val="24"/>
          <w:highlight w:val="none"/>
          <w:lang w:eastAsia="zh-CN"/>
        </w:rPr>
        <w:t>按</w:t>
      </w:r>
      <w:r>
        <w:rPr>
          <w:rFonts w:hint="eastAsia" w:ascii="宋体" w:hAnsi="宋体" w:eastAsia="宋体" w:cs="宋体"/>
          <w:color w:val="auto"/>
          <w:kern w:val="0"/>
          <w:sz w:val="24"/>
          <w:szCs w:val="24"/>
          <w:highlight w:val="none"/>
        </w:rPr>
        <w:t>实结算</w:t>
      </w:r>
      <w:r>
        <w:rPr>
          <w:rFonts w:hint="eastAsia" w:ascii="宋体" w:hAnsi="宋体" w:eastAsia="宋体" w:cs="宋体"/>
          <w:color w:val="auto"/>
          <w:kern w:val="0"/>
          <w:sz w:val="24"/>
          <w:szCs w:val="24"/>
          <w:highlight w:val="none"/>
          <w:lang w:eastAsia="zh-CN"/>
        </w:rPr>
        <w:t>。</w:t>
      </w:r>
    </w:p>
    <w:p w14:paraId="6F6A5D5D">
      <w:pPr>
        <w:keepNext w:val="0"/>
        <w:keepLines w:val="0"/>
        <w:pageBreakBefore w:val="0"/>
        <w:widowControl w:val="0"/>
        <w:numPr>
          <w:ilvl w:val="0"/>
          <w:numId w:val="0"/>
        </w:numPr>
        <w:spacing w:line="440" w:lineRule="exact"/>
        <w:ind w:left="0" w:right="0" w:firstLine="480"/>
        <w:jc w:val="left"/>
        <w:rPr>
          <w:rFonts w:hint="eastAsia" w:ascii="宋体" w:hAnsi="宋体" w:eastAsia="宋体" w:cs="宋体"/>
          <w:kern w:val="0"/>
          <w:sz w:val="24"/>
          <w:szCs w:val="24"/>
        </w:rPr>
      </w:pPr>
      <w:r>
        <w:rPr>
          <w:rFonts w:hint="eastAsia" w:ascii="宋体" w:hAnsi="宋体" w:eastAsia="宋体" w:cs="宋体"/>
          <w:kern w:val="0"/>
          <w:sz w:val="24"/>
          <w:szCs w:val="24"/>
        </w:rPr>
        <w:t>3、付款方式：电汇。</w:t>
      </w:r>
    </w:p>
    <w:p w14:paraId="5C4065D9">
      <w:pPr>
        <w:keepNext w:val="0"/>
        <w:keepLines w:val="0"/>
        <w:pageBreakBefore w:val="0"/>
        <w:widowControl w:val="0"/>
        <w:spacing w:line="440" w:lineRule="exact"/>
        <w:ind w:left="0" w:right="0" w:firstLine="482"/>
        <w:jc w:val="left"/>
        <w:rPr>
          <w:rFonts w:hint="eastAsia" w:ascii="宋体" w:hAnsi="宋体" w:eastAsia="宋体" w:cs="宋体"/>
          <w:b/>
          <w:bCs/>
          <w:kern w:val="0"/>
          <w:sz w:val="24"/>
          <w:szCs w:val="24"/>
          <w:shd w:val="clear" w:color="auto" w:fill="FFFFFF"/>
          <w:lang w:eastAsia="zh-CN"/>
        </w:rPr>
      </w:pPr>
      <w:r>
        <w:rPr>
          <w:rFonts w:hint="eastAsia" w:ascii="宋体" w:hAnsi="宋体" w:eastAsia="宋体" w:cs="宋体"/>
          <w:b/>
          <w:bCs/>
          <w:kern w:val="0"/>
          <w:sz w:val="24"/>
          <w:szCs w:val="24"/>
          <w:shd w:val="clear" w:color="auto" w:fill="FFFFFF"/>
          <w:lang w:val="en-US" w:eastAsia="zh-CN"/>
        </w:rPr>
        <w:t>九</w:t>
      </w:r>
      <w:r>
        <w:rPr>
          <w:rFonts w:hint="eastAsia" w:ascii="宋体" w:hAnsi="宋体" w:eastAsia="宋体" w:cs="宋体"/>
          <w:b/>
          <w:bCs/>
          <w:kern w:val="0"/>
          <w:sz w:val="24"/>
          <w:szCs w:val="24"/>
          <w:shd w:val="clear" w:color="auto" w:fill="FFFFFF"/>
          <w:lang w:eastAsia="zh-CN"/>
        </w:rPr>
        <w:t>、其他要求</w:t>
      </w:r>
    </w:p>
    <w:p w14:paraId="61FBE0C1">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kern w:val="0"/>
          <w:sz w:val="24"/>
          <w:szCs w:val="24"/>
        </w:rPr>
        <w:t>本项采购需求为实质性条款，</w:t>
      </w:r>
      <w:r>
        <w:rPr>
          <w:rFonts w:hint="eastAsia" w:ascii="宋体" w:hAnsi="宋体" w:eastAsia="宋体" w:cs="宋体"/>
          <w:b w:val="0"/>
          <w:bCs w:val="0"/>
          <w:color w:val="auto"/>
          <w:kern w:val="0"/>
          <w:sz w:val="24"/>
          <w:szCs w:val="24"/>
          <w:highlight w:val="none"/>
          <w:lang w:val="en-US" w:eastAsia="zh-CN"/>
        </w:rPr>
        <w:t>供应商</w:t>
      </w:r>
      <w:r>
        <w:rPr>
          <w:rFonts w:hint="eastAsia" w:ascii="宋体" w:hAnsi="宋体" w:eastAsia="宋体" w:cs="宋体"/>
          <w:kern w:val="0"/>
          <w:sz w:val="24"/>
          <w:szCs w:val="24"/>
        </w:rPr>
        <w:t>必须满足。</w:t>
      </w:r>
    </w:p>
    <w:p w14:paraId="7C48169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7C9B6">
    <w:pPr>
      <w:tabs>
        <w:tab w:val="center" w:pos="7143"/>
        <w:tab w:val="right" w:pos="14287"/>
      </w:tabs>
      <w:spacing w:line="240" w:lineRule="auto"/>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9F68CD">
                          <w:pPr>
                            <w:tabs>
                              <w:tab w:val="center" w:pos="7143"/>
                              <w:tab w:val="right" w:pos="14287"/>
                            </w:tabs>
                            <w:spacing w:line="240" w:lineRule="auto"/>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w:t xml:space="preserve">— </w:t>
                          </w:r>
                          <w:r>
                            <w:rPr>
                              <w:rFonts w:hint="default" w:ascii="Times New Roman" w:hAnsi="Times New Roman" w:eastAsia="宋体" w:cs="Times New Roman"/>
                              <w:sz w:val="24"/>
                              <w:lang w:val="en-US" w:eastAsia="zh-CN" w:bidi="ar-SA"/>
                            </w:rPr>
                            <w:fldChar w:fldCharType="begin"/>
                          </w:r>
                          <w:r>
                            <w:rPr>
                              <w:rFonts w:hint="default" w:ascii="Times New Roman" w:hAnsi="Times New Roman" w:eastAsia="宋体" w:cs="Times New Roman"/>
                              <w:sz w:val="24"/>
                              <w:lang w:val="en-US" w:eastAsia="zh-CN" w:bidi="ar-SA"/>
                            </w:rPr>
                            <w:instrText xml:space="preserve"> PAGE  \* MERGEFORMAT </w:instrText>
                          </w:r>
                          <w:r>
                            <w:rPr>
                              <w:rFonts w:hint="default" w:ascii="Times New Roman" w:hAnsi="Times New Roman" w:eastAsia="宋体" w:cs="Times New Roman"/>
                              <w:sz w:val="24"/>
                              <w:lang w:val="en-US" w:eastAsia="zh-CN" w:bidi="ar-SA"/>
                            </w:rPr>
                            <w:fldChar w:fldCharType="separate"/>
                          </w:r>
                          <w:r>
                            <w:rPr>
                              <w:rFonts w:hint="default" w:ascii="Times New Roman" w:hAnsi="Times New Roman" w:eastAsia="宋体" w:cs="Times New Roman"/>
                              <w:sz w:val="24"/>
                              <w:lang w:val="en-US" w:eastAsia="zh-CN" w:bidi="ar-SA"/>
                            </w:rPr>
                            <w:t>27</w:t>
                          </w:r>
                          <w:r>
                            <w:rPr>
                              <w:rFonts w:hint="default" w:ascii="Times New Roman" w:hAnsi="Times New Roman" w:eastAsia="宋体" w:cs="Times New Roman"/>
                              <w:sz w:val="24"/>
                              <w:lang w:val="en-US" w:eastAsia="zh-CN" w:bidi="ar-SA"/>
                            </w:rPr>
                            <w:fldChar w:fldCharType="end"/>
                          </w:r>
                          <w:r>
                            <w:rPr>
                              <w:rFonts w:hint="default" w:ascii="Times New Roman" w:hAnsi="Times New Roman" w:eastAsia="宋体" w:cs="Times New Roman"/>
                              <w:sz w:val="24"/>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pMyU4AgAAbwQAAA4AAABkcnMvZTJvRG9jLnhtbK1UzY7TMBC+I/EO&#10;lu80aRG7Vd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e6kzJTgCAABvBAAADgAAAAAAAAABACAAAAAfAQAAZHJzL2Uyb0RvYy54&#10;bWxQSwUGAAAAAAYABgBZAQAAyQUAAAAA&#10;">
              <v:fill on="f" focussize="0,0"/>
              <v:stroke on="f" weight="0.5pt"/>
              <v:imagedata o:title=""/>
              <o:lock v:ext="edit" aspectratio="f"/>
              <v:textbox inset="0mm,0mm,0mm,0mm" style="mso-fit-shape-to-text:t;">
                <w:txbxContent>
                  <w:p w14:paraId="719F68CD">
                    <w:pPr>
                      <w:tabs>
                        <w:tab w:val="center" w:pos="7143"/>
                        <w:tab w:val="right" w:pos="14287"/>
                      </w:tabs>
                      <w:spacing w:line="240" w:lineRule="auto"/>
                      <w:rPr>
                        <w:rFonts w:hint="default" w:ascii="Times New Roman" w:hAnsi="Times New Roman" w:eastAsia="宋体" w:cs="Times New Roman"/>
                        <w:sz w:val="24"/>
                        <w:lang w:val="en-US" w:eastAsia="zh-CN" w:bidi="ar-SA"/>
                      </w:rPr>
                    </w:pPr>
                    <w:r>
                      <w:rPr>
                        <w:rFonts w:hint="default" w:ascii="Times New Roman" w:hAnsi="Times New Roman" w:eastAsia="宋体" w:cs="Times New Roman"/>
                        <w:sz w:val="24"/>
                        <w:lang w:val="en-US" w:eastAsia="zh-CN" w:bidi="ar-SA"/>
                      </w:rPr>
                      <w:t xml:space="preserve">— </w:t>
                    </w:r>
                    <w:r>
                      <w:rPr>
                        <w:rFonts w:hint="default" w:ascii="Times New Roman" w:hAnsi="Times New Roman" w:eastAsia="宋体" w:cs="Times New Roman"/>
                        <w:sz w:val="24"/>
                        <w:lang w:val="en-US" w:eastAsia="zh-CN" w:bidi="ar-SA"/>
                      </w:rPr>
                      <w:fldChar w:fldCharType="begin"/>
                    </w:r>
                    <w:r>
                      <w:rPr>
                        <w:rFonts w:hint="default" w:ascii="Times New Roman" w:hAnsi="Times New Roman" w:eastAsia="宋体" w:cs="Times New Roman"/>
                        <w:sz w:val="24"/>
                        <w:lang w:val="en-US" w:eastAsia="zh-CN" w:bidi="ar-SA"/>
                      </w:rPr>
                      <w:instrText xml:space="preserve"> PAGE  \* MERGEFORMAT </w:instrText>
                    </w:r>
                    <w:r>
                      <w:rPr>
                        <w:rFonts w:hint="default" w:ascii="Times New Roman" w:hAnsi="Times New Roman" w:eastAsia="宋体" w:cs="Times New Roman"/>
                        <w:sz w:val="24"/>
                        <w:lang w:val="en-US" w:eastAsia="zh-CN" w:bidi="ar-SA"/>
                      </w:rPr>
                      <w:fldChar w:fldCharType="separate"/>
                    </w:r>
                    <w:r>
                      <w:rPr>
                        <w:rFonts w:hint="default" w:ascii="Times New Roman" w:hAnsi="Times New Roman" w:eastAsia="宋体" w:cs="Times New Roman"/>
                        <w:sz w:val="24"/>
                        <w:lang w:val="en-US" w:eastAsia="zh-CN" w:bidi="ar-SA"/>
                      </w:rPr>
                      <w:t>27</w:t>
                    </w:r>
                    <w:r>
                      <w:rPr>
                        <w:rFonts w:hint="default" w:ascii="Times New Roman" w:hAnsi="Times New Roman" w:eastAsia="宋体" w:cs="Times New Roman"/>
                        <w:sz w:val="24"/>
                        <w:lang w:val="en-US" w:eastAsia="zh-CN" w:bidi="ar-SA"/>
                      </w:rPr>
                      <w:fldChar w:fldCharType="end"/>
                    </w:r>
                    <w:r>
                      <w:rPr>
                        <w:rFonts w:hint="default" w:ascii="Times New Roman" w:hAnsi="Times New Roman" w:eastAsia="宋体" w:cs="Times New Roman"/>
                        <w:sz w:val="24"/>
                        <w:lang w:val="en-US" w:eastAsia="zh-CN" w:bidi="ar-SA"/>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suff w:val="nothing"/>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215DAF"/>
    <w:rsid w:val="3E290C55"/>
    <w:rsid w:val="44215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2276</Words>
  <Characters>2399</Characters>
  <Lines>0</Lines>
  <Paragraphs>0</Paragraphs>
  <TotalTime>0</TotalTime>
  <ScaleCrop>false</ScaleCrop>
  <LinksUpToDate>false</LinksUpToDate>
  <CharactersWithSpaces>2414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2026-09-21T02:47:00Z</dcterms:created>
  <dc:creator>Administrator</dc:creator>
  <cp:lastModifiedBy>Administrator</cp:lastModifiedBy>
  <dcterms:modified xsi:type="dcterms:W3CDTF">2026-09-24T01:38:28Z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F84B9DBE26E94260BBA30829944C4A7B_11</vt:lpwstr>
  </property>
  <property fmtid="{D5CDD505-2E9C-101B-9397-08002B2CF9AE}" pid="4" name="KSOTemplateDocerSaveRecord">
    <vt:lpwstr>eyJoZGlkIjoiYzM0NTljOWFmYzQ0ZjhkMGIwNzZiMjE4MTU2YjlkYjAiLCJ1c2VySWQiOiI3MDgyNjYwMjYifQ==</vt:lpwstr>
  </property>
</Properties>
</file>