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contextualSpacing/>
        <w:rPr>
          <w:rFonts w:ascii="宋体" w:hAnsi="宋体"/>
          <w:color w:val="auto"/>
          <w:sz w:val="24"/>
        </w:rPr>
      </w:pPr>
      <w:r>
        <w:rPr>
          <w:rFonts w:hint="eastAsia" w:ascii="宋体" w:hAnsi="宋体"/>
          <w:color w:val="auto"/>
          <w:sz w:val="24"/>
        </w:rPr>
        <w:t>如有建议或意见，请以书面形式并加盖公章、注明联系人、联系方式，于202</w:t>
      </w:r>
      <w:r>
        <w:rPr>
          <w:rFonts w:hint="eastAsia" w:ascii="宋体" w:hAnsi="宋体"/>
          <w:color w:val="auto"/>
          <w:sz w:val="24"/>
          <w:lang w:val="en-US" w:eastAsia="zh-CN"/>
        </w:rPr>
        <w:t>6</w:t>
      </w:r>
      <w:r>
        <w:rPr>
          <w:rFonts w:hint="eastAsia" w:ascii="宋体" w:hAnsi="宋体"/>
          <w:color w:val="auto"/>
          <w:sz w:val="24"/>
        </w:rPr>
        <w:t>年</w:t>
      </w:r>
      <w:r>
        <w:rPr>
          <w:rFonts w:hint="eastAsia" w:ascii="宋体" w:hAnsi="宋体"/>
          <w:color w:val="auto"/>
          <w:sz w:val="24"/>
          <w:lang w:val="en-US" w:eastAsia="zh-CN"/>
        </w:rPr>
        <w:t>10</w:t>
      </w:r>
      <w:r>
        <w:rPr>
          <w:rFonts w:hint="eastAsia" w:ascii="宋体" w:hAnsi="宋体"/>
          <w:color w:val="auto"/>
          <w:sz w:val="24"/>
        </w:rPr>
        <w:t>月</w:t>
      </w:r>
      <w:r>
        <w:rPr>
          <w:rFonts w:hint="eastAsia" w:ascii="宋体" w:hAnsi="宋体"/>
          <w:color w:val="auto"/>
          <w:sz w:val="24"/>
          <w:lang w:val="en-US" w:eastAsia="zh-CN"/>
        </w:rPr>
        <w:t>9</w:t>
      </w:r>
      <w:r>
        <w:rPr>
          <w:rFonts w:hint="eastAsia" w:ascii="宋体" w:hAnsi="宋体"/>
          <w:color w:val="auto"/>
          <w:sz w:val="24"/>
        </w:rPr>
        <w:t>日17:00之前送至我单位，逾期不受理（如邮寄，202</w:t>
      </w:r>
      <w:r>
        <w:rPr>
          <w:rFonts w:hint="eastAsia" w:ascii="宋体" w:hAnsi="宋体"/>
          <w:color w:val="auto"/>
          <w:sz w:val="24"/>
          <w:lang w:val="en-US" w:eastAsia="zh-CN"/>
        </w:rPr>
        <w:t>6</w:t>
      </w:r>
      <w:r>
        <w:rPr>
          <w:rFonts w:hint="eastAsia" w:ascii="宋体" w:hAnsi="宋体"/>
          <w:color w:val="auto"/>
          <w:sz w:val="24"/>
        </w:rPr>
        <w:t>年</w:t>
      </w:r>
      <w:r>
        <w:rPr>
          <w:rFonts w:hint="eastAsia" w:ascii="宋体" w:hAnsi="宋体"/>
          <w:color w:val="auto"/>
          <w:sz w:val="24"/>
          <w:lang w:val="en-US" w:eastAsia="zh-CN"/>
        </w:rPr>
        <w:t>10</w:t>
      </w:r>
      <w:r>
        <w:rPr>
          <w:rFonts w:hint="eastAsia" w:ascii="宋体" w:hAnsi="宋体"/>
          <w:color w:val="auto"/>
          <w:sz w:val="24"/>
        </w:rPr>
        <w:t>月</w:t>
      </w:r>
      <w:r>
        <w:rPr>
          <w:rFonts w:hint="eastAsia" w:ascii="宋体" w:hAnsi="宋体"/>
          <w:color w:val="auto"/>
          <w:sz w:val="24"/>
          <w:lang w:val="en-US" w:eastAsia="zh-CN"/>
        </w:rPr>
        <w:t>9</w:t>
      </w:r>
      <w:bookmarkStart w:id="0" w:name="_GoBack"/>
      <w:bookmarkEnd w:id="0"/>
      <w:r>
        <w:rPr>
          <w:rFonts w:hint="eastAsia" w:ascii="宋体" w:hAnsi="宋体"/>
          <w:color w:val="auto"/>
          <w:sz w:val="24"/>
        </w:rPr>
        <w:t>日17:00之后到达本单位的邮件将不再受理）。</w:t>
      </w:r>
    </w:p>
    <w:p>
      <w:pPr>
        <w:widowControl/>
        <w:spacing w:line="360" w:lineRule="auto"/>
        <w:jc w:val="center"/>
        <w:rPr>
          <w:rFonts w:hint="eastAsia" w:ascii="宋体" w:hAnsi="宋体" w:cs="宋体"/>
          <w:b/>
          <w:bCs/>
          <w:color w:val="auto"/>
          <w:sz w:val="30"/>
          <w:szCs w:val="30"/>
        </w:rPr>
      </w:pPr>
    </w:p>
    <w:p>
      <w:pPr>
        <w:widowControl/>
        <w:spacing w:line="360" w:lineRule="auto"/>
        <w:jc w:val="center"/>
        <w:rPr>
          <w:rFonts w:hint="eastAsia" w:ascii="宋体" w:hAnsi="宋体" w:cs="宋体"/>
          <w:b/>
          <w:bCs/>
          <w:color w:val="auto"/>
          <w:sz w:val="30"/>
          <w:szCs w:val="30"/>
        </w:rPr>
      </w:pPr>
    </w:p>
    <w:p>
      <w:pPr>
        <w:widowControl/>
        <w:spacing w:line="360" w:lineRule="auto"/>
        <w:jc w:val="center"/>
        <w:rPr>
          <w:rFonts w:ascii="宋体" w:hAnsi="宋体" w:cs="宋体"/>
          <w:color w:val="auto"/>
          <w:sz w:val="30"/>
          <w:szCs w:val="30"/>
        </w:rPr>
      </w:pPr>
      <w:r>
        <w:rPr>
          <w:rFonts w:hint="eastAsia" w:ascii="宋体" w:hAnsi="宋体" w:cs="宋体"/>
          <w:b/>
          <w:bCs/>
          <w:color w:val="auto"/>
          <w:sz w:val="30"/>
          <w:szCs w:val="30"/>
        </w:rPr>
        <w:t>采购需求</w:t>
      </w:r>
    </w:p>
    <w:p>
      <w:pPr>
        <w:tabs>
          <w:tab w:val="left" w:pos="0"/>
        </w:tabs>
        <w:spacing w:line="360" w:lineRule="auto"/>
        <w:rPr>
          <w:rFonts w:ascii="宋体" w:hAnsi="宋体" w:cs="宋体"/>
          <w:b/>
          <w:bCs/>
          <w:color w:val="auto"/>
          <w:sz w:val="24"/>
        </w:rPr>
      </w:pPr>
      <w:r>
        <w:rPr>
          <w:rFonts w:hint="eastAsia" w:ascii="宋体" w:hAnsi="宋体" w:cs="宋体"/>
          <w:b/>
          <w:bCs/>
          <w:color w:val="auto"/>
          <w:sz w:val="24"/>
        </w:rPr>
        <w:t>一、项目说明</w:t>
      </w:r>
    </w:p>
    <w:p>
      <w:pPr>
        <w:tabs>
          <w:tab w:val="left" w:pos="0"/>
        </w:tabs>
        <w:spacing w:line="360" w:lineRule="auto"/>
        <w:rPr>
          <w:rFonts w:ascii="宋体" w:hAnsi="宋体" w:cs="宋体"/>
          <w:color w:val="auto"/>
          <w:sz w:val="24"/>
        </w:rPr>
      </w:pPr>
      <w:r>
        <w:rPr>
          <w:rFonts w:hint="eastAsia" w:ascii="宋体" w:hAnsi="宋体" w:cs="宋体"/>
          <w:color w:val="auto"/>
          <w:sz w:val="24"/>
        </w:rPr>
        <w:t>1、采购人：</w:t>
      </w:r>
      <w:r>
        <w:rPr>
          <w:rFonts w:hint="eastAsia" w:ascii="宋体" w:hAnsi="宋体" w:cs="宋体"/>
          <w:color w:val="auto"/>
          <w:sz w:val="24"/>
          <w:lang w:eastAsia="zh-CN"/>
        </w:rPr>
        <w:t>邳州市公安局</w:t>
      </w:r>
      <w:r>
        <w:rPr>
          <w:rFonts w:hint="eastAsia" w:ascii="宋体" w:hAnsi="宋体" w:cs="宋体"/>
          <w:color w:val="auto"/>
          <w:sz w:val="24"/>
        </w:rPr>
        <w:t>。</w:t>
      </w:r>
    </w:p>
    <w:p>
      <w:pPr>
        <w:tabs>
          <w:tab w:val="left" w:pos="0"/>
        </w:tabs>
        <w:spacing w:line="360" w:lineRule="auto"/>
        <w:rPr>
          <w:rFonts w:ascii="宋体" w:hAnsi="宋体" w:cs="宋体"/>
          <w:color w:val="auto"/>
          <w:sz w:val="24"/>
        </w:rPr>
      </w:pPr>
      <w:r>
        <w:rPr>
          <w:rFonts w:hint="eastAsia" w:ascii="宋体" w:hAnsi="宋体" w:cs="宋体"/>
          <w:color w:val="auto"/>
          <w:sz w:val="24"/>
        </w:rPr>
        <w:t>2、采购项目名称：机动车号牌制作及安装服务。</w:t>
      </w:r>
    </w:p>
    <w:p>
      <w:pPr>
        <w:tabs>
          <w:tab w:val="left" w:pos="0"/>
        </w:tabs>
        <w:spacing w:line="360" w:lineRule="auto"/>
        <w:rPr>
          <w:rFonts w:ascii="宋体" w:hAnsi="宋体" w:cs="宋体"/>
          <w:color w:val="auto"/>
          <w:sz w:val="24"/>
        </w:rPr>
      </w:pPr>
      <w:r>
        <w:rPr>
          <w:rFonts w:hint="eastAsia" w:ascii="宋体" w:hAnsi="宋体" w:cs="宋体"/>
          <w:color w:val="auto"/>
          <w:sz w:val="24"/>
        </w:rPr>
        <w:t>3、项目概况：为实现统一号码资源、号牌发放，机动车登记和号牌制作一一对应，未登记车辆不能私自制作号牌，需规范号牌制作、发放和使用管理，建立更加公开、规范、科学的号牌管理制度，现通过公开招标方式选择1家供应商负责</w:t>
      </w:r>
      <w:r>
        <w:rPr>
          <w:rFonts w:hint="eastAsia" w:ascii="宋体" w:hAnsi="宋体" w:cs="宋体"/>
          <w:color w:val="auto"/>
          <w:sz w:val="24"/>
          <w:lang w:eastAsia="zh-CN"/>
        </w:rPr>
        <w:t>邳州市</w:t>
      </w:r>
      <w:r>
        <w:rPr>
          <w:rFonts w:hint="eastAsia" w:ascii="宋体" w:hAnsi="宋体" w:cs="宋体"/>
          <w:color w:val="auto"/>
          <w:sz w:val="24"/>
        </w:rPr>
        <w:t>机动车号牌制作安装服务。</w:t>
      </w:r>
    </w:p>
    <w:p>
      <w:pPr>
        <w:tabs>
          <w:tab w:val="left" w:pos="0"/>
        </w:tabs>
        <w:spacing w:line="360" w:lineRule="auto"/>
        <w:rPr>
          <w:rFonts w:ascii="宋体" w:hAnsi="宋体" w:cs="宋体"/>
          <w:color w:val="auto"/>
          <w:sz w:val="24"/>
        </w:rPr>
      </w:pPr>
      <w:r>
        <w:rPr>
          <w:rFonts w:hint="eastAsia" w:ascii="宋体" w:hAnsi="宋体" w:cs="宋体"/>
          <w:color w:val="auto"/>
          <w:sz w:val="24"/>
        </w:rPr>
        <w:t>4、采购标的及单价最高限价：</w:t>
      </w:r>
    </w:p>
    <w:tbl>
      <w:tblPr>
        <w:tblStyle w:val="3"/>
        <w:tblW w:w="51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2050"/>
        <w:gridCol w:w="2316"/>
        <w:gridCol w:w="1984"/>
        <w:gridCol w:w="1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443" w:type="pct"/>
            <w:shd w:val="clear" w:color="auto" w:fill="auto"/>
            <w:noWrap w:val="0"/>
            <w:vAlign w:val="center"/>
          </w:tcPr>
          <w:p>
            <w:pPr>
              <w:jc w:val="center"/>
              <w:rPr>
                <w:rFonts w:ascii="宋体" w:hAnsi="宋体" w:cs="宋体"/>
                <w:b/>
                <w:bCs/>
                <w:color w:val="auto"/>
                <w:sz w:val="24"/>
              </w:rPr>
            </w:pPr>
            <w:r>
              <w:rPr>
                <w:rFonts w:hint="eastAsia" w:ascii="宋体" w:hAnsi="宋体" w:cs="宋体"/>
                <w:b/>
                <w:bCs/>
                <w:color w:val="auto"/>
                <w:sz w:val="24"/>
              </w:rPr>
              <w:t>序号</w:t>
            </w:r>
          </w:p>
        </w:tc>
        <w:tc>
          <w:tcPr>
            <w:tcW w:w="1163" w:type="pct"/>
            <w:shd w:val="clear" w:color="auto" w:fill="auto"/>
            <w:noWrap w:val="0"/>
            <w:vAlign w:val="center"/>
          </w:tcPr>
          <w:p>
            <w:pPr>
              <w:jc w:val="center"/>
              <w:rPr>
                <w:rFonts w:ascii="宋体" w:hAnsi="宋体" w:cs="宋体"/>
                <w:b/>
                <w:bCs/>
                <w:color w:val="auto"/>
                <w:sz w:val="24"/>
              </w:rPr>
            </w:pPr>
            <w:r>
              <w:rPr>
                <w:rFonts w:hint="eastAsia" w:ascii="宋体" w:hAnsi="宋体" w:cs="宋体"/>
                <w:b/>
                <w:bCs/>
                <w:color w:val="auto"/>
                <w:sz w:val="24"/>
              </w:rPr>
              <w:t>分类</w:t>
            </w:r>
          </w:p>
        </w:tc>
        <w:tc>
          <w:tcPr>
            <w:tcW w:w="1314" w:type="pct"/>
            <w:shd w:val="clear" w:color="auto" w:fill="auto"/>
            <w:noWrap w:val="0"/>
            <w:vAlign w:val="center"/>
          </w:tcPr>
          <w:p>
            <w:pPr>
              <w:jc w:val="center"/>
              <w:rPr>
                <w:rFonts w:ascii="宋体" w:hAnsi="宋体" w:cs="宋体"/>
                <w:b/>
                <w:bCs/>
                <w:color w:val="auto"/>
                <w:sz w:val="24"/>
              </w:rPr>
            </w:pPr>
            <w:r>
              <w:rPr>
                <w:rFonts w:hint="eastAsia" w:ascii="宋体" w:hAnsi="宋体" w:cs="宋体"/>
                <w:b/>
                <w:bCs/>
                <w:color w:val="auto"/>
                <w:sz w:val="24"/>
              </w:rPr>
              <w:t>外廓尺寸（mm*mm）</w:t>
            </w:r>
          </w:p>
        </w:tc>
        <w:tc>
          <w:tcPr>
            <w:tcW w:w="1126" w:type="pct"/>
            <w:shd w:val="clear" w:color="auto" w:fill="auto"/>
            <w:noWrap w:val="0"/>
            <w:vAlign w:val="center"/>
          </w:tcPr>
          <w:p>
            <w:pPr>
              <w:jc w:val="center"/>
              <w:rPr>
                <w:rFonts w:ascii="宋体" w:hAnsi="宋体" w:cs="宋体"/>
                <w:b/>
                <w:bCs/>
                <w:color w:val="auto"/>
                <w:sz w:val="24"/>
              </w:rPr>
            </w:pPr>
            <w:r>
              <w:rPr>
                <w:rFonts w:hint="eastAsia" w:ascii="宋体" w:hAnsi="宋体" w:cs="宋体"/>
                <w:b/>
                <w:bCs/>
                <w:color w:val="auto"/>
                <w:sz w:val="24"/>
              </w:rPr>
              <w:t>技术参数</w:t>
            </w:r>
          </w:p>
        </w:tc>
        <w:tc>
          <w:tcPr>
            <w:tcW w:w="951" w:type="pct"/>
            <w:shd w:val="clear" w:color="auto" w:fill="auto"/>
            <w:noWrap w:val="0"/>
            <w:vAlign w:val="center"/>
          </w:tcPr>
          <w:p>
            <w:pPr>
              <w:jc w:val="center"/>
              <w:rPr>
                <w:rFonts w:ascii="宋体" w:hAnsi="宋体" w:cs="宋体"/>
                <w:b/>
                <w:bCs/>
                <w:color w:val="auto"/>
                <w:sz w:val="24"/>
              </w:rPr>
            </w:pPr>
            <w:r>
              <w:rPr>
                <w:rFonts w:hint="eastAsia" w:ascii="宋体" w:hAnsi="宋体" w:cs="宋体"/>
                <w:b/>
                <w:bCs/>
                <w:color w:val="auto"/>
                <w:sz w:val="24"/>
              </w:rPr>
              <w:t>单价最高限价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44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1</w:t>
            </w:r>
          </w:p>
        </w:tc>
        <w:tc>
          <w:tcPr>
            <w:tcW w:w="116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大型汽车号牌</w:t>
            </w:r>
          </w:p>
        </w:tc>
        <w:tc>
          <w:tcPr>
            <w:tcW w:w="1314"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前440*140后440*220</w:t>
            </w:r>
          </w:p>
        </w:tc>
        <w:tc>
          <w:tcPr>
            <w:tcW w:w="1126" w:type="pct"/>
            <w:vMerge w:val="restar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标准按《中华人民共和国机动车号牌》GA36-2018的要求和《机动车号牌反光膜》GA666-2018的要求</w:t>
            </w:r>
          </w:p>
          <w:p>
            <w:pPr>
              <w:jc w:val="center"/>
              <w:rPr>
                <w:rFonts w:ascii="宋体" w:hAnsi="宋体" w:cs="宋体"/>
                <w:color w:val="auto"/>
                <w:sz w:val="24"/>
              </w:rPr>
            </w:pPr>
          </w:p>
        </w:tc>
        <w:tc>
          <w:tcPr>
            <w:tcW w:w="951"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3</w:t>
            </w:r>
            <w:r>
              <w:rPr>
                <w:rFonts w:hint="eastAsia" w:ascii="宋体" w:hAnsi="宋体" w:cs="宋体"/>
                <w:color w:val="auto"/>
                <w:sz w:val="24"/>
                <w:lang w:val="en-US" w:eastAsia="zh-CN"/>
              </w:rPr>
              <w:t>0.6</w:t>
            </w:r>
            <w:r>
              <w:rPr>
                <w:rFonts w:hint="eastAsia" w:ascii="宋体" w:hAnsi="宋体" w:cs="宋体"/>
                <w:color w:val="auto"/>
                <w:sz w:val="24"/>
              </w:rPr>
              <w:t>元/副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4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2</w:t>
            </w:r>
          </w:p>
        </w:tc>
        <w:tc>
          <w:tcPr>
            <w:tcW w:w="116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小型汽车号牌</w:t>
            </w:r>
          </w:p>
        </w:tc>
        <w:tc>
          <w:tcPr>
            <w:tcW w:w="1314"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440*140</w:t>
            </w:r>
          </w:p>
        </w:tc>
        <w:tc>
          <w:tcPr>
            <w:tcW w:w="1126" w:type="pct"/>
            <w:vMerge w:val="continue"/>
            <w:shd w:val="clear" w:color="auto" w:fill="auto"/>
            <w:noWrap w:val="0"/>
            <w:vAlign w:val="center"/>
          </w:tcPr>
          <w:p>
            <w:pPr>
              <w:jc w:val="center"/>
              <w:rPr>
                <w:rFonts w:ascii="宋体" w:hAnsi="宋体" w:cs="宋体"/>
                <w:color w:val="auto"/>
                <w:sz w:val="24"/>
              </w:rPr>
            </w:pPr>
          </w:p>
        </w:tc>
        <w:tc>
          <w:tcPr>
            <w:tcW w:w="951"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lang w:val="en-US" w:eastAsia="zh-CN"/>
              </w:rPr>
              <w:t>34.60</w:t>
            </w:r>
            <w:r>
              <w:rPr>
                <w:rFonts w:hint="eastAsia" w:ascii="宋体" w:hAnsi="宋体" w:cs="宋体"/>
                <w:color w:val="auto"/>
                <w:sz w:val="24"/>
              </w:rPr>
              <w:t>元/副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4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3</w:t>
            </w:r>
          </w:p>
        </w:tc>
        <w:tc>
          <w:tcPr>
            <w:tcW w:w="116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普通摩托车号牌</w:t>
            </w:r>
          </w:p>
        </w:tc>
        <w:tc>
          <w:tcPr>
            <w:tcW w:w="1314"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220*140</w:t>
            </w:r>
          </w:p>
        </w:tc>
        <w:tc>
          <w:tcPr>
            <w:tcW w:w="1126" w:type="pct"/>
            <w:vMerge w:val="continue"/>
            <w:shd w:val="clear" w:color="auto" w:fill="auto"/>
            <w:noWrap w:val="0"/>
            <w:vAlign w:val="center"/>
          </w:tcPr>
          <w:p>
            <w:pPr>
              <w:jc w:val="center"/>
              <w:rPr>
                <w:rFonts w:ascii="宋体" w:hAnsi="宋体" w:cs="宋体"/>
                <w:color w:val="auto"/>
                <w:sz w:val="24"/>
              </w:rPr>
            </w:pPr>
          </w:p>
        </w:tc>
        <w:tc>
          <w:tcPr>
            <w:tcW w:w="951"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lang w:val="en-US" w:eastAsia="zh-CN"/>
              </w:rPr>
              <w:t>9</w:t>
            </w:r>
            <w:r>
              <w:rPr>
                <w:rFonts w:hint="eastAsia" w:ascii="宋体" w:hAnsi="宋体" w:cs="宋体"/>
                <w:color w:val="auto"/>
                <w:sz w:val="24"/>
              </w:rPr>
              <w:t>元/片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4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w:t>
            </w:r>
          </w:p>
        </w:tc>
        <w:tc>
          <w:tcPr>
            <w:tcW w:w="116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轻便摩托车号牌</w:t>
            </w:r>
          </w:p>
        </w:tc>
        <w:tc>
          <w:tcPr>
            <w:tcW w:w="1314"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220*140</w:t>
            </w:r>
          </w:p>
        </w:tc>
        <w:tc>
          <w:tcPr>
            <w:tcW w:w="1126" w:type="pct"/>
            <w:vMerge w:val="continue"/>
            <w:shd w:val="clear" w:color="auto" w:fill="auto"/>
            <w:noWrap w:val="0"/>
            <w:vAlign w:val="center"/>
          </w:tcPr>
          <w:p>
            <w:pPr>
              <w:jc w:val="center"/>
              <w:rPr>
                <w:rFonts w:ascii="宋体" w:hAnsi="宋体" w:cs="宋体"/>
                <w:color w:val="auto"/>
                <w:sz w:val="24"/>
              </w:rPr>
            </w:pPr>
          </w:p>
        </w:tc>
        <w:tc>
          <w:tcPr>
            <w:tcW w:w="951"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10.</w:t>
            </w:r>
            <w:r>
              <w:rPr>
                <w:rFonts w:hint="eastAsia" w:ascii="宋体" w:hAnsi="宋体" w:cs="宋体"/>
                <w:color w:val="auto"/>
                <w:sz w:val="24"/>
                <w:lang w:val="en-US" w:eastAsia="zh-CN"/>
              </w:rPr>
              <w:t>8</w:t>
            </w:r>
            <w:r>
              <w:rPr>
                <w:rFonts w:hint="eastAsia" w:ascii="宋体" w:hAnsi="宋体" w:cs="宋体"/>
                <w:color w:val="auto"/>
                <w:sz w:val="24"/>
              </w:rPr>
              <w:t>0元/片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4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5</w:t>
            </w:r>
          </w:p>
        </w:tc>
        <w:tc>
          <w:tcPr>
            <w:tcW w:w="116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低速车号牌</w:t>
            </w:r>
          </w:p>
        </w:tc>
        <w:tc>
          <w:tcPr>
            <w:tcW w:w="1314"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300*165</w:t>
            </w:r>
          </w:p>
        </w:tc>
        <w:tc>
          <w:tcPr>
            <w:tcW w:w="1126" w:type="pct"/>
            <w:vMerge w:val="continue"/>
            <w:shd w:val="clear" w:color="auto" w:fill="auto"/>
            <w:noWrap w:val="0"/>
            <w:vAlign w:val="center"/>
          </w:tcPr>
          <w:p>
            <w:pPr>
              <w:jc w:val="center"/>
              <w:rPr>
                <w:rFonts w:ascii="宋体" w:hAnsi="宋体" w:cs="宋体"/>
                <w:color w:val="auto"/>
                <w:sz w:val="24"/>
              </w:rPr>
            </w:pPr>
          </w:p>
        </w:tc>
        <w:tc>
          <w:tcPr>
            <w:tcW w:w="951"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2</w:t>
            </w:r>
            <w:r>
              <w:rPr>
                <w:rFonts w:hint="eastAsia" w:ascii="宋体" w:hAnsi="宋体" w:cs="宋体"/>
                <w:color w:val="auto"/>
                <w:sz w:val="24"/>
                <w:lang w:val="en-US" w:eastAsia="zh-CN"/>
              </w:rPr>
              <w:t>1</w:t>
            </w:r>
            <w:r>
              <w:rPr>
                <w:rFonts w:hint="eastAsia" w:ascii="宋体" w:hAnsi="宋体" w:cs="宋体"/>
                <w:color w:val="auto"/>
                <w:sz w:val="24"/>
              </w:rPr>
              <w:t>元/副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4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6</w:t>
            </w:r>
          </w:p>
        </w:tc>
        <w:tc>
          <w:tcPr>
            <w:tcW w:w="116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挂车号牌</w:t>
            </w:r>
          </w:p>
        </w:tc>
        <w:tc>
          <w:tcPr>
            <w:tcW w:w="1314"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440*220</w:t>
            </w:r>
          </w:p>
        </w:tc>
        <w:tc>
          <w:tcPr>
            <w:tcW w:w="1126" w:type="pct"/>
            <w:vMerge w:val="continue"/>
            <w:shd w:val="clear" w:color="auto" w:fill="auto"/>
            <w:noWrap w:val="0"/>
            <w:vAlign w:val="center"/>
          </w:tcPr>
          <w:p>
            <w:pPr>
              <w:jc w:val="center"/>
              <w:rPr>
                <w:rFonts w:ascii="宋体" w:hAnsi="宋体" w:cs="宋体"/>
                <w:color w:val="auto"/>
                <w:sz w:val="24"/>
              </w:rPr>
            </w:pPr>
          </w:p>
        </w:tc>
        <w:tc>
          <w:tcPr>
            <w:tcW w:w="951"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2</w:t>
            </w:r>
            <w:r>
              <w:rPr>
                <w:rFonts w:hint="eastAsia" w:ascii="宋体" w:hAnsi="宋体" w:cs="宋体"/>
                <w:color w:val="auto"/>
                <w:sz w:val="24"/>
                <w:lang w:val="en-US" w:eastAsia="zh-CN"/>
              </w:rPr>
              <w:t>1</w:t>
            </w:r>
            <w:r>
              <w:rPr>
                <w:rFonts w:hint="eastAsia" w:ascii="宋体" w:hAnsi="宋体" w:cs="宋体"/>
                <w:color w:val="auto"/>
                <w:sz w:val="24"/>
              </w:rPr>
              <w:t>元/片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4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7</w:t>
            </w:r>
          </w:p>
        </w:tc>
        <w:tc>
          <w:tcPr>
            <w:tcW w:w="116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教练汽车号牌</w:t>
            </w:r>
          </w:p>
        </w:tc>
        <w:tc>
          <w:tcPr>
            <w:tcW w:w="1314"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440*140</w:t>
            </w:r>
          </w:p>
        </w:tc>
        <w:tc>
          <w:tcPr>
            <w:tcW w:w="1126" w:type="pct"/>
            <w:vMerge w:val="continue"/>
            <w:shd w:val="clear" w:color="auto" w:fill="auto"/>
            <w:noWrap w:val="0"/>
            <w:vAlign w:val="center"/>
          </w:tcPr>
          <w:p>
            <w:pPr>
              <w:jc w:val="center"/>
              <w:rPr>
                <w:rFonts w:ascii="宋体" w:hAnsi="宋体" w:cs="宋体"/>
                <w:color w:val="auto"/>
                <w:sz w:val="24"/>
              </w:rPr>
            </w:pPr>
          </w:p>
        </w:tc>
        <w:tc>
          <w:tcPr>
            <w:tcW w:w="951"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24.80元/副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4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8</w:t>
            </w:r>
          </w:p>
        </w:tc>
        <w:tc>
          <w:tcPr>
            <w:tcW w:w="116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教练摩托车号牌</w:t>
            </w:r>
          </w:p>
        </w:tc>
        <w:tc>
          <w:tcPr>
            <w:tcW w:w="1314"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220*140</w:t>
            </w:r>
          </w:p>
        </w:tc>
        <w:tc>
          <w:tcPr>
            <w:tcW w:w="1126" w:type="pct"/>
            <w:vMerge w:val="continue"/>
            <w:shd w:val="clear" w:color="auto" w:fill="auto"/>
            <w:noWrap w:val="0"/>
            <w:vAlign w:val="center"/>
          </w:tcPr>
          <w:p>
            <w:pPr>
              <w:jc w:val="center"/>
              <w:rPr>
                <w:rFonts w:ascii="宋体" w:hAnsi="宋体" w:cs="宋体"/>
                <w:color w:val="auto"/>
                <w:sz w:val="24"/>
              </w:rPr>
            </w:pPr>
          </w:p>
        </w:tc>
        <w:tc>
          <w:tcPr>
            <w:tcW w:w="951"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1</w:t>
            </w:r>
            <w:r>
              <w:rPr>
                <w:rFonts w:hint="eastAsia" w:ascii="宋体" w:hAnsi="宋体" w:cs="宋体"/>
                <w:color w:val="auto"/>
                <w:sz w:val="24"/>
                <w:lang w:val="en-US" w:eastAsia="zh-CN"/>
              </w:rPr>
              <w:t>1</w:t>
            </w:r>
            <w:r>
              <w:rPr>
                <w:rFonts w:hint="eastAsia" w:ascii="宋体" w:hAnsi="宋体" w:cs="宋体"/>
                <w:color w:val="auto"/>
                <w:sz w:val="24"/>
              </w:rPr>
              <w:t>元/片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4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9</w:t>
            </w:r>
          </w:p>
        </w:tc>
        <w:tc>
          <w:tcPr>
            <w:tcW w:w="116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大型新能源汽车号牌</w:t>
            </w:r>
          </w:p>
        </w:tc>
        <w:tc>
          <w:tcPr>
            <w:tcW w:w="1314"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w:t>
            </w:r>
            <w:r>
              <w:rPr>
                <w:rFonts w:ascii="宋体" w:hAnsi="宋体" w:cs="宋体"/>
                <w:color w:val="auto"/>
                <w:sz w:val="24"/>
              </w:rPr>
              <w:t>8</w:t>
            </w:r>
            <w:r>
              <w:rPr>
                <w:rFonts w:hint="eastAsia" w:ascii="宋体" w:hAnsi="宋体" w:cs="宋体"/>
                <w:color w:val="auto"/>
                <w:sz w:val="24"/>
              </w:rPr>
              <w:t>0*140</w:t>
            </w:r>
          </w:p>
        </w:tc>
        <w:tc>
          <w:tcPr>
            <w:tcW w:w="1126" w:type="pct"/>
            <w:vMerge w:val="continue"/>
            <w:shd w:val="clear" w:color="auto" w:fill="auto"/>
            <w:noWrap w:val="0"/>
            <w:vAlign w:val="center"/>
          </w:tcPr>
          <w:p>
            <w:pPr>
              <w:jc w:val="center"/>
              <w:rPr>
                <w:rFonts w:ascii="宋体" w:hAnsi="宋体" w:cs="宋体"/>
                <w:color w:val="auto"/>
                <w:sz w:val="24"/>
              </w:rPr>
            </w:pPr>
          </w:p>
        </w:tc>
        <w:tc>
          <w:tcPr>
            <w:tcW w:w="951"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w:t>
            </w:r>
            <w:r>
              <w:rPr>
                <w:rFonts w:hint="eastAsia" w:ascii="宋体" w:hAnsi="宋体" w:cs="宋体"/>
                <w:color w:val="auto"/>
                <w:sz w:val="24"/>
                <w:lang w:val="en-US" w:eastAsia="zh-CN"/>
              </w:rPr>
              <w:t>5</w:t>
            </w:r>
            <w:r>
              <w:rPr>
                <w:rFonts w:hint="eastAsia" w:ascii="宋体" w:hAnsi="宋体" w:cs="宋体"/>
                <w:color w:val="auto"/>
                <w:sz w:val="24"/>
              </w:rPr>
              <w:t>元/副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4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10</w:t>
            </w:r>
          </w:p>
        </w:tc>
        <w:tc>
          <w:tcPr>
            <w:tcW w:w="1163"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小型新能源汽车号牌</w:t>
            </w:r>
          </w:p>
        </w:tc>
        <w:tc>
          <w:tcPr>
            <w:tcW w:w="1314"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480*140</w:t>
            </w:r>
          </w:p>
        </w:tc>
        <w:tc>
          <w:tcPr>
            <w:tcW w:w="1126" w:type="pct"/>
            <w:vMerge w:val="continue"/>
            <w:shd w:val="clear" w:color="auto" w:fill="auto"/>
            <w:noWrap w:val="0"/>
            <w:vAlign w:val="center"/>
          </w:tcPr>
          <w:p>
            <w:pPr>
              <w:jc w:val="center"/>
              <w:rPr>
                <w:rFonts w:ascii="宋体" w:hAnsi="宋体" w:cs="宋体"/>
                <w:color w:val="auto"/>
                <w:sz w:val="24"/>
              </w:rPr>
            </w:pPr>
          </w:p>
        </w:tc>
        <w:tc>
          <w:tcPr>
            <w:tcW w:w="951"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w:t>
            </w:r>
            <w:r>
              <w:rPr>
                <w:rFonts w:hint="eastAsia" w:ascii="宋体" w:hAnsi="宋体" w:cs="宋体"/>
                <w:color w:val="auto"/>
                <w:sz w:val="24"/>
                <w:lang w:val="en-US" w:eastAsia="zh-CN"/>
              </w:rPr>
              <w:t>4</w:t>
            </w:r>
            <w:r>
              <w:rPr>
                <w:rFonts w:hint="eastAsia" w:ascii="宋体" w:hAnsi="宋体" w:cs="宋体"/>
                <w:color w:val="auto"/>
                <w:sz w:val="24"/>
              </w:rPr>
              <w:t>.</w:t>
            </w:r>
            <w:r>
              <w:rPr>
                <w:rFonts w:hint="eastAsia" w:ascii="宋体" w:hAnsi="宋体" w:cs="宋体"/>
                <w:color w:val="auto"/>
                <w:sz w:val="24"/>
                <w:lang w:val="en-US" w:eastAsia="zh-CN"/>
              </w:rPr>
              <w:t>6</w:t>
            </w:r>
            <w:r>
              <w:rPr>
                <w:rFonts w:hint="eastAsia" w:ascii="宋体" w:hAnsi="宋体" w:cs="宋体"/>
                <w:color w:val="auto"/>
                <w:sz w:val="24"/>
              </w:rPr>
              <w:t>0元/副</w:t>
            </w:r>
          </w:p>
        </w:tc>
      </w:tr>
    </w:tbl>
    <w:p>
      <w:pPr>
        <w:spacing w:line="360" w:lineRule="auto"/>
        <w:rPr>
          <w:rFonts w:ascii="宋体" w:hAnsi="宋体" w:cs="宋体"/>
          <w:color w:val="auto"/>
          <w:sz w:val="24"/>
        </w:rPr>
      </w:pPr>
      <w:r>
        <w:rPr>
          <w:rFonts w:hint="eastAsia" w:ascii="宋体" w:hAnsi="宋体" w:cs="宋体"/>
          <w:color w:val="auto"/>
          <w:sz w:val="24"/>
        </w:rPr>
        <w:t>注：</w:t>
      </w:r>
    </w:p>
    <w:p>
      <w:pPr>
        <w:spacing w:line="360" w:lineRule="auto"/>
        <w:rPr>
          <w:rFonts w:ascii="宋体" w:hAnsi="宋体" w:cs="宋体"/>
          <w:color w:val="auto"/>
          <w:sz w:val="24"/>
        </w:rPr>
      </w:pPr>
      <w:r>
        <w:rPr>
          <w:rFonts w:hint="eastAsia" w:ascii="宋体" w:hAnsi="宋体" w:cs="宋体"/>
          <w:color w:val="auto"/>
          <w:sz w:val="24"/>
        </w:rPr>
        <w:t>（1）本项目属于专门面向中小微企业采购的项目，投标人应为中小微企业、监狱企业、残疾人福利性单位。</w:t>
      </w:r>
    </w:p>
    <w:p>
      <w:pPr>
        <w:spacing w:line="360" w:lineRule="auto"/>
        <w:rPr>
          <w:rFonts w:ascii="宋体" w:hAnsi="宋体" w:cs="宋体"/>
          <w:color w:val="auto"/>
          <w:sz w:val="24"/>
        </w:rPr>
      </w:pPr>
      <w:r>
        <w:rPr>
          <w:rFonts w:hint="eastAsia" w:ascii="宋体" w:hAnsi="宋体" w:cs="宋体"/>
          <w:color w:val="auto"/>
          <w:sz w:val="24"/>
        </w:rPr>
        <w:t>（2）机动车号牌制作及安装服务项目对应的中小企业划分标准所属行业为（</w:t>
      </w:r>
      <w:r>
        <w:rPr>
          <w:rFonts w:hint="eastAsia" w:ascii="宋体" w:hAnsi="宋体" w:cs="宋体"/>
          <w:color w:val="auto"/>
          <w:sz w:val="24"/>
          <w:u w:val="single"/>
        </w:rPr>
        <w:t>其他未列明行业</w:t>
      </w:r>
      <w:r>
        <w:rPr>
          <w:rFonts w:hint="eastAsia" w:ascii="宋体" w:hAnsi="宋体" w:cs="宋体"/>
          <w:color w:val="auto"/>
          <w:sz w:val="24"/>
        </w:rPr>
        <w:t>）。</w:t>
      </w:r>
    </w:p>
    <w:p>
      <w:pPr>
        <w:spacing w:line="360" w:lineRule="auto"/>
        <w:rPr>
          <w:rFonts w:ascii="宋体" w:hAnsi="宋体" w:cs="宋体"/>
          <w:color w:val="auto"/>
          <w:sz w:val="24"/>
        </w:rPr>
      </w:pPr>
      <w:r>
        <w:rPr>
          <w:rFonts w:hint="eastAsia" w:ascii="宋体" w:hAnsi="宋体" w:cs="宋体"/>
          <w:color w:val="auto"/>
          <w:sz w:val="24"/>
        </w:rPr>
        <w:t>（3）本项目不接受超过各单项最高限价的投标报价，超出上述10个分类中任何一个分类的单价最高限价的投标报价均按无效投标处理。</w:t>
      </w:r>
    </w:p>
    <w:p>
      <w:pPr>
        <w:spacing w:line="360" w:lineRule="auto"/>
        <w:rPr>
          <w:rFonts w:ascii="宋体" w:hAnsi="宋体" w:cs="宋体"/>
          <w:color w:val="auto"/>
          <w:sz w:val="24"/>
        </w:rPr>
      </w:pPr>
      <w:r>
        <w:rPr>
          <w:rFonts w:hint="eastAsia" w:ascii="宋体" w:hAnsi="宋体" w:cs="宋体"/>
          <w:color w:val="auto"/>
          <w:sz w:val="24"/>
        </w:rPr>
        <w:t>（4）投标报价包括产品价、税金、运费、安装调试、检验、保险、制作点建设费，号牌配送费及税费等全部费用。</w:t>
      </w:r>
    </w:p>
    <w:p>
      <w:pPr>
        <w:spacing w:line="360" w:lineRule="auto"/>
        <w:rPr>
          <w:rFonts w:ascii="宋体" w:hAnsi="宋体" w:cs="宋体"/>
          <w:color w:val="auto"/>
          <w:sz w:val="24"/>
        </w:rPr>
      </w:pPr>
      <w:r>
        <w:rPr>
          <w:rFonts w:hint="eastAsia" w:ascii="宋体" w:hAnsi="宋体" w:cs="宋体"/>
          <w:color w:val="auto"/>
          <w:sz w:val="24"/>
        </w:rPr>
        <w:t>（5）本项目最终合同结算价款以实际采购的数量为准。采购人不对实际采购</w:t>
      </w:r>
      <w:r>
        <w:rPr>
          <w:rFonts w:hint="eastAsia" w:ascii="宋体" w:hAnsi="宋体" w:cs="宋体"/>
          <w:color w:val="auto"/>
          <w:sz w:val="24"/>
          <w:lang w:eastAsia="zh-CN"/>
        </w:rPr>
        <w:t>数量做</w:t>
      </w:r>
      <w:r>
        <w:rPr>
          <w:rFonts w:hint="eastAsia" w:ascii="宋体" w:hAnsi="宋体" w:cs="宋体"/>
          <w:color w:val="auto"/>
          <w:sz w:val="24"/>
        </w:rPr>
        <w:t>任何保证和承诺。</w:t>
      </w:r>
    </w:p>
    <w:p>
      <w:pPr>
        <w:spacing w:line="360" w:lineRule="auto"/>
        <w:rPr>
          <w:rFonts w:ascii="宋体" w:hAnsi="宋体" w:cs="宋体"/>
          <w:color w:val="auto"/>
          <w:sz w:val="24"/>
        </w:rPr>
      </w:pPr>
      <w:r>
        <w:rPr>
          <w:rFonts w:hint="eastAsia" w:ascii="宋体" w:hAnsi="宋体" w:cs="宋体"/>
          <w:color w:val="auto"/>
          <w:sz w:val="24"/>
        </w:rPr>
        <w:t>5、本项目开标一览表中的投标报价（P总）=每一种号牌种类的单项报价*各自系数值后的累加值。</w:t>
      </w:r>
    </w:p>
    <w:tbl>
      <w:tblPr>
        <w:tblStyle w:val="3"/>
        <w:tblW w:w="4998" w:type="pct"/>
        <w:jc w:val="center"/>
        <w:tblLayout w:type="autofit"/>
        <w:tblCellMar>
          <w:top w:w="0" w:type="dxa"/>
          <w:left w:w="108" w:type="dxa"/>
          <w:bottom w:w="0" w:type="dxa"/>
          <w:right w:w="108" w:type="dxa"/>
        </w:tblCellMar>
      </w:tblPr>
      <w:tblGrid>
        <w:gridCol w:w="798"/>
        <w:gridCol w:w="4755"/>
        <w:gridCol w:w="1215"/>
        <w:gridCol w:w="1751"/>
      </w:tblGrid>
      <w:tr>
        <w:tblPrEx>
          <w:tblCellMar>
            <w:top w:w="0" w:type="dxa"/>
            <w:left w:w="108" w:type="dxa"/>
            <w:bottom w:w="0" w:type="dxa"/>
            <w:right w:w="108" w:type="dxa"/>
          </w:tblCellMar>
        </w:tblPrEx>
        <w:trPr>
          <w:trHeight w:val="508" w:hRule="atLeast"/>
          <w:jc w:val="center"/>
        </w:trPr>
        <w:tc>
          <w:tcPr>
            <w:tcW w:w="46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序号</w:t>
            </w:r>
          </w:p>
        </w:tc>
        <w:tc>
          <w:tcPr>
            <w:tcW w:w="2790"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分类</w:t>
            </w:r>
          </w:p>
        </w:tc>
        <w:tc>
          <w:tcPr>
            <w:tcW w:w="713"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系数名称</w:t>
            </w:r>
          </w:p>
        </w:tc>
        <w:tc>
          <w:tcPr>
            <w:tcW w:w="1027"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系数值</w:t>
            </w:r>
          </w:p>
        </w:tc>
      </w:tr>
      <w:tr>
        <w:tblPrEx>
          <w:tblCellMar>
            <w:top w:w="0" w:type="dxa"/>
            <w:left w:w="108" w:type="dxa"/>
            <w:bottom w:w="0" w:type="dxa"/>
            <w:right w:w="108" w:type="dxa"/>
          </w:tblCellMar>
        </w:tblPrEx>
        <w:trPr>
          <w:trHeight w:val="567" w:hRule="exact"/>
          <w:jc w:val="center"/>
        </w:trPr>
        <w:tc>
          <w:tcPr>
            <w:tcW w:w="468"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1</w:t>
            </w:r>
          </w:p>
        </w:tc>
        <w:tc>
          <w:tcPr>
            <w:tcW w:w="2790"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大型汽车</w:t>
            </w:r>
          </w:p>
        </w:tc>
        <w:tc>
          <w:tcPr>
            <w:tcW w:w="713"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K01</w:t>
            </w:r>
          </w:p>
        </w:tc>
        <w:tc>
          <w:tcPr>
            <w:tcW w:w="1027"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0.2</w:t>
            </w:r>
          </w:p>
        </w:tc>
      </w:tr>
      <w:tr>
        <w:tblPrEx>
          <w:tblCellMar>
            <w:top w:w="0" w:type="dxa"/>
            <w:left w:w="108" w:type="dxa"/>
            <w:bottom w:w="0" w:type="dxa"/>
            <w:right w:w="108" w:type="dxa"/>
          </w:tblCellMar>
        </w:tblPrEx>
        <w:trPr>
          <w:trHeight w:val="567" w:hRule="exact"/>
          <w:jc w:val="center"/>
        </w:trPr>
        <w:tc>
          <w:tcPr>
            <w:tcW w:w="468"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2</w:t>
            </w:r>
          </w:p>
        </w:tc>
        <w:tc>
          <w:tcPr>
            <w:tcW w:w="2790"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小型汽车</w:t>
            </w:r>
          </w:p>
        </w:tc>
        <w:tc>
          <w:tcPr>
            <w:tcW w:w="713"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K03</w:t>
            </w:r>
          </w:p>
        </w:tc>
        <w:tc>
          <w:tcPr>
            <w:tcW w:w="1027"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2.1</w:t>
            </w:r>
          </w:p>
        </w:tc>
      </w:tr>
      <w:tr>
        <w:tblPrEx>
          <w:tblCellMar>
            <w:top w:w="0" w:type="dxa"/>
            <w:left w:w="108" w:type="dxa"/>
            <w:bottom w:w="0" w:type="dxa"/>
            <w:right w:w="108" w:type="dxa"/>
          </w:tblCellMar>
        </w:tblPrEx>
        <w:trPr>
          <w:trHeight w:val="567" w:hRule="exact"/>
          <w:jc w:val="center"/>
        </w:trPr>
        <w:tc>
          <w:tcPr>
            <w:tcW w:w="468"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3</w:t>
            </w:r>
          </w:p>
        </w:tc>
        <w:tc>
          <w:tcPr>
            <w:tcW w:w="2790"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普通摩托车</w:t>
            </w:r>
          </w:p>
        </w:tc>
        <w:tc>
          <w:tcPr>
            <w:tcW w:w="713"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K07</w:t>
            </w:r>
          </w:p>
        </w:tc>
        <w:tc>
          <w:tcPr>
            <w:tcW w:w="1027"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0.25</w:t>
            </w:r>
          </w:p>
        </w:tc>
      </w:tr>
      <w:tr>
        <w:tblPrEx>
          <w:tblCellMar>
            <w:top w:w="0" w:type="dxa"/>
            <w:left w:w="108" w:type="dxa"/>
            <w:bottom w:w="0" w:type="dxa"/>
            <w:right w:w="108" w:type="dxa"/>
          </w:tblCellMar>
        </w:tblPrEx>
        <w:trPr>
          <w:trHeight w:val="567" w:hRule="exact"/>
          <w:jc w:val="center"/>
        </w:trPr>
        <w:tc>
          <w:tcPr>
            <w:tcW w:w="468"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w:t>
            </w:r>
          </w:p>
        </w:tc>
        <w:tc>
          <w:tcPr>
            <w:tcW w:w="2790"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轻便摩托车</w:t>
            </w:r>
          </w:p>
        </w:tc>
        <w:tc>
          <w:tcPr>
            <w:tcW w:w="713"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K08</w:t>
            </w:r>
          </w:p>
        </w:tc>
        <w:tc>
          <w:tcPr>
            <w:tcW w:w="1027"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0.003</w:t>
            </w:r>
          </w:p>
        </w:tc>
      </w:tr>
      <w:tr>
        <w:tblPrEx>
          <w:tblCellMar>
            <w:top w:w="0" w:type="dxa"/>
            <w:left w:w="108" w:type="dxa"/>
            <w:bottom w:w="0" w:type="dxa"/>
            <w:right w:w="108" w:type="dxa"/>
          </w:tblCellMar>
        </w:tblPrEx>
        <w:trPr>
          <w:trHeight w:val="567" w:hRule="exact"/>
          <w:jc w:val="center"/>
        </w:trPr>
        <w:tc>
          <w:tcPr>
            <w:tcW w:w="468"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5</w:t>
            </w:r>
          </w:p>
        </w:tc>
        <w:tc>
          <w:tcPr>
            <w:tcW w:w="2790"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低速车</w:t>
            </w:r>
          </w:p>
        </w:tc>
        <w:tc>
          <w:tcPr>
            <w:tcW w:w="713"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K13</w:t>
            </w:r>
          </w:p>
        </w:tc>
        <w:tc>
          <w:tcPr>
            <w:tcW w:w="1027"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0.006</w:t>
            </w:r>
          </w:p>
        </w:tc>
      </w:tr>
      <w:tr>
        <w:tblPrEx>
          <w:tblCellMar>
            <w:top w:w="0" w:type="dxa"/>
            <w:left w:w="108" w:type="dxa"/>
            <w:bottom w:w="0" w:type="dxa"/>
            <w:right w:w="108" w:type="dxa"/>
          </w:tblCellMar>
        </w:tblPrEx>
        <w:trPr>
          <w:trHeight w:val="567" w:hRule="exact"/>
          <w:jc w:val="center"/>
        </w:trPr>
        <w:tc>
          <w:tcPr>
            <w:tcW w:w="468"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6</w:t>
            </w:r>
          </w:p>
        </w:tc>
        <w:tc>
          <w:tcPr>
            <w:tcW w:w="2790"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挂车</w:t>
            </w:r>
          </w:p>
        </w:tc>
        <w:tc>
          <w:tcPr>
            <w:tcW w:w="713"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K15</w:t>
            </w:r>
          </w:p>
        </w:tc>
        <w:tc>
          <w:tcPr>
            <w:tcW w:w="1027" w:type="pct"/>
            <w:tcBorders>
              <w:top w:val="nil"/>
              <w:left w:val="nil"/>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0.06</w:t>
            </w:r>
          </w:p>
        </w:tc>
      </w:tr>
      <w:tr>
        <w:tblPrEx>
          <w:tblCellMar>
            <w:top w:w="0" w:type="dxa"/>
            <w:left w:w="108" w:type="dxa"/>
            <w:bottom w:w="0" w:type="dxa"/>
            <w:right w:w="108" w:type="dxa"/>
          </w:tblCellMar>
        </w:tblPrEx>
        <w:trPr>
          <w:trHeight w:val="567" w:hRule="exact"/>
          <w:jc w:val="center"/>
        </w:trPr>
        <w:tc>
          <w:tcPr>
            <w:tcW w:w="46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7</w:t>
            </w:r>
          </w:p>
        </w:tc>
        <w:tc>
          <w:tcPr>
            <w:tcW w:w="27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教练汽车</w:t>
            </w:r>
          </w:p>
        </w:tc>
        <w:tc>
          <w:tcPr>
            <w:tcW w:w="713"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K16</w:t>
            </w:r>
          </w:p>
        </w:tc>
        <w:tc>
          <w:tcPr>
            <w:tcW w:w="1027"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0.006</w:t>
            </w:r>
          </w:p>
        </w:tc>
      </w:tr>
      <w:tr>
        <w:tblPrEx>
          <w:tblCellMar>
            <w:top w:w="0" w:type="dxa"/>
            <w:left w:w="108" w:type="dxa"/>
            <w:bottom w:w="0" w:type="dxa"/>
            <w:right w:w="108" w:type="dxa"/>
          </w:tblCellMar>
        </w:tblPrEx>
        <w:trPr>
          <w:trHeight w:val="567" w:hRule="exact"/>
          <w:jc w:val="center"/>
        </w:trPr>
        <w:tc>
          <w:tcPr>
            <w:tcW w:w="46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8</w:t>
            </w:r>
          </w:p>
        </w:tc>
        <w:tc>
          <w:tcPr>
            <w:tcW w:w="27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教练摩托车</w:t>
            </w:r>
          </w:p>
        </w:tc>
        <w:tc>
          <w:tcPr>
            <w:tcW w:w="713"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K17</w:t>
            </w:r>
          </w:p>
        </w:tc>
        <w:tc>
          <w:tcPr>
            <w:tcW w:w="1027"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0.0004</w:t>
            </w:r>
          </w:p>
        </w:tc>
      </w:tr>
      <w:tr>
        <w:tblPrEx>
          <w:tblCellMar>
            <w:top w:w="0" w:type="dxa"/>
            <w:left w:w="108" w:type="dxa"/>
            <w:bottom w:w="0" w:type="dxa"/>
            <w:right w:w="108" w:type="dxa"/>
          </w:tblCellMar>
        </w:tblPrEx>
        <w:trPr>
          <w:trHeight w:val="567" w:hRule="exact"/>
          <w:jc w:val="center"/>
        </w:trPr>
        <w:tc>
          <w:tcPr>
            <w:tcW w:w="46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9</w:t>
            </w:r>
          </w:p>
        </w:tc>
        <w:tc>
          <w:tcPr>
            <w:tcW w:w="27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大型新能源汽车</w:t>
            </w:r>
          </w:p>
        </w:tc>
        <w:tc>
          <w:tcPr>
            <w:tcW w:w="713"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K51</w:t>
            </w:r>
          </w:p>
        </w:tc>
        <w:tc>
          <w:tcPr>
            <w:tcW w:w="1027"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0.02</w:t>
            </w:r>
          </w:p>
        </w:tc>
      </w:tr>
      <w:tr>
        <w:tblPrEx>
          <w:tblCellMar>
            <w:top w:w="0" w:type="dxa"/>
            <w:left w:w="108" w:type="dxa"/>
            <w:bottom w:w="0" w:type="dxa"/>
            <w:right w:w="108" w:type="dxa"/>
          </w:tblCellMar>
        </w:tblPrEx>
        <w:trPr>
          <w:trHeight w:val="567" w:hRule="exact"/>
          <w:jc w:val="center"/>
        </w:trPr>
        <w:tc>
          <w:tcPr>
            <w:tcW w:w="46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10</w:t>
            </w:r>
          </w:p>
        </w:tc>
        <w:tc>
          <w:tcPr>
            <w:tcW w:w="27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小型新能源汽车</w:t>
            </w:r>
          </w:p>
        </w:tc>
        <w:tc>
          <w:tcPr>
            <w:tcW w:w="713"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K52</w:t>
            </w:r>
          </w:p>
        </w:tc>
        <w:tc>
          <w:tcPr>
            <w:tcW w:w="1027"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1</w:t>
            </w:r>
          </w:p>
        </w:tc>
      </w:tr>
    </w:tbl>
    <w:p>
      <w:pPr>
        <w:spacing w:line="360" w:lineRule="auto"/>
        <w:rPr>
          <w:rFonts w:ascii="宋体" w:hAnsi="宋体" w:cs="宋体"/>
          <w:color w:val="auto"/>
          <w:sz w:val="24"/>
        </w:rPr>
      </w:pPr>
      <w:r>
        <w:rPr>
          <w:rFonts w:hint="eastAsia" w:ascii="宋体" w:hAnsi="宋体" w:cs="宋体"/>
          <w:color w:val="auto"/>
          <w:sz w:val="24"/>
        </w:rPr>
        <w:t>即：P总=（大型汽车号牌报价*0.2）+（小型汽车号牌报价*2.1）+（普通摩托车号牌报价*0.25）+（轻便摩托车号牌报价*0.003）+（低速车号牌报价*0.006）+（挂车号牌报价*0.06）+（教练汽车号牌报价*0.006）+（教练摩托车号牌报价*0.0004）+（大型新能源汽车号牌报价*0.02）+（小型新能源汽车号牌报价*1）。</w:t>
      </w:r>
    </w:p>
    <w:p>
      <w:pPr>
        <w:spacing w:line="360" w:lineRule="auto"/>
        <w:rPr>
          <w:rFonts w:ascii="宋体" w:hAnsi="宋体" w:cs="宋体"/>
          <w:color w:val="auto"/>
          <w:sz w:val="24"/>
        </w:rPr>
      </w:pPr>
      <w:r>
        <w:rPr>
          <w:rFonts w:hint="eastAsia" w:ascii="宋体" w:hAnsi="宋体" w:cs="宋体"/>
          <w:color w:val="auto"/>
          <w:sz w:val="24"/>
        </w:rPr>
        <w:t>6、合同履行期限：自合同签订之日起3年。</w:t>
      </w:r>
    </w:p>
    <w:p>
      <w:pPr>
        <w:spacing w:line="360" w:lineRule="auto"/>
        <w:rPr>
          <w:rFonts w:ascii="宋体" w:hAnsi="宋体" w:cs="宋体"/>
          <w:color w:val="auto"/>
          <w:sz w:val="24"/>
        </w:rPr>
      </w:pPr>
      <w:r>
        <w:rPr>
          <w:rFonts w:hint="eastAsia" w:ascii="宋体" w:hAnsi="宋体" w:cs="宋体"/>
          <w:color w:val="auto"/>
          <w:sz w:val="24"/>
        </w:rPr>
        <w:t>7、采购人确定本项目是政府向社会公众提供的公共服务项目。采购人就确定采购需求已征求社会公众的意见。</w:t>
      </w:r>
    </w:p>
    <w:p>
      <w:pPr>
        <w:spacing w:line="360" w:lineRule="auto"/>
        <w:rPr>
          <w:rFonts w:ascii="宋体" w:hAnsi="宋体" w:cs="宋体"/>
          <w:b/>
          <w:bCs/>
          <w:color w:val="auto"/>
          <w:sz w:val="24"/>
        </w:rPr>
      </w:pPr>
      <w:r>
        <w:rPr>
          <w:rFonts w:hint="eastAsia" w:ascii="宋体" w:hAnsi="宋体" w:cs="宋体"/>
          <w:b/>
          <w:bCs/>
          <w:color w:val="auto"/>
          <w:sz w:val="24"/>
        </w:rPr>
        <w:t>二、机动车号牌应符合以下标准及规范</w:t>
      </w:r>
    </w:p>
    <w:p>
      <w:pPr>
        <w:spacing w:line="360" w:lineRule="auto"/>
        <w:rPr>
          <w:rFonts w:ascii="宋体" w:hAnsi="宋体" w:cs="宋体"/>
          <w:color w:val="auto"/>
          <w:sz w:val="24"/>
        </w:rPr>
      </w:pPr>
      <w:r>
        <w:rPr>
          <w:rFonts w:hint="eastAsia" w:ascii="宋体" w:hAnsi="宋体" w:cs="宋体"/>
          <w:color w:val="auto"/>
          <w:sz w:val="24"/>
        </w:rPr>
        <w:t>1、中华人民共和国公共安全行业标准GA/T1287-2016《机动车号牌监制规范》。</w:t>
      </w:r>
    </w:p>
    <w:p>
      <w:pPr>
        <w:spacing w:line="360" w:lineRule="auto"/>
        <w:rPr>
          <w:rFonts w:ascii="宋体" w:hAnsi="宋体" w:cs="宋体"/>
          <w:color w:val="auto"/>
          <w:sz w:val="24"/>
        </w:rPr>
      </w:pPr>
      <w:r>
        <w:rPr>
          <w:rFonts w:hint="eastAsia" w:ascii="宋体" w:hAnsi="宋体" w:cs="宋体"/>
          <w:color w:val="auto"/>
          <w:sz w:val="24"/>
        </w:rPr>
        <w:t>2、中华人民共和国公共安全行业标准GA36-2018《中华人民共和国机动车号牌》和《机动车号牌反光膜》GA666-2018的要求。</w:t>
      </w:r>
    </w:p>
    <w:p>
      <w:pPr>
        <w:spacing w:line="360" w:lineRule="auto"/>
        <w:rPr>
          <w:rFonts w:ascii="宋体" w:hAnsi="宋体" w:cs="宋体"/>
          <w:color w:val="auto"/>
          <w:sz w:val="24"/>
        </w:rPr>
      </w:pPr>
      <w:r>
        <w:rPr>
          <w:rFonts w:hint="eastAsia" w:ascii="宋体" w:hAnsi="宋体" w:cs="宋体"/>
          <w:color w:val="auto"/>
          <w:sz w:val="24"/>
        </w:rPr>
        <w:t>3、《机动车号牌管理信息系统技术规范》（GA/T 1135-2014）。</w:t>
      </w:r>
    </w:p>
    <w:p>
      <w:pPr>
        <w:spacing w:line="360" w:lineRule="auto"/>
        <w:rPr>
          <w:rFonts w:ascii="宋体" w:hAnsi="宋体" w:cs="宋体"/>
          <w:color w:val="auto"/>
          <w:sz w:val="24"/>
        </w:rPr>
      </w:pPr>
      <w:r>
        <w:rPr>
          <w:rFonts w:hint="eastAsia" w:ascii="宋体" w:hAnsi="宋体" w:cs="宋体"/>
          <w:color w:val="auto"/>
          <w:sz w:val="24"/>
        </w:rPr>
        <w:t>4、江苏省交警总队《关于印发《全省新能源汽车专用号牌推广应用工作方案》的通知》（苏公厅2017--415号）的有关质量及安全标准。</w:t>
      </w:r>
    </w:p>
    <w:p>
      <w:pPr>
        <w:spacing w:line="360" w:lineRule="auto"/>
        <w:rPr>
          <w:rFonts w:ascii="宋体" w:hAnsi="宋体" w:cs="宋体"/>
          <w:color w:val="auto"/>
          <w:sz w:val="24"/>
        </w:rPr>
      </w:pPr>
      <w:r>
        <w:rPr>
          <w:rFonts w:hint="eastAsia" w:ascii="宋体" w:hAnsi="宋体" w:cs="宋体"/>
          <w:color w:val="auto"/>
          <w:sz w:val="24"/>
        </w:rPr>
        <w:t>5、《机动车登记规定》（公安部第164号令）。</w:t>
      </w:r>
    </w:p>
    <w:p>
      <w:pPr>
        <w:spacing w:line="360" w:lineRule="auto"/>
        <w:rPr>
          <w:rFonts w:ascii="宋体" w:hAnsi="宋体" w:cs="宋体"/>
          <w:color w:val="auto"/>
          <w:sz w:val="24"/>
        </w:rPr>
      </w:pPr>
      <w:r>
        <w:rPr>
          <w:rFonts w:hint="eastAsia" w:ascii="宋体" w:hAnsi="宋体" w:cs="宋体"/>
          <w:color w:val="auto"/>
          <w:sz w:val="24"/>
        </w:rPr>
        <w:t>如有新标准，适用新标准。</w:t>
      </w:r>
    </w:p>
    <w:p>
      <w:pPr>
        <w:spacing w:line="360" w:lineRule="auto"/>
        <w:rPr>
          <w:rFonts w:ascii="宋体" w:hAnsi="宋体" w:cs="宋体"/>
          <w:b/>
          <w:bCs/>
          <w:color w:val="auto"/>
          <w:sz w:val="24"/>
        </w:rPr>
      </w:pPr>
      <w:r>
        <w:rPr>
          <w:rFonts w:hint="eastAsia" w:ascii="宋体" w:hAnsi="宋体" w:cs="宋体"/>
          <w:b/>
          <w:bCs/>
          <w:color w:val="auto"/>
          <w:sz w:val="24"/>
        </w:rPr>
        <w:t>说明：本“二、机动车号牌应符合以下标准及规范”为不允许偏离的实质性要求和条件，如有偏离，在符合性审查时按照投标无效处理。</w:t>
      </w:r>
    </w:p>
    <w:p>
      <w:pPr>
        <w:spacing w:line="360" w:lineRule="auto"/>
        <w:rPr>
          <w:rFonts w:ascii="宋体" w:hAnsi="宋体" w:cs="宋体"/>
          <w:b/>
          <w:bCs/>
          <w:color w:val="auto"/>
          <w:sz w:val="24"/>
        </w:rPr>
      </w:pPr>
      <w:r>
        <w:rPr>
          <w:rFonts w:hint="eastAsia" w:ascii="宋体" w:hAnsi="宋体" w:cs="宋体"/>
          <w:b/>
          <w:bCs/>
          <w:color w:val="auto"/>
          <w:sz w:val="24"/>
        </w:rPr>
        <w:t>三、技术要求</w:t>
      </w:r>
    </w:p>
    <w:tbl>
      <w:tblPr>
        <w:tblStyle w:val="3"/>
        <w:tblW w:w="52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2441"/>
        <w:gridCol w:w="2275"/>
        <w:gridCol w:w="1907"/>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432" w:type="pct"/>
            <w:shd w:val="clear" w:color="auto" w:fill="auto"/>
            <w:noWrap w:val="0"/>
            <w:vAlign w:val="center"/>
          </w:tcPr>
          <w:p>
            <w:pPr>
              <w:jc w:val="center"/>
              <w:rPr>
                <w:rFonts w:ascii="宋体" w:hAnsi="宋体" w:cs="宋体"/>
                <w:b/>
                <w:bCs/>
                <w:color w:val="auto"/>
                <w:sz w:val="24"/>
              </w:rPr>
            </w:pPr>
            <w:r>
              <w:rPr>
                <w:rFonts w:hint="eastAsia" w:ascii="宋体" w:hAnsi="宋体" w:cs="宋体"/>
                <w:b/>
                <w:bCs/>
                <w:color w:val="auto"/>
                <w:sz w:val="24"/>
              </w:rPr>
              <w:t>序号</w:t>
            </w:r>
          </w:p>
        </w:tc>
        <w:tc>
          <w:tcPr>
            <w:tcW w:w="1362" w:type="pct"/>
            <w:shd w:val="clear" w:color="auto" w:fill="auto"/>
            <w:noWrap w:val="0"/>
            <w:vAlign w:val="center"/>
          </w:tcPr>
          <w:p>
            <w:pPr>
              <w:jc w:val="center"/>
              <w:rPr>
                <w:rFonts w:ascii="宋体" w:hAnsi="宋体" w:cs="宋体"/>
                <w:b/>
                <w:bCs/>
                <w:color w:val="auto"/>
                <w:sz w:val="24"/>
              </w:rPr>
            </w:pPr>
            <w:r>
              <w:rPr>
                <w:rFonts w:hint="eastAsia" w:ascii="宋体" w:hAnsi="宋体" w:cs="宋体"/>
                <w:b/>
                <w:bCs/>
                <w:color w:val="auto"/>
                <w:sz w:val="24"/>
              </w:rPr>
              <w:t>分类</w:t>
            </w:r>
          </w:p>
        </w:tc>
        <w:tc>
          <w:tcPr>
            <w:tcW w:w="1269" w:type="pct"/>
            <w:shd w:val="clear" w:color="auto" w:fill="auto"/>
            <w:noWrap w:val="0"/>
            <w:vAlign w:val="center"/>
          </w:tcPr>
          <w:p>
            <w:pPr>
              <w:jc w:val="center"/>
              <w:rPr>
                <w:rFonts w:ascii="宋体" w:hAnsi="宋体" w:cs="宋体"/>
                <w:b/>
                <w:bCs/>
                <w:color w:val="auto"/>
                <w:sz w:val="24"/>
              </w:rPr>
            </w:pPr>
            <w:r>
              <w:rPr>
                <w:rFonts w:hint="eastAsia" w:ascii="宋体" w:hAnsi="宋体" w:cs="宋体"/>
                <w:b/>
                <w:bCs/>
                <w:color w:val="auto"/>
                <w:sz w:val="24"/>
              </w:rPr>
              <w:t>外廓尺寸（mm*mm）</w:t>
            </w:r>
          </w:p>
        </w:tc>
        <w:tc>
          <w:tcPr>
            <w:tcW w:w="1064" w:type="pct"/>
            <w:shd w:val="clear" w:color="auto" w:fill="auto"/>
            <w:noWrap w:val="0"/>
            <w:vAlign w:val="center"/>
          </w:tcPr>
          <w:p>
            <w:pPr>
              <w:jc w:val="center"/>
              <w:rPr>
                <w:rFonts w:ascii="宋体" w:hAnsi="宋体" w:cs="宋体"/>
                <w:b/>
                <w:bCs/>
                <w:color w:val="auto"/>
                <w:sz w:val="24"/>
              </w:rPr>
            </w:pPr>
            <w:r>
              <w:rPr>
                <w:rFonts w:hint="eastAsia" w:ascii="宋体" w:hAnsi="宋体" w:cs="宋体"/>
                <w:b/>
                <w:bCs/>
                <w:color w:val="auto"/>
                <w:sz w:val="24"/>
              </w:rPr>
              <w:t>技术参数</w:t>
            </w:r>
          </w:p>
        </w:tc>
        <w:tc>
          <w:tcPr>
            <w:tcW w:w="870" w:type="pct"/>
            <w:shd w:val="clear" w:color="auto" w:fill="auto"/>
            <w:noWrap w:val="0"/>
            <w:vAlign w:val="center"/>
          </w:tcPr>
          <w:p>
            <w:pPr>
              <w:jc w:val="center"/>
              <w:rPr>
                <w:rFonts w:ascii="宋体" w:hAnsi="宋体" w:cs="宋体"/>
                <w:b/>
                <w:bCs/>
                <w:color w:val="auto"/>
                <w:sz w:val="24"/>
              </w:rPr>
            </w:pPr>
            <w:r>
              <w:rPr>
                <w:rFonts w:hint="eastAsia" w:ascii="宋体" w:hAnsi="宋体" w:cs="宋体"/>
                <w:b/>
                <w:bCs/>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3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1</w:t>
            </w:r>
          </w:p>
        </w:tc>
        <w:tc>
          <w:tcPr>
            <w:tcW w:w="136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大型汽车号牌</w:t>
            </w:r>
          </w:p>
        </w:tc>
        <w:tc>
          <w:tcPr>
            <w:tcW w:w="1269"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前440*140后440*220</w:t>
            </w:r>
          </w:p>
        </w:tc>
        <w:tc>
          <w:tcPr>
            <w:tcW w:w="1064" w:type="pct"/>
            <w:vMerge w:val="restar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标准按《中华人民共和国机动车号牌》GA36-2018的要求和《机动车号牌反光膜》GA666-2018的要求</w:t>
            </w:r>
          </w:p>
          <w:p>
            <w:pPr>
              <w:jc w:val="center"/>
              <w:rPr>
                <w:rFonts w:ascii="宋体" w:hAnsi="宋体" w:cs="宋体"/>
                <w:color w:val="auto"/>
                <w:sz w:val="24"/>
              </w:rPr>
            </w:pPr>
          </w:p>
        </w:tc>
        <w:tc>
          <w:tcPr>
            <w:tcW w:w="870" w:type="pct"/>
            <w:shd w:val="clear" w:color="auto" w:fill="auto"/>
            <w:noWrap w:val="0"/>
            <w:vAlign w:val="center"/>
          </w:tcPr>
          <w:p>
            <w:pPr>
              <w:jc w:val="center"/>
              <w:rPr>
                <w:rFonts w:hint="default" w:ascii="宋体" w:hAnsi="宋体" w:eastAsia="宋体" w:cs="宋体"/>
                <w:color w:val="auto"/>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3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2</w:t>
            </w:r>
          </w:p>
        </w:tc>
        <w:tc>
          <w:tcPr>
            <w:tcW w:w="136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小型汽车号牌</w:t>
            </w:r>
          </w:p>
        </w:tc>
        <w:tc>
          <w:tcPr>
            <w:tcW w:w="1269"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440*140</w:t>
            </w:r>
          </w:p>
        </w:tc>
        <w:tc>
          <w:tcPr>
            <w:tcW w:w="1064" w:type="pct"/>
            <w:vMerge w:val="continue"/>
            <w:shd w:val="clear" w:color="auto" w:fill="auto"/>
            <w:noWrap w:val="0"/>
            <w:vAlign w:val="center"/>
          </w:tcPr>
          <w:p>
            <w:pPr>
              <w:jc w:val="center"/>
              <w:rPr>
                <w:rFonts w:ascii="宋体" w:hAnsi="宋体" w:cs="宋体"/>
                <w:color w:val="auto"/>
                <w:sz w:val="24"/>
              </w:rPr>
            </w:pPr>
          </w:p>
        </w:tc>
        <w:tc>
          <w:tcPr>
            <w:tcW w:w="870" w:type="pct"/>
            <w:shd w:val="clear" w:color="auto" w:fill="auto"/>
            <w:noWrap w:val="0"/>
            <w:vAlign w:val="center"/>
          </w:tcPr>
          <w:p>
            <w:pPr>
              <w:jc w:val="center"/>
              <w:rPr>
                <w:rFonts w:hint="default" w:ascii="宋体" w:hAnsi="宋体" w:eastAsia="宋体" w:cs="宋体"/>
                <w:color w:val="auto"/>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3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3</w:t>
            </w:r>
          </w:p>
        </w:tc>
        <w:tc>
          <w:tcPr>
            <w:tcW w:w="136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普通摩托车号牌</w:t>
            </w:r>
          </w:p>
        </w:tc>
        <w:tc>
          <w:tcPr>
            <w:tcW w:w="1269"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220*140</w:t>
            </w:r>
          </w:p>
        </w:tc>
        <w:tc>
          <w:tcPr>
            <w:tcW w:w="1064" w:type="pct"/>
            <w:vMerge w:val="continue"/>
            <w:shd w:val="clear" w:color="auto" w:fill="auto"/>
            <w:noWrap w:val="0"/>
            <w:vAlign w:val="center"/>
          </w:tcPr>
          <w:p>
            <w:pPr>
              <w:jc w:val="center"/>
              <w:rPr>
                <w:rFonts w:ascii="宋体" w:hAnsi="宋体" w:cs="宋体"/>
                <w:color w:val="auto"/>
                <w:sz w:val="24"/>
              </w:rPr>
            </w:pPr>
          </w:p>
        </w:tc>
        <w:tc>
          <w:tcPr>
            <w:tcW w:w="870" w:type="pct"/>
            <w:shd w:val="clear" w:color="auto" w:fill="auto"/>
            <w:noWrap w:val="0"/>
            <w:vAlign w:val="center"/>
          </w:tcPr>
          <w:p>
            <w:pPr>
              <w:jc w:val="center"/>
              <w:rPr>
                <w:rFonts w:hint="default" w:ascii="宋体" w:hAnsi="宋体" w:eastAsia="宋体" w:cs="宋体"/>
                <w:color w:val="auto"/>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3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w:t>
            </w:r>
          </w:p>
        </w:tc>
        <w:tc>
          <w:tcPr>
            <w:tcW w:w="136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轻便摩托车号牌</w:t>
            </w:r>
          </w:p>
        </w:tc>
        <w:tc>
          <w:tcPr>
            <w:tcW w:w="1269"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220*140</w:t>
            </w:r>
          </w:p>
        </w:tc>
        <w:tc>
          <w:tcPr>
            <w:tcW w:w="1064" w:type="pct"/>
            <w:vMerge w:val="continue"/>
            <w:shd w:val="clear" w:color="auto" w:fill="auto"/>
            <w:noWrap w:val="0"/>
            <w:vAlign w:val="center"/>
          </w:tcPr>
          <w:p>
            <w:pPr>
              <w:jc w:val="center"/>
              <w:rPr>
                <w:rFonts w:ascii="宋体" w:hAnsi="宋体" w:cs="宋体"/>
                <w:color w:val="auto"/>
                <w:sz w:val="24"/>
              </w:rPr>
            </w:pPr>
          </w:p>
        </w:tc>
        <w:tc>
          <w:tcPr>
            <w:tcW w:w="870" w:type="pct"/>
            <w:shd w:val="clear" w:color="auto" w:fill="auto"/>
            <w:noWrap w:val="0"/>
            <w:vAlign w:val="center"/>
          </w:tcPr>
          <w:p>
            <w:pPr>
              <w:jc w:val="center"/>
              <w:rPr>
                <w:rFonts w:hint="default" w:ascii="宋体" w:hAnsi="宋体" w:eastAsia="宋体" w:cs="宋体"/>
                <w:color w:val="auto"/>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3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5</w:t>
            </w:r>
          </w:p>
        </w:tc>
        <w:tc>
          <w:tcPr>
            <w:tcW w:w="136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低速车号牌</w:t>
            </w:r>
          </w:p>
        </w:tc>
        <w:tc>
          <w:tcPr>
            <w:tcW w:w="1269"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300*165</w:t>
            </w:r>
          </w:p>
        </w:tc>
        <w:tc>
          <w:tcPr>
            <w:tcW w:w="1064" w:type="pct"/>
            <w:vMerge w:val="continue"/>
            <w:shd w:val="clear" w:color="auto" w:fill="auto"/>
            <w:noWrap w:val="0"/>
            <w:vAlign w:val="center"/>
          </w:tcPr>
          <w:p>
            <w:pPr>
              <w:jc w:val="center"/>
              <w:rPr>
                <w:rFonts w:ascii="宋体" w:hAnsi="宋体" w:cs="宋体"/>
                <w:color w:val="auto"/>
                <w:sz w:val="24"/>
              </w:rPr>
            </w:pPr>
          </w:p>
        </w:tc>
        <w:tc>
          <w:tcPr>
            <w:tcW w:w="870" w:type="pct"/>
            <w:shd w:val="clear" w:color="auto" w:fill="auto"/>
            <w:noWrap w:val="0"/>
            <w:vAlign w:val="center"/>
          </w:tcPr>
          <w:p>
            <w:pPr>
              <w:jc w:val="center"/>
              <w:rPr>
                <w:rFonts w:hint="default" w:ascii="宋体" w:hAnsi="宋体" w:eastAsia="宋体" w:cs="宋体"/>
                <w:color w:val="auto"/>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3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6</w:t>
            </w:r>
          </w:p>
        </w:tc>
        <w:tc>
          <w:tcPr>
            <w:tcW w:w="136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挂车号牌</w:t>
            </w:r>
          </w:p>
        </w:tc>
        <w:tc>
          <w:tcPr>
            <w:tcW w:w="1269"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440*220</w:t>
            </w:r>
          </w:p>
        </w:tc>
        <w:tc>
          <w:tcPr>
            <w:tcW w:w="1064" w:type="pct"/>
            <w:vMerge w:val="continue"/>
            <w:shd w:val="clear" w:color="auto" w:fill="auto"/>
            <w:noWrap w:val="0"/>
            <w:vAlign w:val="center"/>
          </w:tcPr>
          <w:p>
            <w:pPr>
              <w:jc w:val="center"/>
              <w:rPr>
                <w:rFonts w:ascii="宋体" w:hAnsi="宋体" w:cs="宋体"/>
                <w:color w:val="auto"/>
                <w:sz w:val="24"/>
              </w:rPr>
            </w:pPr>
          </w:p>
        </w:tc>
        <w:tc>
          <w:tcPr>
            <w:tcW w:w="870" w:type="pct"/>
            <w:shd w:val="clear" w:color="auto" w:fill="auto"/>
            <w:noWrap w:val="0"/>
            <w:vAlign w:val="center"/>
          </w:tcPr>
          <w:p>
            <w:pPr>
              <w:jc w:val="center"/>
              <w:rPr>
                <w:rFonts w:hint="default" w:ascii="宋体" w:hAnsi="宋体" w:eastAsia="宋体" w:cs="宋体"/>
                <w:color w:val="auto"/>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3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7</w:t>
            </w:r>
          </w:p>
        </w:tc>
        <w:tc>
          <w:tcPr>
            <w:tcW w:w="136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教练汽车号牌</w:t>
            </w:r>
          </w:p>
        </w:tc>
        <w:tc>
          <w:tcPr>
            <w:tcW w:w="1269"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440*140</w:t>
            </w:r>
          </w:p>
        </w:tc>
        <w:tc>
          <w:tcPr>
            <w:tcW w:w="1064" w:type="pct"/>
            <w:vMerge w:val="continue"/>
            <w:shd w:val="clear" w:color="auto" w:fill="auto"/>
            <w:noWrap w:val="0"/>
            <w:vAlign w:val="center"/>
          </w:tcPr>
          <w:p>
            <w:pPr>
              <w:jc w:val="center"/>
              <w:rPr>
                <w:rFonts w:ascii="宋体" w:hAnsi="宋体" w:cs="宋体"/>
                <w:color w:val="auto"/>
                <w:sz w:val="24"/>
              </w:rPr>
            </w:pPr>
          </w:p>
        </w:tc>
        <w:tc>
          <w:tcPr>
            <w:tcW w:w="870" w:type="pct"/>
            <w:shd w:val="clear" w:color="auto" w:fill="auto"/>
            <w:noWrap w:val="0"/>
            <w:vAlign w:val="center"/>
          </w:tcPr>
          <w:p>
            <w:pPr>
              <w:jc w:val="center"/>
              <w:rPr>
                <w:rFonts w:hint="default" w:ascii="宋体" w:hAnsi="宋体" w:eastAsia="宋体" w:cs="宋体"/>
                <w:color w:val="auto"/>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3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8</w:t>
            </w:r>
          </w:p>
        </w:tc>
        <w:tc>
          <w:tcPr>
            <w:tcW w:w="136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教练摩托车号牌</w:t>
            </w:r>
          </w:p>
        </w:tc>
        <w:tc>
          <w:tcPr>
            <w:tcW w:w="1269"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220*140</w:t>
            </w:r>
          </w:p>
        </w:tc>
        <w:tc>
          <w:tcPr>
            <w:tcW w:w="1064" w:type="pct"/>
            <w:vMerge w:val="continue"/>
            <w:shd w:val="clear" w:color="auto" w:fill="auto"/>
            <w:noWrap w:val="0"/>
            <w:vAlign w:val="center"/>
          </w:tcPr>
          <w:p>
            <w:pPr>
              <w:jc w:val="center"/>
              <w:rPr>
                <w:rFonts w:ascii="宋体" w:hAnsi="宋体" w:cs="宋体"/>
                <w:color w:val="auto"/>
                <w:sz w:val="24"/>
              </w:rPr>
            </w:pPr>
          </w:p>
        </w:tc>
        <w:tc>
          <w:tcPr>
            <w:tcW w:w="870" w:type="pct"/>
            <w:shd w:val="clear" w:color="auto" w:fill="auto"/>
            <w:noWrap w:val="0"/>
            <w:vAlign w:val="center"/>
          </w:tcPr>
          <w:p>
            <w:pPr>
              <w:jc w:val="center"/>
              <w:rPr>
                <w:rFonts w:hint="default" w:ascii="宋体" w:hAnsi="宋体" w:eastAsia="宋体" w:cs="宋体"/>
                <w:color w:val="auto"/>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3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9</w:t>
            </w:r>
          </w:p>
        </w:tc>
        <w:tc>
          <w:tcPr>
            <w:tcW w:w="136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大型新能源汽车号牌</w:t>
            </w:r>
          </w:p>
        </w:tc>
        <w:tc>
          <w:tcPr>
            <w:tcW w:w="1269"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w:t>
            </w:r>
            <w:r>
              <w:rPr>
                <w:rFonts w:ascii="宋体" w:hAnsi="宋体" w:cs="宋体"/>
                <w:color w:val="auto"/>
                <w:sz w:val="24"/>
              </w:rPr>
              <w:t>8</w:t>
            </w:r>
            <w:r>
              <w:rPr>
                <w:rFonts w:hint="eastAsia" w:ascii="宋体" w:hAnsi="宋体" w:cs="宋体"/>
                <w:color w:val="auto"/>
                <w:sz w:val="24"/>
              </w:rPr>
              <w:t>0*140</w:t>
            </w:r>
          </w:p>
        </w:tc>
        <w:tc>
          <w:tcPr>
            <w:tcW w:w="1064" w:type="pct"/>
            <w:vMerge w:val="continue"/>
            <w:shd w:val="clear" w:color="auto" w:fill="auto"/>
            <w:noWrap w:val="0"/>
            <w:vAlign w:val="center"/>
          </w:tcPr>
          <w:p>
            <w:pPr>
              <w:jc w:val="center"/>
              <w:rPr>
                <w:rFonts w:ascii="宋体" w:hAnsi="宋体" w:cs="宋体"/>
                <w:color w:val="auto"/>
                <w:sz w:val="24"/>
              </w:rPr>
            </w:pPr>
          </w:p>
        </w:tc>
        <w:tc>
          <w:tcPr>
            <w:tcW w:w="870" w:type="pct"/>
            <w:shd w:val="clear" w:color="auto" w:fill="auto"/>
            <w:noWrap w:val="0"/>
            <w:vAlign w:val="center"/>
          </w:tcPr>
          <w:p>
            <w:pPr>
              <w:jc w:val="center"/>
              <w:rPr>
                <w:rFonts w:hint="default" w:ascii="宋体" w:hAnsi="宋体" w:eastAsia="宋体" w:cs="宋体"/>
                <w:color w:val="auto"/>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3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10</w:t>
            </w:r>
          </w:p>
        </w:tc>
        <w:tc>
          <w:tcPr>
            <w:tcW w:w="1362"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小型新能源汽车号牌</w:t>
            </w:r>
          </w:p>
        </w:tc>
        <w:tc>
          <w:tcPr>
            <w:tcW w:w="1269" w:type="pct"/>
            <w:shd w:val="clear" w:color="auto" w:fill="auto"/>
            <w:noWrap w:val="0"/>
            <w:vAlign w:val="center"/>
          </w:tcPr>
          <w:p>
            <w:pPr>
              <w:jc w:val="center"/>
              <w:rPr>
                <w:rFonts w:ascii="宋体" w:hAnsi="宋体" w:cs="宋体"/>
                <w:color w:val="auto"/>
                <w:sz w:val="24"/>
              </w:rPr>
            </w:pPr>
            <w:r>
              <w:rPr>
                <w:rFonts w:hint="eastAsia" w:ascii="宋体" w:hAnsi="宋体" w:cs="宋体"/>
                <w:color w:val="auto"/>
                <w:sz w:val="24"/>
              </w:rPr>
              <w:t>480*140</w:t>
            </w:r>
          </w:p>
        </w:tc>
        <w:tc>
          <w:tcPr>
            <w:tcW w:w="1064" w:type="pct"/>
            <w:vMerge w:val="continue"/>
            <w:shd w:val="clear" w:color="auto" w:fill="auto"/>
            <w:noWrap w:val="0"/>
            <w:vAlign w:val="center"/>
          </w:tcPr>
          <w:p>
            <w:pPr>
              <w:jc w:val="center"/>
              <w:rPr>
                <w:rFonts w:ascii="宋体" w:hAnsi="宋体" w:cs="宋体"/>
                <w:color w:val="auto"/>
                <w:sz w:val="24"/>
              </w:rPr>
            </w:pPr>
          </w:p>
        </w:tc>
        <w:tc>
          <w:tcPr>
            <w:tcW w:w="870" w:type="pct"/>
            <w:shd w:val="clear" w:color="auto" w:fill="auto"/>
            <w:noWrap w:val="0"/>
            <w:vAlign w:val="center"/>
          </w:tcPr>
          <w:p>
            <w:pPr>
              <w:jc w:val="center"/>
              <w:rPr>
                <w:rFonts w:hint="default" w:ascii="宋体" w:hAnsi="宋体" w:eastAsia="宋体" w:cs="宋体"/>
                <w:color w:val="auto"/>
                <w:sz w:val="24"/>
                <w:szCs w:val="24"/>
                <w:lang w:val="en-US" w:eastAsia="zh-CN" w:bidi="ar-SA"/>
              </w:rPr>
            </w:pPr>
          </w:p>
        </w:tc>
      </w:tr>
    </w:tbl>
    <w:p>
      <w:pPr>
        <w:rPr>
          <w:rFonts w:ascii="宋体" w:hAnsi="宋体" w:cs="宋体"/>
          <w:b/>
          <w:bCs/>
          <w:color w:val="auto"/>
          <w:sz w:val="24"/>
        </w:rPr>
      </w:pPr>
    </w:p>
    <w:p>
      <w:pPr>
        <w:spacing w:line="360" w:lineRule="auto"/>
        <w:rPr>
          <w:rFonts w:ascii="宋体" w:hAnsi="宋体" w:cs="宋体"/>
          <w:b/>
          <w:bCs/>
          <w:color w:val="auto"/>
          <w:sz w:val="24"/>
        </w:rPr>
      </w:pPr>
      <w:r>
        <w:rPr>
          <w:rFonts w:hint="eastAsia" w:ascii="宋体" w:hAnsi="宋体" w:cs="宋体"/>
          <w:b/>
          <w:bCs/>
          <w:color w:val="auto"/>
          <w:sz w:val="24"/>
        </w:rPr>
        <w:t>说明：本“三、技术要求”为不允许偏离的实质性要求和条件，如有偏离，在符合性审查时按照投标无效处理。</w:t>
      </w:r>
    </w:p>
    <w:p>
      <w:pPr>
        <w:spacing w:line="360" w:lineRule="auto"/>
        <w:rPr>
          <w:rFonts w:ascii="宋体" w:hAnsi="宋体" w:cs="宋体"/>
          <w:b/>
          <w:bCs/>
          <w:color w:val="auto"/>
          <w:sz w:val="24"/>
        </w:rPr>
      </w:pPr>
      <w:r>
        <w:rPr>
          <w:rFonts w:hint="eastAsia" w:ascii="宋体" w:hAnsi="宋体" w:cs="宋体"/>
          <w:b/>
          <w:bCs/>
          <w:color w:val="auto"/>
          <w:sz w:val="24"/>
        </w:rPr>
        <w:t>四、人员要求</w:t>
      </w:r>
    </w:p>
    <w:p>
      <w:pPr>
        <w:spacing w:line="360" w:lineRule="auto"/>
        <w:rPr>
          <w:rFonts w:ascii="宋体" w:hAnsi="宋体" w:cs="宋体"/>
          <w:color w:val="auto"/>
          <w:sz w:val="24"/>
        </w:rPr>
      </w:pPr>
      <w:r>
        <w:rPr>
          <w:rFonts w:hint="eastAsia" w:ascii="宋体" w:hAnsi="宋体" w:cs="宋体"/>
          <w:color w:val="auto"/>
          <w:sz w:val="24"/>
        </w:rPr>
        <w:t>1、生产人员、技术人员及售后服务等人员：充分满足本项目制作号牌、质量检验、系统管理应配备的人员及售后服务人员。</w:t>
      </w:r>
    </w:p>
    <w:p>
      <w:pPr>
        <w:spacing w:line="360" w:lineRule="auto"/>
        <w:rPr>
          <w:rFonts w:ascii="宋体" w:hAnsi="宋体" w:cs="宋体"/>
          <w:color w:val="auto"/>
          <w:sz w:val="24"/>
        </w:rPr>
      </w:pPr>
      <w:r>
        <w:rPr>
          <w:rFonts w:hint="eastAsia" w:ascii="宋体" w:hAnsi="宋体" w:cs="宋体"/>
          <w:color w:val="auto"/>
          <w:sz w:val="24"/>
        </w:rPr>
        <w:t>2、安装服务人员：须承诺中标后按要求配备足额安装人员，投标人须制定完善的人员培训计划，确保所有安装人员经专业培训合格后上岗，且统一着装、规范服务。中标单位需按要求完成号牌制作点备案，确保完成遗留的号牌制作及发放，以后当日制作，当日发放。</w:t>
      </w:r>
    </w:p>
    <w:p>
      <w:pPr>
        <w:spacing w:line="360" w:lineRule="auto"/>
        <w:rPr>
          <w:rFonts w:ascii="宋体" w:hAnsi="宋体" w:cs="宋体"/>
          <w:b/>
          <w:bCs/>
          <w:color w:val="auto"/>
          <w:sz w:val="24"/>
        </w:rPr>
      </w:pPr>
      <w:r>
        <w:rPr>
          <w:rFonts w:hint="eastAsia" w:ascii="宋体" w:hAnsi="宋体" w:cs="宋体"/>
          <w:b/>
          <w:bCs/>
          <w:color w:val="auto"/>
          <w:sz w:val="24"/>
        </w:rPr>
        <w:t>五、制作设备要求</w:t>
      </w:r>
    </w:p>
    <w:p>
      <w:pPr>
        <w:spacing w:line="360" w:lineRule="auto"/>
        <w:rPr>
          <w:rFonts w:ascii="宋体" w:hAnsi="宋体" w:cs="宋体"/>
          <w:color w:val="auto"/>
          <w:sz w:val="24"/>
        </w:rPr>
      </w:pPr>
      <w:r>
        <w:rPr>
          <w:rFonts w:hint="eastAsia" w:ascii="宋体" w:hAnsi="宋体" w:cs="宋体"/>
          <w:color w:val="auto"/>
          <w:sz w:val="24"/>
        </w:rPr>
        <w:t>1、投标人须具备与本项目采购规模相匹配的全套机动车号牌制作设备，且设备技术参数符合《中华人民共和国机动车号牌》（GA36-2018）及公安部相关技术规范要求。</w:t>
      </w:r>
    </w:p>
    <w:p>
      <w:pPr>
        <w:spacing w:line="360" w:lineRule="auto"/>
        <w:rPr>
          <w:rFonts w:hint="eastAsia" w:ascii="宋体" w:hAnsi="宋体" w:cs="宋体"/>
          <w:color w:val="auto"/>
          <w:sz w:val="24"/>
        </w:rPr>
      </w:pPr>
      <w:r>
        <w:rPr>
          <w:rFonts w:hint="eastAsia" w:ascii="宋体" w:hAnsi="宋体" w:cs="宋体"/>
          <w:color w:val="auto"/>
          <w:sz w:val="24"/>
        </w:rPr>
        <w:t>2、投标人拟提供的制作设备须满足大型汽车号牌、小型汽车号牌、大型新能源汽车号牌、小型新能源汽车号牌、挂车号牌、普通摩托车号牌、轻便摩托车号牌、低速车号牌、教练汽车号牌、教练摩托车号牌等全套机动车号牌制作需要</w:t>
      </w:r>
      <w:r>
        <w:rPr>
          <w:rFonts w:hint="eastAsia" w:ascii="宋体" w:hAnsi="宋体" w:cs="宋体"/>
          <w:color w:val="auto"/>
          <w:sz w:val="24"/>
          <w:lang w:eastAsia="zh-CN"/>
        </w:rPr>
        <w:t>。</w:t>
      </w:r>
      <w:r>
        <w:rPr>
          <w:rFonts w:hint="eastAsia" w:ascii="宋体" w:hAnsi="宋体" w:cs="宋体"/>
          <w:color w:val="FF0000"/>
          <w:sz w:val="24"/>
          <w:lang w:val="en-US" w:eastAsia="zh-CN"/>
        </w:rPr>
        <w:t>邳州市</w:t>
      </w:r>
      <w:r>
        <w:rPr>
          <w:rFonts w:hint="eastAsia" w:ascii="宋体" w:hAnsi="宋体" w:cs="宋体"/>
          <w:color w:val="FF0000"/>
          <w:sz w:val="24"/>
        </w:rPr>
        <w:t>现场制牌点</w:t>
      </w:r>
      <w:r>
        <w:rPr>
          <w:rFonts w:hint="eastAsia" w:ascii="宋体" w:hAnsi="宋体" w:cs="宋体"/>
          <w:color w:val="FF0000"/>
          <w:sz w:val="24"/>
          <w:lang w:val="en-US" w:eastAsia="zh-CN"/>
        </w:rPr>
        <w:t>要满足小型汽车号牌和小型新能源汽车号牌的现场制作和安装服务要求，</w:t>
      </w:r>
      <w:r>
        <w:rPr>
          <w:rFonts w:hint="eastAsia" w:ascii="宋体" w:hAnsi="宋体" w:cs="宋体"/>
          <w:color w:val="auto"/>
          <w:sz w:val="24"/>
        </w:rPr>
        <w:t>至少须包含智能冲压设备、防伪专用模具和烫印设备等。号牌制作设备能对接号牌监管系统。</w:t>
      </w:r>
    </w:p>
    <w:p>
      <w:pPr>
        <w:spacing w:line="360" w:lineRule="auto"/>
        <w:rPr>
          <w:rFonts w:ascii="宋体" w:hAnsi="宋体" w:cs="宋体"/>
          <w:color w:val="auto"/>
          <w:sz w:val="24"/>
        </w:rPr>
      </w:pPr>
      <w:r>
        <w:rPr>
          <w:rFonts w:hint="eastAsia" w:ascii="宋体" w:hAnsi="宋体" w:cs="宋体"/>
          <w:color w:val="auto"/>
          <w:sz w:val="24"/>
        </w:rPr>
        <w:t>3、投标人须根据本项目需求提供制作设备配置情况。拟提供制作设备为投标人自有的，投标文件中提供设备配置清单、设备外观照片、设备铭牌照片、设备购置发票扫描件（或产权证明扫描件，设备所有人须为投标人或公司法定代表人，否则不予认可）、运行状态说明、投标人承诺设备用于本项目的承诺函（承诺函格式自拟）；拟提供制作设备为投标人租赁的，投标文件中提供设备配置清单、设备外观照片、设备铭牌照片、设备租赁协议（或合同）、被租赁的设备购置发票扫描件（或产权证明扫描件，设备所有人须为对应租赁协议（或合同）的租赁人或租赁公司的法定代表人，否则不予认可）、运行状态说明、投标人承诺设备用于本项目的承诺函（承诺函格式自拟）；投标人在开标前无制作设备的，须在投标文件中提供拟购置或租赁的设备清单、拟配置设备的性能描述以及针对本项目制作设备配置的针对性解决方案并承诺所有设备须在本项目中标结果质疑期满后5个工作日内提供购买设备的发票或租赁合同，以及设备照片、设备铭牌照片，供采购人查验，并承诺拟配置设备的时间到场时间和承诺全部用于本项目（承诺函格式自拟）。采购人有权在签订合同前对设备实际情况进行现场核查，</w:t>
      </w:r>
      <w:r>
        <w:rPr>
          <w:rFonts w:hint="eastAsia" w:ascii="宋体" w:hAnsi="宋体" w:cs="宋体"/>
          <w:color w:val="auto"/>
          <w:sz w:val="24"/>
          <w:lang w:val="en-US" w:eastAsia="zh-CN"/>
        </w:rPr>
        <w:t>如不满足，</w:t>
      </w:r>
      <w:r>
        <w:rPr>
          <w:rFonts w:hint="eastAsia" w:ascii="宋体" w:hAnsi="宋体" w:cs="宋体"/>
          <w:color w:val="auto"/>
          <w:sz w:val="24"/>
        </w:rPr>
        <w:t>视为中标人放弃本项目中标资格。</w:t>
      </w:r>
    </w:p>
    <w:p>
      <w:pPr>
        <w:spacing w:line="360" w:lineRule="auto"/>
        <w:rPr>
          <w:rFonts w:ascii="宋体" w:hAnsi="宋体" w:cs="宋体"/>
          <w:b/>
          <w:bCs/>
          <w:color w:val="auto"/>
          <w:sz w:val="24"/>
        </w:rPr>
      </w:pPr>
      <w:r>
        <w:rPr>
          <w:rFonts w:hint="eastAsia" w:ascii="宋体" w:hAnsi="宋体" w:cs="宋体"/>
          <w:b/>
          <w:bCs/>
          <w:color w:val="auto"/>
          <w:sz w:val="24"/>
        </w:rPr>
        <w:t>六、机动车号牌外观要求</w:t>
      </w:r>
    </w:p>
    <w:p>
      <w:pPr>
        <w:spacing w:line="360" w:lineRule="auto"/>
        <w:rPr>
          <w:rFonts w:ascii="宋体" w:hAnsi="宋体" w:cs="宋体"/>
          <w:color w:val="auto"/>
          <w:sz w:val="24"/>
        </w:rPr>
      </w:pPr>
      <w:r>
        <w:rPr>
          <w:rFonts w:hint="eastAsia" w:ascii="宋体" w:hAnsi="宋体" w:cs="宋体"/>
          <w:color w:val="auto"/>
          <w:sz w:val="24"/>
        </w:rPr>
        <w:t>1、表面应清晰、完整，不应有明显的皱纹、气泡、颗粒杂质等缺陷或损伤。</w:t>
      </w:r>
    </w:p>
    <w:p>
      <w:pPr>
        <w:spacing w:line="360" w:lineRule="auto"/>
        <w:rPr>
          <w:rFonts w:ascii="宋体" w:hAnsi="宋体" w:cs="宋体"/>
          <w:color w:val="auto"/>
          <w:sz w:val="24"/>
        </w:rPr>
      </w:pPr>
      <w:r>
        <w:rPr>
          <w:rFonts w:hint="eastAsia" w:ascii="宋体" w:hAnsi="宋体" w:cs="宋体"/>
          <w:color w:val="auto"/>
          <w:sz w:val="24"/>
        </w:rPr>
        <w:t>2、字符整齐，着色均匀。</w:t>
      </w:r>
    </w:p>
    <w:p>
      <w:pPr>
        <w:spacing w:line="360" w:lineRule="auto"/>
        <w:rPr>
          <w:rFonts w:ascii="宋体" w:hAnsi="宋体" w:cs="宋体"/>
          <w:color w:val="auto"/>
          <w:sz w:val="24"/>
        </w:rPr>
      </w:pPr>
      <w:r>
        <w:rPr>
          <w:rFonts w:hint="eastAsia" w:ascii="宋体" w:hAnsi="宋体" w:cs="宋体"/>
          <w:color w:val="auto"/>
          <w:sz w:val="24"/>
        </w:rPr>
        <w:t>3、表面不同反光区域应反光均匀，不应有明显差异，其中小型汽车号牌和轻便摩托车号牌字符应反光。</w:t>
      </w:r>
    </w:p>
    <w:p>
      <w:pPr>
        <w:spacing w:line="360" w:lineRule="auto"/>
        <w:rPr>
          <w:rFonts w:ascii="宋体" w:hAnsi="宋体" w:cs="宋体"/>
          <w:color w:val="auto"/>
          <w:sz w:val="24"/>
        </w:rPr>
      </w:pPr>
      <w:r>
        <w:rPr>
          <w:rFonts w:hint="eastAsia" w:ascii="宋体" w:hAnsi="宋体" w:cs="宋体"/>
          <w:color w:val="auto"/>
          <w:sz w:val="24"/>
        </w:rPr>
        <w:t>4、反光膜应与基材附着牢固，字符和加强筋边缘不应有断裂。</w:t>
      </w:r>
    </w:p>
    <w:p>
      <w:pPr>
        <w:spacing w:line="360" w:lineRule="auto"/>
        <w:rPr>
          <w:rFonts w:ascii="宋体" w:hAnsi="宋体" w:cs="宋体"/>
          <w:color w:val="auto"/>
          <w:sz w:val="24"/>
        </w:rPr>
      </w:pPr>
      <w:r>
        <w:rPr>
          <w:rFonts w:hint="eastAsia" w:ascii="宋体" w:hAnsi="宋体" w:cs="宋体"/>
          <w:color w:val="auto"/>
          <w:sz w:val="24"/>
        </w:rPr>
        <w:t>5、正面应有清晰的反光膜型号标识和省、自治区、直辖市汉字简称标识或新能源汽车号牌专用标识。标识和机动车登记编号方向一致且无倾斜或变形。</w:t>
      </w:r>
    </w:p>
    <w:p>
      <w:pPr>
        <w:spacing w:line="360" w:lineRule="auto"/>
        <w:rPr>
          <w:rFonts w:ascii="宋体" w:hAnsi="宋体" w:cs="宋体"/>
          <w:color w:val="auto"/>
          <w:sz w:val="24"/>
        </w:rPr>
      </w:pPr>
      <w:r>
        <w:rPr>
          <w:rFonts w:hint="eastAsia" w:ascii="宋体" w:hAnsi="宋体" w:cs="宋体"/>
          <w:color w:val="auto"/>
          <w:sz w:val="24"/>
        </w:rPr>
        <w:t>6、生产序列标识应清晰完整，且有动态的省、自治区、直辖市行政区划代码字符。</w:t>
      </w:r>
    </w:p>
    <w:p>
      <w:pPr>
        <w:spacing w:line="360" w:lineRule="auto"/>
        <w:rPr>
          <w:rFonts w:ascii="宋体" w:hAnsi="宋体" w:cs="宋体"/>
          <w:color w:val="auto"/>
          <w:sz w:val="24"/>
        </w:rPr>
      </w:pPr>
      <w:r>
        <w:rPr>
          <w:rFonts w:hint="eastAsia" w:ascii="宋体" w:hAnsi="宋体" w:cs="宋体"/>
          <w:color w:val="auto"/>
          <w:sz w:val="24"/>
        </w:rPr>
        <w:t>7、大型新能源汽车号牌和小型新能源汽车号牌的两条正弦曲线应连续清晰，且有动态景深效果。</w:t>
      </w:r>
    </w:p>
    <w:p>
      <w:pPr>
        <w:spacing w:line="360" w:lineRule="auto"/>
        <w:rPr>
          <w:rFonts w:ascii="宋体" w:hAnsi="宋体" w:cs="宋体"/>
          <w:b/>
          <w:bCs/>
          <w:color w:val="auto"/>
          <w:sz w:val="24"/>
        </w:rPr>
      </w:pPr>
      <w:r>
        <w:rPr>
          <w:rFonts w:hint="eastAsia" w:ascii="宋体" w:hAnsi="宋体" w:cs="宋体"/>
          <w:b/>
          <w:bCs/>
          <w:color w:val="auto"/>
          <w:sz w:val="24"/>
        </w:rPr>
        <w:t>七、其他机动车号牌制作及安装服务要求</w:t>
      </w:r>
    </w:p>
    <w:p>
      <w:pPr>
        <w:spacing w:line="360" w:lineRule="auto"/>
        <w:rPr>
          <w:rFonts w:ascii="宋体" w:hAnsi="宋体" w:cs="宋体"/>
          <w:color w:val="auto"/>
          <w:sz w:val="24"/>
        </w:rPr>
      </w:pPr>
      <w:r>
        <w:rPr>
          <w:rFonts w:hint="eastAsia" w:ascii="宋体" w:hAnsi="宋体" w:cs="宋体"/>
          <w:color w:val="auto"/>
          <w:sz w:val="24"/>
        </w:rPr>
        <w:t>1、场地（机动车号牌制作点）要求：</w:t>
      </w:r>
    </w:p>
    <w:p>
      <w:pPr>
        <w:spacing w:line="360" w:lineRule="auto"/>
        <w:rPr>
          <w:rFonts w:ascii="宋体" w:hAnsi="宋体" w:cs="宋体"/>
          <w:color w:val="auto"/>
          <w:sz w:val="24"/>
        </w:rPr>
      </w:pPr>
      <w:r>
        <w:rPr>
          <w:rFonts w:hint="eastAsia" w:ascii="宋体" w:hAnsi="宋体" w:cs="宋体"/>
          <w:color w:val="auto"/>
          <w:sz w:val="24"/>
        </w:rPr>
        <w:t>（1）有固定专用场所，且相对独立、安全。</w:t>
      </w:r>
    </w:p>
    <w:p>
      <w:pPr>
        <w:spacing w:line="360" w:lineRule="auto"/>
        <w:rPr>
          <w:rFonts w:ascii="宋体" w:hAnsi="宋体" w:cs="宋体"/>
          <w:color w:val="auto"/>
          <w:sz w:val="24"/>
        </w:rPr>
      </w:pPr>
      <w:r>
        <w:rPr>
          <w:rFonts w:hint="eastAsia" w:ascii="宋体" w:hAnsi="宋体" w:cs="宋体"/>
          <w:color w:val="auto"/>
          <w:sz w:val="24"/>
        </w:rPr>
        <w:t>（2）至少设置有生产区、保管区和发放区，且生产区和保管区应相对独立。</w:t>
      </w:r>
    </w:p>
    <w:p>
      <w:pPr>
        <w:spacing w:line="360" w:lineRule="auto"/>
        <w:rPr>
          <w:rFonts w:ascii="宋体" w:hAnsi="宋体" w:cs="宋体"/>
          <w:color w:val="auto"/>
          <w:sz w:val="24"/>
        </w:rPr>
      </w:pPr>
      <w:r>
        <w:rPr>
          <w:rFonts w:hint="eastAsia" w:ascii="宋体" w:hAnsi="宋体" w:cs="宋体"/>
          <w:color w:val="auto"/>
          <w:sz w:val="24"/>
        </w:rPr>
        <w:t>（3）生产区和保管区的安全设施应正常运行，有联网的视频监控系统，系统应符合GB/T28181的规定，出入有指纹识别系统或其他生物特征识别系统，消防符合相应法规要求。</w:t>
      </w:r>
    </w:p>
    <w:p>
      <w:pPr>
        <w:spacing w:line="360" w:lineRule="auto"/>
        <w:rPr>
          <w:rFonts w:ascii="宋体" w:hAnsi="宋体" w:cs="宋体"/>
          <w:color w:val="auto"/>
          <w:sz w:val="24"/>
        </w:rPr>
      </w:pPr>
      <w:r>
        <w:rPr>
          <w:rFonts w:hint="eastAsia" w:ascii="宋体" w:hAnsi="宋体" w:cs="宋体"/>
          <w:color w:val="auto"/>
          <w:sz w:val="24"/>
        </w:rPr>
        <w:t>2、制作服务要求：</w:t>
      </w:r>
    </w:p>
    <w:p>
      <w:pPr>
        <w:spacing w:line="360" w:lineRule="auto"/>
        <w:rPr>
          <w:rFonts w:ascii="宋体" w:hAnsi="宋体" w:cs="宋体"/>
          <w:color w:val="auto"/>
          <w:sz w:val="24"/>
        </w:rPr>
      </w:pPr>
      <w:r>
        <w:rPr>
          <w:rFonts w:hint="eastAsia" w:ascii="宋体" w:hAnsi="宋体" w:cs="宋体"/>
          <w:color w:val="auto"/>
          <w:sz w:val="24"/>
        </w:rPr>
        <w:t>（1）工艺流程（包括工艺手册及作业指导书）；</w:t>
      </w:r>
    </w:p>
    <w:p>
      <w:pPr>
        <w:spacing w:line="360" w:lineRule="auto"/>
        <w:rPr>
          <w:rFonts w:ascii="宋体" w:hAnsi="宋体" w:cs="宋体"/>
          <w:color w:val="auto"/>
          <w:sz w:val="24"/>
        </w:rPr>
      </w:pPr>
      <w:r>
        <w:rPr>
          <w:rFonts w:hint="eastAsia" w:ascii="宋体" w:hAnsi="宋体" w:cs="宋体"/>
          <w:color w:val="auto"/>
          <w:sz w:val="24"/>
        </w:rPr>
        <w:t>（2）质量检测与控制；</w:t>
      </w:r>
    </w:p>
    <w:p>
      <w:pPr>
        <w:spacing w:line="360" w:lineRule="auto"/>
        <w:rPr>
          <w:rFonts w:ascii="宋体" w:hAnsi="宋体" w:cs="宋体"/>
          <w:color w:val="auto"/>
          <w:sz w:val="24"/>
        </w:rPr>
      </w:pPr>
      <w:r>
        <w:rPr>
          <w:rFonts w:hint="eastAsia" w:ascii="宋体" w:hAnsi="宋体" w:cs="宋体"/>
          <w:color w:val="auto"/>
          <w:sz w:val="24"/>
        </w:rPr>
        <w:t>（3）信息与生产安全。</w:t>
      </w:r>
    </w:p>
    <w:p>
      <w:pPr>
        <w:spacing w:line="360" w:lineRule="auto"/>
        <w:rPr>
          <w:rFonts w:ascii="宋体" w:hAnsi="宋体" w:cs="宋体"/>
          <w:color w:val="auto"/>
          <w:sz w:val="24"/>
        </w:rPr>
      </w:pPr>
      <w:r>
        <w:rPr>
          <w:rFonts w:hint="eastAsia" w:ascii="宋体" w:hAnsi="宋体" w:cs="宋体"/>
          <w:color w:val="auto"/>
          <w:sz w:val="24"/>
        </w:rPr>
        <w:t>3、管理制度建设要求：</w:t>
      </w:r>
    </w:p>
    <w:p>
      <w:pPr>
        <w:spacing w:line="360" w:lineRule="auto"/>
        <w:rPr>
          <w:rFonts w:ascii="宋体" w:hAnsi="宋体" w:cs="宋体"/>
          <w:color w:val="auto"/>
          <w:sz w:val="24"/>
        </w:rPr>
      </w:pPr>
      <w:r>
        <w:rPr>
          <w:rFonts w:hint="eastAsia" w:ascii="宋体" w:hAnsi="宋体" w:cs="宋体"/>
          <w:color w:val="auto"/>
          <w:sz w:val="24"/>
        </w:rPr>
        <w:t>（1）管理信息系统使用制度；</w:t>
      </w:r>
    </w:p>
    <w:p>
      <w:pPr>
        <w:spacing w:line="360" w:lineRule="auto"/>
        <w:rPr>
          <w:rFonts w:ascii="宋体" w:hAnsi="宋体" w:cs="宋体"/>
          <w:color w:val="auto"/>
          <w:sz w:val="24"/>
        </w:rPr>
      </w:pPr>
      <w:r>
        <w:rPr>
          <w:rFonts w:hint="eastAsia" w:ascii="宋体" w:hAnsi="宋体" w:cs="宋体"/>
          <w:color w:val="auto"/>
          <w:sz w:val="24"/>
        </w:rPr>
        <w:t>（2）防伪专用模具管理制度；</w:t>
      </w:r>
    </w:p>
    <w:p>
      <w:pPr>
        <w:spacing w:line="360" w:lineRule="auto"/>
        <w:rPr>
          <w:rFonts w:ascii="宋体" w:hAnsi="宋体" w:cs="宋体"/>
          <w:color w:val="auto"/>
          <w:sz w:val="24"/>
        </w:rPr>
      </w:pPr>
      <w:r>
        <w:rPr>
          <w:rFonts w:hint="eastAsia" w:ascii="宋体" w:hAnsi="宋体" w:cs="宋体"/>
          <w:color w:val="auto"/>
          <w:sz w:val="24"/>
        </w:rPr>
        <w:t>（3）成品管理制度；</w:t>
      </w:r>
    </w:p>
    <w:p>
      <w:pPr>
        <w:spacing w:line="360" w:lineRule="auto"/>
        <w:rPr>
          <w:rFonts w:ascii="宋体" w:hAnsi="宋体" w:cs="宋体"/>
          <w:color w:val="auto"/>
          <w:sz w:val="24"/>
        </w:rPr>
      </w:pPr>
      <w:r>
        <w:rPr>
          <w:rFonts w:hint="eastAsia" w:ascii="宋体" w:hAnsi="宋体" w:cs="宋体"/>
          <w:color w:val="auto"/>
          <w:sz w:val="24"/>
        </w:rPr>
        <w:t>（4）废品管理制度。</w:t>
      </w:r>
    </w:p>
    <w:p>
      <w:pPr>
        <w:spacing w:line="360" w:lineRule="auto"/>
        <w:rPr>
          <w:rFonts w:ascii="宋体" w:hAnsi="宋体" w:cs="宋体"/>
          <w:color w:val="auto"/>
          <w:sz w:val="24"/>
        </w:rPr>
      </w:pPr>
      <w:r>
        <w:rPr>
          <w:rFonts w:hint="eastAsia" w:ascii="宋体" w:hAnsi="宋体" w:cs="宋体"/>
          <w:color w:val="auto"/>
          <w:sz w:val="24"/>
        </w:rPr>
        <w:t>4、其他服务措施及服务项目要求：</w:t>
      </w:r>
    </w:p>
    <w:p>
      <w:pPr>
        <w:spacing w:line="360" w:lineRule="auto"/>
        <w:rPr>
          <w:rFonts w:ascii="宋体" w:hAnsi="宋体" w:cs="宋体"/>
          <w:color w:val="auto"/>
          <w:sz w:val="24"/>
        </w:rPr>
      </w:pPr>
      <w:r>
        <w:rPr>
          <w:rFonts w:hint="eastAsia" w:ascii="宋体" w:hAnsi="宋体" w:cs="宋体"/>
          <w:color w:val="auto"/>
          <w:sz w:val="24"/>
        </w:rPr>
        <w:t>投标人根据项目特点另外提供的其他服务措施及服务项目。</w:t>
      </w:r>
    </w:p>
    <w:p>
      <w:pPr>
        <w:spacing w:line="360" w:lineRule="auto"/>
        <w:rPr>
          <w:rFonts w:ascii="宋体" w:hAnsi="宋体" w:cs="宋体"/>
          <w:b/>
          <w:bCs/>
          <w:color w:val="auto"/>
          <w:sz w:val="24"/>
        </w:rPr>
      </w:pPr>
      <w:r>
        <w:rPr>
          <w:rFonts w:hint="eastAsia" w:ascii="宋体" w:hAnsi="宋体" w:cs="宋体"/>
          <w:b/>
          <w:bCs/>
          <w:color w:val="auto"/>
          <w:sz w:val="24"/>
        </w:rPr>
        <w:t>八、项目管理要求</w:t>
      </w:r>
    </w:p>
    <w:p>
      <w:pPr>
        <w:spacing w:line="360" w:lineRule="auto"/>
        <w:rPr>
          <w:rFonts w:ascii="宋体" w:hAnsi="宋体" w:cs="宋体"/>
          <w:color w:val="auto"/>
          <w:sz w:val="24"/>
        </w:rPr>
      </w:pPr>
      <w:r>
        <w:rPr>
          <w:rFonts w:hint="eastAsia" w:ascii="宋体" w:hAnsi="宋体" w:cs="宋体"/>
          <w:color w:val="auto"/>
          <w:sz w:val="24"/>
        </w:rPr>
        <w:t>（一）项目管理实施具体要求</w:t>
      </w:r>
    </w:p>
    <w:p>
      <w:pPr>
        <w:spacing w:line="360" w:lineRule="auto"/>
        <w:rPr>
          <w:rFonts w:ascii="宋体" w:hAnsi="宋体" w:cs="宋体"/>
          <w:color w:val="auto"/>
          <w:sz w:val="24"/>
        </w:rPr>
      </w:pPr>
      <w:r>
        <w:rPr>
          <w:rFonts w:hint="eastAsia" w:ascii="宋体" w:hAnsi="宋体" w:cs="宋体"/>
          <w:color w:val="auto"/>
          <w:sz w:val="24"/>
        </w:rPr>
        <w:t>1、在车辆入户地设立机动车号牌制作点（中标人投资建设，资产属中标人所有）。</w:t>
      </w:r>
    </w:p>
    <w:p>
      <w:pPr>
        <w:spacing w:line="360" w:lineRule="auto"/>
        <w:rPr>
          <w:rFonts w:ascii="宋体" w:hAnsi="宋体" w:cs="宋体"/>
          <w:color w:val="auto"/>
          <w:sz w:val="24"/>
        </w:rPr>
      </w:pPr>
      <w:r>
        <w:rPr>
          <w:rFonts w:hint="eastAsia" w:ascii="宋体" w:hAnsi="宋体" w:cs="宋体"/>
          <w:color w:val="auto"/>
          <w:sz w:val="24"/>
        </w:rPr>
        <w:t>2、合同签订后</w:t>
      </w:r>
      <w:r>
        <w:rPr>
          <w:rFonts w:hint="eastAsia" w:ascii="宋体" w:hAnsi="宋体" w:cs="宋体"/>
          <w:color w:val="auto"/>
          <w:sz w:val="24"/>
          <w:lang w:val="en-US" w:eastAsia="zh-CN"/>
        </w:rPr>
        <w:t>60</w:t>
      </w:r>
      <w:r>
        <w:rPr>
          <w:rFonts w:hint="eastAsia" w:ascii="宋体" w:hAnsi="宋体" w:cs="宋体"/>
          <w:color w:val="auto"/>
          <w:sz w:val="24"/>
        </w:rPr>
        <w:t xml:space="preserve">天内，完成机动车号牌制作点的投资建设，完成设备及生产必备资料的备案、具有加盖地市级公安交通管理部门印章及总队印章的制作点备案表、机动车号牌防伪专用模具备案表、机动车号牌防伪设备备案表、机动车号牌管理信息系统联网设备备案表，确保完成机动车号牌的制作及发放。 </w:t>
      </w:r>
    </w:p>
    <w:p>
      <w:pPr>
        <w:spacing w:line="360" w:lineRule="auto"/>
        <w:rPr>
          <w:rFonts w:ascii="宋体" w:hAnsi="宋体" w:cs="宋体"/>
          <w:color w:val="auto"/>
          <w:sz w:val="24"/>
        </w:rPr>
      </w:pPr>
      <w:r>
        <w:rPr>
          <w:rFonts w:hint="eastAsia" w:ascii="宋体" w:hAnsi="宋体" w:cs="宋体"/>
          <w:color w:val="auto"/>
          <w:sz w:val="24"/>
        </w:rPr>
        <w:t>3、机动车号牌用反光膜由江苏省公安机关交通管理部门按规定要求组织备案登记。</w:t>
      </w:r>
    </w:p>
    <w:p>
      <w:pPr>
        <w:spacing w:line="360" w:lineRule="auto"/>
        <w:rPr>
          <w:rFonts w:ascii="宋体" w:hAnsi="宋体" w:cs="宋体"/>
          <w:color w:val="auto"/>
          <w:sz w:val="24"/>
        </w:rPr>
      </w:pPr>
      <w:r>
        <w:rPr>
          <w:rFonts w:hint="eastAsia" w:ascii="宋体" w:hAnsi="宋体" w:cs="宋体"/>
          <w:color w:val="auto"/>
          <w:sz w:val="24"/>
        </w:rPr>
        <w:t>4、在车辆入户地点，现场制作号牌，当天发放号牌。</w:t>
      </w:r>
    </w:p>
    <w:p>
      <w:pPr>
        <w:spacing w:line="360" w:lineRule="auto"/>
        <w:rPr>
          <w:rFonts w:ascii="宋体" w:hAnsi="宋体" w:cs="宋体"/>
          <w:color w:val="auto"/>
          <w:sz w:val="24"/>
        </w:rPr>
      </w:pPr>
      <w:r>
        <w:rPr>
          <w:rFonts w:hint="eastAsia" w:ascii="宋体" w:hAnsi="宋体" w:cs="宋体"/>
          <w:color w:val="auto"/>
          <w:sz w:val="24"/>
        </w:rPr>
        <w:t>5、如遇相关行业标准政策调整（行业标准内容包含但不仅限于产品质量要求、生产场地、生产设备、生产管理系统、产品配送系统），应保证满足最新行业标准需求。如遇公安交通管理部门政策调整，中标人应按公安交通管理部门调整后的产品要求、交货时间及方式供货。</w:t>
      </w:r>
    </w:p>
    <w:p>
      <w:pPr>
        <w:spacing w:line="360" w:lineRule="auto"/>
        <w:rPr>
          <w:rFonts w:ascii="宋体" w:hAnsi="宋体" w:cs="宋体"/>
          <w:b/>
          <w:bCs/>
          <w:color w:val="auto"/>
          <w:sz w:val="24"/>
        </w:rPr>
      </w:pPr>
      <w:r>
        <w:rPr>
          <w:rFonts w:hint="eastAsia" w:ascii="宋体" w:hAnsi="宋体" w:cs="宋体"/>
          <w:b/>
          <w:bCs/>
          <w:color w:val="auto"/>
          <w:sz w:val="24"/>
        </w:rPr>
        <w:t>九、质保期</w:t>
      </w:r>
    </w:p>
    <w:p>
      <w:pPr>
        <w:spacing w:line="360" w:lineRule="auto"/>
        <w:rPr>
          <w:rFonts w:ascii="宋体" w:hAnsi="宋体" w:cs="宋体"/>
          <w:color w:val="auto"/>
          <w:sz w:val="24"/>
        </w:rPr>
      </w:pPr>
      <w:r>
        <w:rPr>
          <w:rFonts w:hint="eastAsia" w:ascii="宋体" w:hAnsi="宋体" w:cs="宋体"/>
          <w:color w:val="auto"/>
          <w:sz w:val="24"/>
        </w:rPr>
        <w:t>自机动车号牌生产、安装之日起三年。</w:t>
      </w:r>
    </w:p>
    <w:p>
      <w:pPr>
        <w:spacing w:line="360" w:lineRule="auto"/>
        <w:rPr>
          <w:rFonts w:ascii="宋体" w:hAnsi="宋体" w:cs="宋体"/>
          <w:b/>
          <w:bCs/>
          <w:color w:val="auto"/>
          <w:sz w:val="24"/>
        </w:rPr>
      </w:pPr>
      <w:r>
        <w:rPr>
          <w:rFonts w:hint="eastAsia" w:ascii="宋体" w:hAnsi="宋体" w:cs="宋体"/>
          <w:b/>
          <w:bCs/>
          <w:color w:val="auto"/>
          <w:sz w:val="24"/>
        </w:rPr>
        <w:t>十、售后服务要求</w:t>
      </w:r>
    </w:p>
    <w:p>
      <w:pPr>
        <w:spacing w:line="360" w:lineRule="auto"/>
        <w:rPr>
          <w:rFonts w:ascii="宋体" w:hAnsi="宋体" w:cs="宋体"/>
          <w:color w:val="auto"/>
          <w:sz w:val="24"/>
        </w:rPr>
      </w:pPr>
      <w:r>
        <w:rPr>
          <w:rFonts w:hint="eastAsia" w:ascii="宋体" w:hAnsi="宋体" w:cs="宋体"/>
          <w:color w:val="auto"/>
          <w:sz w:val="24"/>
        </w:rPr>
        <w:t>（一）售后服务要求</w:t>
      </w:r>
    </w:p>
    <w:p>
      <w:pPr>
        <w:spacing w:line="360" w:lineRule="auto"/>
        <w:rPr>
          <w:rFonts w:ascii="宋体" w:hAnsi="宋体" w:cs="宋体"/>
          <w:color w:val="auto"/>
          <w:sz w:val="24"/>
        </w:rPr>
      </w:pPr>
      <w:r>
        <w:rPr>
          <w:rFonts w:hint="eastAsia" w:ascii="宋体" w:hAnsi="宋体" w:cs="宋体"/>
          <w:color w:val="auto"/>
          <w:sz w:val="24"/>
        </w:rPr>
        <w:t>1、在质量管理上，严格按照规范要求，建立完善的质量管理体系，全面把控实施过程，保证每道工序的实施质量符合标准。每个阶段实施的质量应自检自查，采购人有权对产品进行全程跟踪监管，严格质量管控。</w:t>
      </w:r>
    </w:p>
    <w:p>
      <w:pPr>
        <w:spacing w:line="360" w:lineRule="auto"/>
        <w:rPr>
          <w:rFonts w:ascii="宋体" w:hAnsi="宋体" w:cs="宋体"/>
          <w:color w:val="auto"/>
          <w:sz w:val="24"/>
        </w:rPr>
      </w:pPr>
      <w:r>
        <w:rPr>
          <w:rFonts w:hint="eastAsia" w:ascii="宋体" w:hAnsi="宋体" w:cs="宋体"/>
          <w:color w:val="auto"/>
          <w:sz w:val="24"/>
        </w:rPr>
        <w:t>2、采购人对产品生产过程具有检查的权利，如原材料的出入库清单、在产品的生产情况、产成品的出入库清单等。中标人须无条件配合。</w:t>
      </w:r>
    </w:p>
    <w:p>
      <w:pPr>
        <w:spacing w:line="360" w:lineRule="auto"/>
        <w:rPr>
          <w:rFonts w:ascii="宋体" w:hAnsi="宋体" w:cs="宋体"/>
          <w:color w:val="auto"/>
          <w:sz w:val="24"/>
        </w:rPr>
      </w:pPr>
      <w:r>
        <w:rPr>
          <w:rFonts w:hint="eastAsia" w:ascii="宋体" w:hAnsi="宋体" w:cs="宋体"/>
          <w:color w:val="auto"/>
          <w:sz w:val="24"/>
        </w:rPr>
        <w:t>3、中标人须提供完善的售后服务内容以及售后服务措施（如响应时间、服务范围）内容。</w:t>
      </w:r>
    </w:p>
    <w:p>
      <w:pPr>
        <w:spacing w:line="360" w:lineRule="auto"/>
        <w:rPr>
          <w:rFonts w:ascii="宋体" w:hAnsi="宋体" w:cs="宋体"/>
          <w:color w:val="auto"/>
          <w:sz w:val="24"/>
        </w:rPr>
      </w:pPr>
      <w:r>
        <w:rPr>
          <w:rFonts w:hint="eastAsia" w:ascii="宋体" w:hAnsi="宋体" w:cs="宋体"/>
          <w:color w:val="auto"/>
          <w:sz w:val="24"/>
        </w:rPr>
        <w:t>4、中标人须提供完善的应急工作处理措施、预警处置工作措施。</w:t>
      </w:r>
    </w:p>
    <w:p>
      <w:pPr>
        <w:spacing w:line="360" w:lineRule="auto"/>
        <w:rPr>
          <w:rFonts w:ascii="宋体" w:hAnsi="宋体" w:cs="宋体"/>
          <w:color w:val="auto"/>
          <w:sz w:val="24"/>
        </w:rPr>
      </w:pPr>
      <w:r>
        <w:rPr>
          <w:rFonts w:hint="eastAsia" w:ascii="宋体" w:hAnsi="宋体" w:cs="宋体"/>
          <w:color w:val="auto"/>
          <w:sz w:val="24"/>
        </w:rPr>
        <w:t>5、包括大型汽车号牌、小型汽车号牌、低速车号牌、摩托车号牌、教练摩托车号牌、挂车号牌、教练汽车号牌、小型新能源汽车号牌的制作。根据公安机关应急工作要求，在规定时限内免费送货上门并提供24小时的售后服务，在接到采购人电话后，保证在1天内到达现场确认，提供技术支持、排除故障，保证号牌发证业务工作的正常开展。中标人对所供机动车号牌出现质量问题时，能无条件免费进行更换。</w:t>
      </w:r>
    </w:p>
    <w:p>
      <w:pPr>
        <w:spacing w:line="360" w:lineRule="auto"/>
        <w:rPr>
          <w:rFonts w:ascii="宋体" w:hAnsi="宋体" w:cs="宋体"/>
          <w:color w:val="auto"/>
          <w:sz w:val="24"/>
        </w:rPr>
      </w:pPr>
      <w:r>
        <w:rPr>
          <w:rFonts w:hint="eastAsia" w:ascii="宋体" w:hAnsi="宋体" w:cs="宋体"/>
          <w:color w:val="auto"/>
          <w:sz w:val="24"/>
        </w:rPr>
        <w:t>（二）应急要求</w:t>
      </w:r>
    </w:p>
    <w:p>
      <w:pPr>
        <w:spacing w:line="360" w:lineRule="auto"/>
        <w:rPr>
          <w:rFonts w:ascii="宋体" w:hAnsi="宋体" w:cs="宋体"/>
          <w:color w:val="auto"/>
          <w:sz w:val="24"/>
        </w:rPr>
      </w:pPr>
      <w:r>
        <w:rPr>
          <w:rFonts w:hint="eastAsia" w:ascii="宋体" w:hAnsi="宋体" w:cs="宋体"/>
          <w:color w:val="auto"/>
          <w:sz w:val="24"/>
        </w:rPr>
        <w:t>1、提供突发事件应急处置预案方案，根据不同场景（包括设备故障、网络故障、运输突发事件、生产突发事件、台风雨雪等恶劣天气停电断网应急处理等），投标文件中提供相应的应急预案及应急处置措施。</w:t>
      </w:r>
    </w:p>
    <w:p>
      <w:pPr>
        <w:spacing w:line="360" w:lineRule="auto"/>
        <w:rPr>
          <w:rFonts w:ascii="宋体" w:hAnsi="宋体" w:cs="宋体"/>
          <w:color w:val="auto"/>
          <w:sz w:val="24"/>
        </w:rPr>
      </w:pPr>
      <w:r>
        <w:rPr>
          <w:rFonts w:hint="eastAsia" w:ascii="宋体" w:hAnsi="宋体" w:cs="宋体"/>
          <w:color w:val="auto"/>
          <w:sz w:val="24"/>
        </w:rPr>
        <w:t>2、提供应急情况的供货保证措施、应急响应服务以及应急工作处理措施、预警处置工作措施。</w:t>
      </w:r>
    </w:p>
    <w:p>
      <w:pPr>
        <w:spacing w:line="360" w:lineRule="auto"/>
        <w:rPr>
          <w:rFonts w:ascii="宋体" w:hAnsi="宋体" w:cs="宋体"/>
          <w:b/>
          <w:bCs/>
          <w:color w:val="auto"/>
          <w:sz w:val="24"/>
        </w:rPr>
      </w:pPr>
      <w:r>
        <w:rPr>
          <w:rFonts w:hint="eastAsia" w:ascii="宋体" w:hAnsi="宋体" w:cs="宋体"/>
          <w:b/>
          <w:bCs/>
          <w:color w:val="auto"/>
          <w:sz w:val="24"/>
        </w:rPr>
        <w:t>十一、验收标准要求</w:t>
      </w:r>
    </w:p>
    <w:p>
      <w:pPr>
        <w:spacing w:line="360" w:lineRule="auto"/>
        <w:rPr>
          <w:rFonts w:ascii="宋体" w:hAnsi="宋体" w:cs="宋体"/>
          <w:color w:val="auto"/>
          <w:sz w:val="24"/>
        </w:rPr>
      </w:pPr>
      <w:r>
        <w:rPr>
          <w:rFonts w:hint="eastAsia" w:ascii="宋体" w:hAnsi="宋体" w:cs="宋体"/>
          <w:color w:val="auto"/>
          <w:sz w:val="24"/>
        </w:rPr>
        <w:t>以投标人（合同乙方（中标人），下同）的投标文件和投标人的澄清、说明或者更正为验收标准；投标人的投标文件和投标人的澄清、说明或者更正不明确的，以《招标文件》相关要求为验收标准；投标人的投标文件和投标人的澄清、说明或者更正和《招标文件》相关要求都不明确的，按国家相关标准；以上都不明确的，以通常标准为准。</w:t>
      </w:r>
    </w:p>
    <w:p>
      <w:pPr>
        <w:spacing w:line="360" w:lineRule="auto"/>
        <w:jc w:val="left"/>
        <w:rPr>
          <w:rFonts w:ascii="宋体" w:hAnsi="宋体" w:cs="宋体"/>
          <w:b/>
          <w:bCs/>
          <w:color w:val="auto"/>
          <w:sz w:val="24"/>
          <w:lang w:val="zh-CN" w:bidi="zh-CN"/>
        </w:rPr>
      </w:pPr>
      <w:r>
        <w:rPr>
          <w:rFonts w:hint="eastAsia" w:ascii="宋体" w:hAnsi="宋体" w:cs="宋体"/>
          <w:b/>
          <w:bCs/>
          <w:color w:val="auto"/>
          <w:sz w:val="24"/>
          <w:lang w:bidi="zh-CN"/>
        </w:rPr>
        <w:t>十二、</w:t>
      </w:r>
      <w:r>
        <w:rPr>
          <w:rFonts w:hint="eastAsia" w:ascii="宋体" w:hAnsi="宋体" w:cs="宋体"/>
          <w:b/>
          <w:bCs/>
          <w:color w:val="auto"/>
          <w:sz w:val="24"/>
          <w:lang w:val="zh-CN" w:bidi="zh-CN"/>
        </w:rPr>
        <w:t>其他要求：</w:t>
      </w:r>
    </w:p>
    <w:p>
      <w:pPr>
        <w:spacing w:line="360" w:lineRule="auto"/>
        <w:jc w:val="left"/>
        <w:rPr>
          <w:rFonts w:ascii="宋体" w:hAnsi="宋体" w:cs="宋体"/>
          <w:color w:val="auto"/>
          <w:sz w:val="24"/>
          <w:lang w:val="zh-CN" w:bidi="zh-CN"/>
        </w:rPr>
      </w:pPr>
      <w:r>
        <w:rPr>
          <w:rFonts w:hint="eastAsia" w:ascii="宋体" w:hAnsi="宋体" w:cs="宋体"/>
          <w:color w:val="auto"/>
          <w:sz w:val="24"/>
          <w:lang w:val="zh-CN" w:bidi="zh-CN"/>
        </w:rPr>
        <w:t>1、本项目相关技术标准、质量要求若有更新（如国家或公安部发布新规范），投标人须在30日内完成生产设备、工艺流程、质量管控体系的调整升级，确保符合最新标准要求，相关升级费用由投标人自行承担。</w:t>
      </w:r>
    </w:p>
    <w:p>
      <w:pPr>
        <w:spacing w:line="360" w:lineRule="auto"/>
        <w:jc w:val="left"/>
        <w:rPr>
          <w:rFonts w:ascii="宋体" w:hAnsi="宋体" w:cs="宋体"/>
          <w:color w:val="auto"/>
          <w:sz w:val="24"/>
          <w:lang w:val="zh-CN" w:bidi="zh-CN"/>
        </w:rPr>
      </w:pPr>
      <w:r>
        <w:rPr>
          <w:rFonts w:hint="eastAsia" w:ascii="宋体" w:hAnsi="宋体" w:cs="宋体"/>
          <w:color w:val="auto"/>
          <w:sz w:val="24"/>
          <w:lang w:val="zh-CN" w:bidi="zh-CN"/>
        </w:rPr>
        <w:t>2、提供发放、安装调试号牌服务以及旧号牌回收服务。</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7C0E06"/>
    <w:rsid w:val="263B4CA7"/>
    <w:rsid w:val="2A6B06BB"/>
    <w:rsid w:val="4B907371"/>
    <w:rsid w:val="634F020D"/>
    <w:rsid w:val="76274AF4"/>
    <w:rsid w:val="7DA9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0"/>
    <w:pPr>
      <w:autoSpaceDE w:val="0"/>
      <w:autoSpaceDN w:val="0"/>
      <w:adjustRightInd w:val="0"/>
      <w:ind w:left="256" w:right="6" w:firstLine="624" w:firstLineChars="200"/>
    </w:pPr>
    <w:rPr>
      <w:rFonts w:ascii="Times New Roman" w:hAnsi="Times New Roman" w:eastAsia="仿宋_GB2312"/>
      <w:kern w:val="0"/>
      <w:sz w:val="28"/>
      <w:szCs w:val="20"/>
    </w:rPr>
  </w:style>
  <w:style w:type="paragraph" w:customStyle="1" w:styleId="5">
    <w:name w:val="列表段落1"/>
    <w:basedOn w:val="6"/>
    <w:next w:val="1"/>
    <w:qFormat/>
    <w:uiPriority w:val="99"/>
    <w:pPr>
      <w:ind w:firstLine="420"/>
    </w:pPr>
  </w:style>
  <w:style w:type="paragraph" w:customStyle="1" w:styleId="6">
    <w:name w:val="正文1"/>
    <w:basedOn w:val="7"/>
    <w:next w:val="15"/>
    <w:qFormat/>
    <w:uiPriority w:val="0"/>
    <w:rPr>
      <w:rFonts w:ascii="Calibri" w:hAnsi="Calibri"/>
    </w:rPr>
  </w:style>
  <w:style w:type="paragraph" w:customStyle="1" w:styleId="7">
    <w:name w:val="正文11"/>
    <w:next w:val="8"/>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8">
    <w:name w:val="目录 11"/>
    <w:basedOn w:val="9"/>
    <w:next w:val="7"/>
    <w:qFormat/>
    <w:uiPriority w:val="0"/>
    <w:pPr>
      <w:widowControl/>
      <w:spacing w:before="120" w:after="120"/>
      <w:jc w:val="left"/>
    </w:pPr>
    <w:rPr>
      <w:rFonts w:cs="Calibri"/>
      <w:b/>
      <w:bCs/>
      <w:caps/>
      <w:sz w:val="20"/>
      <w:szCs w:val="20"/>
    </w:rPr>
  </w:style>
  <w:style w:type="paragraph" w:customStyle="1" w:styleId="9">
    <w:name w:val="正文12"/>
    <w:next w:val="10"/>
    <w:qFormat/>
    <w:uiPriority w:val="0"/>
    <w:pPr>
      <w:widowControl w:val="0"/>
      <w:jc w:val="both"/>
    </w:pPr>
    <w:rPr>
      <w:rFonts w:hint="default" w:ascii="Calibri" w:hAnsi="Calibri" w:eastAsia="宋体" w:cs="Times New Roman"/>
      <w:sz w:val="21"/>
      <w:szCs w:val="24"/>
      <w:lang w:val="en-US" w:eastAsia="zh-CN" w:bidi="ar-SA"/>
    </w:rPr>
  </w:style>
  <w:style w:type="paragraph" w:customStyle="1" w:styleId="10">
    <w:name w:val="正文文本11"/>
    <w:basedOn w:val="11"/>
    <w:next w:val="12"/>
    <w:qFormat/>
    <w:uiPriority w:val="0"/>
    <w:pPr>
      <w:spacing w:after="120"/>
    </w:pPr>
  </w:style>
  <w:style w:type="paragraph" w:customStyle="1" w:styleId="11">
    <w:name w:val="正文112"/>
    <w:next w:val="1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2">
    <w:name w:val="一级条标题"/>
    <w:basedOn w:val="13"/>
    <w:next w:val="14"/>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13">
    <w:name w:val="章标题"/>
    <w:next w:val="6"/>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14">
    <w:name w:val="段"/>
    <w:basedOn w:val="6"/>
    <w:next w:val="1"/>
    <w:qFormat/>
    <w:uiPriority w:val="0"/>
    <w:pPr>
      <w:widowControl/>
      <w:ind w:firstLine="200"/>
    </w:pPr>
    <w:rPr>
      <w:sz w:val="20"/>
    </w:rPr>
  </w:style>
  <w:style w:type="paragraph" w:customStyle="1" w:styleId="15">
    <w:name w:val="正文文本1"/>
    <w:basedOn w:val="6"/>
    <w:next w:val="6"/>
    <w:qFormat/>
    <w:uiPriority w:val="0"/>
    <w:pPr>
      <w:spacing w:after="120"/>
    </w:pPr>
    <w:rPr>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496</Words>
  <Characters>623</Characters>
  <Lines>0</Lines>
  <Paragraphs>0</Paragraphs>
  <TotalTime>19</TotalTime>
  <ScaleCrop>false</ScaleCrop>
  <LinksUpToDate>false</LinksUpToDate>
  <CharactersWithSpaces>623</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2026-09-23T07:48:00Z</dcterms:created>
  <dc:creator>suma</dc:creator>
  <cp:lastModifiedBy>suma</cp:lastModifiedBy>
  <dcterms:modified xsi:type="dcterms:W3CDTF">2026-09-24T03:04:40Z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82665D2DF0F14C358F6904FD2FD102E7_13</vt:lpwstr>
  </property>
  <property fmtid="{D5CDD505-2E9C-101B-9397-08002B2CF9AE}" pid="4" name="KSOTemplateDocerSaveRecord">
    <vt:lpwstr>eyJoZGlkIjoiMDNiMWYyMGQ1YjExMmFlNjdlOWY0ZWZlYjAwY2YzZTkiLCJ1c2VySWQiOiI0NTQ3MTg3ODEifQ==</vt:lpwstr>
  </property>
</Properties>
</file>