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color w:val="auto"/>
          <w:highlight w:val="none"/>
        </w:rPr>
      </w:pPr>
      <w:r>
        <w:rPr>
          <w:rFonts w:hint="eastAsia" w:ascii="仿宋_GB2312" w:eastAsia="仿宋_GB2312"/>
          <w:b/>
          <w:color w:val="auto"/>
          <w:sz w:val="44"/>
          <w:szCs w:val="44"/>
          <w:highlight w:val="none"/>
        </w:rPr>
        <mc:AlternateContent>
          <mc:Choice Requires="wpg">
            <w:drawing>
              <wp:inline xmlns:wp="http://schemas.openxmlformats.org/drawingml/2006/wordprocessingDrawing" distT="0" distB="0" distL="0" distR="0">
                <wp:extent cx="2478405" cy="630555"/>
                <wp:effectExtent l="0" t="0" r="0" b="17145"/>
                <wp:docPr id="3" name="图片 1"/>
                <wp:cNvGraphicFramePr/>
                <a:graphic xmlns:a="http://schemas.openxmlformats.org/drawingml/2006/main">
                  <a:graphicData uri="http://schemas.openxmlformats.org/drawingml/2006/picture">
                    <pic:pic xmlns:pic="http://schemas.openxmlformats.org/drawingml/2006/picture">
                      <pic:nvPicPr>
                        <pic:cNvPr id="3" name="图片 1"/>
                        <pic:cNvPicPr/>
                        <pic:nvPr/>
                      </pic:nvPicPr>
                      <pic:blipFill>
                        <a:blip r:embed="rId16"/>
                        <a:stretch/>
                      </pic:blipFill>
                      <pic:spPr bwMode="auto">
                        <a:xfrm>
                          <a:off x="0" y="0"/>
                          <a:ext cx="2478405" cy="6305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95.1pt;height:49.6pt;mso-wrap-distance-left:0.0pt;mso-wrap-distance-top:0.0pt;mso-wrap-distance-right:0.0pt;mso-wrap-distance-bottom:0.0pt;" stroked="f">
                <v:path textboxrect="0,0,0,0"/>
                <v:imagedata r:id="rId16" o:title=""/>
              </v:shape>
            </w:pict>
          </mc:Fallback>
        </mc:AlternateContent>
      </w:r>
      <w:r/>
    </w:p>
    <w:p>
      <w:pPr>
        <w:rPr>
          <w:color w:val="auto"/>
          <w:highlight w:val="none"/>
        </w:rPr>
      </w:pPr>
      <w:r>
        <w:rPr>
          <w:color w:val="auto"/>
          <w:highlight w:val="none"/>
        </w:rPr>
      </w:r>
      <w:r/>
    </w:p>
    <w:p>
      <w:pPr>
        <w:pStyle w:val="773"/>
        <w:rPr>
          <w:color w:val="auto"/>
          <w:highlight w:val="none"/>
        </w:rPr>
      </w:pPr>
      <w:r>
        <w:rPr>
          <w:color w:val="auto"/>
          <w:highlight w:val="none"/>
        </w:rPr>
      </w:r>
      <w:r/>
    </w:p>
    <w:p>
      <w:pPr>
        <w:pStyle w:val="1014"/>
        <w:rPr>
          <w:color w:val="auto"/>
          <w:highlight w:val="none"/>
        </w:rPr>
      </w:pPr>
      <w:r>
        <w:rPr>
          <w:color w:val="auto"/>
          <w:highlight w:val="none"/>
        </w:rPr>
      </w:r>
      <w:r/>
    </w:p>
    <w:p>
      <w:pPr>
        <w:pStyle w:val="1016"/>
        <w:rPr>
          <w:rFonts w:hint="default" w:eastAsia="宋体"/>
          <w:color w:val="auto"/>
          <w:highlight w:val="none"/>
          <w:lang w:val="en-US" w:eastAsia="zh-CN"/>
        </w:rPr>
      </w:pPr>
      <w:r>
        <w:rPr>
          <w:rFonts w:hint="eastAsia"/>
          <w:color w:val="auto"/>
          <w:highlight w:val="none"/>
          <w:lang w:val="en-US" w:eastAsia="zh-CN"/>
        </w:rPr>
        <w:t xml:space="preserve">  </w:t>
      </w:r>
      <w:r/>
    </w:p>
    <w:p>
      <w:pPr>
        <w:ind w:firstLine="320"/>
        <w:jc w:val="right"/>
        <w:rPr>
          <w:color w:val="auto"/>
          <w:highlight w:val="none"/>
        </w:rPr>
      </w:pPr>
      <w:r>
        <w:rPr>
          <w:rFonts w:hint="eastAsia" w:ascii="仿宋" w:hAnsi="仿宋" w:eastAsia="仿宋" w:cs="仿宋"/>
          <w:color w:val="auto"/>
          <w:sz w:val="32"/>
          <w:highlight w:val="none"/>
        </w:rPr>
        <w:t xml:space="preserve">           </w:t>
      </w:r>
      <w:r/>
    </w:p>
    <w:p>
      <w:pPr>
        <w:jc w:val="center"/>
        <w:rPr>
          <w:rFonts w:ascii="宋体" w:hAnsi="宋体"/>
          <w:b/>
          <w:color w:val="auto"/>
          <w:spacing w:val="76"/>
          <w:sz w:val="96"/>
          <w:szCs w:val="22"/>
          <w:highlight w:val="none"/>
        </w:rPr>
      </w:pPr>
      <w:r>
        <w:rPr>
          <w:rFonts w:hint="eastAsia" w:ascii="宋体" w:hAnsi="宋体" w:cs="宋体"/>
          <w:color w:val="auto"/>
          <w:spacing w:val="76"/>
          <w:sz w:val="144"/>
          <w:highlight w:val="none"/>
        </w:rPr>
        <w:t xml:space="preserve">招标文件</w:t>
      </w:r>
      <w:r/>
    </w:p>
    <w:p>
      <w:pPr>
        <w:spacing w:line="500" w:lineRule="exact"/>
        <w:rPr>
          <w:rFonts w:ascii="宋体" w:hAnsi="宋体" w:cs="宋体"/>
          <w:b/>
          <w:bCs/>
          <w:color w:val="auto"/>
          <w:sz w:val="30"/>
          <w:szCs w:val="30"/>
          <w:highlight w:val="none"/>
        </w:rPr>
      </w:pPr>
      <w:r>
        <w:rPr>
          <w:rFonts w:ascii="宋体" w:hAnsi="宋体" w:cs="宋体"/>
          <w:b/>
          <w:bCs/>
          <w:color w:val="auto"/>
          <w:sz w:val="30"/>
          <w:szCs w:val="30"/>
          <w:highlight w:val="none"/>
        </w:rPr>
      </w:r>
      <w:r/>
    </w:p>
    <w:p>
      <w:pPr>
        <w:spacing w:line="500" w:lineRule="exact"/>
        <w:rPr>
          <w:rFonts w:ascii="宋体" w:hAnsi="宋体" w:cs="宋体"/>
          <w:b/>
          <w:bCs/>
          <w:color w:val="auto"/>
          <w:sz w:val="30"/>
          <w:szCs w:val="30"/>
          <w:highlight w:val="none"/>
        </w:rPr>
      </w:pPr>
      <w:r>
        <w:rPr>
          <w:rFonts w:ascii="宋体" w:hAnsi="宋体" w:cs="宋体"/>
          <w:b/>
          <w:bCs/>
          <w:color w:val="auto"/>
          <w:sz w:val="30"/>
          <w:szCs w:val="30"/>
          <w:highlight w:val="none"/>
        </w:rPr>
      </w:r>
      <w:r/>
    </w:p>
    <w:p>
      <w:pPr>
        <w:spacing w:line="500" w:lineRule="exact"/>
        <w:rPr>
          <w:rFonts w:ascii="宋体" w:hAnsi="宋体" w:cs="宋体"/>
          <w:b/>
          <w:bCs/>
          <w:color w:val="auto"/>
          <w:sz w:val="30"/>
          <w:szCs w:val="30"/>
          <w:highlight w:val="none"/>
        </w:rPr>
      </w:pPr>
      <w:r>
        <w:rPr>
          <w:rFonts w:ascii="宋体" w:hAnsi="宋体" w:cs="宋体"/>
          <w:b/>
          <w:bCs/>
          <w:color w:val="auto"/>
          <w:sz w:val="30"/>
          <w:szCs w:val="30"/>
          <w:highlight w:val="none"/>
        </w:rPr>
      </w:r>
      <w:r/>
    </w:p>
    <w:p>
      <w:pPr>
        <w:spacing w:line="500" w:lineRule="exact"/>
        <w:rPr>
          <w:rFonts w:ascii="宋体" w:hAnsi="宋体" w:cs="宋体"/>
          <w:b/>
          <w:bCs/>
          <w:color w:val="auto"/>
          <w:sz w:val="30"/>
          <w:szCs w:val="30"/>
          <w:highlight w:val="none"/>
        </w:rPr>
      </w:pPr>
      <w:r>
        <w:rPr>
          <w:rFonts w:ascii="宋体" w:hAnsi="宋体" w:cs="宋体"/>
          <w:b/>
          <w:bCs/>
          <w:color w:val="auto"/>
          <w:sz w:val="30"/>
          <w:szCs w:val="30"/>
          <w:highlight w:val="none"/>
        </w:rPr>
      </w:r>
      <w:r/>
    </w:p>
    <w:p>
      <w:pPr>
        <w:spacing w:line="500" w:lineRule="exact"/>
        <w:rPr>
          <w:rFonts w:ascii="宋体" w:hAnsi="宋体" w:cs="宋体"/>
          <w:b/>
          <w:bCs/>
          <w:color w:val="auto"/>
          <w:sz w:val="30"/>
          <w:szCs w:val="30"/>
          <w:highlight w:val="none"/>
        </w:rPr>
      </w:pPr>
      <w:r>
        <w:rPr>
          <w:rFonts w:ascii="宋体" w:hAnsi="宋体" w:cs="宋体"/>
          <w:b/>
          <w:bCs/>
          <w:color w:val="auto"/>
          <w:sz w:val="30"/>
          <w:szCs w:val="30"/>
          <w:highlight w:val="none"/>
        </w:rPr>
      </w:r>
      <w:r/>
    </w:p>
    <w:p>
      <w:pPr>
        <w:ind w:left="2916" w:hanging="1425"/>
        <w:spacing w:line="500" w:lineRule="exact"/>
        <w:rPr>
          <w:rFonts w:hint="eastAsia" w:ascii="宋体" w:hAnsi="宋体" w:eastAsia="宋体" w:cs="宋体"/>
          <w:b/>
          <w:bCs/>
          <w:color w:val="auto"/>
          <w:sz w:val="30"/>
          <w:szCs w:val="30"/>
          <w:highlight w:val="none"/>
          <w:lang w:eastAsia="zh-CN"/>
        </w:rPr>
      </w:pPr>
      <w:r>
        <w:rPr>
          <w:rFonts w:hint="eastAsia" w:ascii="宋体" w:hAnsi="宋体" w:cs="宋体"/>
          <w:b/>
          <w:bCs/>
          <w:color w:val="auto"/>
          <w:sz w:val="30"/>
          <w:szCs w:val="30"/>
          <w:highlight w:val="none"/>
        </w:rPr>
        <w:t xml:space="preserve">项目名称：</w:t>
      </w:r>
      <w:r>
        <w:rPr>
          <w:rFonts w:hint="eastAsia" w:ascii="宋体" w:hAnsi="宋体" w:cs="宋体"/>
          <w:b/>
          <w:bCs/>
          <w:color w:val="auto"/>
          <w:sz w:val="30"/>
          <w:szCs w:val="30"/>
          <w:highlight w:val="none"/>
          <w:lang w:eastAsia="zh-CN"/>
        </w:rPr>
        <w:t xml:space="preserve">丁万河两岸绿地养护</w:t>
      </w:r>
      <w:r/>
    </w:p>
    <w:p>
      <w:pPr>
        <w:ind w:firstLine="1506"/>
        <w:spacing w:line="500" w:lineRule="exact"/>
        <w:rPr>
          <w:rFonts w:hint="eastAsia" w:ascii="宋体" w:hAnsi="宋体" w:eastAsia="宋体" w:cs="宋体"/>
          <w:b/>
          <w:bCs/>
          <w:color w:val="auto"/>
          <w:sz w:val="30"/>
          <w:szCs w:val="30"/>
          <w:highlight w:val="none"/>
          <w:lang w:eastAsia="zh-CN"/>
        </w:rPr>
      </w:pPr>
      <w:r>
        <w:rPr>
          <w:rFonts w:hint="eastAsia" w:ascii="宋体" w:hAnsi="宋体" w:cs="宋体"/>
          <w:b/>
          <w:bCs/>
          <w:color w:val="auto"/>
          <w:sz w:val="30"/>
          <w:szCs w:val="30"/>
          <w:highlight w:val="none"/>
        </w:rPr>
        <w:t xml:space="preserve">项目编号：</w:t>
      </w:r>
      <w:r>
        <w:rPr>
          <w:rFonts w:hint="eastAsia" w:ascii="宋体" w:hAnsi="宋体" w:cs="宋体"/>
          <w:b/>
          <w:bCs/>
          <w:color w:val="auto"/>
          <w:sz w:val="30"/>
          <w:szCs w:val="30"/>
          <w:highlight w:val="none"/>
          <w:lang w:eastAsia="zh-CN"/>
        </w:rPr>
        <w:t xml:space="preserve">JSZC-320302-JSZR-G2026-0055</w:t>
      </w:r>
      <w:r/>
    </w:p>
    <w:p>
      <w:pPr>
        <w:ind w:firstLine="1596"/>
        <w:spacing w:line="500" w:lineRule="exact"/>
        <w:rPr>
          <w:rFonts w:hint="eastAsia" w:ascii="宋体" w:hAnsi="宋体" w:eastAsia="宋体" w:cs="宋体"/>
          <w:b/>
          <w:bCs/>
          <w:color w:val="auto"/>
          <w:sz w:val="30"/>
          <w:szCs w:val="30"/>
          <w:highlight w:val="none"/>
          <w:lang w:eastAsia="zh-CN"/>
        </w:rPr>
      </w:pPr>
      <w:r>
        <w:rPr>
          <w:rFonts w:hint="eastAsia" w:ascii="宋体" w:hAnsi="宋体" w:cs="宋体"/>
          <w:b/>
          <w:bCs/>
          <w:color w:val="auto"/>
          <w:sz w:val="30"/>
          <w:szCs w:val="30"/>
          <w:highlight w:val="none"/>
        </w:rPr>
        <w:t xml:space="preserve">采 购 人：</w:t>
      </w:r>
      <w:r>
        <w:rPr>
          <w:rFonts w:hint="eastAsia" w:ascii="宋体" w:hAnsi="宋体" w:cs="宋体"/>
          <w:b/>
          <w:bCs/>
          <w:color w:val="auto"/>
          <w:sz w:val="30"/>
          <w:szCs w:val="30"/>
          <w:highlight w:val="none"/>
          <w:lang w:eastAsia="zh-CN"/>
        </w:rPr>
        <w:t xml:space="preserve">徐州市鼓楼区园林工程处</w:t>
      </w:r>
      <w:r/>
    </w:p>
    <w:p>
      <w:pPr>
        <w:pStyle w:val="1011"/>
        <w:ind w:left="0" w:right="1470"/>
        <w:rPr>
          <w:rFonts w:ascii="宋体" w:hAnsi="宋体" w:eastAsia="宋体" w:cs="宋体"/>
          <w:color w:val="auto"/>
          <w:sz w:val="30"/>
          <w:szCs w:val="30"/>
          <w:highlight w:val="none"/>
        </w:rPr>
      </w:pPr>
      <w:r>
        <w:rPr>
          <w:rFonts w:ascii="宋体" w:hAnsi="宋体" w:eastAsia="宋体" w:cs="宋体"/>
          <w:color w:val="auto"/>
          <w:sz w:val="30"/>
          <w:szCs w:val="30"/>
          <w:highlight w:val="none"/>
        </w:rPr>
      </w:r>
      <w:r/>
    </w:p>
    <w:p>
      <w:pPr>
        <w:pStyle w:val="1011"/>
        <w:ind w:left="0" w:right="1470"/>
        <w:rPr>
          <w:rFonts w:ascii="宋体" w:hAnsi="宋体" w:eastAsia="宋体" w:cs="宋体"/>
          <w:color w:val="auto"/>
          <w:sz w:val="30"/>
          <w:szCs w:val="30"/>
          <w:highlight w:val="none"/>
        </w:rPr>
      </w:pPr>
      <w:r>
        <w:rPr>
          <w:rFonts w:ascii="宋体" w:hAnsi="宋体" w:eastAsia="宋体" w:cs="宋体"/>
          <w:color w:val="auto"/>
          <w:sz w:val="30"/>
          <w:szCs w:val="30"/>
          <w:highlight w:val="none"/>
        </w:rPr>
      </w:r>
      <w:r/>
    </w:p>
    <w:p>
      <w:pPr>
        <w:pStyle w:val="1011"/>
        <w:ind w:left="0" w:right="1470"/>
        <w:rPr>
          <w:rFonts w:ascii="宋体" w:hAnsi="宋体" w:eastAsia="宋体" w:cs="宋体"/>
          <w:color w:val="auto"/>
          <w:sz w:val="30"/>
          <w:szCs w:val="30"/>
          <w:highlight w:val="none"/>
        </w:rPr>
      </w:pPr>
      <w:r>
        <w:rPr>
          <w:rFonts w:ascii="宋体" w:hAnsi="宋体" w:eastAsia="宋体" w:cs="宋体"/>
          <w:color w:val="auto"/>
          <w:sz w:val="30"/>
          <w:szCs w:val="30"/>
          <w:highlight w:val="none"/>
        </w:rPr>
      </w:r>
      <w:r/>
    </w:p>
    <w:p>
      <w:pPr>
        <w:pStyle w:val="1011"/>
        <w:ind w:left="0" w:right="1470" w:firstLine="0"/>
        <w:rPr>
          <w:rFonts w:ascii="宋体" w:hAnsi="宋体" w:eastAsia="宋体" w:cs="宋体"/>
          <w:color w:val="auto"/>
          <w:sz w:val="30"/>
          <w:szCs w:val="30"/>
          <w:highlight w:val="none"/>
        </w:rPr>
      </w:pPr>
      <w:r>
        <w:rPr>
          <w:rFonts w:ascii="宋体" w:hAnsi="宋体" w:eastAsia="宋体" w:cs="宋体"/>
          <w:color w:val="auto"/>
          <w:sz w:val="30"/>
          <w:szCs w:val="30"/>
          <w:highlight w:val="none"/>
        </w:rPr>
      </w:r>
      <w:r/>
    </w:p>
    <w:p>
      <w:pPr>
        <w:pStyle w:val="1011"/>
        <w:ind w:left="0" w:right="1470" w:firstLine="0"/>
        <w:rPr>
          <w:rFonts w:ascii="宋体" w:hAnsi="宋体" w:eastAsia="宋体" w:cs="宋体"/>
          <w:color w:val="auto"/>
          <w:sz w:val="30"/>
          <w:szCs w:val="30"/>
          <w:highlight w:val="none"/>
        </w:rPr>
      </w:pPr>
      <w:r>
        <w:rPr>
          <w:rFonts w:ascii="宋体" w:hAnsi="宋体" w:eastAsia="宋体" w:cs="宋体"/>
          <w:color w:val="auto"/>
          <w:sz w:val="30"/>
          <w:szCs w:val="30"/>
          <w:highlight w:val="none"/>
        </w:rPr>
      </w:r>
      <w:r/>
    </w:p>
    <w:p>
      <w:pPr>
        <w:ind w:firstLine="1205"/>
        <w:spacing w:line="500" w:lineRule="exact"/>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采购代理机构：江苏中瑞建设项目管理有限公司</w:t>
      </w:r>
      <w:r/>
    </w:p>
    <w:p>
      <w:pPr>
        <w:pStyle w:val="967"/>
        <w:ind w:firstLine="0"/>
        <w:jc w:val="center"/>
        <w:spacing w:line="500" w:lineRule="exact"/>
        <w:rPr>
          <w:rFonts w:ascii="宋体" w:hAnsi="宋体" w:cs="宋体"/>
          <w:b/>
          <w:color w:val="auto"/>
          <w:sz w:val="44"/>
          <w:highlight w:val="none"/>
        </w:rPr>
      </w:pPr>
      <w:r>
        <w:rPr>
          <w:rFonts w:hint="eastAsia" w:ascii="宋体" w:hAnsi="宋体" w:cs="宋体"/>
          <w:b/>
          <w:bCs/>
          <w:color w:val="auto"/>
          <w:sz w:val="30"/>
          <w:szCs w:val="30"/>
          <w:highlight w:val="none"/>
        </w:rPr>
        <w:t xml:space="preserve">二〇二六年</w:t>
      </w:r>
      <w:r>
        <w:rPr>
          <w:rFonts w:hint="eastAsia" w:ascii="宋体" w:hAnsi="宋体" w:cs="宋体"/>
          <w:b/>
          <w:bCs/>
          <w:color w:val="auto"/>
          <w:sz w:val="30"/>
          <w:szCs w:val="30"/>
          <w:highlight w:val="none"/>
          <w:lang w:val="en-US" w:eastAsia="zh-CN"/>
        </w:rPr>
        <w:t xml:space="preserve">八</w:t>
      </w:r>
      <w:r>
        <w:rPr>
          <w:rFonts w:hint="eastAsia" w:ascii="宋体" w:hAnsi="宋体" w:cs="宋体"/>
          <w:b/>
          <w:bCs/>
          <w:color w:val="auto"/>
          <w:sz w:val="30"/>
          <w:szCs w:val="30"/>
          <w:highlight w:val="none"/>
        </w:rPr>
        <w:t xml:space="preserve">月</w:t>
      </w:r>
      <w:r/>
    </w:p>
    <w:p>
      <w:pPr>
        <w:pStyle w:val="967"/>
        <w:ind w:firstLine="0"/>
        <w:jc w:val="center"/>
        <w:rPr>
          <w:rFonts w:ascii="宋体" w:hAnsi="宋体" w:cs="宋体"/>
          <w:b/>
          <w:color w:val="auto"/>
          <w:sz w:val="44"/>
          <w:highlight w:val="none"/>
        </w:rPr>
        <w:sectPr>
          <w:headerReference w:type="default" r:id="rId9"/>
          <w:headerReference w:type="even" r:id="rId10"/>
          <w:footerReference w:type="default" r:id="rId12"/>
          <w:footerReference w:type="even" r:id="rId13"/>
          <w:footnotePr/>
          <w:endnotePr/>
          <w:type w:val="nextPage"/>
          <w:pgSz w:w="11906" w:h="16838" w:orient="portrait"/>
          <w:pgMar w:top="1474" w:right="1474" w:bottom="1474" w:left="1474" w:header="851" w:footer="992" w:gutter="0"/>
          <w:pgNumType w:start="1"/>
          <w:cols w:num="1" w:sep="0" w:space="1701" w:equalWidth="1"/>
          <w:docGrid w:linePitch="360"/>
          <w:titlePg/>
        </w:sectPr>
      </w:pPr>
      <w:r>
        <w:rPr>
          <w:rFonts w:ascii="宋体" w:hAnsi="宋体" w:cs="宋体"/>
          <w:b/>
          <w:color w:val="auto"/>
          <w:sz w:val="44"/>
          <w:highlight w:val="none"/>
        </w:rPr>
      </w:r>
      <w:r/>
    </w:p>
    <w:p>
      <w:pPr>
        <w:pStyle w:val="967"/>
        <w:ind w:firstLine="0"/>
        <w:jc w:val="center"/>
        <w:rPr>
          <w:rFonts w:ascii="宋体" w:hAnsi="宋体" w:cs="宋体"/>
          <w:color w:val="auto"/>
          <w:sz w:val="44"/>
          <w:highlight w:val="none"/>
        </w:rPr>
      </w:pPr>
      <w:r/>
      <w:bookmarkStart w:id="0" w:name="_Toc522790130"/>
      <w:r>
        <w:rPr>
          <w:rFonts w:hint="eastAsia" w:ascii="宋体" w:hAnsi="宋体" w:cs="宋体"/>
          <w:color w:val="auto"/>
          <w:sz w:val="44"/>
          <w:highlight w:val="none"/>
        </w:rPr>
        <w:t xml:space="preserve">总目录</w:t>
      </w:r>
      <w:r/>
    </w:p>
    <w:p>
      <w:pPr>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第一章 投标邀请</w:t>
      </w:r>
      <w:r/>
    </w:p>
    <w:p>
      <w:pPr>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第二章 投标人须知</w:t>
      </w:r>
      <w:r/>
    </w:p>
    <w:p>
      <w:pPr>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第三章 投标资料表</w:t>
      </w:r>
      <w:r/>
    </w:p>
    <w:p>
      <w:pPr>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第四章 评标标准</w:t>
      </w:r>
      <w:r/>
    </w:p>
    <w:p>
      <w:pPr>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第五章 拟签订的合同文本</w:t>
      </w:r>
      <w:r/>
    </w:p>
    <w:p>
      <w:pPr>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第六章 采购需求</w:t>
      </w:r>
      <w:r/>
    </w:p>
    <w:p>
      <w:pPr>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第七章 投标文件相关格式</w:t>
      </w:r>
      <w:r/>
    </w:p>
    <w:p>
      <w:pPr>
        <w:jc w:val="center"/>
        <w:spacing w:line="52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52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52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52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52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52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52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52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52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52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52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52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52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52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widowControl/>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rPr>
        <w:br w:type="page" w:clear="all"/>
      </w:r>
      <w:r>
        <w:rPr>
          <w:rFonts w:hint="eastAsia" w:ascii="宋体" w:hAnsi="宋体" w:cs="宋体"/>
          <w:b/>
          <w:color w:val="auto"/>
          <w:sz w:val="24"/>
          <w:szCs w:val="24"/>
          <w:highlight w:val="none"/>
          <w:lang w:eastAsia="zh-CN"/>
        </w:rPr>
        <w:t xml:space="preserve">徐州市鼓楼区园林工程处</w:t>
      </w:r>
      <w:r/>
    </w:p>
    <w:p>
      <w:pPr>
        <w:jc w:val="center"/>
        <w:spacing w:line="52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lang w:eastAsia="zh-CN"/>
        </w:rPr>
        <w:t xml:space="preserve">丁万河两岸绿地养护</w:t>
      </w:r>
      <w:r>
        <w:rPr>
          <w:rFonts w:hint="eastAsia" w:ascii="宋体" w:hAnsi="宋体" w:cs="宋体"/>
          <w:b/>
          <w:color w:val="auto"/>
          <w:sz w:val="24"/>
          <w:szCs w:val="24"/>
          <w:highlight w:val="none"/>
        </w:rPr>
        <w:t xml:space="preserve">》招标文件</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50"/>
        <w:spacing w:line="520" w:lineRule="exact"/>
        <w:rPr>
          <w:rFonts w:hint="eastAsia" w:ascii="宋体" w:hAnsi="宋体" w:eastAsia="宋体" w:cs="宋体"/>
          <w:color w:val="auto"/>
          <w:sz w:val="24"/>
          <w:szCs w:val="24"/>
          <w:highlight w:val="none"/>
        </w:rPr>
      </w:pPr>
      <w:r/>
      <w:bookmarkStart w:id="1" w:name="_Toc24658"/>
      <w:r>
        <w:rPr>
          <w:rFonts w:hint="eastAsia" w:ascii="宋体" w:hAnsi="宋体" w:eastAsia="宋体" w:cs="宋体"/>
          <w:color w:val="auto"/>
          <w:sz w:val="24"/>
          <w:szCs w:val="24"/>
          <w:highlight w:val="none"/>
        </w:rPr>
        <w:t xml:space="preserve">第一章  投标邀请</w:t>
      </w:r>
      <w:bookmarkEnd w:id="1"/>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江苏中瑞建设项目管理有限公司</w:t>
      </w:r>
      <w:r>
        <w:rPr>
          <w:rFonts w:hint="eastAsia" w:ascii="宋体" w:hAnsi="宋体" w:cs="宋体"/>
          <w:color w:val="auto"/>
          <w:sz w:val="24"/>
          <w:szCs w:val="24"/>
          <w:highlight w:val="none"/>
        </w:rPr>
        <w:t xml:space="preserve">对</w:t>
      </w:r>
      <w:r>
        <w:rPr>
          <w:rFonts w:hint="eastAsia" w:ascii="宋体" w:hAnsi="宋体" w:cs="宋体"/>
          <w:color w:val="auto"/>
          <w:sz w:val="24"/>
          <w:szCs w:val="24"/>
          <w:highlight w:val="none"/>
          <w:lang w:eastAsia="zh-CN"/>
        </w:rPr>
        <w:t xml:space="preserve">徐州市鼓楼区园林工程处</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丁万河两岸绿地养护</w:t>
      </w:r>
      <w:r>
        <w:rPr>
          <w:rFonts w:hint="eastAsia" w:ascii="宋体" w:hAnsi="宋体" w:cs="宋体"/>
          <w:color w:val="auto"/>
          <w:sz w:val="24"/>
          <w:szCs w:val="24"/>
          <w:highlight w:val="none"/>
        </w:rPr>
        <w:t xml:space="preserve">”进行公开招标采购，现邀请符合相关条件的供应商投标。</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一、项目名称和项目编号</w:t>
      </w:r>
      <w:r/>
    </w:p>
    <w:p>
      <w:pPr>
        <w:ind w:firstLine="600"/>
        <w:spacing w:line="52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(一)项目名称：</w:t>
      </w:r>
      <w:r>
        <w:rPr>
          <w:rFonts w:hint="eastAsia" w:ascii="宋体" w:hAnsi="宋体" w:cs="宋体"/>
          <w:color w:val="auto"/>
          <w:sz w:val="24"/>
          <w:szCs w:val="24"/>
          <w:highlight w:val="none"/>
          <w:lang w:eastAsia="zh-CN"/>
        </w:rPr>
        <w:t xml:space="preserve">丁万河两岸绿地养护</w:t>
      </w:r>
      <w:r/>
    </w:p>
    <w:p>
      <w:pPr>
        <w:ind w:firstLine="600"/>
        <w:spacing w:line="5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(二)项目编号：</w:t>
      </w:r>
      <w:r>
        <w:rPr>
          <w:rFonts w:hint="eastAsia" w:ascii="宋体" w:hAnsi="宋体" w:cs="宋体"/>
          <w:color w:val="auto"/>
          <w:sz w:val="24"/>
          <w:szCs w:val="24"/>
          <w:highlight w:val="none"/>
          <w:lang w:eastAsia="zh-CN"/>
        </w:rPr>
        <w:t xml:space="preserve">JSZC-320302-JSZR-G2026-0055</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二、对投标人的资格要求</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详见本项目公开招标公告。</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三、获取招标文件</w:t>
      </w:r>
      <w:bookmarkEnd w:id="0"/>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 本项目采用网上注册登记方式。</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 潜在投标人访问电子招标投标交易平台的网络地址和方法：</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600"/>
        <w:spacing w:line="52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bidi="ar-SA"/>
        </w:rPr>
        <w:t xml:space="preserve">潜在投标人访问“苏采云”系统的网络地址和方法：“苏采云”系统的网址：http://jszfcg.jsczt.cn/；或进入徐州政府采购网（网址：</w:t>
      </w:r>
      <w:r>
        <w:rPr>
          <w:rFonts w:hint="eastAsia" w:ascii="宋体" w:hAnsi="宋体" w:eastAsia="宋体" w:cs="宋体"/>
          <w:b w:val="0"/>
          <w:bCs w:val="0"/>
          <w:color w:val="auto"/>
          <w:sz w:val="24"/>
          <w:szCs w:val="24"/>
          <w:highlight w:val="none"/>
          <w:lang w:val="en-US" w:eastAsia="zh-CN" w:bidi="ar-SA"/>
        </w:rPr>
        <w:t xml:space="preserve">https://czj.xz.gov.cn/zfcg/index.html）--办事指南--供应商--供应商登录入口，点击“苏采云”进入系统。</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（3）“CA数字证书”的获取：</w:t>
      </w:r>
      <w:r/>
    </w:p>
    <w:p>
      <w:pPr>
        <w:ind w:firstLine="600"/>
        <w:spacing w:line="52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供应商需办理CA锁，“苏采云”系统目前仅支持“苏采云”系统下的政务CA，省内各地区办理的“苏采云”系统下的政务CA全省通用。“CA数字证书”的办理材料详见“徐州政府采购网-苏采云”中的《常用下载》。</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w:t>
      </w:r>
      <w:r>
        <w:rPr>
          <w:rFonts w:hint="eastAsia" w:ascii="宋体" w:hAnsi="宋体" w:cs="宋体"/>
          <w:color w:val="auto"/>
          <w:sz w:val="24"/>
          <w:szCs w:val="24"/>
          <w:highlight w:val="none"/>
          <w:lang w:val="en-US" w:eastAsia="zh-CN"/>
        </w:rPr>
        <w:t xml:space="preserve">办事指南</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资料</w:t>
      </w:r>
      <w:r>
        <w:rPr>
          <w:rFonts w:hint="eastAsia" w:ascii="宋体" w:hAnsi="宋体" w:cs="宋体"/>
          <w:color w:val="auto"/>
          <w:sz w:val="24"/>
          <w:szCs w:val="24"/>
          <w:highlight w:val="none"/>
        </w:rPr>
        <w:t xml:space="preserve">下载，点击进入《江苏省政府采购管理交易系统（苏采云）供应商操作手册及政府采购客户端》，进行下载。</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（5）招标代理机构（采购代理机构）将数据电文形式的招标文件加载至“苏采云”系统，供潜在投标人下载或者查阅。</w:t>
      </w:r>
      <w:r/>
    </w:p>
    <w:p>
      <w:pPr>
        <w:ind w:firstLine="600"/>
        <w:spacing w:line="52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3.售价：免费。</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四、提交投标文件截止时间、开标时间和地点</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（一）投标截止时间：2026年</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 11 </w:t>
      </w:r>
      <w:r>
        <w:rPr>
          <w:rFonts w:hint="eastAsia" w:ascii="宋体" w:hAnsi="宋体" w:cs="宋体"/>
          <w:color w:val="auto"/>
          <w:sz w:val="24"/>
          <w:szCs w:val="24"/>
          <w:highlight w:val="none"/>
        </w:rPr>
        <w:t xml:space="preserve">日北京时间09：30。</w:t>
      </w:r>
      <w:r>
        <w:rPr>
          <w:color w:val="auto"/>
        </w:rPr>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（二）开标时间：2026年</w:t>
      </w:r>
      <w:r>
        <w:rPr>
          <w:rFonts w:hint="eastAsia" w:ascii="宋体" w:hAnsi="宋体" w:cs="宋体"/>
          <w:color w:val="auto"/>
          <w:sz w:val="24"/>
          <w:szCs w:val="24"/>
          <w:highlight w:val="none"/>
          <w:lang w:val="en-US" w:eastAsia="zh-CN"/>
        </w:rPr>
        <w:t xml:space="preserve">9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 11 </w:t>
      </w:r>
      <w:r>
        <w:rPr>
          <w:rFonts w:hint="eastAsia" w:ascii="宋体" w:hAnsi="宋体" w:cs="宋体"/>
          <w:color w:val="auto"/>
          <w:sz w:val="24"/>
          <w:szCs w:val="24"/>
          <w:highlight w:val="none"/>
        </w:rPr>
        <w:t xml:space="preserve">日北京时间09：30。</w:t>
      </w:r>
      <w:r>
        <w:rPr>
          <w:color w:val="auto"/>
        </w:rPr>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（三）开标地点：“苏采云”系统（网址： http://jszfcg.jsczt.cn/）“开标大厅”或进入徐州政府采购网（网址：https://czj.xz.gov.cn/zfcg/index.html）--办事指南--供应商--供应商登录入口</w:t>
      </w:r>
      <w:r>
        <w:rPr>
          <w:rFonts w:hint="eastAsia" w:ascii="宋体" w:hAnsi="宋体" w:cs="宋体"/>
          <w:color w:val="auto"/>
          <w:sz w:val="24"/>
          <w:szCs w:val="24"/>
          <w:highlight w:val="none"/>
          <w:lang w:eastAsia="zh-CN"/>
        </w:rPr>
        <w:t xml:space="preserve">，点击“苏采云”进入系统“开标大厅”。</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五、采购人</w:t>
      </w:r>
      <w:r/>
    </w:p>
    <w:p>
      <w:pPr>
        <w:ind w:firstLine="600"/>
        <w:spacing w:line="5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（一）名称：</w:t>
      </w:r>
      <w:r>
        <w:rPr>
          <w:rFonts w:hint="eastAsia" w:ascii="宋体" w:hAnsi="宋体" w:cs="宋体"/>
          <w:color w:val="auto"/>
          <w:sz w:val="24"/>
          <w:szCs w:val="24"/>
          <w:highlight w:val="none"/>
          <w:lang w:eastAsia="zh-CN"/>
        </w:rPr>
        <w:t xml:space="preserve">徐州市鼓楼区园林工程处</w:t>
      </w:r>
      <w:r/>
    </w:p>
    <w:p>
      <w:pPr>
        <w:ind w:firstLine="600"/>
        <w:spacing w:line="5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（二）地址：</w:t>
      </w:r>
      <w:r>
        <w:rPr>
          <w:rFonts w:hint="eastAsia" w:ascii="宋体" w:hAnsi="宋体" w:cs="宋体"/>
          <w:color w:val="auto"/>
          <w:sz w:val="24"/>
          <w:szCs w:val="24"/>
          <w:highlight w:val="none"/>
          <w:lang w:eastAsia="zh-CN"/>
        </w:rPr>
        <w:t xml:space="preserve">徐州市鼓楼楼区东华街25号</w:t>
      </w:r>
      <w:r/>
    </w:p>
    <w:p>
      <w:pPr>
        <w:ind w:firstLine="600"/>
        <w:spacing w:line="5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（三）联系方法：</w:t>
      </w:r>
      <w:r>
        <w:rPr>
          <w:rFonts w:hint="eastAsia" w:ascii="宋体" w:hAnsi="宋体" w:cs="宋体"/>
          <w:color w:val="auto"/>
          <w:sz w:val="24"/>
          <w:szCs w:val="24"/>
          <w:highlight w:val="none"/>
          <w:lang w:eastAsia="zh-CN"/>
        </w:rPr>
        <w:t xml:space="preserve">0516-85512059</w:t>
      </w:r>
      <w:r/>
    </w:p>
    <w:p>
      <w:pPr>
        <w:ind w:firstLine="600"/>
        <w:spacing w:line="5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（四）采购项目联系人：李连华；联系电话：</w:t>
      </w:r>
      <w:r>
        <w:rPr>
          <w:rFonts w:hint="eastAsia" w:ascii="宋体" w:hAnsi="宋体" w:cs="宋体"/>
          <w:color w:val="auto"/>
          <w:sz w:val="24"/>
          <w:szCs w:val="24"/>
          <w:highlight w:val="none"/>
          <w:lang w:eastAsia="zh-CN"/>
        </w:rPr>
        <w:t xml:space="preserve">0516-85512059</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六、采购代理机构</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（一）名称：</w:t>
      </w:r>
      <w:r>
        <w:rPr>
          <w:rFonts w:hint="eastAsia" w:ascii="宋体" w:hAnsi="宋体" w:cs="宋体"/>
          <w:color w:val="auto"/>
          <w:sz w:val="24"/>
          <w:szCs w:val="24"/>
          <w:highlight w:val="none"/>
          <w:lang w:eastAsia="zh-CN"/>
        </w:rPr>
        <w:t xml:space="preserve">江苏中瑞建设项目管理有限公司</w:t>
      </w:r>
      <w:r/>
    </w:p>
    <w:p>
      <w:pPr>
        <w:ind w:firstLine="600"/>
        <w:spacing w:line="5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（二）地址：</w:t>
      </w:r>
      <w:r>
        <w:rPr>
          <w:rFonts w:hint="eastAsia" w:ascii="宋体" w:hAnsi="宋体" w:cs="宋体"/>
          <w:color w:val="auto"/>
          <w:sz w:val="24"/>
          <w:szCs w:val="24"/>
          <w:highlight w:val="none"/>
          <w:lang w:eastAsia="zh-CN"/>
        </w:rPr>
        <w:t xml:space="preserve">徐州市云龙区郭庄路世茂广场SOHO3号楼17楼</w:t>
      </w:r>
      <w:r/>
    </w:p>
    <w:p>
      <w:pPr>
        <w:ind w:firstLine="600"/>
        <w:spacing w:line="52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（三）联系方法：</w:t>
      </w:r>
      <w:r>
        <w:rPr>
          <w:rFonts w:hint="eastAsia" w:ascii="宋体" w:hAnsi="宋体" w:cs="宋体"/>
          <w:color w:val="auto"/>
          <w:sz w:val="24"/>
          <w:szCs w:val="24"/>
          <w:highlight w:val="none"/>
          <w:lang w:eastAsia="zh-CN"/>
        </w:rPr>
        <w:t xml:space="preserve">0516-83906677 </w:t>
      </w:r>
      <w:r>
        <w:rPr>
          <w:rFonts w:hint="eastAsia" w:ascii="宋体" w:hAnsi="宋体" w:cs="宋体"/>
          <w:color w:val="auto"/>
          <w:sz w:val="24"/>
          <w:szCs w:val="24"/>
          <w:highlight w:val="none"/>
          <w:lang w:val="en-US" w:eastAsia="zh-CN"/>
        </w:rPr>
        <w:t xml:space="preserve">  </w:t>
      </w:r>
      <w:r>
        <w:rPr>
          <w:rFonts w:hint="eastAsia" w:ascii="宋体" w:hAnsi="宋体"/>
          <w:color w:val="auto"/>
          <w:sz w:val="24"/>
          <w:highlight w:val="none"/>
        </w:rPr>
        <w:t xml:space="preserve"> </w:t>
      </w:r>
      <w:r/>
    </w:p>
    <w:p>
      <w:pPr>
        <w:ind w:firstLine="600"/>
        <w:spacing w:line="5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（四）采购项目联系人：</w:t>
      </w:r>
      <w:r>
        <w:rPr>
          <w:rFonts w:hint="eastAsia" w:ascii="宋体" w:hAnsi="宋体" w:cs="宋体"/>
          <w:color w:val="auto"/>
          <w:sz w:val="24"/>
          <w:szCs w:val="24"/>
          <w:highlight w:val="none"/>
          <w:lang w:eastAsia="zh-CN"/>
        </w:rPr>
        <w:t xml:space="preserve">张素雅、卞彩彩</w:t>
      </w:r>
      <w:r/>
    </w:p>
    <w:p>
      <w:pPr>
        <w:jc w:val="center"/>
        <w:widowControl/>
        <w:rPr>
          <w:rFonts w:hint="eastAsia" w:ascii="宋体" w:hAnsi="宋体" w:cs="宋体"/>
          <w:color w:val="auto"/>
          <w:sz w:val="24"/>
          <w:szCs w:val="24"/>
          <w:highlight w:val="none"/>
        </w:rPr>
      </w:pPr>
      <w:r/>
      <w:bookmarkStart w:id="2" w:name="_Toc522790131"/>
      <w:r>
        <w:rPr>
          <w:rStyle w:val="964"/>
          <w:rFonts w:hint="eastAsia" w:ascii="宋体" w:hAnsi="宋体" w:eastAsia="宋体" w:cs="宋体"/>
          <w:color w:val="auto"/>
          <w:sz w:val="24"/>
          <w:szCs w:val="24"/>
          <w:highlight w:val="none"/>
        </w:rPr>
        <w:br w:type="page" w:clear="all"/>
      </w:r>
      <w:bookmarkStart w:id="3" w:name="_Toc31763"/>
      <w:r>
        <w:rPr>
          <w:rStyle w:val="964"/>
          <w:rFonts w:hint="eastAsia" w:ascii="宋体" w:hAnsi="宋体" w:eastAsia="宋体" w:cs="宋体"/>
          <w:color w:val="auto"/>
          <w:sz w:val="24"/>
          <w:szCs w:val="24"/>
          <w:highlight w:val="none"/>
        </w:rPr>
        <w:t xml:space="preserve">第二章  投标人须知</w:t>
      </w:r>
      <w:bookmarkEnd w:id="2"/>
      <w:r/>
      <w:bookmarkEnd w:id="3"/>
      <w:r/>
      <w:r/>
    </w:p>
    <w:p>
      <w:pPr>
        <w:ind w:firstLine="600"/>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一、总则</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（一）采购人。采购人即指依法进行政府采购的国家机关、事业单位和团体组织。</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（二）政府招标采购方式。政府采购货物或服务（以下简称“货物服务”）的招标方式，分为公开招标和邀请招标。</w:t>
      </w:r>
      <w:r/>
    </w:p>
    <w:p>
      <w:pPr>
        <w:ind w:firstLine="600"/>
        <w:jc w:val="left"/>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600"/>
        <w:jc w:val="left"/>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jc w:val="left"/>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（五）采购人委托采购代理机构代理招标的，采购代理机构必须在采购人委托的范围内依法开展采购活动。</w:t>
      </w:r>
      <w:r/>
    </w:p>
    <w:p>
      <w:pPr>
        <w:ind w:firstLine="600"/>
        <w:jc w:val="left"/>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（六）投标人的资格条件：</w:t>
      </w:r>
      <w:r/>
    </w:p>
    <w:p>
      <w:pPr>
        <w:ind w:firstLine="600"/>
        <w:jc w:val="left"/>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jc w:val="left"/>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投标人是指响应招标、参加投标竞争的法人、其他组织或者自然人。</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2.投标人授权代表系指法定代表人或受法人委托的受托人。</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（七）投标费用：投标人应承担所有与准备和参加投标有关的费用。无论投标的结果如何，采购代理机构对上述费用不承担任何责任和义务。</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二、招标</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（八）招标文件应包括以下内容：</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第一章，投标邀请；</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第二章，投标人须知；</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第三章，投标资料表；</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第四章，评标标准；</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第五章，拟签订的合同文本；</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第六章，采购需求；</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第七章，投标文件相关格式。</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（九）招标文件澄清或者修改：</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2.现场考察以本文件第三章《投标资料表》中的要求为准。</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3.开标前答疑会以本文件第三章《投标资料表》中的要求为准。</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三、投标</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（十）投标人应当按照招标文件的要求编制投标文件。投标文件应对招标文件提出的要求和条件作出实质性响应。</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（十二）投标文件的构成：</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1.投标文件的构成以本文件第三章《投标资料表》中的要求为准。</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2.投标人应当提交的资格、资信证明文件，以本文件第三章《投标资料表》中的所提要求为准。</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（十三）投标函和价格表、商务条件、提供服务的时间：</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1.投标函和价格表的要求见本章（十二）、（十三），格式见本文件第七章《投标文件相关格式》中《投标函》和《开标一览表》。</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2.商务条件以本文件第三章《投标资料表》中的要求为准。</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3.提供服务的时间，以本文件第三章《投标资料表》中所提要求为准。</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（十四）投标报价要求：</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1.投标人应按照招标文件的要求报出分项价格和总价。</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2.投标人应按照招标文件的要求进行报价，如投标人作出偏离，应在《偏离表》中列出。</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3.采购人不支付报价以外的任何费用。</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5.投标人只能提交一个投标价格，投标人提交多个价格的投标文件，在资格性、符合性检查时按照无效投标处理。</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（十五）投标货币。以本文件第三章《投标资料表》中所提要求为准。</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（十六）投标有效期：</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1.投标有效期为开标之日后90天。采购人可以要求对投标有效期延长一次，但该延长期最长不得超过30天。</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（十七）投标文件的编制要求和签署要求：</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1.电子投标文件要求</w:t>
      </w:r>
      <w:r/>
    </w:p>
    <w:p>
      <w:pPr>
        <w:ind w:firstLine="482"/>
        <w:jc w:val="left"/>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（1）投标人应由其法定代表人或法定代表人授权代表在规定的网上投标时间，凭 CA 证书登陆电子招标投标交易平台（即“苏采云”系统）在线编制投标文件（电子数据），并在投标截止时间之前上传投标文件。</w:t>
      </w:r>
      <w:r/>
    </w:p>
    <w:p>
      <w:pPr>
        <w:ind w:firstLine="482"/>
        <w:jc w:val="left"/>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（2）投标人应对 CA 证书妥善保管，如被他人盗用投标，因此带来的结果均由投标人自行承担。</w:t>
      </w:r>
      <w:r/>
    </w:p>
    <w:p>
      <w:pPr>
        <w:ind w:firstLine="482"/>
        <w:jc w:val="left"/>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（3）投标人应当对招标文件提出的要求和条件作出实质性响应，并在电子投标系统逐条应答。</w:t>
      </w:r>
      <w:r/>
    </w:p>
    <w:p>
      <w:pPr>
        <w:ind w:firstLine="482"/>
        <w:jc w:val="left"/>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（4）投标人应对要求提供的资格证明文件（如资质证书、资格证书）、技术资料（如白皮书、彩页、手册、检测报告等）扫描上传至投标系统。</w:t>
      </w:r>
      <w:r/>
    </w:p>
    <w:p>
      <w:pPr>
        <w:ind w:firstLine="482"/>
        <w:jc w:val="left"/>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（十八）投标文件的盖章要求：</w:t>
      </w:r>
      <w:r/>
    </w:p>
    <w:p>
      <w:pPr>
        <w:ind w:firstLine="482"/>
        <w:jc w:val="left"/>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投标文件的盖章要求，以本文件第三章《投标资料表》中所提要求为准。</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（十九）提交电子投标文件的截止时间注意事项。投标人应在招标文件要求的提交投标文件的截止时间前，将投标文件提交至“苏采云”系统。</w:t>
      </w:r>
      <w:r/>
    </w:p>
    <w:p>
      <w:pPr>
        <w:ind w:firstLine="600"/>
        <w:jc w:val="left"/>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（二十）凡在招标文件要求提交投标文件的截止时间之后提交的投标文件，均为无效投标文件，“苏采云”系统将自动拒收。各投标人应在规定时间内通过CA证书进行网上解密。</w:t>
      </w:r>
      <w:r/>
    </w:p>
    <w:p>
      <w:pPr>
        <w:ind w:firstLine="600"/>
        <w:jc w:val="left"/>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十一）投标人在投标截止时间前，可以对所递交的投标文件进行补充、修改或者撤回，但应书面通知采购代理机构。其所进行补充、修改的内容，应当按照招标文件要求进行电子签章，然后纳为投标文件的组成部分。</w:t>
      </w:r>
      <w:r/>
    </w:p>
    <w:p>
      <w:pPr>
        <w:ind w:firstLine="600"/>
        <w:jc w:val="left"/>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（二十二）本项目不允许分包、转包。</w:t>
      </w:r>
      <w:r/>
    </w:p>
    <w:p>
      <w:pPr>
        <w:ind w:firstLine="600"/>
        <w:spacing w:line="520" w:lineRule="exact"/>
        <w:shd w:val="clear" w:color="auto"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（二十三）投标人应当遵循公平竞争的原则，不得恶意串通，不得妨碍其他投标人的竞争行为，不得损害采购人或者其他投标人的合法权益。</w:t>
      </w:r>
      <w:r/>
    </w:p>
    <w:p>
      <w:pPr>
        <w:ind w:firstLine="600"/>
        <w:jc w:val="left"/>
        <w:spacing w:line="520" w:lineRule="exact"/>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在评标过程中发现投标人有上述情形的，评标委员会应当认定其投标无效，并书面报告本级财政部门。</w:t>
      </w:r>
      <w:r/>
    </w:p>
    <w:p>
      <w:pPr>
        <w:ind w:firstLine="600"/>
        <w:jc w:val="left"/>
        <w:spacing w:line="520" w:lineRule="exact"/>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（二十四）有下列情形之一的，其投标无效。</w:t>
      </w:r>
      <w:r/>
    </w:p>
    <w:p>
      <w:pPr>
        <w:ind w:firstLine="600"/>
        <w:jc w:val="left"/>
        <w:spacing w:line="520" w:lineRule="exact"/>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1.不同投标人的投标文件，由同一单位或者个人编制；</w:t>
      </w:r>
      <w:r/>
    </w:p>
    <w:p>
      <w:pPr>
        <w:ind w:firstLine="600"/>
        <w:jc w:val="left"/>
        <w:spacing w:line="520" w:lineRule="exact"/>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2.不同投标人委托同一单位或者个人办理投标事宜；</w:t>
      </w:r>
      <w:r/>
    </w:p>
    <w:p>
      <w:pPr>
        <w:ind w:firstLine="600"/>
        <w:jc w:val="left"/>
        <w:spacing w:line="520" w:lineRule="exact"/>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3.不同投标人的投标文件中，所载明的项目管理成员或联系人为同一人；</w:t>
      </w:r>
      <w:r/>
    </w:p>
    <w:p>
      <w:pPr>
        <w:ind w:firstLine="600"/>
        <w:jc w:val="left"/>
        <w:spacing w:line="520" w:lineRule="exact"/>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4.不同投标人的投标文件，异常一致或者投标报价呈规律性差异；</w:t>
      </w:r>
      <w:r/>
    </w:p>
    <w:p>
      <w:pPr>
        <w:ind w:firstLine="600"/>
        <w:jc w:val="left"/>
        <w:spacing w:line="520" w:lineRule="exact"/>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5.不同投标人的投标文件相互混装；</w:t>
      </w:r>
      <w:r/>
    </w:p>
    <w:p>
      <w:pPr>
        <w:ind w:firstLine="600"/>
        <w:jc w:val="left"/>
        <w:spacing w:line="520" w:lineRule="exact"/>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jc w:val="left"/>
        <w:spacing w:line="520" w:lineRule="exact"/>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7.电子投标文件未按规定期限投标的；</w:t>
      </w:r>
      <w:r/>
    </w:p>
    <w:p>
      <w:pPr>
        <w:ind w:firstLine="600"/>
        <w:jc w:val="left"/>
        <w:spacing w:line="520" w:lineRule="exact"/>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8.电子投标文件未按招标文件要求签章的；</w:t>
      </w:r>
      <w:r/>
    </w:p>
    <w:p>
      <w:pPr>
        <w:ind w:firstLine="600"/>
        <w:jc w:val="left"/>
        <w:spacing w:line="520" w:lineRule="exact"/>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9.投标人未在规定时间内解密电子投标文件的；</w:t>
      </w:r>
      <w:r/>
    </w:p>
    <w:p>
      <w:pPr>
        <w:ind w:firstLine="600"/>
        <w:jc w:val="left"/>
        <w:spacing w:line="520" w:lineRule="exact"/>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10.投标文件未按招标文件规定的内容和要求填写的；没有在投标系统指定位置上传对应文件、材料的；</w:t>
      </w:r>
      <w:r/>
    </w:p>
    <w:p>
      <w:pPr>
        <w:ind w:firstLine="600"/>
        <w:jc w:val="left"/>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.不具备招标文件中规定的资格要求的；</w:t>
      </w:r>
      <w:r/>
    </w:p>
    <w:p>
      <w:pPr>
        <w:ind w:firstLine="600"/>
        <w:jc w:val="left"/>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.报价超过招标文件中规定的预算金额或者最高限价的；</w:t>
      </w:r>
      <w:r/>
    </w:p>
    <w:p>
      <w:pPr>
        <w:ind w:firstLine="600"/>
        <w:jc w:val="left"/>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.投标文件含有采购人不能接受的附加条件的；</w:t>
      </w:r>
      <w:r/>
    </w:p>
    <w:p>
      <w:pPr>
        <w:ind w:firstLine="600"/>
        <w:jc w:val="left"/>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法律法规</w:t>
      </w:r>
      <w:r>
        <w:rPr>
          <w:rFonts w:hint="eastAsia" w:ascii="宋体" w:hAnsi="宋体" w:cs="宋体"/>
          <w:color w:val="auto"/>
          <w:sz w:val="24"/>
          <w:szCs w:val="24"/>
          <w:highlight w:val="none"/>
        </w:rPr>
        <w:t xml:space="preserve">和招标文件规定的其他无效情形。</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四、开标</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（二十五）开标：</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1.所有投标单位凭 CA 证书在到达开标时间时，解密各自投标文件。</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2.投标人不足3家的，不得开标。</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3.开标过程由采购代理机构负责记录。</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4.投标人代表对开标过程和开标记录有疑义的，或者认为采购人、采购代理机构相关工作人员有需要回避情形的，应当场提出询问或者提出回避申请。</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5.投标人未参加开标的，视同认可开标结果。</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五、评标</w:t>
      </w:r>
      <w:r/>
    </w:p>
    <w:p>
      <w:pPr>
        <w:ind w:firstLine="600"/>
        <w:jc w:val="left"/>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（二十六）公开招标采购项目开标结束后，采购人依法对投标人的资格进行审查。合格投标人不足3家的，不得评标。</w:t>
      </w:r>
      <w:r/>
    </w:p>
    <w:p>
      <w:pPr>
        <w:ind w:firstLine="600"/>
        <w:jc w:val="left"/>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1.评标工作由采购代理机构负责组织，并履行下列职责：</w:t>
      </w:r>
      <w:r/>
    </w:p>
    <w:p>
      <w:pPr>
        <w:ind w:firstLine="600"/>
        <w:jc w:val="left"/>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600"/>
        <w:jc w:val="left"/>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（2）宣布评标纪律；</w:t>
      </w:r>
      <w:r/>
    </w:p>
    <w:p>
      <w:pPr>
        <w:ind w:firstLine="600"/>
        <w:jc w:val="left"/>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（3）公布投标人名单，告知评审专家应当回避的情形；</w:t>
      </w:r>
      <w:r/>
    </w:p>
    <w:p>
      <w:pPr>
        <w:ind w:firstLine="600"/>
        <w:jc w:val="left"/>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（4）组织评标委员会推选评标组长（采购人代表不得担任组长）；</w:t>
      </w:r>
      <w:r/>
    </w:p>
    <w:p>
      <w:pPr>
        <w:ind w:firstLine="600"/>
        <w:jc w:val="left"/>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（5）在评标期间采取必要的通讯管理措施，保证评标活动不受外界干扰；</w:t>
      </w:r>
      <w:r/>
    </w:p>
    <w:p>
      <w:pPr>
        <w:ind w:firstLine="600"/>
        <w:jc w:val="left"/>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（6）根据评标委员会的要求介绍政府采购相关政策法规、招标文件；</w:t>
      </w:r>
      <w:r/>
    </w:p>
    <w:p>
      <w:pPr>
        <w:ind w:firstLine="600"/>
        <w:jc w:val="left"/>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jc w:val="left"/>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（8）核对评标结果，对有《</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"http://www.caigou2003.com/" \t "_blank"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政府采购</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货物和服务招标投标管理办法》第六十四条规定情形的，应要求评标委员会复核或者书面说明理由，评标委员会拒绝的，应予记录并向本级财政部门报告；</w:t>
      </w:r>
      <w:r/>
    </w:p>
    <w:p>
      <w:pPr>
        <w:ind w:firstLine="600"/>
        <w:jc w:val="left"/>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（9）评审工作完成后，按照规定向评审专家支付劳务报酬和异地评审差旅费，不得向评审专家以外的其他人员支付评审劳务报酬； </w:t>
      </w:r>
      <w:r/>
    </w:p>
    <w:p>
      <w:pPr>
        <w:ind w:firstLine="600"/>
        <w:jc w:val="left"/>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（10）处理与评标有关的其他事项。</w:t>
      </w:r>
      <w:r/>
    </w:p>
    <w:p>
      <w:pPr>
        <w:ind w:firstLine="600"/>
        <w:jc w:val="left"/>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jc w:val="left"/>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2.评标委员会负责具体评标事务，并独立履行下列职责：</w:t>
      </w:r>
      <w:r/>
    </w:p>
    <w:p>
      <w:pPr>
        <w:ind w:firstLine="450"/>
        <w:jc w:val="left"/>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（1）审查、评价投标文件是否符合招标文件的商务、技术等实质性要求；</w:t>
      </w:r>
      <w:r/>
    </w:p>
    <w:p>
      <w:pPr>
        <w:ind w:firstLine="450"/>
        <w:jc w:val="left"/>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（2）要求投标人对投标文件有关事项作出澄清或者说明；</w:t>
      </w:r>
      <w:r/>
    </w:p>
    <w:p>
      <w:pPr>
        <w:ind w:firstLine="450"/>
        <w:jc w:val="left"/>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（3）对投标文件进行比较和评价；</w:t>
      </w:r>
      <w:r/>
    </w:p>
    <w:p>
      <w:pPr>
        <w:ind w:firstLine="450"/>
        <w:jc w:val="left"/>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（4）确定中标候选人名单，以及根据采购人委托直接确定中标人；</w:t>
      </w:r>
      <w:r/>
    </w:p>
    <w:p>
      <w:pPr>
        <w:ind w:firstLine="450"/>
        <w:jc w:val="left"/>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（5）向采购人、采购代理机构或有关部门报告评标中发现的违法行为。</w:t>
      </w:r>
      <w:r/>
    </w:p>
    <w:p>
      <w:pPr>
        <w:ind w:firstLine="450"/>
        <w:jc w:val="left"/>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（二十七）评标方法分为最低评标价法和综合评分法。本项目的评标方法：见招标文件第三章《投标资料表》。</w:t>
      </w:r>
      <w:r/>
    </w:p>
    <w:p>
      <w:pPr>
        <w:ind w:firstLine="450"/>
        <w:jc w:val="left"/>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（二十八）评标</w:t>
      </w:r>
      <w:r/>
    </w:p>
    <w:p>
      <w:pPr>
        <w:ind w:firstLine="600"/>
        <w:jc w:val="left"/>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1.评标工作程序：</w:t>
      </w:r>
      <w:r/>
    </w:p>
    <w:p>
      <w:pPr>
        <w:ind w:firstLine="600"/>
        <w:jc w:val="left"/>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（1）投标文件初审。</w:t>
      </w:r>
      <w:r/>
    </w:p>
    <w:p>
      <w:pPr>
        <w:ind w:firstLine="600"/>
        <w:jc w:val="left"/>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①资格性审查。</w:t>
      </w:r>
      <w:r/>
    </w:p>
    <w:p>
      <w:pPr>
        <w:ind w:firstLine="600"/>
        <w:jc w:val="left"/>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②符合性审查。</w:t>
      </w:r>
      <w:r/>
    </w:p>
    <w:p>
      <w:pPr>
        <w:ind w:firstLine="600"/>
        <w:jc w:val="left"/>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（2）澄清有关问题。</w:t>
      </w:r>
      <w:r/>
    </w:p>
    <w:p>
      <w:pPr>
        <w:ind w:firstLine="600"/>
        <w:jc w:val="left"/>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（3）比较与评价。</w:t>
      </w:r>
      <w:r/>
    </w:p>
    <w:p>
      <w:pPr>
        <w:ind w:firstLine="600"/>
        <w:jc w:val="left"/>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（4）推荐中标候选供应商名单。</w:t>
      </w:r>
      <w:r/>
    </w:p>
    <w:p>
      <w:pPr>
        <w:ind w:firstLine="600"/>
        <w:jc w:val="left"/>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（5）编写评审报告（评标报告）。</w:t>
      </w:r>
      <w:r/>
    </w:p>
    <w:p>
      <w:pPr>
        <w:ind w:firstLine="600"/>
        <w:jc w:val="left"/>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spacing w:line="520" w:lineRule="exact"/>
        <w:shd w:val="clear" w:color="auto"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eastAsia="宋体" w:cs="宋体"/>
          <w:color w:val="auto"/>
          <w:sz w:val="24"/>
          <w:szCs w:val="24"/>
          <w:highlight w:val="none"/>
        </w:rPr>
        <w:t xml:space="preserve">中标候选人排序规则、中标人确定要求详</w:t>
      </w:r>
      <w:r>
        <w:rPr>
          <w:rFonts w:hint="eastAsia" w:ascii="宋体" w:hAnsi="宋体" w:eastAsia="宋体" w:cs="宋体"/>
          <w:color w:val="auto"/>
          <w:sz w:val="24"/>
          <w:szCs w:val="24"/>
          <w:highlight w:val="none"/>
        </w:rPr>
        <w:t xml:space="preserve">见招标文件第三章《投标资料表》。</w:t>
      </w:r>
      <w:r/>
    </w:p>
    <w:p>
      <w:pPr>
        <w:ind w:firstLine="480"/>
        <w:jc w:val="left"/>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（二十九）投标文件报价出现前后不一致的，按照下列规定修正：</w:t>
      </w:r>
      <w:r/>
    </w:p>
    <w:p>
      <w:pPr>
        <w:ind w:firstLine="600"/>
        <w:jc w:val="left"/>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1.投标文件中开标一览表（报价表）内容与投标文件中相应内容不一致的，以开标一览表（报价表）为准；</w:t>
      </w:r>
      <w:r/>
    </w:p>
    <w:p>
      <w:pPr>
        <w:ind w:firstLine="600"/>
        <w:jc w:val="left"/>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2.大写金额和小写金额不一致的，以大写金额为准；</w:t>
      </w:r>
      <w:r/>
    </w:p>
    <w:p>
      <w:pPr>
        <w:ind w:firstLine="600"/>
        <w:jc w:val="left"/>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3.单价金额小数点或者百分比有明显错位的，以开标一览表的总价为准，并修改单价；</w:t>
      </w:r>
      <w:r/>
    </w:p>
    <w:p>
      <w:pPr>
        <w:ind w:firstLine="600"/>
        <w:jc w:val="left"/>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4.总价金额与按单价合计金额不一致的，以单价金额计算结果为准。</w:t>
      </w:r>
      <w:r/>
    </w:p>
    <w:p>
      <w:pPr>
        <w:ind w:firstLine="600"/>
        <w:jc w:val="left"/>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jc w:val="left"/>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jc w:val="left"/>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评标中需要投标人对投标文件澄清或者说明的，应当通过“苏采云”系统交换数据电文。在评标期间，请投标人保持在线。</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（三十）实施政府采购异常低价审查的有关要求：</w:t>
      </w:r>
      <w:r/>
    </w:p>
    <w:p>
      <w:pPr>
        <w:ind w:firstLine="600"/>
        <w:spacing w:line="51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（一）评审中出现下列情形之一的，评审（评标）委员会应当启动异常低价投标（响应）审查程序：</w:t>
      </w:r>
      <w:r/>
    </w:p>
    <w:p>
      <w:pPr>
        <w:ind w:firstLine="600"/>
        <w:spacing w:line="51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600"/>
        <w:spacing w:line="51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600"/>
        <w:spacing w:line="51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3.投标（响应）报价低于采购项目最高限价（未设定最高限价的采购项目，以采购项目预算金额作为最高限价）45%的，即投标（响应）报价&lt;采购项目最高限价×45%；</w:t>
      </w:r>
      <w:r/>
    </w:p>
    <w:p>
      <w:pPr>
        <w:ind w:firstLine="600"/>
        <w:spacing w:line="51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4.评审（评标）委员会基于专业判断，认为供应商报价过低，有可能影响产品质量或者不能诚信履约的其他情形。</w:t>
      </w:r>
      <w:r/>
    </w:p>
    <w:p>
      <w:pPr>
        <w:ind w:firstLine="600"/>
        <w:spacing w:line="51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相关法律法规对供应商报价有规定的，从其规定。</w:t>
      </w:r>
      <w:r/>
    </w:p>
    <w:p>
      <w:pPr>
        <w:ind w:firstLine="600"/>
        <w:spacing w:line="51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600"/>
        <w:spacing w:line="51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600"/>
        <w:spacing w:line="519" w:lineRule="atLeast"/>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bCs/>
          <w:color w:val="auto"/>
          <w:sz w:val="24"/>
          <w:szCs w:val="24"/>
          <w:highlight w:val="none"/>
          <w:lang w:eastAsia="zh-CN"/>
        </w:rPr>
        <w:t xml:space="preserve">。</w:t>
      </w:r>
      <w:r/>
    </w:p>
    <w:p>
      <w:pPr>
        <w:ind w:firstLine="600"/>
        <w:jc w:val="left"/>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left"/>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（三十二）废标条款：</w:t>
      </w:r>
      <w:r/>
    </w:p>
    <w:p>
      <w:pPr>
        <w:ind w:firstLine="600"/>
        <w:jc w:val="left"/>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出现下列情形之一的，应予废标。</w:t>
      </w:r>
      <w:r/>
    </w:p>
    <w:p>
      <w:pPr>
        <w:ind w:firstLine="600"/>
        <w:jc w:val="left"/>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1.符合专业条件的供应商或者对招标文件作实质响应的供应商不足三家的；</w:t>
      </w:r>
      <w:r/>
    </w:p>
    <w:p>
      <w:pPr>
        <w:ind w:firstLine="600"/>
        <w:jc w:val="left"/>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2.出现影响采购公正的违法、违规行为的；</w:t>
      </w:r>
      <w:r/>
    </w:p>
    <w:p>
      <w:pPr>
        <w:ind w:firstLine="600"/>
        <w:jc w:val="left"/>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3.投标人的报价均超过了采购预算，采购人不能支付的；</w:t>
      </w:r>
      <w:r/>
    </w:p>
    <w:p>
      <w:pPr>
        <w:ind w:firstLine="600"/>
        <w:jc w:val="left"/>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4.因重大变故，采购任务取消的。</w:t>
      </w:r>
      <w:r/>
    </w:p>
    <w:p>
      <w:pPr>
        <w:ind w:firstLine="600"/>
        <w:spacing w:line="519" w:lineRule="atLeast"/>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投标文件未按招标文件规定的内容和要求填写的</w:t>
      </w:r>
      <w:r>
        <w:rPr>
          <w:rFonts w:hint="eastAsia" w:ascii="宋体" w:hAnsi="宋体" w:cs="宋体"/>
          <w:color w:val="auto"/>
          <w:sz w:val="24"/>
          <w:szCs w:val="24"/>
          <w:highlight w:val="none"/>
          <w:lang w:val="en-US" w:eastAsia="zh-CN"/>
        </w:rPr>
        <w:t xml:space="preserve">。</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六、定标</w:t>
      </w:r>
      <w:r/>
    </w:p>
    <w:p>
      <w:pPr>
        <w:ind w:firstLine="600"/>
        <w:jc w:val="left"/>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（三十三）采购代理机构应当在评标结束后2个工作日内将评标报告送采购人。</w:t>
      </w:r>
      <w:r/>
    </w:p>
    <w:p>
      <w:pPr>
        <w:ind w:firstLine="600"/>
        <w:jc w:val="left"/>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（三十四）采购人应当自收到评标报告之日起5个工作日内，在评标报告确定的中标候选人名单中按顺序确定中标人。</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七、政府采购合同</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（三十六）签订政府采购合同（合同签订方式）：</w:t>
      </w:r>
      <w:r/>
    </w:p>
    <w:p>
      <w:pPr>
        <w:ind w:firstLine="600"/>
        <w:jc w:val="left"/>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left"/>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采购人不得向中标人提出任何不合理的要求作为签订合同的条件。</w:t>
      </w:r>
      <w:r/>
    </w:p>
    <w:p>
      <w:pPr>
        <w:ind w:firstLine="600"/>
        <w:jc w:val="left"/>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2.中标人或者成交供应商拒绝与采购人签订合同的，采购人可以按照评标报告推荐的中标或者成交候选人名单排序，确定下一个候选人为中标或者成交供应商，也可以重新开展政府采购活动。</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ascii="宋体" w:hAnsi="宋体" w:eastAsia="宋体" w:cs="宋体"/>
          <w:color w:val="auto"/>
          <w:sz w:val="24"/>
          <w:szCs w:val="24"/>
          <w:highlight w:val="none"/>
        </w:rPr>
        <w:t xml:space="preserve">中标人无正当理由拒签合同的，或在签订书面合同时向采购人提出修改合同或者附加条件，采购人取消其中标资格；给采购人造成的损失，中标人还应当予以赔偿。该损失包括但不限于重新招标费用、成交价格高于本次招标价格部分、实现赔偿的诉讼费、律师费等费用。对依法必须进行招标的项目的中标人，由有关行政监督部门责令改正。</w:t>
      </w:r>
      <w:r/>
    </w:p>
    <w:p>
      <w:pPr>
        <w:ind w:firstLine="600"/>
        <w:spacing w:line="520" w:lineRule="exact"/>
        <w:shd w:val="clear" w:color="auto"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jc w:val="left"/>
        <w:spacing w:line="520" w:lineRule="exact"/>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（三十八）履约保证金：</w:t>
      </w:r>
      <w:r>
        <w:rPr>
          <w:rFonts w:hint="eastAsia" w:ascii="宋体" w:hAnsi="宋体" w:cs="宋体"/>
          <w:color w:val="auto"/>
          <w:sz w:val="24"/>
          <w:szCs w:val="24"/>
          <w:highlight w:val="none"/>
          <w:lang w:eastAsia="zh-CN"/>
        </w:rPr>
        <w:t xml:space="preserve">本项目不收取履约保证金。</w:t>
      </w:r>
      <w:r/>
    </w:p>
    <w:p>
      <w:pPr>
        <w:ind w:firstLine="600"/>
        <w:spacing w:line="519" w:lineRule="atLeast"/>
        <w:shd w:val="clear" w:color="ffffff" w:fill="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（三十九）腐败和欺诈行为：</w:t>
      </w:r>
      <w:r/>
    </w:p>
    <w:p>
      <w:pPr>
        <w:ind w:firstLine="600"/>
        <w:jc w:val="left"/>
        <w:spacing w:line="520" w:lineRule="exact"/>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1.采购代理机构、采购人、投标人等参与招投标的各方，均应在招标、采购、合同执行等过程中保持廉洁和最高的道德水准。</w:t>
      </w:r>
      <w:r/>
    </w:p>
    <w:p>
      <w:pPr>
        <w:ind w:firstLine="600"/>
        <w:jc w:val="left"/>
        <w:spacing w:line="520" w:lineRule="exact"/>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（1）腐败和欺诈行为的含义：</w:t>
      </w:r>
      <w:r/>
    </w:p>
    <w:p>
      <w:pPr>
        <w:ind w:firstLine="600"/>
        <w:jc w:val="left"/>
        <w:spacing w:line="520" w:lineRule="exact"/>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jc w:val="left"/>
        <w:spacing w:line="520" w:lineRule="exact"/>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②“欺诈行为”系指为了影响招标、采购和合同执行等过程，隐瞒事实真相，给买方、卖方、采购代理机构及他人造成损害的行为，其中包括投标人之间的串通行为。</w:t>
      </w:r>
      <w:r/>
    </w:p>
    <w:p>
      <w:pPr>
        <w:ind w:firstLine="600"/>
        <w:jc w:val="left"/>
        <w:spacing w:line="520" w:lineRule="exact"/>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（2）如果被推荐的中标人有腐败和欺诈行为，将取消其中标资格。</w:t>
      </w:r>
      <w:r/>
    </w:p>
    <w:p>
      <w:pPr>
        <w:ind w:firstLine="600"/>
        <w:jc w:val="left"/>
        <w:spacing w:line="520" w:lineRule="exact"/>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（3）如果投标人在任何时候，被法院及政府有关管理部门认定为有腐败和欺诈行为，采购代理机构有权拒绝其投标、取消其中标资格和</w:t>
      </w:r>
      <w:r>
        <w:rPr>
          <w:rFonts w:hint="eastAsia" w:ascii="宋体" w:hAnsi="宋体" w:cs="宋体"/>
          <w:color w:val="auto"/>
          <w:sz w:val="24"/>
          <w:szCs w:val="24"/>
          <w:highlight w:val="none"/>
          <w:lang w:eastAsia="zh-CN"/>
        </w:rPr>
        <w:t xml:space="preserve">撤销其</w:t>
      </w:r>
      <w:r>
        <w:rPr>
          <w:rFonts w:hint="eastAsia" w:ascii="宋体" w:hAnsi="宋体" w:cs="宋体"/>
          <w:color w:val="auto"/>
          <w:sz w:val="24"/>
          <w:szCs w:val="24"/>
          <w:highlight w:val="none"/>
        </w:rPr>
        <w:t xml:space="preserve">已签署的合同。</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八、询问和质疑</w:t>
      </w:r>
      <w:r/>
    </w:p>
    <w:p>
      <w:pPr>
        <w:ind w:firstLine="600"/>
        <w:jc w:val="left"/>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（四十）询问和质疑</w:t>
      </w:r>
      <w:r/>
    </w:p>
    <w:p>
      <w:pPr>
        <w:ind w:firstLine="600"/>
        <w:jc w:val="left"/>
        <w:spacing w:line="520" w:lineRule="exact"/>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九、电子招标投标交易平台</w:t>
      </w:r>
      <w:r/>
    </w:p>
    <w:p>
      <w:pPr>
        <w:pStyle w:val="983"/>
        <w:ind w:firstLine="600"/>
        <w:spacing w:line="52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（四十一）电子招标投标交易平台（即“苏采云”系统，网址：</w:t>
      </w:r>
      <w:r>
        <w:rPr>
          <w:rFonts w:hint="eastAsia" w:hAnsi="宋体" w:eastAsia="宋体" w:cs="宋体"/>
          <w:color w:val="auto"/>
          <w:sz w:val="24"/>
          <w:szCs w:val="24"/>
          <w:highlight w:val="none"/>
        </w:rPr>
        <w:fldChar w:fldCharType="begin"/>
      </w:r>
      <w:r>
        <w:rPr>
          <w:rFonts w:hint="eastAsia" w:hAnsi="宋体" w:eastAsia="宋体" w:cs="宋体"/>
          <w:color w:val="auto"/>
          <w:sz w:val="24"/>
          <w:szCs w:val="24"/>
          <w:highlight w:val="none"/>
        </w:rPr>
        <w:instrText xml:space="preserve"> HYPERLINK "http://jszfcg.jsczt.cn/" \o "http://jszfcg.jsczt.cn/" </w:instrText>
      </w:r>
      <w:r>
        <w:rPr>
          <w:rFonts w:hint="eastAsia" w:hAnsi="宋体" w:eastAsia="宋体" w:cs="宋体"/>
          <w:color w:val="auto"/>
          <w:sz w:val="24"/>
          <w:szCs w:val="24"/>
          <w:highlight w:val="none"/>
        </w:rPr>
        <w:fldChar w:fldCharType="separate"/>
      </w:r>
      <w:r>
        <w:rPr>
          <w:rFonts w:hint="eastAsia" w:hAnsi="宋体" w:eastAsia="宋体" w:cs="宋体"/>
          <w:color w:val="auto"/>
          <w:sz w:val="24"/>
          <w:szCs w:val="24"/>
          <w:highlight w:val="none"/>
        </w:rPr>
        <w:t xml:space="preserve">http://jszfcg.jsczt.cn/</w:t>
      </w:r>
      <w:r>
        <w:rPr>
          <w:rFonts w:hint="eastAsia" w:hAnsi="宋体" w:eastAsia="宋体" w:cs="宋体"/>
          <w:color w:val="auto"/>
          <w:sz w:val="24"/>
          <w:szCs w:val="24"/>
          <w:highlight w:val="none"/>
        </w:rPr>
        <w:fldChar w:fldCharType="end"/>
      </w:r>
      <w:r>
        <w:rPr>
          <w:rFonts w:hint="eastAsia" w:hAnsi="宋体" w:eastAsia="宋体" w:cs="宋体"/>
          <w:color w:val="auto"/>
          <w:sz w:val="24"/>
          <w:szCs w:val="24"/>
          <w:highlight w:val="none"/>
        </w:rPr>
        <w:t xml:space="preserve">）相关要求是本招标文件的组成部分。</w:t>
      </w:r>
      <w:r/>
    </w:p>
    <w:p>
      <w:pPr>
        <w:pStyle w:val="983"/>
        <w:ind w:firstLine="600"/>
        <w:spacing w:line="52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p>
      <w:pPr>
        <w:jc w:val="center"/>
        <w:rPr>
          <w:rFonts w:hint="eastAsia" w:ascii="宋体" w:hAnsi="宋体" w:cs="宋体"/>
          <w:color w:val="auto"/>
          <w:sz w:val="24"/>
          <w:szCs w:val="24"/>
          <w:highlight w:val="none"/>
        </w:rPr>
      </w:pPr>
      <w:r/>
      <w:bookmarkStart w:id="4" w:name="_Toc522790132"/>
      <w:r>
        <w:rPr>
          <w:rFonts w:hint="eastAsia" w:ascii="宋体" w:hAnsi="宋体" w:cs="宋体"/>
          <w:color w:val="auto"/>
          <w:sz w:val="24"/>
          <w:szCs w:val="24"/>
          <w:highlight w:val="none"/>
        </w:rPr>
        <w:br w:type="page" w:clear="all"/>
      </w:r>
      <w:bookmarkStart w:id="5" w:name="_Toc28867"/>
      <w:r>
        <w:rPr>
          <w:rStyle w:val="964"/>
          <w:rFonts w:hint="eastAsia" w:ascii="宋体" w:hAnsi="宋体" w:eastAsia="宋体" w:cs="宋体"/>
          <w:color w:val="auto"/>
          <w:sz w:val="24"/>
          <w:szCs w:val="24"/>
          <w:highlight w:val="none"/>
        </w:rPr>
        <w:t xml:space="preserve">第三章  投标资料表</w:t>
      </w:r>
      <w:bookmarkEnd w:id="4"/>
      <w:r/>
      <w:bookmarkEnd w:id="5"/>
      <w:r/>
      <w:r/>
    </w:p>
    <w:p>
      <w:pPr>
        <w:pStyle w:val="97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6"/>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该资料表的条款项号是与《投标人须知》的条款项号相对应的，若有增加的条款，是对《投标人须知》的补充、修改和完善，如果因此而造成矛盾时，应以本资料表为准。</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bl>
      <w:tblPr>
        <w:tblStyle w:val="767"/>
        <w:tblW w:w="0" w:type="auto"/>
        <w:tblInd w:w="-1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60"/>
        <w:gridCol w:w="6962"/>
      </w:tblGrid>
      <w:tr>
        <w:trPr/>
        <w:tc>
          <w:tcPr>
            <w:tcW w:w="1560" w:type="dxa"/>
            <w:vAlign w:val="top"/>
            <w:textDirection w:val="lrTb"/>
            <w:noWrap w:val="false"/>
          </w:tcPr>
          <w:p>
            <w:pPr>
              <w:jc w:val="center"/>
              <w:spacing w:line="400" w:lineRule="exact"/>
              <w:rPr>
                <w:rFonts w:hint="eastAsia" w:ascii="宋体" w:hAnsi="宋体" w:cs="宋体"/>
                <w:b/>
                <w:color w:val="auto"/>
                <w:sz w:val="24"/>
                <w:szCs w:val="24"/>
                <w:highlight w:val="none"/>
              </w:rPr>
            </w:pPr>
            <w:r/>
            <w:bookmarkStart w:id="6" w:name="_Toc522790133"/>
            <w:r>
              <w:rPr>
                <w:rFonts w:hint="eastAsia" w:ascii="宋体" w:hAnsi="宋体" w:cs="宋体"/>
                <w:b/>
                <w:color w:val="auto"/>
                <w:sz w:val="24"/>
                <w:szCs w:val="24"/>
                <w:highlight w:val="none"/>
              </w:rPr>
              <w:t xml:space="preserve">条款项号</w:t>
            </w:r>
            <w:r/>
          </w:p>
        </w:tc>
        <w:tc>
          <w:tcPr>
            <w:tcW w:w="6962" w:type="dxa"/>
            <w:vAlign w:val="top"/>
            <w:textDirection w:val="lrTb"/>
            <w:noWrap w:val="false"/>
          </w:tcPr>
          <w:p>
            <w:pPr>
              <w:jc w:val="center"/>
              <w:spacing w:line="40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内    容</w:t>
            </w:r>
            <w:r/>
          </w:p>
        </w:tc>
      </w:tr>
      <w:tr>
        <w:trPr/>
        <w:tc>
          <w:tcPr>
            <w:tcW w:w="1560"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w:t>
            </w:r>
            <w:r/>
          </w:p>
        </w:tc>
        <w:tc>
          <w:tcPr>
            <w:tcW w:w="6962"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总则</w:t>
            </w:r>
            <w:r/>
          </w:p>
        </w:tc>
      </w:tr>
      <w:tr>
        <w:trPr/>
        <w:tc>
          <w:tcPr>
            <w:tcW w:w="1560"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w:t>
            </w:r>
            <w:r/>
          </w:p>
        </w:tc>
        <w:tc>
          <w:tcPr>
            <w:tcW w:w="6962" w:type="dxa"/>
            <w:vAlign w:val="top"/>
            <w:textDirection w:val="lrTb"/>
            <w:noWrap w:val="false"/>
          </w:tcPr>
          <w:p>
            <w:pPr>
              <w:spacing w:line="4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本项目采购人：</w:t>
            </w:r>
            <w:r>
              <w:rPr>
                <w:rFonts w:hint="eastAsia" w:ascii="宋体" w:hAnsi="宋体" w:cs="宋体"/>
                <w:color w:val="auto"/>
                <w:sz w:val="24"/>
                <w:szCs w:val="24"/>
                <w:highlight w:val="none"/>
                <w:lang w:eastAsia="zh-CN"/>
              </w:rPr>
              <w:t xml:space="preserve">徐州市鼓楼区园林工程处</w:t>
            </w:r>
            <w:r/>
          </w:p>
        </w:tc>
      </w:tr>
      <w:tr>
        <w:trPr/>
        <w:tc>
          <w:tcPr>
            <w:tcW w:w="1560"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w:t>
            </w:r>
            <w:r/>
          </w:p>
        </w:tc>
        <w:tc>
          <w:tcPr>
            <w:tcW w:w="6962"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本次采购采用的政府采购方式：公开招标。</w:t>
            </w:r>
            <w:r/>
          </w:p>
        </w:tc>
      </w:tr>
      <w:tr>
        <w:trPr/>
        <w:tc>
          <w:tcPr>
            <w:tcW w:w="1560"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w:t>
            </w:r>
            <w:r/>
          </w:p>
        </w:tc>
        <w:tc>
          <w:tcPr>
            <w:tcW w:w="6962"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采购人确定的采购项目属性：服务</w:t>
            </w:r>
            <w:r/>
          </w:p>
        </w:tc>
      </w:tr>
      <w:tr>
        <w:trPr/>
        <w:tc>
          <w:tcPr>
            <w:tcW w:w="1560"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w:t>
            </w:r>
            <w:r/>
          </w:p>
        </w:tc>
        <w:tc>
          <w:tcPr>
            <w:tcW w:w="6962" w:type="dxa"/>
            <w:vAlign w:val="top"/>
            <w:textDirection w:val="lrTb"/>
            <w:noWrap w:val="false"/>
          </w:tcPr>
          <w:p>
            <w:pPr>
              <w:spacing w:line="4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本项目采购代理机构：</w:t>
            </w:r>
            <w:r>
              <w:rPr>
                <w:rFonts w:hint="eastAsia" w:ascii="宋体" w:hAnsi="宋体" w:cs="宋体"/>
                <w:color w:val="auto"/>
                <w:sz w:val="24"/>
                <w:szCs w:val="24"/>
                <w:highlight w:val="none"/>
                <w:lang w:eastAsia="zh-CN"/>
              </w:rPr>
              <w:t xml:space="preserve">江苏中瑞建设项目管理有限公司</w:t>
            </w:r>
            <w:r/>
          </w:p>
        </w:tc>
      </w:tr>
      <w:tr>
        <w:trPr/>
        <w:tc>
          <w:tcPr>
            <w:tcW w:w="1560"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w:t>
            </w:r>
            <w:r/>
          </w:p>
        </w:tc>
        <w:tc>
          <w:tcPr>
            <w:tcW w:w="6962"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投标人的资格条件：</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符合《中华人民共和国政府采购法》第二十二条的规定；</w:t>
            </w:r>
            <w:r/>
          </w:p>
          <w:p>
            <w:pPr>
              <w:spacing w:line="40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highlight w:val="none"/>
              </w:rPr>
              <w:t xml:space="preserve">本项目的特定资格要求：</w:t>
            </w:r>
            <w:r>
              <w:rPr>
                <w:rFonts w:hint="eastAsia" w:ascii="宋体" w:hAnsi="宋体" w:cs="宋体"/>
                <w:color w:val="auto"/>
                <w:sz w:val="24"/>
                <w:highlight w:val="none"/>
                <w:lang w:val="en-US" w:eastAsia="zh-CN"/>
              </w:rPr>
              <w:t xml:space="preserve">无</w:t>
            </w:r>
            <w:r>
              <w:rPr>
                <w:rFonts w:hint="eastAsia" w:ascii="宋体" w:hAnsi="宋体" w:cs="宋体"/>
                <w:color w:val="auto"/>
                <w:sz w:val="24"/>
                <w:highlight w:val="none"/>
              </w:rPr>
              <w:t xml:space="preserve">。</w:t>
            </w:r>
            <w:r/>
          </w:p>
          <w:p>
            <w:pPr>
              <w:spacing w:line="400" w:lineRule="exact"/>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rPr>
              <w:t xml:space="preserve">.</w:t>
            </w:r>
            <w:r>
              <w:rPr>
                <w:rFonts w:hint="eastAsia" w:ascii="宋体" w:hAnsi="宋体" w:cs="宋体"/>
                <w:b/>
                <w:bCs/>
                <w:color w:val="auto"/>
                <w:sz w:val="24"/>
                <w:highlight w:val="none"/>
              </w:rPr>
              <w:t xml:space="preserve">此项目是属于专门面向中小微企业采购的项目，提供的服务全部由符合政策要求的中小微企业承接。投标人应为中小微企业、监狱企业、残疾人福利性单位</w:t>
            </w:r>
            <w:r>
              <w:rPr>
                <w:rFonts w:hint="eastAsia" w:ascii="宋体" w:hAnsi="宋体" w:cs="宋体"/>
                <w:b/>
                <w:bCs/>
                <w:color w:val="auto"/>
                <w:sz w:val="24"/>
                <w:highlight w:val="none"/>
                <w:lang w:eastAsia="zh-CN"/>
              </w:rPr>
              <w:t xml:space="preserve">。</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同时明确相关事项如下：</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一、本项目不接受联合体参与采购活动。</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二、单位负责人为同一人或者存在直接控股、管理关系的不同供应商，不得参加同一合同项下的政府采购活动。</w:t>
            </w:r>
            <w:r/>
          </w:p>
          <w:p>
            <w:pPr>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三、为本采购项目提供整体设计、规范编制或者项目管理、监理、检测等服务的供应商，不得再参加本采购项目的采购活动。</w:t>
            </w:r>
            <w:r/>
          </w:p>
          <w:p>
            <w:pPr>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四、查询及使用供应商信用记录：</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(一)由采购人查询信用信息。</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(二)查询渠道包括：</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1.“信用中国”网（</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"http://www.creditchina.gov.cn/"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www.creditchina.gov.cn</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2.中国政府采购网（</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"http://www.ccgp.gov.cn/"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www.ccgp.gov.cn</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3.“信用江苏”网（www.jscredit.gov.cn）；</w:t>
            </w:r>
            <w:r/>
          </w:p>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4.“信用中国（江苏徐州）”网（</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"http://www.xuzhoucredit.gov.cn/"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http://www.xuzhoucredit.gov.cn</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(三)截止时点（查询环节）：资格性审查前。</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(四)信用信息查询记录和证据留存的具体方式：网页截屏打印，与其他采购文件一并保存。</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(五)信用信息的使用规则：</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W w:w="1560"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(七)</w:t>
            </w:r>
            <w:r/>
          </w:p>
        </w:tc>
        <w:tc>
          <w:tcPr>
            <w:tcW w:w="6962"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招标代理服务费由中标人支付，标准见《招标代理服务收费标准》（见附件）。</w:t>
            </w:r>
            <w:r/>
          </w:p>
        </w:tc>
      </w:tr>
      <w:tr>
        <w:trPr/>
        <w:tc>
          <w:tcPr>
            <w:tcW w:w="1560"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w:t>
            </w:r>
            <w:r/>
          </w:p>
        </w:tc>
        <w:tc>
          <w:tcPr>
            <w:tcW w:w="6962"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招标</w:t>
            </w:r>
            <w:r/>
          </w:p>
        </w:tc>
      </w:tr>
      <w:tr>
        <w:trPr/>
        <w:tc>
          <w:tcPr>
            <w:tcW w:w="1560"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(九)1</w:t>
            </w:r>
            <w:r/>
          </w:p>
        </w:tc>
        <w:tc>
          <w:tcPr>
            <w:tcW w:w="6962"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tc>
          <w:tcPr>
            <w:tcW w:w="1560"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(九)2</w:t>
            </w:r>
            <w:r/>
          </w:p>
        </w:tc>
        <w:tc>
          <w:tcPr>
            <w:tcW w:w="6962" w:type="dxa"/>
            <w:vAlign w:val="top"/>
            <w:textDirection w:val="lrTb"/>
            <w:noWrap w:val="false"/>
          </w:tcPr>
          <w:p>
            <w:pPr>
              <w:spacing w:line="400" w:lineRule="exact"/>
              <w:tabs>
                <w:tab w:val="left" w:pos="57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不安排现场考察。</w:t>
            </w:r>
            <w:r/>
          </w:p>
        </w:tc>
      </w:tr>
      <w:tr>
        <w:trPr/>
        <w:tc>
          <w:tcPr>
            <w:tcW w:w="1560"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(九)3</w:t>
            </w:r>
            <w:r/>
          </w:p>
        </w:tc>
        <w:tc>
          <w:tcPr>
            <w:tcW w:w="6962"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不安排开标前答疑会。</w:t>
            </w:r>
            <w:r/>
          </w:p>
        </w:tc>
      </w:tr>
      <w:tr>
        <w:trPr/>
        <w:tc>
          <w:tcPr>
            <w:tcW w:w="1560"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w:t>
            </w:r>
            <w:r/>
          </w:p>
        </w:tc>
        <w:tc>
          <w:tcPr>
            <w:tcW w:w="6962"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w:t>
            </w:r>
            <w:r/>
          </w:p>
        </w:tc>
      </w:tr>
      <w:tr>
        <w:trPr>
          <w:trHeight w:val="510"/>
        </w:trPr>
        <w:tc>
          <w:tcPr>
            <w:tcW w:w="1560"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(十一)</w:t>
            </w:r>
            <w:r/>
          </w:p>
        </w:tc>
        <w:tc>
          <w:tcPr>
            <w:tcW w:w="6962" w:type="dxa"/>
            <w:vAlign w:val="top"/>
            <w:textDirection w:val="lrTb"/>
            <w:noWrap w:val="false"/>
          </w:tcPr>
          <w:p>
            <w:pPr>
              <w:spacing w:line="400" w:lineRule="exact"/>
              <w:tabs>
                <w:tab w:val="left" w:pos="57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投标文件的语言为中文</w:t>
            </w:r>
            <w:r/>
          </w:p>
        </w:tc>
      </w:tr>
      <w:tr>
        <w:trPr>
          <w:trHeight w:val="90"/>
        </w:trPr>
        <w:tc>
          <w:tcPr>
            <w:tcW w:w="1560"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(十二)1</w:t>
            </w:r>
            <w:r/>
          </w:p>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(十二)2</w:t>
            </w:r>
            <w:r/>
          </w:p>
        </w:tc>
        <w:tc>
          <w:tcPr>
            <w:tcW w:w="6962" w:type="dxa"/>
            <w:vAlign w:val="top"/>
            <w:textDirection w:val="lrTb"/>
            <w:noWrap w:val="false"/>
          </w:tcPr>
          <w:p>
            <w:pP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线上投标文件编制要求：</w:t>
            </w:r>
            <w:r/>
          </w:p>
          <w:p>
            <w:pP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请按照以下要求（包括但不限于以下要求）制作：</w:t>
            </w:r>
            <w:r/>
          </w:p>
          <w:p>
            <w:pPr>
              <w:spacing w:line="400" w:lineRule="exac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一、基本目录</w:t>
            </w:r>
            <w:r/>
          </w:p>
          <w:p>
            <w:pPr>
              <w:spacing w:line="40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1.《开标一览表》（加盖电子签章，政府采购客户端工具输入报价自动生成）</w:t>
            </w:r>
            <w:r>
              <w:rPr>
                <w:rFonts w:hint="eastAsia" w:ascii="宋体" w:hAnsi="宋体" w:cs="宋体"/>
                <w:color w:val="auto"/>
                <w:sz w:val="24"/>
                <w:szCs w:val="24"/>
                <w:highlight w:val="none"/>
                <w:lang w:eastAsia="zh-CN"/>
              </w:rPr>
              <w:t xml:space="preserve">。</w:t>
            </w:r>
            <w:r/>
          </w:p>
          <w:p>
            <w:pPr>
              <w:spacing w:line="400" w:lineRule="exac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二、资格条件</w:t>
            </w:r>
            <w:r>
              <w:rPr>
                <w:rFonts w:hint="eastAsia" w:ascii="宋体" w:hAnsi="宋体" w:cs="宋体"/>
                <w:b/>
                <w:color w:val="auto"/>
                <w:sz w:val="24"/>
                <w:highlight w:val="none"/>
              </w:rPr>
            </w:r>
            <w:r>
              <w:rPr>
                <w:rFonts w:hint="eastAsia" w:ascii="宋体" w:hAnsi="宋体" w:cs="宋体"/>
                <w:bCs/>
                <w:color w:val="auto"/>
                <w:sz w:val="24"/>
                <w:highlight w:val="none"/>
              </w:rPr>
              <w:t xml:space="preserve">：</w:t>
            </w:r>
            <w:r/>
          </w:p>
          <w:p>
            <w:pP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bookmarkStart w:id="7" w:name="OLE_LINK5"/>
            <w:r>
              <w:rPr>
                <w:rFonts w:hint="eastAsia" w:ascii="宋体" w:hAnsi="宋体" w:cs="宋体"/>
                <w:color w:val="auto"/>
                <w:sz w:val="24"/>
                <w:szCs w:val="24"/>
                <w:highlight w:val="none"/>
              </w:rPr>
              <w:t xml:space="preserve">具有独立承担民事责任的能力：投标人合法有效的法人或者其他组织的营业执照等证明文件，自然人的身份证明。以上证明文件提供原件的扫描件。</w:t>
            </w:r>
            <w:bookmarkEnd w:id="7"/>
            <w:r/>
            <w:r/>
          </w:p>
          <w:p>
            <w:pP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bookmarkStart w:id="8" w:name="OLE_LINK12"/>
            <w:r>
              <w:rPr>
                <w:rFonts w:hint="eastAsia" w:ascii="宋体" w:hAnsi="宋体" w:cs="宋体"/>
                <w:color w:val="auto"/>
                <w:sz w:val="24"/>
                <w:szCs w:val="24"/>
                <w:highlight w:val="none"/>
              </w:rPr>
              <w:t xml:space="preserve">具有良好的商业信誉和健全的财务会计制度：即提供投标人的本项目开标时间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不含开标当月</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rPr>
              <w:t xml:space="preserve">前6个月内任何时间的资产负债表、利润表(或损益表)扫描件各一份；或提供合法有效的经第三方机构审计的2025年度财务审计报告扫描件（应包括审计报告正文、资产负债表、现金流量表、利润表(或损益表)）；</w:t>
            </w:r>
            <w:bookmarkEnd w:id="8"/>
            <w:r/>
            <w:r/>
          </w:p>
          <w:p>
            <w:pP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bookmarkStart w:id="23" w:name="_GoBack"/>
            <w:r/>
            <w:bookmarkStart w:id="9" w:name="OLE_LINK13"/>
            <w:r>
              <w:rPr>
                <w:rFonts w:hint="eastAsia" w:ascii="宋体" w:hAnsi="宋体" w:cs="宋体"/>
                <w:color w:val="auto"/>
                <w:sz w:val="24"/>
                <w:szCs w:val="24"/>
                <w:highlight w:val="none"/>
              </w:rPr>
              <w:t xml:space="preserve">有依法缴纳税收和社会保障资金的良好记录：</w:t>
            </w:r>
            <w:r/>
          </w:p>
          <w:p>
            <w:pP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即提供投标人的本项目开标时间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不含开标当月</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rPr>
              <w:t xml:space="preserve">前6个月内任何1个月的依法缴纳税收扫描件和社会保障资金扫描件的相关材料（依法免税或不需要缴纳社会保障资金的供应商，提供相应文件扫描件证明其依法免税或不需要缴纳社会保障资金）</w:t>
            </w:r>
            <w:bookmarkEnd w:id="23"/>
            <w:r>
              <w:rPr>
                <w:rFonts w:hint="eastAsia" w:ascii="宋体" w:hAnsi="宋体" w:cs="宋体"/>
                <w:color w:val="auto"/>
                <w:sz w:val="24"/>
                <w:szCs w:val="24"/>
                <w:highlight w:val="none"/>
              </w:rPr>
              <w:t xml:space="preserve">；</w:t>
            </w:r>
            <w:bookmarkEnd w:id="9"/>
            <w:r/>
            <w:r/>
          </w:p>
          <w:p>
            <w:pPr>
              <w:spacing w:line="400" w:lineRule="exact"/>
              <w:widowControl/>
              <w:rPr>
                <w:rFonts w:hint="eastAsia" w:ascii="宋体" w:hAnsi="宋体" w:cs="宋体"/>
                <w:b/>
                <w:bCs/>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color w:val="auto"/>
                <w:sz w:val="24"/>
                <w:szCs w:val="32"/>
                <w:highlight w:val="none"/>
              </w:rPr>
              <w:t xml:space="preserve">、</w:t>
            </w:r>
            <w:r>
              <w:rPr>
                <w:rFonts w:hint="eastAsia" w:ascii="宋体" w:hAnsi="宋体" w:cs="宋体"/>
                <w:color w:val="auto"/>
                <w:sz w:val="24"/>
                <w:szCs w:val="24"/>
                <w:highlight w:val="none"/>
              </w:rPr>
              <w:t xml:space="preserve">具备履行合同所必需的设备和专业技术能力的证明材料，即投标文件中提供《</w:t>
            </w:r>
            <w:bookmarkStart w:id="10" w:name="_Toc515551102"/>
            <w:r>
              <w:rPr>
                <w:rFonts w:hint="eastAsia" w:ascii="宋体" w:hAnsi="宋体" w:cs="宋体"/>
                <w:color w:val="auto"/>
                <w:sz w:val="24"/>
                <w:szCs w:val="24"/>
                <w:highlight w:val="none"/>
              </w:rPr>
              <w:t xml:space="preserve">具备履行合同所必需的设备和专业技术能力的书面声明</w:t>
            </w:r>
            <w:bookmarkEnd w:id="10"/>
            <w:r>
              <w:rPr>
                <w:rFonts w:hint="eastAsia" w:ascii="宋体" w:hAnsi="宋体" w:cs="宋体"/>
                <w:color w:val="auto"/>
                <w:sz w:val="24"/>
                <w:szCs w:val="24"/>
                <w:highlight w:val="none"/>
              </w:rPr>
              <w:t xml:space="preserve">》（加盖电子签章，格式</w:t>
            </w:r>
            <w:r>
              <w:rPr>
                <w:rFonts w:hint="eastAsia" w:ascii="宋体" w:hAnsi="宋体" w:cs="宋体"/>
                <w:color w:val="auto"/>
                <w:sz w:val="24"/>
                <w:szCs w:val="24"/>
                <w:highlight w:val="none"/>
                <w:lang w:val="en-US" w:eastAsia="zh-CN"/>
              </w:rPr>
              <w:t xml:space="preserve">及证明材料要求</w:t>
            </w:r>
            <w:r>
              <w:rPr>
                <w:rFonts w:hint="eastAsia" w:ascii="宋体" w:hAnsi="宋体" w:cs="宋体"/>
                <w:color w:val="auto"/>
                <w:sz w:val="24"/>
                <w:szCs w:val="24"/>
                <w:highlight w:val="none"/>
              </w:rPr>
              <w:t xml:space="preserve">见招标文件第七章《投标文件相关格式》）。</w:t>
            </w:r>
            <w:r/>
          </w:p>
          <w:p>
            <w:pP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bookmarkStart w:id="11" w:name="OLE_LINK15"/>
            <w:r>
              <w:rPr>
                <w:rFonts w:hint="eastAsia" w:ascii="宋体" w:hAnsi="宋体" w:cs="宋体"/>
                <w:color w:val="auto"/>
                <w:sz w:val="24"/>
                <w:szCs w:val="24"/>
                <w:highlight w:val="none"/>
              </w:rPr>
              <w:t xml:space="preserve">参加政府采购活动前三年内，在经营活动中没有重大违法记录：即提供投标人参加政府采购活动前3年内在经营活动中没有重大违法记录的书面声明，加盖电子签章，格式见本文件第七章《投标文件相关格式》；</w:t>
            </w:r>
            <w:bookmarkEnd w:id="11"/>
            <w:r/>
            <w:r/>
          </w:p>
          <w:p>
            <w:pPr>
              <w:spacing w:line="40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rPr>
                <w:rFonts w:hint="eastAsia" w:ascii="宋体" w:hAnsi="宋体" w:cs="宋体"/>
                <w:b/>
                <w:bCs/>
                <w:color w:val="auto"/>
                <w:sz w:val="24"/>
                <w:szCs w:val="24"/>
                <w:highlight w:val="none"/>
                <w:lang w:val="en-US" w:eastAsia="zh-CN"/>
              </w:rPr>
              <w:t xml:space="preserve">本项目为专门面向中小微企业采购的项目，投标人应为中小微企业（含中型、小型、微型企业，下同），投标文件中提供《中小企业声明函》（加盖电子签章，填写完整，格式见本文件第七章《投标文件相关格式》，如不填写完整或未按要求填写的，视为无效）。《中小企业声明函》查询渠道用微信搜索“中小企业规模类型自测小程序”</w:t>
            </w:r>
            <w:r>
              <w:rPr>
                <w:rFonts w:hint="eastAsia" w:ascii="宋体" w:hAnsi="宋体" w:cs="宋体"/>
                <w:color w:val="auto"/>
                <w:sz w:val="24"/>
                <w:szCs w:val="24"/>
                <w:highlight w:val="none"/>
                <w:lang w:val="en-US" w:eastAsia="zh-CN"/>
              </w:rPr>
              <w:t xml:space="preserve">。</w:t>
            </w:r>
            <w:r/>
          </w:p>
          <w:p>
            <w:pPr>
              <w:spacing w:line="40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注：</w:t>
            </w:r>
            <w:r/>
          </w:p>
          <w:p>
            <w:pPr>
              <w:spacing w:line="40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具体以《政府采购促进中小企业发展管理办法》（财库[2020]46号）和《关于印发中小企业划型标准规定的通知》（工信部联企业[2011]300号）的规定为准。</w:t>
            </w:r>
            <w:r/>
          </w:p>
          <w:p>
            <w:pPr>
              <w:spacing w:line="40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监护企业和残疾人福利性单位等同于小微企业。</w:t>
            </w:r>
            <w:r/>
          </w:p>
          <w:p>
            <w:pPr>
              <w:spacing w:line="40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供应商为监狱企业的，提供省级以上监狱管理局、戒毒管理局（含新疆生产建设兵团）出具的属于监狱企业的证明文件原件的扫描件。</w:t>
            </w:r>
            <w:r/>
          </w:p>
          <w:p>
            <w:pPr>
              <w:spacing w:line="40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具体以《财政部 司法部关于政府采购支持监狱企业发展有关问题的通知》（财库〔2014〕68号）的规定为准。</w:t>
            </w:r>
            <w:r/>
          </w:p>
          <w:p>
            <w:pPr>
              <w:spacing w:line="40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供应商为享受政府采购支持政策的残疾人福利性单位的，提供《残疾人福利性单位声明函》（加盖电子签章，格式见《磋商文件》附件）。</w:t>
            </w:r>
            <w:r/>
          </w:p>
          <w:p>
            <w:pPr>
              <w:spacing w:line="40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享受政府采购支持政策的残疾人福利性单位应当同时满足以下条件：</w:t>
            </w:r>
            <w:r/>
          </w:p>
          <w:p>
            <w:pPr>
              <w:spacing w:line="40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①安置的残疾人占本单位在职职工人数的比例不低于25%（含25%），并且安置的残疾人人数不少于10人（含10人）；</w:t>
            </w:r>
            <w:r/>
          </w:p>
          <w:p>
            <w:pPr>
              <w:spacing w:line="40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②依法与安置的每位残疾人签订了一年以上（含一年）的劳动合同或服务协议；</w:t>
            </w:r>
            <w:r/>
          </w:p>
          <w:p>
            <w:pPr>
              <w:spacing w:line="40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③为安置的每位残疾人按月足额缴纳了基本养老保险、基本医疗保险、失业保险、工伤保险和生育保险等社会保险费；</w:t>
            </w:r>
            <w:r/>
          </w:p>
          <w:p>
            <w:pPr>
              <w:spacing w:line="40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④通过银行等金融机构向安置的每位残疾人，按月支付了不低于单位所在区县适用的经省级人民政府批准的月最低工资标准的工资；</w:t>
            </w:r>
            <w:r/>
          </w:p>
          <w:p>
            <w:pPr>
              <w:spacing w:line="40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⑤提供本单位制造的货物、承担的工程或者服务（以下简称产品），或者提供其他残疾人福利性单位制造的货物（不包括使用非残疾人福利性单位注册商标的货物）。</w:t>
            </w:r>
            <w:r/>
          </w:p>
          <w:p>
            <w:pPr>
              <w:spacing w:line="40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40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具体以《三部门联合发布关于促进残疾人就业政府采购政策的通知》（财库〔2017〕141号）规定为准。</w:t>
            </w:r>
            <w:r/>
          </w:p>
          <w:p>
            <w:pPr>
              <w:rPr>
                <w:rFonts w:hint="eastAsia" w:ascii="仿宋" w:hAnsi="仿宋" w:eastAsia="仿宋" w:cs="仿宋"/>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lang w:val="en-US" w:eastAsia="zh-CN"/>
              </w:rPr>
              <w:t xml:space="preserve">7、</w:t>
            </w:r>
            <w:r>
              <w:rPr>
                <w:rFonts w:hint="eastAsia" w:ascii="仿宋" w:hAnsi="仿宋" w:eastAsia="仿宋" w:cs="仿宋"/>
                <w:b/>
                <w:bCs/>
                <w:color w:val="auto"/>
                <w:sz w:val="24"/>
                <w:highlight w:val="none"/>
              </w:rPr>
              <w:t xml:space="preserve">法律、行政法规规定的其他条件（其中（2）-（5）提供相关声明（承诺），格式见本文件第七章）</w:t>
            </w:r>
            <w:r/>
          </w:p>
          <w:p>
            <w:pPr>
              <w:rPr>
                <w:rFonts w:hint="eastAsia" w:ascii="仿宋" w:hAnsi="仿宋" w:eastAsia="仿宋" w:cs="仿宋"/>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rPr>
              <w:t xml:space="preserve">（1）投标人信用信息满足招标文件要求（由采购人开标后资格审查结束前查询信用信息）；</w:t>
            </w:r>
            <w:r/>
          </w:p>
          <w:p>
            <w:pPr>
              <w:rPr>
                <w:rFonts w:hint="eastAsia" w:ascii="仿宋" w:hAnsi="仿宋" w:eastAsia="仿宋" w:cs="仿宋"/>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rPr>
              <w:t xml:space="preserve">（2）本项目不接受联合体参与投标，中标后不得转包或分包；</w:t>
            </w:r>
            <w:r/>
          </w:p>
          <w:p>
            <w:pPr>
              <w:rPr>
                <w:rFonts w:hint="eastAsia" w:ascii="仿宋" w:hAnsi="仿宋" w:eastAsia="仿宋" w:cs="仿宋"/>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rPr>
              <w:t xml:space="preserve">（3）单位负责人为同一人或者存在直接控股、管理关系的不同供应商，不得参加同一合同项下的政府采购活动；</w:t>
            </w:r>
            <w:r/>
          </w:p>
          <w:p>
            <w:pPr>
              <w:rPr>
                <w:rFonts w:hint="eastAsia" w:ascii="仿宋" w:hAnsi="仿宋" w:eastAsia="仿宋" w:cs="仿宋"/>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rPr>
              <w:t xml:space="preserve">（4）为本采购项目提供整体设计、规范编制或者项目管理、监理、检测等服务的供应商，不得再参加本采购项目的采购活动；</w:t>
            </w:r>
            <w:r/>
          </w:p>
          <w:p>
            <w:pPr>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rPr>
              <w:t xml:space="preserve">（5）法律、行政法规、招标文件规定的其他要求。</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三、符合条件</w:t>
            </w:r>
            <w:r>
              <w:rPr>
                <w:rFonts w:hint="eastAsia" w:ascii="宋体" w:hAnsi="宋体" w:cs="宋体"/>
                <w:b/>
                <w:color w:val="auto"/>
                <w:sz w:val="24"/>
                <w:highlight w:val="none"/>
              </w:rPr>
              <w:t xml:space="preserve">（必须提供，否则在符合性审查时按照投标无效处理）</w:t>
            </w:r>
            <w:r/>
          </w:p>
          <w:p>
            <w:pPr>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（一）报价</w:t>
            </w:r>
            <w:r/>
          </w:p>
          <w:p>
            <w:pPr>
              <w:spacing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1.</w:t>
            </w:r>
            <w:bookmarkStart w:id="12" w:name="OLE_LINK7"/>
            <w:r>
              <w:rPr>
                <w:rFonts w:hint="eastAsia" w:ascii="宋体" w:hAnsi="宋体" w:cs="宋体"/>
                <w:b/>
                <w:bCs/>
                <w:color w:val="auto"/>
                <w:sz w:val="24"/>
                <w:highlight w:val="none"/>
              </w:rPr>
              <w:t xml:space="preserve">《分项价格表》</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加盖电子签章，格式见</w:t>
            </w:r>
            <w:r>
              <w:rPr>
                <w:rFonts w:hint="eastAsia" w:ascii="宋体" w:hAnsi="宋体" w:cs="宋体"/>
                <w:b/>
                <w:bCs/>
                <w:color w:val="auto"/>
                <w:sz w:val="24"/>
                <w:szCs w:val="24"/>
                <w:highlight w:val="none"/>
              </w:rPr>
              <w:t xml:space="preserve">招标文件</w:t>
            </w:r>
            <w:r>
              <w:rPr>
                <w:rFonts w:hint="eastAsia" w:ascii="宋体" w:hAnsi="宋体" w:cs="宋体"/>
                <w:b/>
                <w:bCs/>
                <w:color w:val="auto"/>
                <w:sz w:val="24"/>
                <w:highlight w:val="none"/>
              </w:rPr>
              <w:t xml:space="preserve">第七章《投标文件相关格式》</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w:t>
            </w:r>
            <w:bookmarkEnd w:id="12"/>
            <w:r/>
            <w:r/>
          </w:p>
          <w:p>
            <w:pPr>
              <w:spacing w:line="3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二</w:t>
            </w:r>
            <w:r>
              <w:rPr>
                <w:rFonts w:hint="eastAsia" w:ascii="宋体" w:hAnsi="宋体" w:cs="宋体"/>
                <w:color w:val="auto"/>
                <w:sz w:val="24"/>
                <w:szCs w:val="24"/>
                <w:highlight w:val="none"/>
              </w:rPr>
              <w:t xml:space="preserve">）商务资信</w:t>
            </w:r>
            <w:r/>
          </w:p>
          <w:p>
            <w:pPr>
              <w:spacing w:line="3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1.《投标函》（加盖电子签章，格式见招标文件第七章《投标文件相关格式》）；</w:t>
            </w:r>
            <w:r/>
          </w:p>
          <w:p>
            <w:pPr>
              <w:spacing w:line="360" w:lineRule="exact"/>
              <w:rPr>
                <w:rFonts w:hint="eastAsia" w:ascii="宋体" w:hAnsi="宋体" w:cs="宋体"/>
                <w:b/>
                <w:bCs/>
                <w:color w:val="auto"/>
                <w:sz w:val="24"/>
                <w:szCs w:val="24"/>
                <w:highlight w:val="none"/>
              </w:rPr>
            </w:pPr>
            <w:r>
              <w:rPr>
                <w:rFonts w:ascii="宋体" w:hAnsi="宋体" w:cs="宋体"/>
                <w:color w:val="auto"/>
                <w:sz w:val="24"/>
                <w:szCs w:val="24"/>
                <w:highlight w:val="none"/>
                <w:lang w:val="en-US"/>
              </w:rPr>
              <w:t xml:space="preserve">2</w:t>
            </w:r>
            <w:r>
              <w:rPr>
                <w:rFonts w:hint="eastAsia" w:ascii="宋体" w:hAnsi="宋体" w:cs="宋体"/>
                <w:color w:val="auto"/>
                <w:sz w:val="24"/>
                <w:szCs w:val="24"/>
                <w:highlight w:val="none"/>
              </w:rPr>
              <w:t xml:space="preserve">.《法定代表人授权书》（提供原件的扫描件，格式见招标文件第七章《投标文件相关格式》）。</w:t>
            </w:r>
            <w:r>
              <w:rPr>
                <w:rFonts w:hint="eastAsia" w:ascii="宋体" w:hAnsi="宋体" w:cs="宋体"/>
                <w:b/>
                <w:bCs/>
                <w:color w:val="auto"/>
                <w:sz w:val="24"/>
                <w:szCs w:val="24"/>
                <w:highlight w:val="none"/>
              </w:rPr>
              <w:t xml:space="preserve">（特别提醒：如公司法定代表人直接参与本项目投标的，提供法定代表人资格证明或声明（格式自拟，并附身份证扫描件），可不单独提供《授权委托书》）。</w:t>
            </w:r>
            <w:r/>
          </w:p>
          <w:p>
            <w:pP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三</w:t>
            </w:r>
            <w:r>
              <w:rPr>
                <w:rFonts w:hint="eastAsia" w:ascii="宋体" w:hAnsi="宋体" w:cs="宋体"/>
                <w:color w:val="auto"/>
                <w:sz w:val="24"/>
                <w:szCs w:val="24"/>
                <w:highlight w:val="none"/>
              </w:rPr>
              <w:t xml:space="preserve">）技术响应</w:t>
            </w:r>
            <w:r/>
          </w:p>
          <w:p>
            <w:pPr>
              <w:spacing w:line="36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1.《偏离表》（加盖电子签章，格式见招标文件第七章《投标文件相关格式》）</w:t>
            </w:r>
            <w:r>
              <w:rPr>
                <w:rFonts w:hint="eastAsia" w:ascii="宋体" w:hAnsi="宋体" w:cs="宋体"/>
                <w:color w:val="auto"/>
                <w:sz w:val="24"/>
                <w:szCs w:val="24"/>
                <w:highlight w:val="none"/>
                <w:lang w:eastAsia="zh-CN"/>
              </w:rPr>
              <w:t xml:space="preserve">；</w:t>
            </w:r>
            <w:r/>
          </w:p>
          <w:p>
            <w:pP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四、综合评审评分项</w:t>
            </w:r>
            <w:r/>
          </w:p>
          <w:p>
            <w:pPr>
              <w:spacing w:line="40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（一）技术部分</w:t>
            </w:r>
            <w:r>
              <w:rPr>
                <w:rFonts w:hint="eastAsia" w:ascii="宋体" w:hAnsi="宋体" w:cs="宋体"/>
                <w:color w:val="auto"/>
                <w:sz w:val="24"/>
                <w:szCs w:val="24"/>
                <w:highlight w:val="none"/>
                <w:lang w:eastAsia="zh-CN"/>
              </w:rPr>
              <w:t xml:space="preserve">：</w:t>
            </w:r>
            <w:r>
              <w:rPr>
                <w:rFonts w:hint="eastAsia" w:ascii="宋体" w:hAnsi="宋体" w:eastAsia="宋体" w:cs="宋体"/>
                <w:bCs/>
                <w:color w:val="auto"/>
                <w:sz w:val="24"/>
                <w:highlight w:val="none"/>
                <w:lang w:val="en-US" w:eastAsia="zh-CN"/>
              </w:rPr>
              <w:t xml:space="preserve">详见本文件第四章《评标标准》中《评审因素》（加盖电子签章）</w:t>
            </w:r>
            <w:r/>
          </w:p>
          <w:p>
            <w:pP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（二）商务部分</w:t>
            </w:r>
            <w:r/>
          </w:p>
          <w:p>
            <w:pPr>
              <w:spacing w:line="40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1.投标人业绩（要求见招标文件第四章《评标标准》及第六章《采购需求》）；</w:t>
            </w:r>
            <w:r/>
          </w:p>
          <w:p>
            <w:pPr>
              <w:spacing w:line="40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2.投标人其它证明文件及材料扫描件（加盖电子签章）。</w:t>
            </w:r>
            <w:r/>
          </w:p>
          <w:p>
            <w:pPr>
              <w:spacing w:line="400" w:lineRule="exact"/>
              <w:widowControl/>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rPr>
              <w:t xml:space="preserve">五、价格折扣文件格式</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无</w:t>
            </w:r>
            <w:r/>
          </w:p>
          <w:p>
            <w:pPr>
              <w:spacing w:line="4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1.投标人应对以上文件的合法性、真实性负责。</w:t>
            </w:r>
            <w:r/>
          </w:p>
          <w:p>
            <w:pPr>
              <w:spacing w:line="4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tc>
          <w:tcPr>
            <w:tcW w:w="1560"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(十三)2</w:t>
            </w:r>
            <w:r/>
          </w:p>
        </w:tc>
        <w:tc>
          <w:tcPr>
            <w:tcW w:w="6962" w:type="dxa"/>
            <w:vAlign w:val="top"/>
            <w:textDirection w:val="lrTb"/>
            <w:noWrap w:val="false"/>
          </w:tcPr>
          <w:p>
            <w:pP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商务条件见：</w:t>
            </w:r>
            <w:r/>
          </w:p>
          <w:p>
            <w:pP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一、本文件第四章《评标标准》中《评分细则》。</w:t>
            </w:r>
            <w:r/>
          </w:p>
          <w:p>
            <w:pPr>
              <w:spacing w:line="400" w:lineRule="exact"/>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二、本文件第三章《投标资料表》中(十二)1和(十二)2。</w:t>
            </w:r>
            <w:r/>
          </w:p>
        </w:tc>
      </w:tr>
      <w:tr>
        <w:trPr/>
        <w:tc>
          <w:tcPr>
            <w:tcW w:w="1560"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(十三)3</w:t>
            </w:r>
            <w:r/>
          </w:p>
        </w:tc>
        <w:tc>
          <w:tcPr>
            <w:tcW w:w="6962" w:type="dxa"/>
            <w:vAlign w:val="top"/>
            <w:textDirection w:val="lrTb"/>
            <w:noWrap w:val="false"/>
          </w:tcPr>
          <w:p>
            <w:pPr>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提供服务的时间：见本文件第五章《拟签订的合同文本》</w:t>
            </w:r>
            <w:r>
              <w:rPr>
                <w:rFonts w:hint="eastAsia" w:ascii="宋体" w:hAnsi="宋体" w:cs="宋体"/>
                <w:color w:val="auto"/>
                <w:sz w:val="24"/>
                <w:szCs w:val="24"/>
                <w:highlight w:val="none"/>
                <w:lang w:eastAsia="zh-CN"/>
              </w:rPr>
              <w:t xml:space="preserve">及</w:t>
            </w:r>
            <w:r>
              <w:rPr>
                <w:rFonts w:hint="eastAsia" w:ascii="宋体" w:hAnsi="宋体" w:cs="宋体"/>
                <w:color w:val="auto"/>
                <w:sz w:val="24"/>
                <w:szCs w:val="24"/>
                <w:highlight w:val="none"/>
              </w:rPr>
              <w:t xml:space="preserve">本文件第六章《采购需求》。</w:t>
            </w:r>
            <w:r/>
          </w:p>
        </w:tc>
      </w:tr>
      <w:tr>
        <w:trPr>
          <w:trHeight w:val="964"/>
        </w:trPr>
        <w:tc>
          <w:tcPr>
            <w:tcW w:w="1560"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(十四)3</w:t>
            </w:r>
            <w:r/>
          </w:p>
        </w:tc>
        <w:tc>
          <w:tcPr>
            <w:tcW w:w="6962" w:type="dxa"/>
            <w:vAlign w:val="top"/>
            <w:textDirection w:val="lrTb"/>
            <w:noWrap w:val="false"/>
          </w:tcPr>
          <w:p>
            <w:pPr>
              <w:spacing w:line="400" w:lineRule="exact"/>
              <w:rPr>
                <w:rFonts w:hint="eastAsia" w:ascii="宋体" w:hAnsi="宋体" w:eastAsia="宋体" w:cs="宋体"/>
                <w:color w:val="auto"/>
                <w:sz w:val="24"/>
                <w:szCs w:val="24"/>
                <w:highlight w:val="none"/>
                <w:lang w:val="en-US" w:eastAsia="zh-CN"/>
              </w:rPr>
            </w:pPr>
            <w:r/>
            <w:bookmarkStart w:id="13" w:name="OLE_LINK1"/>
            <w:r>
              <w:rPr>
                <w:rFonts w:hint="eastAsia" w:ascii="宋体" w:hAnsi="宋体" w:cs="宋体"/>
                <w:b/>
                <w:bCs/>
                <w:color w:val="auto"/>
                <w:sz w:val="24"/>
                <w:highlight w:val="none"/>
              </w:rPr>
              <w:t xml:space="preserve">本项目不接受超过</w:t>
            </w:r>
            <w:r>
              <w:rPr>
                <w:rFonts w:hint="eastAsia" w:ascii="宋体" w:hAnsi="宋体" w:cs="宋体"/>
                <w:b/>
                <w:bCs/>
                <w:color w:val="auto"/>
                <w:sz w:val="24"/>
                <w:szCs w:val="24"/>
                <w:highlight w:val="none"/>
                <w:lang w:val="en-US" w:eastAsia="zh-CN"/>
              </w:rPr>
              <w:t xml:space="preserve">279</w:t>
            </w:r>
            <w:r>
              <w:rPr>
                <w:rFonts w:hint="eastAsia" w:ascii="宋体" w:hAnsi="宋体" w:cs="宋体"/>
                <w:b/>
                <w:bCs/>
                <w:color w:val="auto"/>
                <w:sz w:val="24"/>
                <w:highlight w:val="none"/>
              </w:rPr>
              <w:t xml:space="preserve">万元</w:t>
            </w:r>
            <w:bookmarkEnd w:id="13"/>
            <w:r>
              <w:rPr>
                <w:rFonts w:hint="eastAsia" w:ascii="宋体" w:hAnsi="宋体" w:cs="宋体"/>
                <w:b/>
                <w:bCs/>
                <w:color w:val="auto"/>
                <w:sz w:val="24"/>
                <w:highlight w:val="none"/>
              </w:rPr>
              <w:t xml:space="preserve">（采购项目预算金额、最高限价)的投标报价。投标报价包括完成项目的所有费用（含代理服务费），招标人不再支付投标报价以外的任何费用</w:t>
            </w:r>
            <w:r>
              <w:rPr>
                <w:rFonts w:hint="eastAsia" w:ascii="宋体" w:hAnsi="宋体" w:cs="宋体"/>
                <w:b/>
                <w:bCs/>
                <w:color w:val="auto"/>
                <w:sz w:val="24"/>
                <w:highlight w:val="none"/>
                <w:lang w:eastAsia="zh-CN"/>
              </w:rPr>
              <w:t xml:space="preserve">。</w:t>
            </w:r>
            <w:r/>
          </w:p>
        </w:tc>
      </w:tr>
      <w:tr>
        <w:trPr/>
        <w:tc>
          <w:tcPr>
            <w:tcW w:w="1560"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(十五)</w:t>
            </w:r>
            <w:r/>
          </w:p>
        </w:tc>
        <w:tc>
          <w:tcPr>
            <w:tcW w:w="6962"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以人民币报价。</w:t>
            </w:r>
            <w:r/>
          </w:p>
        </w:tc>
      </w:tr>
      <w:tr>
        <w:trPr>
          <w:trHeight w:val="90"/>
        </w:trPr>
        <w:tc>
          <w:tcPr>
            <w:tcW w:w="1560" w:type="dxa"/>
            <w:vAlign w:val="top"/>
            <w:textDirection w:val="lrTb"/>
            <w:noWrap w:val="false"/>
          </w:tcPr>
          <w:p>
            <w:pPr>
              <w:jc w:val="center"/>
              <w:spacing w:line="4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（十七）</w:t>
            </w:r>
            <w:r/>
          </w:p>
        </w:tc>
        <w:tc>
          <w:tcPr>
            <w:tcW w:w="6962" w:type="dxa"/>
            <w:vAlign w:val="top"/>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须用政府采购客户端工具导入“苏采云”系统下载的采购文件（后缀）、供应商操作手册及政府采购客户端工具可通过“苏采云”系统（网址：http://jszfcg.jsczt.cn/）--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投标人应当通过“苏采云”系统提交数据电文形式的投标文件（即电子投标）。</w:t>
            </w:r>
            <w:r/>
          </w:p>
          <w:p>
            <w:pP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特别说明：政府采购客户端工具需要导出加密的投标文件（后缀名为</w:t>
            </w:r>
            <w:r>
              <w:rPr>
                <w:rFonts w:hint="eastAsia" w:ascii="宋体" w:hAnsi="宋体" w:eastAsia="宋体" w:cs="宋体"/>
                <w:b/>
                <w:bCs/>
                <w:color w:val="auto"/>
                <w:sz w:val="24"/>
                <w:szCs w:val="24"/>
                <w:highlight w:val="none"/>
              </w:rPr>
              <w:t xml:space="preserve">zip</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投标文件不得超过150M</w:t>
            </w:r>
            <w:r>
              <w:rPr>
                <w:rFonts w:hint="eastAsia" w:ascii="宋体" w:hAnsi="宋体" w:eastAsia="宋体" w:cs="宋体"/>
                <w:color w:val="auto"/>
                <w:sz w:val="24"/>
                <w:szCs w:val="24"/>
                <w:highlight w:val="none"/>
              </w:rPr>
              <w:t xml:space="preserve">！名为“</w:t>
            </w:r>
            <w:r>
              <w:rPr>
                <w:rFonts w:hint="eastAsia" w:ascii="宋体" w:hAnsi="宋体" w:eastAsia="宋体" w:cs="宋体"/>
                <w:b/>
                <w:bCs/>
                <w:color w:val="auto"/>
                <w:sz w:val="24"/>
                <w:szCs w:val="24"/>
                <w:highlight w:val="none"/>
              </w:rPr>
              <w:t xml:space="preserve">.kedt</w:t>
            </w:r>
            <w:r>
              <w:rPr>
                <w:rFonts w:hint="eastAsia" w:ascii="宋体" w:hAnsi="宋体" w:eastAsia="宋体" w:cs="宋体"/>
                <w:color w:val="auto"/>
                <w:sz w:val="24"/>
                <w:szCs w:val="24"/>
                <w:highlight w:val="none"/>
              </w:rPr>
              <w:t xml:space="preserve">”）后，离线编制投标文件。采购文件（后缀名为“</w:t>
            </w:r>
            <w:r>
              <w:rPr>
                <w:rFonts w:hint="eastAsia" w:ascii="宋体" w:hAnsi="宋体" w:eastAsia="宋体" w:cs="宋体"/>
                <w:b/>
                <w:bCs/>
                <w:color w:val="auto"/>
                <w:sz w:val="24"/>
                <w:szCs w:val="24"/>
                <w:highlight w:val="none"/>
              </w:rPr>
              <w:t xml:space="preserve">.kedt</w:t>
            </w:r>
            <w:r>
              <w:rPr>
                <w:rFonts w:hint="eastAsia" w:ascii="宋体" w:hAnsi="宋体" w:eastAsia="宋体" w:cs="宋体"/>
                <w:color w:val="auto"/>
                <w:sz w:val="24"/>
                <w:szCs w:val="24"/>
                <w:highlight w:val="none"/>
              </w:rPr>
              <w:t xml:space="preserve">”）。</w:t>
            </w:r>
            <w:r/>
          </w:p>
        </w:tc>
      </w:tr>
      <w:tr>
        <w:trPr/>
        <w:tc>
          <w:tcPr>
            <w:tcW w:w="1560"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(十八)</w:t>
            </w:r>
            <w:r/>
          </w:p>
        </w:tc>
        <w:tc>
          <w:tcPr>
            <w:tcW w:w="6962"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线上投标文件的密封、签署、盖章要求：</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一、投标文件的密封（加密）要求：</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二、投标文件的签署要求：见招标文件第七章《投标文件相关格式》。</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三、投标文件的盖章要求：见招标文件第三章《投标资料表》和招标文件第七章《投标文件相关格式》。投标人须通过“苏采云”系统提供的政府采购客户端工具（使用“CA数字证书”）加盖电子签章。</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说明：投标人应在用CA数字证书以及自备的能够登录“苏采云”系统的电脑，在达到开标时间后，使用CA数字证书解密各自投标文件。</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投标人未按规定加密的投标文件，“苏采云”系统应当拒收并提示。</w:t>
            </w:r>
            <w:r/>
          </w:p>
        </w:tc>
      </w:tr>
      <w:tr>
        <w:trPr/>
        <w:tc>
          <w:tcPr>
            <w:tcW w:w="1560"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(十九)</w:t>
            </w:r>
            <w:r/>
          </w:p>
        </w:tc>
        <w:tc>
          <w:tcPr>
            <w:tcW w:w="6962" w:type="dxa"/>
            <w:vAlign w:val="top"/>
            <w:textDirection w:val="lrTb"/>
            <w:noWrap w:val="false"/>
          </w:tcPr>
          <w:p>
            <w:pPr>
              <w:ind w:left="560" w:hanging="56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投标文件的提交： </w:t>
            </w:r>
            <w:r/>
          </w:p>
          <w:p>
            <w:pPr>
              <w:ind w:left="0" w:firstLine="0"/>
              <w:jc w:val="left"/>
              <w:keepLines w:val="0"/>
              <w:keepNext w:val="0"/>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1.投标文件提交时间：2026年</w:t>
            </w:r>
            <w:r>
              <w:rPr>
                <w:rFonts w:hint="eastAsia" w:ascii="宋体" w:hAnsi="宋体" w:cs="宋体"/>
                <w:color w:val="auto"/>
                <w:sz w:val="24"/>
                <w:szCs w:val="24"/>
                <w:highlight w:val="none"/>
                <w:lang w:val="en-US" w:eastAsia="zh-CN"/>
              </w:rPr>
              <w:t xml:space="preserve">09</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rPr>
              <w:t xml:space="preserve">日北京时间09:30前。</w:t>
            </w:r>
            <w:r/>
          </w:p>
          <w:p>
            <w:pPr>
              <w:ind w:left="560" w:hanging="56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2.投标截止时间：2026年</w:t>
            </w:r>
            <w:r>
              <w:rPr>
                <w:rFonts w:hint="eastAsia" w:ascii="宋体" w:hAnsi="宋体" w:cs="宋体"/>
                <w:color w:val="auto"/>
                <w:sz w:val="24"/>
                <w:szCs w:val="24"/>
                <w:highlight w:val="none"/>
                <w:lang w:val="en-US" w:eastAsia="zh-CN"/>
              </w:rPr>
              <w:t xml:space="preserve"> 09</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11 </w:t>
            </w:r>
            <w:r>
              <w:rPr>
                <w:rFonts w:hint="eastAsia" w:ascii="宋体" w:hAnsi="宋体" w:cs="宋体"/>
                <w:color w:val="auto"/>
                <w:sz w:val="24"/>
                <w:szCs w:val="24"/>
                <w:highlight w:val="none"/>
              </w:rPr>
              <w:t xml:space="preserve">日北京时间09:30。</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3.投标文件提交地点：投标人应当通过“苏采云”系统提交数据电文形式的投标文件（即电子投标），“苏采云”系统自动接收。</w:t>
            </w:r>
            <w:r/>
          </w:p>
        </w:tc>
      </w:tr>
      <w:tr>
        <w:trPr/>
        <w:tc>
          <w:tcPr>
            <w:tcW w:w="1560"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（二十）</w:t>
            </w:r>
            <w:r/>
          </w:p>
        </w:tc>
        <w:tc>
          <w:tcPr>
            <w:tcW w:w="6962"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电子投标文件应由其法定代表人或法定代表人授权代表在规定的网上投标时间内，凭CA证书登陆“苏采云”系统在线编制投标文件（电子数据），并在投标截止时间之前上传投标文件。</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投标人应在达到开标时间后，使用CA数字证书解密各自投标文件。</w:t>
            </w:r>
            <w:r/>
          </w:p>
        </w:tc>
      </w:tr>
      <w:tr>
        <w:trPr/>
        <w:tc>
          <w:tcPr>
            <w:tcW w:w="1560"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w:t>
            </w:r>
            <w:r/>
          </w:p>
        </w:tc>
        <w:tc>
          <w:tcPr>
            <w:tcW w:w="6962"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w:t>
            </w:r>
            <w:r/>
          </w:p>
        </w:tc>
      </w:tr>
      <w:tr>
        <w:trPr/>
        <w:tc>
          <w:tcPr>
            <w:tcW w:w="1560"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(二十五)1</w:t>
            </w:r>
            <w:r/>
          </w:p>
        </w:tc>
        <w:tc>
          <w:tcPr>
            <w:tcW w:w="6962" w:type="dxa"/>
            <w:vAlign w:val="top"/>
            <w:textDirection w:val="lrTb"/>
            <w:noWrap w:val="false"/>
          </w:tcPr>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开标时间及地点：</w:t>
            </w:r>
            <w:r/>
          </w:p>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1.开标时间：2026年</w:t>
            </w:r>
            <w:r>
              <w:rPr>
                <w:rFonts w:hint="eastAsia" w:ascii="宋体" w:hAnsi="宋体" w:cs="宋体"/>
                <w:color w:val="auto"/>
                <w:sz w:val="24"/>
                <w:szCs w:val="24"/>
                <w:highlight w:val="none"/>
                <w:lang w:val="en-US" w:eastAsia="zh-CN"/>
              </w:rPr>
              <w:t xml:space="preserve">09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rPr>
              <w:t xml:space="preserve">日09：30（标准时间）</w:t>
            </w:r>
            <w:r/>
          </w:p>
          <w:p>
            <w:pPr>
              <w:jc w:val="left"/>
              <w:keepLines w:val="0"/>
              <w:keepNext w:val="0"/>
              <w:pageBreakBefore w:val="0"/>
              <w:spacing w:line="40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2.开标地点：“苏采云”系统（网址： http://jszfcg.jsczt.cn/）“开标大厅”或进入徐州政府采购网（网址：https://czj.xz.gov.cn/zfcg/index.html）--办事指南--供应商--供应商登录入口，点击“苏采云”进入系统“开标大厅”。</w:t>
            </w:r>
            <w:r/>
          </w:p>
        </w:tc>
      </w:tr>
      <w:tr>
        <w:trPr>
          <w:trHeight w:val="1010"/>
        </w:trPr>
        <w:tc>
          <w:tcPr>
            <w:tcW w:w="1560"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(二十五)3</w:t>
            </w:r>
            <w:r/>
          </w:p>
        </w:tc>
        <w:tc>
          <w:tcPr>
            <w:tcW w:w="6962"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所有投标人解密（或解密时间）结束后，“苏采云”系统生成开标记录并向社会公众公布，但依法应当保密的除外。</w:t>
            </w:r>
            <w:r/>
          </w:p>
        </w:tc>
      </w:tr>
      <w:tr>
        <w:trPr/>
        <w:tc>
          <w:tcPr>
            <w:tcW w:w="1560"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w:t>
            </w:r>
            <w:r/>
          </w:p>
        </w:tc>
        <w:tc>
          <w:tcPr>
            <w:tcW w:w="6962"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w:t>
            </w:r>
            <w:r/>
          </w:p>
        </w:tc>
      </w:tr>
      <w:tr>
        <w:trPr/>
        <w:tc>
          <w:tcPr>
            <w:tcW w:w="1560"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(二十七)</w:t>
            </w:r>
            <w:r/>
          </w:p>
        </w:tc>
        <w:tc>
          <w:tcPr>
            <w:tcW w:w="6962"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采用综合评分法。</w:t>
            </w:r>
            <w:r/>
          </w:p>
        </w:tc>
      </w:tr>
      <w:tr>
        <w:trPr/>
        <w:tc>
          <w:tcPr>
            <w:tcW w:w="1560"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(二十八)1</w:t>
            </w:r>
            <w:r/>
          </w:p>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(二十八)1（4）</w:t>
            </w:r>
            <w:r/>
          </w:p>
        </w:tc>
        <w:tc>
          <w:tcPr>
            <w:tcW w:w="6962" w:type="dxa"/>
            <w:vAlign w:val="top"/>
            <w:textDirection w:val="lrTb"/>
            <w:noWrap w:val="false"/>
          </w:tcPr>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一、推荐中标候选供应商名单。中标候选供应商数量应当根据采购需要确定，但必须按顺序排列中标候选供应商。</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二、采用综合评分法的，按评审后得分由高到低顺序排列。得分相同的，按投标报价由低到高顺序排列。得分且投标报价相同的，按</w:t>
            </w:r>
            <w:r>
              <w:rPr>
                <w:rFonts w:hint="eastAsia" w:ascii="宋体" w:hAnsi="宋体" w:cs="宋体"/>
                <w:color w:val="auto"/>
                <w:sz w:val="24"/>
                <w:szCs w:val="24"/>
                <w:highlight w:val="none"/>
                <w:lang w:val="en-US" w:eastAsia="zh-CN"/>
              </w:rPr>
              <w:t xml:space="preserve">技术部分</w:t>
            </w:r>
            <w:r>
              <w:rPr>
                <w:rFonts w:hint="eastAsia" w:ascii="宋体" w:hAnsi="宋体" w:eastAsia="宋体" w:cs="宋体"/>
                <w:color w:val="auto"/>
                <w:sz w:val="24"/>
                <w:szCs w:val="24"/>
                <w:highlight w:val="none"/>
              </w:rPr>
              <w:t xml:space="preserve">得分</w:t>
            </w:r>
            <w:r>
              <w:rPr>
                <w:rFonts w:hint="eastAsia" w:ascii="宋体" w:hAnsi="宋体" w:cs="宋体"/>
                <w:color w:val="auto"/>
                <w:sz w:val="24"/>
                <w:szCs w:val="24"/>
                <w:highlight w:val="none"/>
                <w:lang w:val="en-US" w:eastAsia="zh-CN"/>
              </w:rPr>
              <w:t xml:space="preserve">由高到</w:t>
            </w:r>
            <w:r>
              <w:rPr>
                <w:rFonts w:hint="eastAsia" w:ascii="宋体" w:hAnsi="宋体" w:eastAsia="宋体" w:cs="宋体"/>
                <w:color w:val="auto"/>
                <w:sz w:val="24"/>
                <w:szCs w:val="24"/>
                <w:highlight w:val="none"/>
              </w:rPr>
              <w:t xml:space="preserve">低顺序排列。中标候选人应当不超过3个，并标明排序。</w:t>
            </w:r>
            <w:r/>
          </w:p>
          <w:p>
            <w:pP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三、采购人应当自收到评标报告之日起</w:t>
            </w:r>
            <w:r>
              <w:rPr>
                <w:rFonts w:hint="eastAsia" w:ascii="宋体" w:hAnsi="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个工作日内，在评标报告确定的中标候选人名单中按得分最高顺序确定一名中标人。</w:t>
            </w:r>
            <w:r/>
          </w:p>
        </w:tc>
      </w:tr>
      <w:tr>
        <w:trPr/>
        <w:tc>
          <w:tcPr>
            <w:tcW w:w="1560"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（二十九）</w:t>
            </w:r>
            <w:r/>
          </w:p>
        </w:tc>
        <w:tc>
          <w:tcPr>
            <w:tcW w:w="6962"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1.评标中需要投标人对投标文件澄清或者说明的，应当通过“苏采云”系统交换数据电文。在评标期间，请投标人保持在线。</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W w:w="1560"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（三十）</w:t>
            </w:r>
            <w:r/>
          </w:p>
        </w:tc>
        <w:tc>
          <w:tcPr>
            <w:tcW w:w="6962" w:type="dxa"/>
            <w:vAlign w:val="top"/>
            <w:textDirection w:val="lrTb"/>
            <w:noWrap w:val="false"/>
          </w:tcPr>
          <w:p>
            <w:pPr>
              <w:spacing w:line="4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关于推动解决政府采购异常低价问题的通知》（财库〔2026〕2号）规定为准</w:t>
            </w:r>
            <w:r>
              <w:rPr>
                <w:rFonts w:hint="eastAsia" w:ascii="宋体" w:hAnsi="宋体" w:cs="宋体"/>
                <w:color w:val="auto"/>
                <w:sz w:val="24"/>
                <w:szCs w:val="24"/>
                <w:highlight w:val="none"/>
                <w:lang w:eastAsia="zh-CN"/>
              </w:rPr>
              <w:t xml:space="preserve">。</w:t>
            </w:r>
            <w:r/>
          </w:p>
          <w:p>
            <w:pPr>
              <w:spacing w:line="400" w:lineRule="exact"/>
              <w:rPr>
                <w:rFonts w:hint="eastAsia"/>
                <w:color w:val="auto"/>
                <w:sz w:val="24"/>
                <w:szCs w:val="24"/>
                <w:highlight w:val="none"/>
              </w:rPr>
            </w:pPr>
            <w:r>
              <w:rPr>
                <w:rFonts w:hint="eastAsia" w:ascii="宋体" w:hAnsi="宋体" w:cs="宋体"/>
                <w:b/>
                <w:bCs/>
                <w:color w:val="auto"/>
                <w:sz w:val="24"/>
                <w:szCs w:val="24"/>
                <w:highlight w:val="none"/>
              </w:rPr>
              <w:t xml:space="preserve">特别说明：“苏采云”系统通过“江苏省政府采购一体化不见面开标大厅”提醒投标人，投标人自行查看。投标人未及时查看或因自身原因导致未收到信息的，责任自负。</w:t>
            </w:r>
            <w:r/>
          </w:p>
        </w:tc>
      </w:tr>
      <w:tr>
        <w:trPr/>
        <w:tc>
          <w:tcPr>
            <w:tcW w:w="1560"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七</w:t>
            </w:r>
            <w:r/>
          </w:p>
        </w:tc>
        <w:tc>
          <w:tcPr>
            <w:tcW w:w="6962"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政府采购合同</w:t>
            </w:r>
            <w:r/>
          </w:p>
        </w:tc>
      </w:tr>
      <w:tr>
        <w:trPr>
          <w:trHeight w:val="542"/>
        </w:trPr>
        <w:tc>
          <w:tcPr>
            <w:tcW w:w="1560"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(三十六)</w:t>
            </w:r>
            <w:r/>
          </w:p>
        </w:tc>
        <w:tc>
          <w:tcPr>
            <w:tcW w:w="6962"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采购人与中标、成交供应商应当在中标、成交通知书发出之日起30日内，按照采购文件确定的事项签订政府采购合同。</w:t>
            </w:r>
            <w:r/>
          </w:p>
        </w:tc>
      </w:tr>
      <w:tr>
        <w:trPr/>
        <w:tc>
          <w:tcPr>
            <w:tcW w:w="1560"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（三十八）</w:t>
            </w:r>
            <w:r/>
          </w:p>
        </w:tc>
        <w:tc>
          <w:tcPr>
            <w:tcW w:w="6962" w:type="dxa"/>
            <w:vAlign w:val="top"/>
            <w:textDirection w:val="lrTb"/>
            <w:noWrap w:val="false"/>
          </w:tcPr>
          <w:p>
            <w:pPr>
              <w:spacing w:line="4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履约保证金</w:t>
            </w:r>
            <w:r>
              <w:rPr>
                <w:rFonts w:hint="eastAsia" w:ascii="宋体" w:hAnsi="宋体" w:cs="宋体"/>
                <w:color w:val="auto"/>
                <w:sz w:val="24"/>
                <w:szCs w:val="24"/>
                <w:highlight w:val="none"/>
                <w:lang w:eastAsia="zh-CN"/>
              </w:rPr>
              <w:t xml:space="preserve">：本项目不收取履约保证金。</w:t>
            </w:r>
            <w:r/>
          </w:p>
        </w:tc>
      </w:tr>
      <w:tr>
        <w:trPr>
          <w:trHeight w:val="90"/>
        </w:trPr>
        <w:tc>
          <w:tcPr>
            <w:tcW w:w="1560"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(四十)</w:t>
            </w:r>
            <w:r/>
          </w:p>
        </w:tc>
        <w:tc>
          <w:tcPr>
            <w:tcW w:w="6962"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二、供应商在法定质疑期内一次性提出针对同一采购程序环节的质疑。</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质疑接收人：</w:t>
            </w:r>
            <w:r>
              <w:rPr>
                <w:rFonts w:hint="eastAsia" w:ascii="宋体" w:hAnsi="宋体" w:cs="宋体"/>
                <w:color w:val="auto"/>
                <w:sz w:val="24"/>
                <w:szCs w:val="24"/>
                <w:highlight w:val="none"/>
                <w:lang w:eastAsia="zh-CN"/>
              </w:rPr>
              <w:t xml:space="preserve">张素雅、卞彩彩</w:t>
            </w: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0516-83906677</w:t>
            </w:r>
            <w:r>
              <w:rPr>
                <w:rFonts w:hint="eastAsia" w:ascii="宋体" w:hAnsi="宋体" w:cs="宋体"/>
                <w:color w:val="auto"/>
                <w:sz w:val="24"/>
                <w:szCs w:val="24"/>
                <w:highlight w:val="none"/>
              </w:rPr>
              <w:t xml:space="preserve">；</w:t>
            </w:r>
            <w:r/>
          </w:p>
          <w:p>
            <w:pPr>
              <w:spacing w:line="4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办公地址：</w:t>
            </w:r>
            <w:r>
              <w:rPr>
                <w:rFonts w:hint="eastAsia" w:ascii="宋体" w:hAnsi="宋体" w:cs="宋体"/>
                <w:color w:val="auto"/>
                <w:sz w:val="24"/>
                <w:szCs w:val="24"/>
                <w:highlight w:val="none"/>
                <w:lang w:eastAsia="zh-CN"/>
              </w:rPr>
              <w:t xml:space="preserve">徐州市云龙区郭庄路世茂广场SOHO3号楼17楼</w:t>
            </w:r>
            <w:r/>
          </w:p>
        </w:tc>
      </w:tr>
      <w:tr>
        <w:trPr>
          <w:trHeight w:val="90"/>
        </w:trPr>
        <w:tc>
          <w:tcPr>
            <w:tcW w:w="1560" w:type="dxa"/>
            <w:vAlign w:val="top"/>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附加说明</w:t>
            </w:r>
            <w:r/>
          </w:p>
        </w:tc>
        <w:tc>
          <w:tcPr>
            <w:tcW w:w="6962" w:type="dxa"/>
            <w:vAlign w:val="top"/>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中标人在收到中标通知书时，须向采购代理机构提交投标文件的纸质标书</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套，纸质标书的内容和苏采云上的电子投标文件内容一致。</w:t>
            </w:r>
            <w:r/>
          </w:p>
        </w:tc>
      </w:tr>
    </w:tbl>
    <w:p>
      <w:pPr>
        <w:pStyle w:val="1006"/>
        <w:ind w:firstLine="600"/>
        <w:spacing w:line="346" w:lineRule="auto"/>
        <w:widowControl/>
        <w:rPr>
          <w:rFonts w:hint="eastAsia" w:ascii="宋体" w:hAnsi="宋体" w:cs="宋体"/>
          <w:b/>
          <w:color w:val="auto"/>
          <w:sz w:val="24"/>
          <w:szCs w:val="24"/>
          <w:highlight w:val="none"/>
        </w:rPr>
      </w:pPr>
      <w:r>
        <w:rPr>
          <w:rFonts w:hint="eastAsia" w:ascii="宋体" w:hAnsi="宋体" w:cs="宋体"/>
          <w:color w:val="auto"/>
          <w:sz w:val="24"/>
          <w:szCs w:val="24"/>
          <w:highlight w:val="none"/>
        </w:rPr>
        <w:br w:type="page" w:clear="all"/>
      </w:r>
      <w:r>
        <w:rPr>
          <w:rFonts w:hint="eastAsia" w:ascii="宋体" w:hAnsi="宋体" w:cs="宋体"/>
          <w:b/>
          <w:color w:val="auto"/>
          <w:sz w:val="24"/>
          <w:szCs w:val="24"/>
          <w:highlight w:val="none"/>
        </w:rPr>
        <w:t xml:space="preserve">本章附件：招标代理服务收费标准</w:t>
      </w:r>
      <w:r/>
    </w:p>
    <w:tbl>
      <w:tblPr>
        <w:tblStyle w:val="767"/>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851"/>
        <w:gridCol w:w="3557"/>
      </w:tblGrid>
      <w:tr>
        <w:trPr>
          <w:jc w:val="center"/>
          <w:trHeight w:val="577" w:hRule="exact"/>
        </w:trPr>
        <w:tc>
          <w:tcPr>
            <w:tcW w:w="2884" w:type="dxa"/>
            <w:vAlign w:val="center"/>
            <w:textDirection w:val="lrTb"/>
            <w:noWrap w:val="false"/>
          </w:tcPr>
          <w:p>
            <w:pPr>
              <w:pStyle w:val="1038"/>
              <w:jc w:val="center"/>
              <w:spacing w:before="168"/>
              <w:rPr>
                <w:rFonts w:hint="eastAsia"/>
                <w:color w:val="auto"/>
                <w:sz w:val="24"/>
                <w:szCs w:val="24"/>
                <w:highlight w:val="none"/>
              </w:rPr>
            </w:pPr>
            <w:r>
              <w:rPr>
                <w:rFonts w:hint="eastAsia"/>
                <w:color w:val="auto"/>
                <w:spacing w:val="1"/>
                <w:sz w:val="24"/>
                <w:szCs w:val="24"/>
                <w:highlight w:val="none"/>
              </w:rPr>
              <w:t xml:space="preserve">中标或者成交金额</w:t>
            </w:r>
            <w:r/>
          </w:p>
        </w:tc>
        <w:tc>
          <w:tcPr>
            <w:tcW w:w="2115" w:type="dxa"/>
            <w:vAlign w:val="center"/>
            <w:textDirection w:val="lrTb"/>
            <w:noWrap w:val="false"/>
          </w:tcPr>
          <w:p>
            <w:pPr>
              <w:pStyle w:val="1038"/>
              <w:jc w:val="center"/>
              <w:spacing w:before="168"/>
              <w:rPr>
                <w:rFonts w:hint="eastAsia"/>
                <w:color w:val="auto"/>
                <w:sz w:val="24"/>
                <w:szCs w:val="24"/>
                <w:highlight w:val="none"/>
              </w:rPr>
            </w:pPr>
            <w:r>
              <w:rPr>
                <w:rFonts w:hint="eastAsia"/>
                <w:color w:val="auto"/>
                <w:spacing w:val="7"/>
                <w:sz w:val="24"/>
                <w:szCs w:val="24"/>
                <w:highlight w:val="none"/>
              </w:rPr>
              <w:t xml:space="preserve">费率</w:t>
            </w:r>
            <w:r/>
          </w:p>
        </w:tc>
      </w:tr>
      <w:tr>
        <w:trPr>
          <w:jc w:val="center"/>
          <w:trHeight w:val="560" w:hRule="exact"/>
        </w:trPr>
        <w:tc>
          <w:tcPr>
            <w:tcW w:w="2884" w:type="dxa"/>
            <w:vAlign w:val="center"/>
            <w:textDirection w:val="lrTb"/>
            <w:noWrap w:val="false"/>
          </w:tcPr>
          <w:p>
            <w:pPr>
              <w:pStyle w:val="1038"/>
              <w:spacing w:before="154"/>
              <w:rPr>
                <w:rFonts w:hint="eastAsia"/>
                <w:color w:val="auto"/>
                <w:sz w:val="24"/>
                <w:szCs w:val="24"/>
                <w:highlight w:val="none"/>
                <w:lang w:eastAsia="zh-CN"/>
              </w:rPr>
            </w:pPr>
            <w:r>
              <w:rPr>
                <w:rFonts w:hint="eastAsia"/>
                <w:color w:val="auto"/>
                <w:spacing w:val="4"/>
                <w:sz w:val="24"/>
                <w:szCs w:val="24"/>
                <w:highlight w:val="none"/>
                <w:lang w:eastAsia="zh-CN"/>
              </w:rPr>
              <w:t xml:space="preserve">最低收费金额(每个委托项目)</w:t>
            </w:r>
            <w:r/>
          </w:p>
        </w:tc>
        <w:tc>
          <w:tcPr>
            <w:tcW w:w="2115" w:type="dxa"/>
            <w:vAlign w:val="center"/>
            <w:textDirection w:val="lrTb"/>
            <w:noWrap w:val="false"/>
          </w:tcPr>
          <w:p>
            <w:pPr>
              <w:pStyle w:val="1038"/>
              <w:jc w:val="center"/>
              <w:spacing w:before="155"/>
              <w:rPr>
                <w:rFonts w:hint="eastAsia"/>
                <w:color w:val="auto"/>
                <w:sz w:val="24"/>
                <w:szCs w:val="24"/>
                <w:highlight w:val="none"/>
              </w:rPr>
            </w:pPr>
            <w:r>
              <w:rPr>
                <w:rFonts w:hint="eastAsia"/>
                <w:color w:val="auto"/>
                <w:spacing w:val="2"/>
                <w:sz w:val="24"/>
                <w:szCs w:val="24"/>
                <w:highlight w:val="none"/>
              </w:rPr>
              <w:t xml:space="preserve">5000元</w:t>
            </w:r>
            <w:r/>
          </w:p>
        </w:tc>
      </w:tr>
      <w:tr>
        <w:trPr>
          <w:jc w:val="center"/>
          <w:trHeight w:val="522" w:hRule="exact"/>
        </w:trPr>
        <w:tc>
          <w:tcPr>
            <w:tcW w:w="2884" w:type="dxa"/>
            <w:vAlign w:val="center"/>
            <w:textDirection w:val="lrTb"/>
            <w:noWrap w:val="false"/>
          </w:tcPr>
          <w:p>
            <w:pPr>
              <w:pStyle w:val="1038"/>
              <w:spacing w:before="155"/>
              <w:rPr>
                <w:rFonts w:hint="eastAsia"/>
                <w:color w:val="auto"/>
                <w:sz w:val="24"/>
                <w:szCs w:val="24"/>
                <w:highlight w:val="none"/>
              </w:rPr>
            </w:pPr>
            <w:r>
              <w:rPr>
                <w:rFonts w:hint="eastAsia"/>
                <w:color w:val="auto"/>
                <w:spacing w:val="5"/>
                <w:sz w:val="24"/>
                <w:szCs w:val="24"/>
                <w:highlight w:val="none"/>
              </w:rPr>
              <w:t xml:space="preserve">50万元以下(含50万元)</w:t>
            </w:r>
            <w:r/>
          </w:p>
        </w:tc>
        <w:tc>
          <w:tcPr>
            <w:tcW w:w="2115" w:type="dxa"/>
            <w:vAlign w:val="center"/>
            <w:textDirection w:val="lrTb"/>
            <w:noWrap w:val="false"/>
          </w:tcPr>
          <w:p>
            <w:pPr>
              <w:pStyle w:val="1038"/>
              <w:jc w:val="center"/>
              <w:spacing w:before="236"/>
              <w:rPr>
                <w:rFonts w:hint="eastAsia"/>
                <w:color w:val="auto"/>
                <w:sz w:val="24"/>
                <w:szCs w:val="24"/>
                <w:highlight w:val="none"/>
              </w:rPr>
            </w:pPr>
            <w:r>
              <w:rPr>
                <w:rFonts w:hint="eastAsia"/>
                <w:color w:val="auto"/>
                <w:spacing w:val="-8"/>
                <w:sz w:val="24"/>
                <w:szCs w:val="24"/>
                <w:highlight w:val="none"/>
              </w:rPr>
              <w:t xml:space="preserve">1.6%</w:t>
            </w:r>
            <w:r/>
          </w:p>
        </w:tc>
      </w:tr>
      <w:tr>
        <w:trPr>
          <w:jc w:val="center"/>
          <w:trHeight w:val="535" w:hRule="exact"/>
        </w:trPr>
        <w:tc>
          <w:tcPr>
            <w:tcW w:w="2884" w:type="dxa"/>
            <w:vAlign w:val="center"/>
            <w:textDirection w:val="lrTb"/>
            <w:noWrap w:val="false"/>
          </w:tcPr>
          <w:p>
            <w:pPr>
              <w:pStyle w:val="1038"/>
              <w:spacing w:before="156"/>
              <w:rPr>
                <w:rFonts w:hint="eastAsia"/>
                <w:color w:val="auto"/>
                <w:sz w:val="24"/>
                <w:szCs w:val="24"/>
                <w:highlight w:val="none"/>
              </w:rPr>
            </w:pPr>
            <w:r>
              <w:rPr>
                <w:rFonts w:hint="eastAsia"/>
                <w:color w:val="auto"/>
                <w:spacing w:val="4"/>
                <w:sz w:val="24"/>
                <w:szCs w:val="24"/>
                <w:highlight w:val="none"/>
              </w:rPr>
              <w:t xml:space="preserve">50-400万元(含400万元)</w:t>
            </w:r>
            <w:r/>
          </w:p>
        </w:tc>
        <w:tc>
          <w:tcPr>
            <w:tcW w:w="2115" w:type="dxa"/>
            <w:vAlign w:val="center"/>
            <w:textDirection w:val="lrTb"/>
            <w:noWrap w:val="false"/>
          </w:tcPr>
          <w:p>
            <w:pPr>
              <w:pStyle w:val="1038"/>
              <w:jc w:val="center"/>
              <w:spacing w:before="237"/>
              <w:rPr>
                <w:rFonts w:hint="eastAsia"/>
                <w:color w:val="auto"/>
                <w:sz w:val="24"/>
                <w:szCs w:val="24"/>
                <w:highlight w:val="none"/>
              </w:rPr>
            </w:pPr>
            <w:r>
              <w:rPr>
                <w:rFonts w:hint="eastAsia"/>
                <w:color w:val="auto"/>
                <w:spacing w:val="-7"/>
                <w:sz w:val="24"/>
                <w:szCs w:val="24"/>
                <w:highlight w:val="none"/>
              </w:rPr>
              <w:t xml:space="preserve">1.5%</w:t>
            </w:r>
            <w:r/>
          </w:p>
        </w:tc>
      </w:tr>
      <w:tr>
        <w:trPr>
          <w:jc w:val="center"/>
          <w:trHeight w:val="510" w:hRule="exact"/>
        </w:trPr>
        <w:tc>
          <w:tcPr>
            <w:tcW w:w="2884" w:type="dxa"/>
            <w:vAlign w:val="center"/>
            <w:textDirection w:val="lrTb"/>
            <w:noWrap w:val="false"/>
          </w:tcPr>
          <w:p>
            <w:pPr>
              <w:pStyle w:val="1038"/>
              <w:spacing w:before="167"/>
              <w:rPr>
                <w:rFonts w:hint="eastAsia"/>
                <w:color w:val="auto"/>
                <w:sz w:val="24"/>
                <w:szCs w:val="24"/>
                <w:highlight w:val="none"/>
              </w:rPr>
            </w:pPr>
            <w:r>
              <w:rPr>
                <w:rFonts w:hint="eastAsia"/>
                <w:color w:val="auto"/>
                <w:spacing w:val="3"/>
                <w:sz w:val="24"/>
                <w:szCs w:val="24"/>
                <w:highlight w:val="none"/>
              </w:rPr>
              <w:t xml:space="preserve">400-1000万元(含1000万元)</w:t>
            </w:r>
            <w:r/>
          </w:p>
        </w:tc>
        <w:tc>
          <w:tcPr>
            <w:tcW w:w="2115" w:type="dxa"/>
            <w:vAlign w:val="center"/>
            <w:textDirection w:val="lrTb"/>
            <w:noWrap w:val="false"/>
          </w:tcPr>
          <w:p>
            <w:pPr>
              <w:pStyle w:val="1038"/>
              <w:jc w:val="center"/>
              <w:spacing w:before="248"/>
              <w:rPr>
                <w:rFonts w:hint="eastAsia"/>
                <w:color w:val="auto"/>
                <w:sz w:val="24"/>
                <w:szCs w:val="24"/>
                <w:highlight w:val="none"/>
              </w:rPr>
            </w:pPr>
            <w:r>
              <w:rPr>
                <w:rFonts w:hint="eastAsia"/>
                <w:color w:val="auto"/>
                <w:spacing w:val="-5"/>
                <w:sz w:val="24"/>
                <w:szCs w:val="24"/>
                <w:highlight w:val="none"/>
              </w:rPr>
              <w:t xml:space="preserve">1.1%</w:t>
            </w:r>
            <w:r/>
          </w:p>
        </w:tc>
      </w:tr>
      <w:tr>
        <w:trPr>
          <w:jc w:val="center"/>
          <w:trHeight w:val="485" w:hRule="exact"/>
        </w:trPr>
        <w:tc>
          <w:tcPr>
            <w:tcW w:w="2884" w:type="dxa"/>
            <w:vAlign w:val="center"/>
            <w:textDirection w:val="lrTb"/>
            <w:noWrap w:val="false"/>
          </w:tcPr>
          <w:p>
            <w:pPr>
              <w:pStyle w:val="1038"/>
              <w:spacing w:before="158"/>
              <w:rPr>
                <w:rFonts w:hint="eastAsia"/>
                <w:color w:val="auto"/>
                <w:sz w:val="24"/>
                <w:szCs w:val="24"/>
                <w:highlight w:val="none"/>
              </w:rPr>
            </w:pPr>
            <w:r>
              <w:rPr>
                <w:rFonts w:hint="eastAsia"/>
                <w:color w:val="auto"/>
                <w:spacing w:val="3"/>
                <w:sz w:val="24"/>
                <w:szCs w:val="24"/>
                <w:highlight w:val="none"/>
              </w:rPr>
              <w:t xml:space="preserve">1000-5000万元(含5000万元)</w:t>
            </w:r>
            <w:r/>
          </w:p>
        </w:tc>
        <w:tc>
          <w:tcPr>
            <w:tcW w:w="2115" w:type="dxa"/>
            <w:vAlign w:val="center"/>
            <w:textDirection w:val="lrTb"/>
            <w:noWrap w:val="false"/>
          </w:tcPr>
          <w:p>
            <w:pPr>
              <w:pStyle w:val="1038"/>
              <w:jc w:val="center"/>
              <w:spacing w:before="240"/>
              <w:rPr>
                <w:rFonts w:hint="eastAsia"/>
                <w:color w:val="auto"/>
                <w:sz w:val="24"/>
                <w:szCs w:val="24"/>
                <w:highlight w:val="none"/>
              </w:rPr>
            </w:pPr>
            <w:r>
              <w:rPr>
                <w:rFonts w:hint="eastAsia"/>
                <w:color w:val="auto"/>
                <w:spacing w:val="-3"/>
                <w:sz w:val="24"/>
                <w:szCs w:val="24"/>
                <w:highlight w:val="none"/>
              </w:rPr>
              <w:t xml:space="preserve">0.8%</w:t>
            </w:r>
            <w:r/>
          </w:p>
        </w:tc>
      </w:tr>
      <w:tr>
        <w:trPr>
          <w:jc w:val="center"/>
          <w:trHeight w:val="497" w:hRule="exact"/>
        </w:trPr>
        <w:tc>
          <w:tcPr>
            <w:tcW w:w="2884" w:type="dxa"/>
            <w:vAlign w:val="center"/>
            <w:textDirection w:val="lrTb"/>
            <w:noWrap w:val="false"/>
          </w:tcPr>
          <w:p>
            <w:pPr>
              <w:pStyle w:val="1038"/>
              <w:spacing w:before="159"/>
              <w:rPr>
                <w:rFonts w:hint="eastAsia"/>
                <w:color w:val="auto"/>
                <w:sz w:val="24"/>
                <w:szCs w:val="24"/>
                <w:highlight w:val="none"/>
              </w:rPr>
            </w:pPr>
            <w:r>
              <w:rPr>
                <w:rFonts w:hint="eastAsia"/>
                <w:color w:val="auto"/>
                <w:spacing w:val="5"/>
                <w:sz w:val="24"/>
                <w:szCs w:val="24"/>
                <w:highlight w:val="none"/>
              </w:rPr>
              <w:t xml:space="preserve">5000-1亿元(含1亿元)</w:t>
            </w:r>
            <w:r/>
          </w:p>
        </w:tc>
        <w:tc>
          <w:tcPr>
            <w:tcW w:w="2115" w:type="dxa"/>
            <w:vAlign w:val="center"/>
            <w:textDirection w:val="lrTb"/>
            <w:noWrap w:val="false"/>
          </w:tcPr>
          <w:p>
            <w:pPr>
              <w:pStyle w:val="1038"/>
              <w:jc w:val="center"/>
              <w:spacing w:before="241"/>
              <w:rPr>
                <w:rFonts w:hint="eastAsia"/>
                <w:color w:val="auto"/>
                <w:sz w:val="24"/>
                <w:szCs w:val="24"/>
                <w:highlight w:val="none"/>
              </w:rPr>
            </w:pPr>
            <w:r>
              <w:rPr>
                <w:rFonts w:hint="eastAsia"/>
                <w:color w:val="auto"/>
                <w:spacing w:val="-2"/>
                <w:sz w:val="24"/>
                <w:szCs w:val="24"/>
                <w:highlight w:val="none"/>
              </w:rPr>
              <w:t xml:space="preserve">0.25%</w:t>
            </w:r>
            <w:r/>
          </w:p>
        </w:tc>
      </w:tr>
      <w:tr>
        <w:trPr>
          <w:jc w:val="center"/>
          <w:trHeight w:val="548" w:hRule="exact"/>
        </w:trPr>
        <w:tc>
          <w:tcPr>
            <w:tcW w:w="2884" w:type="dxa"/>
            <w:vAlign w:val="center"/>
            <w:textDirection w:val="lrTb"/>
            <w:noWrap w:val="false"/>
          </w:tcPr>
          <w:p>
            <w:pPr>
              <w:pStyle w:val="1038"/>
              <w:spacing w:before="170"/>
              <w:rPr>
                <w:rFonts w:hint="eastAsia"/>
                <w:color w:val="auto"/>
                <w:sz w:val="24"/>
                <w:szCs w:val="24"/>
                <w:highlight w:val="none"/>
              </w:rPr>
            </w:pPr>
            <w:r>
              <w:rPr>
                <w:rFonts w:hint="eastAsia"/>
                <w:color w:val="auto"/>
                <w:spacing w:val="5"/>
                <w:sz w:val="24"/>
                <w:szCs w:val="24"/>
                <w:highlight w:val="none"/>
              </w:rPr>
              <w:t xml:space="preserve">1-10亿元(含10亿元)</w:t>
            </w:r>
            <w:r/>
          </w:p>
        </w:tc>
        <w:tc>
          <w:tcPr>
            <w:tcW w:w="2115" w:type="dxa"/>
            <w:vAlign w:val="center"/>
            <w:textDirection w:val="lrTb"/>
            <w:noWrap w:val="false"/>
          </w:tcPr>
          <w:p>
            <w:pPr>
              <w:pStyle w:val="1038"/>
              <w:jc w:val="center"/>
              <w:spacing w:before="252"/>
              <w:rPr>
                <w:rFonts w:hint="eastAsia"/>
                <w:color w:val="auto"/>
                <w:sz w:val="24"/>
                <w:szCs w:val="24"/>
                <w:highlight w:val="none"/>
              </w:rPr>
            </w:pPr>
            <w:r>
              <w:rPr>
                <w:rFonts w:hint="eastAsia"/>
                <w:color w:val="auto"/>
                <w:spacing w:val="-3"/>
                <w:sz w:val="24"/>
                <w:szCs w:val="24"/>
                <w:highlight w:val="none"/>
              </w:rPr>
              <w:t xml:space="preserve">0.05%</w:t>
            </w:r>
            <w:r/>
          </w:p>
        </w:tc>
      </w:tr>
      <w:tr>
        <w:trPr>
          <w:jc w:val="center"/>
          <w:trHeight w:val="615" w:hRule="exact"/>
        </w:trPr>
        <w:tc>
          <w:tcPr>
            <w:tcW w:w="2884" w:type="dxa"/>
            <w:vAlign w:val="center"/>
            <w:textDirection w:val="lrTb"/>
            <w:noWrap w:val="false"/>
          </w:tcPr>
          <w:p>
            <w:pPr>
              <w:pStyle w:val="1038"/>
              <w:spacing w:before="162"/>
              <w:rPr>
                <w:rFonts w:hint="eastAsia"/>
                <w:color w:val="auto"/>
                <w:sz w:val="24"/>
                <w:szCs w:val="24"/>
                <w:highlight w:val="none"/>
              </w:rPr>
            </w:pPr>
            <w:r>
              <w:rPr>
                <w:rFonts w:hint="eastAsia"/>
                <w:color w:val="auto"/>
                <w:spacing w:val="5"/>
                <w:sz w:val="24"/>
                <w:szCs w:val="24"/>
                <w:highlight w:val="none"/>
              </w:rPr>
              <w:t xml:space="preserve">10-50亿元(含50亿元)</w:t>
            </w:r>
            <w:r/>
          </w:p>
        </w:tc>
        <w:tc>
          <w:tcPr>
            <w:tcW w:w="2115" w:type="dxa"/>
            <w:vAlign w:val="center"/>
            <w:textDirection w:val="lrTb"/>
            <w:noWrap w:val="false"/>
          </w:tcPr>
          <w:p>
            <w:pPr>
              <w:pStyle w:val="1038"/>
              <w:jc w:val="center"/>
              <w:spacing w:before="243"/>
              <w:rPr>
                <w:rFonts w:hint="eastAsia"/>
                <w:color w:val="auto"/>
                <w:sz w:val="24"/>
                <w:szCs w:val="24"/>
                <w:highlight w:val="none"/>
              </w:rPr>
            </w:pPr>
            <w:r>
              <w:rPr>
                <w:rFonts w:hint="eastAsia"/>
                <w:color w:val="auto"/>
                <w:spacing w:val="-3"/>
                <w:sz w:val="24"/>
                <w:szCs w:val="24"/>
                <w:highlight w:val="none"/>
              </w:rPr>
              <w:t xml:space="preserve">0.01%</w:t>
            </w:r>
            <w:r/>
          </w:p>
        </w:tc>
      </w:tr>
      <w:tr>
        <w:trPr>
          <w:jc w:val="center"/>
          <w:trHeight w:val="572" w:hRule="exact"/>
        </w:trPr>
        <w:tc>
          <w:tcPr>
            <w:tcW w:w="2884" w:type="dxa"/>
            <w:vAlign w:val="center"/>
            <w:textDirection w:val="lrTb"/>
            <w:noWrap w:val="false"/>
          </w:tcPr>
          <w:p>
            <w:pPr>
              <w:pStyle w:val="1038"/>
              <w:spacing w:before="164"/>
              <w:rPr>
                <w:rFonts w:hint="eastAsia"/>
                <w:color w:val="auto"/>
                <w:sz w:val="24"/>
                <w:szCs w:val="24"/>
                <w:highlight w:val="none"/>
              </w:rPr>
            </w:pPr>
            <w:r>
              <w:rPr>
                <w:rFonts w:hint="eastAsia"/>
                <w:color w:val="auto"/>
                <w:spacing w:val="2"/>
                <w:sz w:val="24"/>
                <w:szCs w:val="24"/>
                <w:highlight w:val="none"/>
              </w:rPr>
              <w:t xml:space="preserve">50亿元以上</w:t>
            </w:r>
            <w:r/>
          </w:p>
        </w:tc>
        <w:tc>
          <w:tcPr>
            <w:tcW w:w="2115" w:type="dxa"/>
            <w:vAlign w:val="center"/>
            <w:textDirection w:val="lrTb"/>
            <w:noWrap w:val="false"/>
          </w:tcPr>
          <w:p>
            <w:pPr>
              <w:pStyle w:val="1038"/>
              <w:jc w:val="center"/>
              <w:spacing w:before="245"/>
              <w:rPr>
                <w:rFonts w:hint="eastAsia"/>
                <w:color w:val="auto"/>
                <w:sz w:val="24"/>
                <w:szCs w:val="24"/>
                <w:highlight w:val="none"/>
              </w:rPr>
            </w:pPr>
            <w:r>
              <w:rPr>
                <w:rFonts w:hint="eastAsia"/>
                <w:color w:val="auto"/>
                <w:spacing w:val="-2"/>
                <w:sz w:val="24"/>
                <w:szCs w:val="24"/>
                <w:highlight w:val="none"/>
              </w:rPr>
              <w:t xml:space="preserve">0.005%</w:t>
            </w:r>
            <w:r/>
          </w:p>
        </w:tc>
      </w:tr>
    </w:tbl>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说明：</w:t>
      </w:r>
      <w:r/>
    </w:p>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1.按上表计算的收费为代理服务全过程的收费金额。各社会代理机构不再收取采购文件制作售卖费用。</w:t>
      </w:r>
      <w:r/>
    </w:p>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2.代理服务费按差额定率累进法计算。</w:t>
      </w:r>
      <w:r/>
    </w:p>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3.代理服务费基准金额（按差额定率累进法计算的）=中标金额（按差额定率累进法计算的） * 费率（%）</w:t>
      </w:r>
      <w:r/>
    </w:p>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4.代理服务费应收取金额=代理服务费基准金额（按差额定率累进法计算的）的合计数。</w:t>
      </w:r>
      <w:r/>
    </w:p>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5.定点类等无金额或事先不能计算出价格总额的项目，按中标（成交）金额100万元计算服务费。</w:t>
      </w:r>
      <w:r/>
    </w:p>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6.有分包（分标段）项目按总项目中标（成交）金额收费。</w:t>
      </w:r>
      <w:r/>
    </w:p>
    <w:p>
      <w:pPr>
        <w:jc w:val="left"/>
        <w:spacing w:line="360" w:lineRule="auto"/>
        <w:widowControl/>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7.</w:t>
      </w:r>
      <w:r>
        <w:rPr>
          <w:rFonts w:hint="eastAsia" w:ascii="宋体" w:hAnsi="宋体" w:eastAsia="宋体" w:cs="宋体"/>
          <w:caps w:val="0"/>
          <w:color w:val="auto"/>
          <w:spacing w:val="0"/>
          <w:sz w:val="24"/>
          <w:szCs w:val="24"/>
          <w:highlight w:val="none"/>
          <w:lang w:val="en-US" w:eastAsia="zh-CN"/>
        </w:rPr>
        <w:t xml:space="preserve">根据苏财规[2026]1号文件有关规定，本项目代理服务费由中标人支付，各投标人在投标报价时应充分考虑在内。</w:t>
      </w:r>
      <w:r/>
    </w:p>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8.账户信息：</w:t>
      </w:r>
      <w:r/>
    </w:p>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收款人：江苏中瑞建设项目管理有限公司 </w:t>
      </w:r>
      <w:r/>
    </w:p>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开户银行：中国建设银行徐州永安支行</w:t>
      </w:r>
      <w:r/>
    </w:p>
    <w:p>
      <w:pPr>
        <w:jc w:val="both"/>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银行账号：32001718336052501620</w:t>
      </w:r>
      <w:r>
        <w:rPr>
          <w:rFonts w:hint="eastAsia" w:ascii="宋体" w:hAnsi="宋体" w:cs="宋体"/>
          <w:color w:val="auto"/>
          <w:sz w:val="24"/>
          <w:szCs w:val="24"/>
          <w:highlight w:val="none"/>
        </w:rPr>
        <w:br w:type="page" w:clear="all"/>
      </w:r>
      <w:bookmarkStart w:id="14" w:name="_Toc28869"/>
      <w:r/>
      <w:r/>
    </w:p>
    <w:p>
      <w:pPr>
        <w:jc w:val="both"/>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p>
    <w:p>
      <w:pPr>
        <w:jc w:val="center"/>
        <w:spacing w:line="360" w:lineRule="auto"/>
        <w:rPr>
          <w:rFonts w:hint="eastAsia"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Style w:val="964"/>
          <w:rFonts w:hint="eastAsia" w:ascii="宋体" w:hAnsi="宋体" w:eastAsia="宋体" w:cs="宋体"/>
          <w:color w:val="auto"/>
          <w:sz w:val="24"/>
          <w:szCs w:val="24"/>
          <w:highlight w:val="none"/>
        </w:rPr>
        <w:t xml:space="preserve">第四章 评标标准</w:t>
      </w:r>
      <w:bookmarkEnd w:id="6"/>
      <w:r/>
      <w:bookmarkEnd w:id="14"/>
      <w:r/>
      <w:r/>
    </w:p>
    <w:tbl>
      <w:tblPr>
        <w:tblStyle w:val="767"/>
        <w:tblpPr w:horzAnchor="page" w:tblpX="1342" w:vertAnchor="page" w:tblpY="2246" w:leftFromText="180" w:topFromText="0" w:rightFromText="180" w:bottomFromText="0"/>
        <w:tblW w:w="548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3"/>
        <w:gridCol w:w="2055"/>
        <w:gridCol w:w="6444"/>
      </w:tblGrid>
      <w:tr>
        <w:trPr/>
        <w:tc>
          <w:tcPr>
            <w:tcW w:w="504" w:type="pct"/>
            <w:vAlign w:val="center"/>
            <w:textDirection w:val="lrTb"/>
            <w:noWrap w:val="false"/>
          </w:tcPr>
          <w:p>
            <w:pPr>
              <w:jc w:val="center"/>
              <w:keepLines w:val="0"/>
              <w:keepNext w:val="0"/>
              <w:pageBreakBefore w:val="0"/>
              <w:widowControl/>
              <w:rPr>
                <w:rFonts w:hint="eastAsia" w:ascii="宋体" w:hAnsi="宋体" w:eastAsia="宋体" w:cs="宋体"/>
                <w:color w:val="auto"/>
                <w:sz w:val="24"/>
                <w:szCs w:val="24"/>
                <w:highlight w:val="none"/>
              </w:rPr>
            </w:pPr>
            <w:r/>
            <w:bookmarkStart w:id="15" w:name="_Toc522790134"/>
            <w:r>
              <w:rPr>
                <w:rFonts w:hint="eastAsia" w:ascii="宋体" w:hAnsi="宋体" w:eastAsia="宋体" w:cs="宋体"/>
                <w:color w:val="auto"/>
                <w:sz w:val="24"/>
                <w:szCs w:val="24"/>
                <w:highlight w:val="none"/>
              </w:rPr>
              <w:t xml:space="preserve">项目</w:t>
            </w:r>
            <w:r/>
          </w:p>
        </w:tc>
        <w:tc>
          <w:tcPr>
            <w:tcW w:w="1087" w:type="pct"/>
            <w:vAlign w:val="center"/>
            <w:textDirection w:val="lrTb"/>
            <w:noWrap w:val="false"/>
          </w:tcPr>
          <w:p>
            <w:pPr>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细化项目及分值</w:t>
            </w:r>
            <w:r/>
          </w:p>
        </w:tc>
        <w:tc>
          <w:tcPr>
            <w:tcW w:w="3408" w:type="pct"/>
            <w:vAlign w:val="center"/>
            <w:textDirection w:val="lrTb"/>
            <w:noWrap w:val="false"/>
          </w:tcPr>
          <w:p>
            <w:pPr>
              <w:jc w:val="center"/>
              <w:keepLines w:val="0"/>
              <w:keepNext w:val="0"/>
              <w:pageBreakBefore w:val="0"/>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评  分  </w:t>
            </w:r>
            <w:r>
              <w:rPr>
                <w:rFonts w:hint="eastAsia" w:ascii="宋体" w:hAnsi="宋体" w:eastAsia="宋体" w:cs="宋体"/>
                <w:color w:val="auto"/>
                <w:sz w:val="24"/>
                <w:szCs w:val="24"/>
                <w:highlight w:val="none"/>
                <w:lang w:eastAsia="zh-CN"/>
              </w:rPr>
              <w:t xml:space="preserve">标</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准</w:t>
            </w:r>
            <w:r/>
          </w:p>
        </w:tc>
      </w:tr>
      <w:tr>
        <w:trPr>
          <w:trHeight w:val="444"/>
        </w:trPr>
        <w:tc>
          <w:tcPr>
            <w:tcW w:w="504" w:type="pct"/>
            <w:vAlign w:val="center"/>
            <w:textDirection w:val="lrTb"/>
            <w:noWrap w:val="false"/>
          </w:tcPr>
          <w:p>
            <w:pPr>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价格部分（</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W w:w="1087" w:type="pct"/>
            <w:vAlign w:val="center"/>
            <w:textDirection w:val="lrTb"/>
            <w:noWrap w:val="false"/>
          </w:tcPr>
          <w:p>
            <w:pPr>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W w:w="3408"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投标报价分采用低价优先法计算，即满足招标文件要求且</w:t>
            </w:r>
            <w:r>
              <w:rPr>
                <w:rFonts w:hint="eastAsia" w:ascii="宋体" w:hAnsi="宋体" w:eastAsia="宋体" w:cs="宋体"/>
                <w:color w:val="auto"/>
                <w:sz w:val="24"/>
                <w:szCs w:val="24"/>
                <w:highlight w:val="none"/>
              </w:rPr>
              <w:t xml:space="preserve">评审价格</w:t>
            </w:r>
            <w:r>
              <w:rPr>
                <w:rFonts w:hint="eastAsia" w:ascii="宋体" w:hAnsi="宋体" w:eastAsia="宋体" w:cs="宋体"/>
                <w:color w:val="auto"/>
                <w:sz w:val="24"/>
                <w:szCs w:val="24"/>
                <w:highlight w:val="none"/>
                <w:lang w:val="en-US" w:eastAsia="zh-CN"/>
              </w:rPr>
              <w:t xml:space="preserve">最低的投标报价为评标基准价，其价格分为满分，其他投标人的价格分统一按照下列公式计算：</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en-US" w:eastAsia="zh-CN"/>
              </w:rPr>
              <w:t xml:space="preserve">报价得分=（评标基准价/投标评审价</w:t>
            </w:r>
            <w:r>
              <w:rPr>
                <w:rFonts w:hint="eastAsia" w:ascii="宋体" w:hAnsi="宋体" w:eastAsia="宋体" w:cs="宋体"/>
                <w:color w:val="auto"/>
                <w:sz w:val="24"/>
                <w:szCs w:val="24"/>
                <w:highlight w:val="none"/>
              </w:rPr>
              <w:t xml:space="preserve">格</w:t>
            </w:r>
            <w:r>
              <w:rPr>
                <w:rFonts w:hint="eastAsia" w:ascii="宋体" w:hAnsi="宋体" w:eastAsia="宋体" w:cs="宋体"/>
                <w:color w:val="auto"/>
                <w:sz w:val="24"/>
                <w:szCs w:val="24"/>
                <w:highlight w:val="none"/>
                <w:lang w:val="en-US" w:eastAsia="zh-CN"/>
              </w:rPr>
              <w:t xml:space="preserve">）×10。</w:t>
            </w:r>
            <w:r/>
          </w:p>
        </w:tc>
      </w:tr>
      <w:tr>
        <w:trPr>
          <w:trHeight w:val="308"/>
        </w:trPr>
        <w:tc>
          <w:tcPr>
            <w:tcW w:w="504" w:type="pct"/>
            <w:vAlign w:val="center"/>
            <w:textDirection w:val="lrTb"/>
            <w:noWrap w:val="false"/>
          </w:tcPr>
          <w:p>
            <w:pPr>
              <w:jc w:val="both"/>
              <w:keepLines w:val="0"/>
              <w:keepNext w:val="0"/>
              <w:pageBreakBefore w:val="0"/>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商务部分（4分）</w:t>
            </w:r>
            <w:r/>
          </w:p>
        </w:tc>
        <w:tc>
          <w:tcPr>
            <w:tcW w:w="1087" w:type="pct"/>
            <w:vAlign w:val="center"/>
            <w:textDirection w:val="lrTb"/>
            <w:noWrap w:val="false"/>
          </w:tcPr>
          <w:p>
            <w:pPr>
              <w:jc w:val="center"/>
              <w:keepLines w:val="0"/>
              <w:keepNext w:val="0"/>
              <w:pageBreakBefore w:val="0"/>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投标人业绩（4分）</w:t>
            </w:r>
            <w:r/>
          </w:p>
        </w:tc>
        <w:tc>
          <w:tcPr>
            <w:tcW w:w="3408" w:type="pct"/>
            <w:vAlign w:val="center"/>
            <w:textDirection w:val="lrTb"/>
            <w:noWrap w:val="false"/>
          </w:tcPr>
          <w:p>
            <w:pPr>
              <w:ind w:left="0" w:right="0"/>
              <w:keepLines w:val="0"/>
              <w:keepNext w:val="0"/>
              <w:pageBreakBefore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投标人自 2023 年 1 月 1 日以来承接过</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本项目内容相同或类似项目业绩的</w:t>
            </w:r>
            <w:r>
              <w:rPr>
                <w:rFonts w:hint="eastAsia" w:ascii="宋体" w:hAnsi="宋体" w:eastAsia="宋体" w:cs="宋体"/>
                <w:color w:val="auto"/>
                <w:sz w:val="24"/>
                <w:szCs w:val="24"/>
                <w:highlight w:val="none"/>
                <w:lang w:val="en-US" w:eastAsia="zh-CN"/>
              </w:rPr>
              <w:t xml:space="preserve">，每提供1个有效业绩得 2 分，本项最高得 4 分，未提供不得分。</w:t>
            </w:r>
            <w:r/>
          </w:p>
          <w:p>
            <w:pPr>
              <w:ind w:left="0" w:right="0"/>
              <w:keepLines w:val="0"/>
              <w:keepNext w:val="0"/>
              <w:pageBreakBefore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注：投标文件中需提供合同</w:t>
            </w:r>
            <w:r>
              <w:rPr>
                <w:rFonts w:hint="eastAsia" w:ascii="宋体" w:hAnsi="宋体" w:cs="宋体"/>
                <w:color w:val="auto"/>
                <w:sz w:val="24"/>
                <w:szCs w:val="24"/>
                <w:highlight w:val="none"/>
                <w:lang w:val="en-US" w:eastAsia="zh-CN"/>
              </w:rPr>
              <w:t xml:space="preserve">原件扫描件</w:t>
            </w:r>
            <w:r>
              <w:rPr>
                <w:rFonts w:hint="eastAsia" w:ascii="宋体" w:hAnsi="宋体" w:eastAsia="宋体" w:cs="宋体"/>
                <w:color w:val="auto"/>
                <w:sz w:val="24"/>
                <w:szCs w:val="24"/>
                <w:highlight w:val="none"/>
                <w:lang w:val="en-US" w:eastAsia="zh-CN"/>
              </w:rPr>
              <w:t xml:space="preserve">，业绩认定以合同签署时间为准。</w:t>
            </w:r>
            <w:r/>
          </w:p>
        </w:tc>
      </w:tr>
      <w:tr>
        <w:trPr/>
        <w:tc>
          <w:tcPr>
            <w:tcBorders>
              <w:left w:val="single" w:color="auto" w:sz="4" w:space="0"/>
            </w:tcBorders>
            <w:tcW w:w="504" w:type="pct"/>
            <w:vAlign w:val="center"/>
            <w:vMerge w:val="restart"/>
            <w:textDirection w:val="lrTb"/>
            <w:noWrap w:val="false"/>
          </w:tcPr>
          <w:p>
            <w:pPr>
              <w:jc w:val="center"/>
              <w:keepLines w:val="0"/>
              <w:keepNext w:val="0"/>
              <w:pageBreakBefore w:val="0"/>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技术部分（</w:t>
            </w:r>
            <w:r>
              <w:rPr>
                <w:rFonts w:hint="eastAsia" w:ascii="宋体" w:hAnsi="宋体" w:eastAsia="宋体" w:cs="宋体"/>
                <w:color w:val="auto"/>
                <w:sz w:val="24"/>
                <w:szCs w:val="24"/>
                <w:highlight w:val="none"/>
                <w:lang w:val="en-US" w:eastAsia="zh-CN"/>
              </w:rPr>
              <w:t xml:space="preserve">86分</w:t>
            </w:r>
            <w:r>
              <w:rPr>
                <w:rFonts w:hint="eastAsia" w:ascii="宋体" w:hAnsi="宋体" w:eastAsia="宋体" w:cs="宋体"/>
                <w:color w:val="auto"/>
                <w:sz w:val="24"/>
                <w:szCs w:val="24"/>
                <w:highlight w:val="none"/>
                <w:lang w:eastAsia="zh-CN"/>
              </w:rPr>
              <w:t xml:space="preserve">）</w:t>
            </w:r>
            <w:r/>
          </w:p>
        </w:tc>
        <w:tc>
          <w:tcPr>
            <w:tcBorders>
              <w:bottom w:val="single" w:color="auto" w:sz="4" w:space="0"/>
            </w:tcBorders>
            <w:tcW w:w="1087" w:type="pct"/>
            <w:vAlign w:val="center"/>
            <w:textDirection w:val="lrTb"/>
            <w:noWrap w:val="false"/>
          </w:tcPr>
          <w:p>
            <w:pPr>
              <w:jc w:val="center"/>
              <w:spacing w:line="3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组织机构设置</w:t>
            </w:r>
            <w:r/>
          </w:p>
          <w:p>
            <w:pPr>
              <w:jc w:val="center"/>
              <w:keepLines w:val="0"/>
              <w:keepNext w:val="0"/>
              <w:pageBreakBefore w:val="0"/>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rPr>
              <w:t xml:space="preserve">（13分）</w:t>
            </w:r>
            <w:r/>
          </w:p>
        </w:tc>
        <w:tc>
          <w:tcPr>
            <w:tcBorders>
              <w:bottom w:val="single" w:color="auto" w:sz="4" w:space="0"/>
            </w:tcBorders>
            <w:tcW w:w="3408" w:type="pct"/>
            <w:vAlign w:val="center"/>
            <w:textDirection w:val="lrTb"/>
            <w:noWrap w:val="false"/>
          </w:tcPr>
          <w:p>
            <w:pPr>
              <w:jc w:val="left"/>
              <w:spacing w:line="3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（1）组织机构健全、合理的，得13分；</w:t>
            </w:r>
            <w:r/>
          </w:p>
          <w:p>
            <w:pPr>
              <w:jc w:val="left"/>
              <w:spacing w:line="3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（2）组织机构较健全、较合理的，得8分；</w:t>
            </w:r>
            <w:r/>
          </w:p>
          <w:p>
            <w:pPr>
              <w:jc w:val="left"/>
              <w:spacing w:line="3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（3）组织机构基本健全、基本合理的，得5分；</w:t>
            </w:r>
            <w:r/>
          </w:p>
          <w:p>
            <w:pPr>
              <w:jc w:val="left"/>
              <w:spacing w:line="3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（4）组织机构不健全、不合理的，得2分；</w:t>
            </w:r>
            <w:r/>
          </w:p>
          <w:p>
            <w:pPr>
              <w:ind w:left="0" w:right="0" w:firstLine="0"/>
              <w:keepLines w:val="0"/>
              <w:keepNext w:val="0"/>
              <w:pageBreakBefore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（5）无具体内容的，得0分。</w:t>
            </w:r>
            <w:r/>
          </w:p>
        </w:tc>
      </w:tr>
      <w:tr>
        <w:trPr/>
        <w:tc>
          <w:tcPr>
            <w:tcBorders>
              <w:left w:val="single" w:color="auto" w:sz="4" w:space="0"/>
            </w:tcBorders>
            <w:tcW w:w="504" w:type="pct"/>
            <w:vAlign w:val="center"/>
            <w:vMerge w:val="continue"/>
            <w:textDirection w:val="lrTb"/>
            <w:noWrap w:val="false"/>
          </w:tcPr>
          <w:p>
            <w:pPr>
              <w:jc w:val="center"/>
              <w:keepLines w:val="0"/>
              <w:keepNext w:val="0"/>
              <w:pageBreakBefore w:val="0"/>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bottom w:val="single" w:color="auto" w:sz="4" w:space="0"/>
            </w:tcBorders>
            <w:tcW w:w="1087" w:type="pct"/>
            <w:vAlign w:val="center"/>
            <w:textDirection w:val="lrTb"/>
            <w:noWrap w:val="false"/>
          </w:tcPr>
          <w:p>
            <w:pPr>
              <w:jc w:val="center"/>
              <w:spacing w:line="3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组织实施方案</w:t>
            </w:r>
            <w:r/>
          </w:p>
          <w:p>
            <w:pPr>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w:t>
            </w:r>
            <w:r/>
          </w:p>
        </w:tc>
        <w:tc>
          <w:tcPr>
            <w:tcBorders>
              <w:bottom w:val="single" w:color="auto" w:sz="4" w:space="0"/>
            </w:tcBorders>
            <w:tcW w:w="3408" w:type="pct"/>
            <w:vAlign w:val="center"/>
            <w:textDirection w:val="lrTb"/>
            <w:noWrap w:val="false"/>
          </w:tcPr>
          <w:p>
            <w:pPr>
              <w:spacing w:line="3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（1）目标明确，养护管理工作程序规范，养护措施到位，自查体系完善，反馈渠道畅通，整改保障措施到位，得</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w:t>
            </w:r>
            <w:r/>
          </w:p>
          <w:p>
            <w:pPr>
              <w:spacing w:line="3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（2）目标较明确，养护管理工作程序较规范，养护措施明确，有自查体系、反馈渠道、整改保障措施的，得</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p>
            <w:pPr>
              <w:spacing w:line="3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（3）目标一般，养护管理工作程序一般，养护措施简单，缺乏针对性的，得</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p>
            <w:pPr>
              <w:spacing w:line="3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（4）目标不明确，养护管理工作程序不完善，养护措施存在明显缺陷，针对性较差的，得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numPr>
                <w:ilvl w:val="0"/>
                <w:numId w:val="0"/>
              </w:numPr>
              <w:ind w:left="0" w:firstLine="0"/>
              <w:keepLines w:val="0"/>
              <w:keepNext w:val="0"/>
              <w:pageBreakBefore w:val="0"/>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（5）无具体内容的，得0分。</w:t>
            </w:r>
            <w:r/>
          </w:p>
        </w:tc>
      </w:tr>
      <w:tr>
        <w:trPr/>
        <w:tc>
          <w:tcPr>
            <w:tcBorders>
              <w:left w:val="single" w:color="auto" w:sz="4" w:space="0"/>
            </w:tcBorders>
            <w:tcW w:w="504" w:type="pct"/>
            <w:vAlign w:val="center"/>
            <w:vMerge w:val="continue"/>
            <w:textDirection w:val="lrTb"/>
            <w:noWrap w:val="false"/>
          </w:tcPr>
          <w:p>
            <w:pPr>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087" w:type="pct"/>
            <w:vAlign w:val="center"/>
            <w:textDirection w:val="lrTb"/>
            <w:noWrap w:val="false"/>
          </w:tcPr>
          <w:p>
            <w:pPr>
              <w:ind w:left="67"/>
              <w:jc w:val="center"/>
              <w:spacing w:line="3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质量管理措施及承诺</w:t>
            </w:r>
            <w:r/>
          </w:p>
          <w:p>
            <w:pPr>
              <w:jc w:val="center"/>
              <w:keepLines w:val="0"/>
              <w:keepNext w:val="0"/>
              <w:pageBreakBefore w:val="0"/>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（15分）</w:t>
            </w:r>
            <w:r/>
          </w:p>
        </w:tc>
        <w:tc>
          <w:tcPr>
            <w:tcBorders>
              <w:top w:val="single" w:color="auto" w:sz="4" w:space="0"/>
              <w:bottom w:val="single" w:color="auto" w:sz="4" w:space="0"/>
            </w:tcBorders>
            <w:tcW w:w="3408" w:type="pct"/>
            <w:vAlign w:val="top"/>
            <w:textDirection w:val="lrTb"/>
            <w:noWrap w:val="false"/>
          </w:tcPr>
          <w:p>
            <w:pPr>
              <w:spacing w:line="3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（1）目标明确，严格按照《园林绿化养护管理规范》制定合理可行措施，承诺苗木修剪及时、景观效果佳，始终保持苗木存活率、设施完好率98-100%的，得15分；</w:t>
            </w:r>
            <w:r/>
          </w:p>
          <w:p>
            <w:pPr>
              <w:spacing w:line="3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（2）目标较明确，按照《园林绿化养护管理规范》制定措施，承诺苗木修剪及时、景观效果好，保持苗木存活率、设施完好率95-97%的，得10分；</w:t>
            </w:r>
            <w:r/>
          </w:p>
          <w:p>
            <w:pPr>
              <w:spacing w:line="3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（3）目标一般，措施一般，质量承诺泛泛，得6分；</w:t>
            </w:r>
            <w:r/>
          </w:p>
          <w:p>
            <w:pPr>
              <w:spacing w:line="3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（4）目标不明确，措施存在明显缺陷，质量承诺缺失或与项目采购需求偏差较大，得2分</w:t>
            </w:r>
            <w:r/>
          </w:p>
          <w:p>
            <w:pPr>
              <w:ind w:left="0" w:firstLine="0"/>
              <w:keepLines w:val="0"/>
              <w:keepNext w:val="0"/>
              <w:pageBreakBefore w:val="0"/>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（5）无具体内容的，得0分。</w:t>
            </w:r>
            <w:r/>
          </w:p>
        </w:tc>
      </w:tr>
      <w:tr>
        <w:trPr/>
        <w:tc>
          <w:tcPr>
            <w:tcBorders>
              <w:left w:val="single" w:color="auto" w:sz="4" w:space="0"/>
            </w:tcBorders>
            <w:tcW w:w="504" w:type="pct"/>
            <w:vAlign w:val="center"/>
            <w:vMerge w:val="continue"/>
            <w:textDirection w:val="lrTb"/>
            <w:noWrap w:val="false"/>
          </w:tcPr>
          <w:p>
            <w:pPr>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087" w:type="pct"/>
            <w:vAlign w:val="center"/>
            <w:textDirection w:val="lrTb"/>
            <w:noWrap w:val="false"/>
          </w:tcPr>
          <w:p>
            <w:pPr>
              <w:ind w:left="67"/>
              <w:jc w:val="center"/>
              <w:spacing w:line="3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安全、文明及环保服务</w:t>
            </w:r>
            <w:r/>
          </w:p>
          <w:p>
            <w:pPr>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tc>
        <w:tc>
          <w:tcPr>
            <w:tcBorders>
              <w:top w:val="single" w:color="auto" w:sz="4" w:space="0"/>
              <w:bottom w:val="single" w:color="auto" w:sz="4" w:space="0"/>
            </w:tcBorders>
            <w:tcW w:w="3408" w:type="pct"/>
            <w:vAlign w:val="center"/>
            <w:textDirection w:val="lrTb"/>
            <w:noWrap w:val="false"/>
          </w:tcPr>
          <w:p>
            <w:pPr>
              <w:spacing w:line="3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（1）有安全、文明及环保服务制度及措施，内容全面，措施到位，针对性强的，得</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w:t>
            </w:r>
            <w:r/>
          </w:p>
          <w:p>
            <w:pPr>
              <w:spacing w:line="3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（2）有安全、文明及环保服务制度及措施，内容较全面，措施基本到位，针对性较强，得</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p>
            <w:pPr>
              <w:spacing w:line="3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（3）有安全、文明及环保服务制度及措施，内容一般，措施一般，有一定的针对性，得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spacing w:line="3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（4）虽有安全、文明及环保施工制度及措施，但内容简单，措施存在明显缺陷，缺乏针对性，得2分</w:t>
            </w:r>
            <w:r/>
          </w:p>
          <w:p>
            <w:pPr>
              <w:ind w:left="0" w:firstLine="0"/>
              <w:keepLines w:val="0"/>
              <w:keepNext w:val="0"/>
              <w:pageBreakBefore w:val="0"/>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rPr>
              <w:t xml:space="preserve">（5）无具体内容的，得0分。</w:t>
            </w:r>
            <w:r/>
          </w:p>
        </w:tc>
      </w:tr>
      <w:tr>
        <w:trPr/>
        <w:tc>
          <w:tcPr>
            <w:tcBorders>
              <w:left w:val="single" w:color="auto" w:sz="4" w:space="0"/>
            </w:tcBorders>
            <w:tcW w:w="504" w:type="pct"/>
            <w:vAlign w:val="center"/>
            <w:vMerge w:val="continue"/>
            <w:textDirection w:val="lrTb"/>
            <w:noWrap w:val="false"/>
          </w:tcPr>
          <w:p>
            <w:pPr>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087" w:type="pct"/>
            <w:vAlign w:val="center"/>
            <w:textDirection w:val="lrTb"/>
            <w:noWrap w:val="false"/>
          </w:tcPr>
          <w:p>
            <w:pPr>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应急预案及突发事件处理</w:t>
            </w:r>
            <w:r/>
          </w:p>
          <w:p>
            <w:pPr>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tcBorders>
              <w:top w:val="single" w:color="auto" w:sz="4" w:space="0"/>
              <w:bottom w:val="single" w:color="auto" w:sz="4" w:space="0"/>
            </w:tcBorders>
            <w:tcW w:w="3408" w:type="pct"/>
            <w:vAlign w:val="center"/>
            <w:textDirection w:val="lrTb"/>
            <w:noWrap w:val="false"/>
          </w:tcPr>
          <w:p>
            <w:pPr>
              <w:ind w:left="0"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对包括节假日工作预案、重大检查活动的保障预案、突发事件的处置预案、风险承担预案等进行综合评价。</w:t>
            </w:r>
            <w:r/>
          </w:p>
          <w:p>
            <w:pPr>
              <w:numPr>
                <w:ilvl w:val="0"/>
                <w:numId w:val="2"/>
              </w:numPr>
              <w:ind w:left="0"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内容</w:t>
            </w:r>
            <w:r>
              <w:rPr>
                <w:rFonts w:hint="eastAsia" w:ascii="宋体" w:hAnsi="宋体" w:eastAsia="宋体" w:cs="宋体"/>
                <w:color w:val="auto"/>
                <w:sz w:val="24"/>
                <w:szCs w:val="24"/>
                <w:highlight w:val="none"/>
              </w:rPr>
              <w:t xml:space="preserve">全面具体详实</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针对性强的</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p>
            <w:pPr>
              <w:numPr>
                <w:ilvl w:val="0"/>
                <w:numId w:val="2"/>
              </w:numPr>
              <w:ind w:left="0"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内容</w:t>
            </w:r>
            <w:r>
              <w:rPr>
                <w:rFonts w:hint="eastAsia" w:ascii="宋体" w:hAnsi="宋体" w:eastAsia="宋体" w:cs="宋体"/>
                <w:color w:val="auto"/>
                <w:sz w:val="24"/>
                <w:szCs w:val="24"/>
                <w:highlight w:val="none"/>
              </w:rPr>
              <w:t xml:space="preserve">较全面</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针对性</w:t>
            </w:r>
            <w:r>
              <w:rPr>
                <w:rFonts w:hint="eastAsia" w:ascii="宋体" w:hAnsi="宋体" w:eastAsia="宋体" w:cs="宋体"/>
                <w:color w:val="auto"/>
                <w:sz w:val="24"/>
                <w:szCs w:val="24"/>
                <w:highlight w:val="none"/>
              </w:rPr>
              <w:t xml:space="preserve">较</w:t>
            </w:r>
            <w:r>
              <w:rPr>
                <w:rFonts w:hint="eastAsia" w:ascii="宋体" w:hAnsi="宋体" w:eastAsia="宋体" w:cs="宋体"/>
                <w:color w:val="auto"/>
                <w:sz w:val="24"/>
                <w:szCs w:val="24"/>
                <w:highlight w:val="none"/>
                <w:lang w:val="en-US" w:eastAsia="zh-CN"/>
              </w:rPr>
              <w:t xml:space="preserve">强的得6分；</w:t>
            </w:r>
            <w:r/>
          </w:p>
          <w:p>
            <w:pPr>
              <w:numPr>
                <w:ilvl w:val="0"/>
                <w:numId w:val="2"/>
              </w:numPr>
              <w:ind w:left="0"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内容简单、针对性一般的得3分；</w:t>
            </w:r>
            <w:r/>
          </w:p>
          <w:p>
            <w:pPr>
              <w:ind w:left="0" w:firstLine="0"/>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无具体内容的，得0分。</w:t>
            </w:r>
            <w:r/>
          </w:p>
        </w:tc>
      </w:tr>
      <w:tr>
        <w:trPr/>
        <w:tc>
          <w:tcPr>
            <w:tcBorders>
              <w:left w:val="single" w:color="auto" w:sz="4" w:space="0"/>
            </w:tcBorders>
            <w:tcW w:w="504" w:type="pct"/>
            <w:vAlign w:val="center"/>
            <w:vMerge w:val="continue"/>
            <w:textDirection w:val="lrTb"/>
            <w:noWrap w:val="false"/>
          </w:tcPr>
          <w:p>
            <w:pPr>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bottom w:val="single" w:color="auto" w:sz="4" w:space="0"/>
            </w:tcBorders>
            <w:tcW w:w="1087" w:type="pct"/>
            <w:vAlign w:val="center"/>
            <w:textDirection w:val="lrTb"/>
            <w:noWrap w:val="false"/>
          </w:tcPr>
          <w:p>
            <w:pPr>
              <w:ind w:left="67"/>
              <w:jc w:val="center"/>
              <w:spacing w:line="3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服从采购人管理</w:t>
            </w:r>
            <w:r/>
          </w:p>
          <w:p>
            <w:pPr>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（14分）</w:t>
            </w:r>
            <w:r/>
          </w:p>
        </w:tc>
        <w:tc>
          <w:tcPr>
            <w:tcBorders>
              <w:top w:val="single" w:color="auto" w:sz="4" w:space="0"/>
              <w:bottom w:val="single" w:color="auto" w:sz="4" w:space="0"/>
            </w:tcBorders>
            <w:tcW w:w="3408" w:type="pct"/>
            <w:vAlign w:val="center"/>
            <w:textDirection w:val="lrTb"/>
            <w:noWrap w:val="false"/>
          </w:tcPr>
          <w:p>
            <w:pPr>
              <w:spacing w:line="300" w:lineRule="atLeas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rPr>
              <w:t xml:space="preserve">1)有服从采购人管理方案，内容全面、具有针对性、可行性强的，得14分：</w:t>
            </w:r>
            <w:r/>
          </w:p>
          <w:p>
            <w:pPr>
              <w:spacing w:line="300" w:lineRule="atLeas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（2）有服从采购人管理方案，内容</w:t>
            </w:r>
            <w:r>
              <w:rPr>
                <w:rFonts w:hint="eastAsia" w:ascii="宋体" w:hAnsi="宋体" w:eastAsia="宋体" w:cs="宋体"/>
                <w:color w:val="auto"/>
                <w:sz w:val="24"/>
                <w:szCs w:val="24"/>
                <w:highlight w:val="none"/>
              </w:rPr>
              <w:t xml:space="preserve">较</w:t>
            </w:r>
            <w:r>
              <w:rPr>
                <w:rFonts w:hint="eastAsia" w:ascii="宋体" w:hAnsi="宋体" w:eastAsia="宋体" w:cs="宋体"/>
                <w:color w:val="auto"/>
                <w:sz w:val="24"/>
                <w:szCs w:val="24"/>
                <w:highlight w:val="none"/>
                <w:lang w:val="en-US" w:eastAsia="zh-CN"/>
              </w:rPr>
              <w:t xml:space="preserve">全面、针对性</w:t>
            </w:r>
            <w:r>
              <w:rPr>
                <w:rFonts w:hint="eastAsia" w:ascii="宋体" w:hAnsi="宋体" w:eastAsia="宋体" w:cs="宋体"/>
                <w:color w:val="auto"/>
                <w:sz w:val="24"/>
                <w:szCs w:val="24"/>
                <w:highlight w:val="none"/>
              </w:rPr>
              <w:t xml:space="preserve">较</w:t>
            </w:r>
            <w:r>
              <w:rPr>
                <w:rFonts w:hint="eastAsia" w:ascii="宋体" w:hAnsi="宋体" w:eastAsia="宋体" w:cs="宋体"/>
                <w:color w:val="auto"/>
                <w:sz w:val="24"/>
                <w:szCs w:val="24"/>
                <w:highlight w:val="none"/>
                <w:lang w:val="en-US" w:eastAsia="zh-CN"/>
              </w:rPr>
              <w:t xml:space="preserve">强、可行性</w:t>
            </w:r>
            <w:r>
              <w:rPr>
                <w:rFonts w:hint="eastAsia" w:ascii="宋体" w:hAnsi="宋体" w:eastAsia="宋体" w:cs="宋体"/>
                <w:color w:val="auto"/>
                <w:sz w:val="24"/>
                <w:szCs w:val="24"/>
                <w:highlight w:val="none"/>
              </w:rPr>
              <w:t xml:space="preserve">较</w:t>
            </w:r>
            <w:r>
              <w:rPr>
                <w:rFonts w:hint="eastAsia" w:ascii="宋体" w:hAnsi="宋体" w:eastAsia="宋体" w:cs="宋体"/>
                <w:color w:val="auto"/>
                <w:sz w:val="24"/>
                <w:szCs w:val="24"/>
                <w:highlight w:val="none"/>
                <w:lang w:val="en-US" w:eastAsia="zh-CN"/>
              </w:rPr>
              <w:t xml:space="preserve">强得8分；</w:t>
            </w:r>
            <w:r/>
          </w:p>
          <w:p>
            <w:pPr>
              <w:spacing w:line="300" w:lineRule="atLeas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（3）有服从采购人管理方案，内容一般、针对性一般、可行性一般得4分；</w:t>
            </w:r>
            <w:r/>
          </w:p>
          <w:p>
            <w:pPr>
              <w:spacing w:line="300" w:lineRule="atLeas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（4）有服从采购人管理方案，单内容简单、无针对性、可行性差的，得1分；</w:t>
            </w:r>
            <w:r/>
          </w:p>
          <w:p>
            <w:pPr>
              <w:spacing w:line="300" w:lineRule="atLeas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无具体内容的，得0分。</w:t>
            </w:r>
            <w:r/>
          </w:p>
        </w:tc>
      </w:tr>
    </w:tbl>
    <w:p>
      <w:pPr>
        <w:pStyle w:val="95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br w:type="page" w:clear="all"/>
      </w:r>
      <w:bookmarkStart w:id="16" w:name="_Toc29882"/>
      <w:r>
        <w:rPr>
          <w:rFonts w:hint="eastAsia" w:ascii="宋体" w:hAnsi="宋体" w:eastAsia="宋体" w:cs="宋体"/>
          <w:b/>
          <w:bCs/>
          <w:color w:val="auto"/>
          <w:sz w:val="24"/>
          <w:szCs w:val="24"/>
          <w:highlight w:val="none"/>
        </w:rPr>
        <w:t xml:space="preserve">第五章  拟签订的合同文本</w:t>
      </w:r>
      <w:bookmarkEnd w:id="15"/>
      <w:r/>
      <w:bookmarkEnd w:id="16"/>
      <w:r/>
      <w:r/>
    </w:p>
    <w:p>
      <w:pPr>
        <w:pStyle w:val="971"/>
        <w:rPr>
          <w:rFonts w:hint="eastAsia" w:ascii="宋体" w:hAnsi="宋体" w:eastAsia="宋体" w:cs="宋体"/>
          <w:color w:val="auto"/>
          <w:sz w:val="24"/>
          <w:szCs w:val="24"/>
          <w:highlight w:val="none"/>
        </w:rPr>
      </w:pPr>
      <w:r/>
      <w:bookmarkStart w:id="17" w:name="_Toc522790135"/>
      <w:r>
        <w:rPr>
          <w:rFonts w:hint="eastAsia" w:ascii="宋体" w:hAnsi="宋体" w:eastAsia="宋体" w:cs="宋体"/>
          <w:color w:val="auto"/>
          <w:sz w:val="24"/>
          <w:szCs w:val="24"/>
          <w:highlight w:val="none"/>
        </w:rPr>
        <w:t xml:space="preserve">项目名称：</w:t>
      </w:r>
      <w:r/>
    </w:p>
    <w:p>
      <w:pPr>
        <w:pStyle w:val="97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rPr>
          <w:rFonts w:hint="eastAsia"/>
          <w:color w:val="auto"/>
          <w:highlight w:val="none"/>
        </w:rPr>
      </w:pPr>
      <w:r>
        <w:rPr>
          <w:rFonts w:hint="eastAsia"/>
          <w:color w:val="auto"/>
          <w:highlight w:val="none"/>
        </w:rPr>
      </w:r>
      <w:r/>
    </w:p>
    <w:p>
      <w:pPr>
        <w:pStyle w:val="971"/>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政</w:t>
      </w:r>
      <w:r/>
    </w:p>
    <w:p>
      <w:pPr>
        <w:pStyle w:val="971"/>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府</w:t>
      </w:r>
      <w:r/>
    </w:p>
    <w:p>
      <w:pPr>
        <w:pStyle w:val="971"/>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采</w:t>
      </w:r>
      <w:r/>
    </w:p>
    <w:p>
      <w:pPr>
        <w:pStyle w:val="971"/>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购</w:t>
      </w:r>
      <w:r/>
    </w:p>
    <w:p>
      <w:pPr>
        <w:pStyle w:val="971"/>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合</w:t>
      </w:r>
      <w:r/>
    </w:p>
    <w:p>
      <w:pPr>
        <w:pStyle w:val="971"/>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同</w:t>
      </w:r>
      <w:r/>
    </w:p>
    <w:p>
      <w:pPr>
        <w:pStyle w:val="971"/>
        <w:keepLines w:val="0"/>
        <w:keepNext w:val="0"/>
        <w:pageBreakBefore w:val="0"/>
        <w:spacing w:after="0"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1"/>
        <w:keepLines w:val="0"/>
        <w:keepNext w:val="0"/>
        <w:pageBreakBefore w:val="0"/>
        <w:spacing w:after="0"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1"/>
        <w:keepLines w:val="0"/>
        <w:keepNext w:val="0"/>
        <w:pageBreakBefore w:val="0"/>
        <w:spacing w:after="0"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1"/>
        <w:keepLines w:val="0"/>
        <w:keepNext w:val="0"/>
        <w:pageBreakBefore w:val="0"/>
        <w:spacing w:after="0"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  购  人：</w:t>
      </w:r>
      <w:r/>
    </w:p>
    <w:p>
      <w:pPr>
        <w:pStyle w:val="971"/>
        <w:keepLines w:val="0"/>
        <w:keepNext w:val="0"/>
        <w:pageBreakBefore w:val="0"/>
        <w:spacing w:after="0" w:line="6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中标</w:t>
      </w:r>
      <w:r>
        <w:rPr>
          <w:rFonts w:hint="eastAsia" w:ascii="宋体" w:hAnsi="宋体" w:eastAsia="宋体" w:cs="宋体"/>
          <w:color w:val="auto"/>
          <w:sz w:val="24"/>
          <w:szCs w:val="24"/>
          <w:highlight w:val="none"/>
        </w:rPr>
        <w:t xml:space="preserve">供应商：</w:t>
      </w:r>
      <w:r/>
    </w:p>
    <w:p>
      <w:pPr>
        <w:pStyle w:val="971"/>
        <w:keepLines w:val="0"/>
        <w:keepNext w:val="0"/>
        <w:pageBreakBefore w:val="0"/>
        <w:spacing w:after="0"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合同签订日期： 年 月 日</w:t>
      </w:r>
      <w:r/>
    </w:p>
    <w:p>
      <w:pPr>
        <w:pStyle w:val="971"/>
        <w:keepLines w:val="0"/>
        <w:keepNext w:val="0"/>
        <w:pageBreakBefore w:val="0"/>
        <w:spacing w:after="0"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友情提醒：采购人与中标、成交供应商应当在中标、成交通知书发出之日起三十日内，按照采购文件确定的事项签订政府采购合同。</w:t>
      </w:r>
      <w:r/>
    </w:p>
    <w:p>
      <w:pPr>
        <w:pStyle w:val="971"/>
        <w:keepLines w:val="0"/>
        <w:keepNext w:val="0"/>
        <w:pageBreakBefore w:val="0"/>
        <w:spacing w:after="0" w:line="6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950"/>
        <w:ind w:firstLine="60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bookmarkEnd w:id="17"/>
      <w:r/>
      <w:bookmarkStart w:id="18" w:name="_Toc16989"/>
      <w:r/>
      <w:bookmarkStart w:id="19" w:name="_Toc23714"/>
      <w:r/>
      <w:bookmarkStart w:id="20" w:name="_Toc522790136"/>
      <w:r/>
      <w:r/>
    </w:p>
    <w:p>
      <w:pPr>
        <w:pStyle w:val="950"/>
        <w:ind w:firstLine="602"/>
        <w:spacing w:line="360" w:lineRule="auto"/>
        <w:rPr>
          <w:rFonts w:hint="eastAsia" w:ascii="宋体" w:hAnsi="宋体" w:eastAsia="宋体" w:cs="宋体"/>
          <w:color w:val="auto"/>
          <w:sz w:val="24"/>
          <w:szCs w:val="24"/>
          <w:highlight w:val="none"/>
        </w:rPr>
        <w:sectPr>
          <w:headerReference w:type="default" r:id="rId11"/>
          <w:footerReference w:type="default" r:id="rId14"/>
          <w:footnotePr/>
          <w:endnotePr/>
          <w:type w:val="nextPage"/>
          <w:pgSz w:w="11906" w:h="16838" w:orient="portrait"/>
          <w:pgMar w:top="851" w:right="1702" w:bottom="851" w:left="1804" w:header="851" w:footer="992" w:gutter="0"/>
          <w:cols w:num="1" w:sep="0" w:space="1701" w:equalWidth="1"/>
          <w:docGrid w:linePitch="360"/>
        </w:sectPr>
      </w:pPr>
      <w:r>
        <w:rPr>
          <w:rFonts w:hint="eastAsia" w:ascii="宋体" w:hAnsi="宋体" w:eastAsia="宋体" w:cs="宋体"/>
          <w:color w:val="auto"/>
          <w:sz w:val="24"/>
          <w:szCs w:val="24"/>
          <w:highlight w:val="none"/>
        </w:rPr>
      </w:r>
      <w:r/>
    </w:p>
    <w:p>
      <w:pPr>
        <w:jc w:val="center"/>
        <w:rPr>
          <w:rFonts w:ascii="仿宋" w:hAnsi="仿宋" w:eastAsia="仿宋" w:cs="仿宋"/>
          <w:color w:val="auto"/>
          <w:highlight w:val="none"/>
        </w:rPr>
      </w:pPr>
      <w:r>
        <w:rPr>
          <w:rFonts w:hint="eastAsia" w:ascii="仿宋" w:hAnsi="仿宋" w:eastAsia="仿宋" w:cs="仿宋"/>
          <w:b/>
          <w:color w:val="auto"/>
          <w:sz w:val="28"/>
          <w:highlight w:val="none"/>
        </w:rPr>
        <w:t xml:space="preserve">合 同 协 议 书</w:t>
      </w:r>
      <w:r/>
    </w:p>
    <w:p>
      <w:pPr>
        <w:spacing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第一项合同期限</w:t>
      </w:r>
      <w:r/>
    </w:p>
    <w:p>
      <w:pPr>
        <w:ind w:firstLine="480"/>
        <w:spacing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合同期限为</w:t>
      </w:r>
      <w:r>
        <w:rPr>
          <w:rFonts w:hint="eastAsia" w:ascii="仿宋" w:hAnsi="仿宋" w:eastAsia="仿宋" w:cs="仿宋"/>
          <w:color w:val="auto"/>
          <w:sz w:val="24"/>
          <w:highlight w:val="none"/>
          <w:lang w:val="en-US" w:eastAsia="zh-CN"/>
        </w:rPr>
        <w:t xml:space="preserve">三</w:t>
      </w:r>
      <w:r>
        <w:rPr>
          <w:rFonts w:hint="eastAsia" w:ascii="仿宋" w:hAnsi="仿宋" w:eastAsia="仿宋" w:cs="仿宋"/>
          <w:color w:val="auto"/>
          <w:sz w:val="24"/>
          <w:highlight w:val="none"/>
        </w:rPr>
        <w:t xml:space="preserve">年，从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日至</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日。</w:t>
      </w:r>
      <w:r/>
    </w:p>
    <w:p>
      <w:pPr>
        <w:spacing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第二项管理范围</w:t>
      </w:r>
      <w:r/>
    </w:p>
    <w:p>
      <w:pPr>
        <w:ind w:firstLine="480"/>
        <w:spacing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具体内容见招标文件《采购需求》</w:t>
      </w:r>
      <w:r/>
    </w:p>
    <w:p>
      <w:pPr>
        <w:spacing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第三项服务费及付款办法</w:t>
      </w:r>
      <w:r/>
    </w:p>
    <w:p>
      <w:pPr>
        <w:ind w:firstLine="482"/>
        <w:spacing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1.本合同总金额为人民币大写金额：</w:t>
      </w:r>
      <w:r>
        <w:rPr>
          <w:rFonts w:hint="eastAsia" w:ascii="仿宋" w:hAnsi="仿宋" w:eastAsia="仿宋" w:cs="仿宋"/>
          <w:b/>
          <w:color w:val="auto"/>
          <w:sz w:val="24"/>
          <w:highlight w:val="none"/>
          <w:u w:val="single"/>
        </w:rPr>
        <w:t xml:space="preserve"> </w:t>
      </w:r>
      <w:r>
        <w:rPr>
          <w:rFonts w:hint="eastAsia" w:ascii="仿宋" w:hAnsi="仿宋" w:eastAsia="仿宋" w:cs="仿宋"/>
          <w:color w:val="auto"/>
          <w:highlight w:val="none"/>
          <w:u w:val="single"/>
        </w:rPr>
        <w:t xml:space="preserve">   </w:t>
      </w:r>
      <w:r>
        <w:rPr>
          <w:rFonts w:hint="eastAsia" w:ascii="仿宋" w:hAnsi="仿宋" w:eastAsia="仿宋" w:cs="仿宋"/>
          <w:b/>
          <w:color w:val="auto"/>
          <w:sz w:val="24"/>
          <w:highlight w:val="none"/>
          <w:u w:val="single"/>
        </w:rPr>
        <w:t xml:space="preserve">  </w:t>
      </w:r>
      <w:r>
        <w:rPr>
          <w:rFonts w:hint="eastAsia" w:ascii="仿宋" w:hAnsi="仿宋" w:eastAsia="仿宋" w:cs="仿宋"/>
          <w:b/>
          <w:color w:val="auto"/>
          <w:sz w:val="24"/>
          <w:highlight w:val="none"/>
        </w:rPr>
        <w:t xml:space="preserve">（小写金额：</w:t>
      </w:r>
      <w:r>
        <w:rPr>
          <w:rFonts w:hint="eastAsia" w:ascii="仿宋" w:hAnsi="仿宋" w:eastAsia="仿宋" w:cs="仿宋"/>
          <w:b/>
          <w:color w:val="auto"/>
          <w:sz w:val="24"/>
          <w:highlight w:val="none"/>
          <w:u w:val="single"/>
        </w:rPr>
        <w:t xml:space="preserve">  </w:t>
      </w:r>
      <w:r>
        <w:rPr>
          <w:rFonts w:hint="eastAsia" w:ascii="仿宋" w:hAnsi="仿宋" w:eastAsia="仿宋" w:cs="仿宋"/>
          <w:color w:val="auto"/>
          <w:highlight w:val="none"/>
          <w:u w:val="single"/>
        </w:rPr>
        <w:t xml:space="preserve">     </w:t>
      </w:r>
      <w:r>
        <w:rPr>
          <w:rFonts w:hint="eastAsia" w:ascii="仿宋" w:hAnsi="仿宋" w:eastAsia="仿宋" w:cs="仿宋"/>
          <w:b/>
          <w:color w:val="auto"/>
          <w:sz w:val="24"/>
          <w:highlight w:val="none"/>
          <w:u w:val="single"/>
        </w:rPr>
        <w:t xml:space="preserve">  </w:t>
      </w:r>
      <w:r>
        <w:rPr>
          <w:rFonts w:hint="eastAsia" w:ascii="仿宋" w:hAnsi="仿宋" w:eastAsia="仿宋" w:cs="仿宋"/>
          <w:b/>
          <w:color w:val="auto"/>
          <w:sz w:val="24"/>
          <w:highlight w:val="none"/>
        </w:rPr>
        <w:t xml:space="preserve">元），每月养护管理费为：￥</w:t>
      </w:r>
      <w:r>
        <w:rPr>
          <w:rFonts w:hint="eastAsia" w:ascii="仿宋" w:hAnsi="仿宋" w:eastAsia="仿宋" w:cs="仿宋"/>
          <w:b/>
          <w:color w:val="auto"/>
          <w:sz w:val="24"/>
          <w:highlight w:val="none"/>
          <w:u w:val="single"/>
        </w:rPr>
        <w:t xml:space="preserve">        </w:t>
      </w:r>
      <w:r>
        <w:rPr>
          <w:rFonts w:hint="eastAsia" w:ascii="仿宋" w:hAnsi="仿宋" w:eastAsia="仿宋" w:cs="仿宋"/>
          <w:b/>
          <w:color w:val="auto"/>
          <w:sz w:val="24"/>
          <w:highlight w:val="none"/>
        </w:rPr>
        <w:t xml:space="preserve">(小写)，人民币</w:t>
      </w:r>
      <w:r>
        <w:rPr>
          <w:rFonts w:hint="eastAsia" w:ascii="仿宋" w:hAnsi="仿宋" w:eastAsia="仿宋" w:cs="仿宋"/>
          <w:b/>
          <w:color w:val="auto"/>
          <w:sz w:val="24"/>
          <w:highlight w:val="none"/>
          <w:u w:val="single"/>
        </w:rPr>
        <w:t xml:space="preserve">           </w:t>
      </w:r>
      <w:r>
        <w:rPr>
          <w:rFonts w:hint="eastAsia" w:ascii="仿宋" w:hAnsi="仿宋" w:eastAsia="仿宋" w:cs="仿宋"/>
          <w:b/>
          <w:color w:val="auto"/>
          <w:sz w:val="24"/>
          <w:highlight w:val="none"/>
        </w:rPr>
        <w:t xml:space="preserve">（大写）。</w:t>
      </w:r>
      <w:r/>
    </w:p>
    <w:p>
      <w:pPr>
        <w:ind w:firstLine="480"/>
        <w:spacing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2.由于人工工资政策性调整而增加的费用由乙方自行承担，甲方不再支付任何费用。</w:t>
      </w:r>
      <w:r/>
    </w:p>
    <w:p>
      <w:pPr>
        <w:ind w:firstLine="480"/>
        <w:spacing w:line="600" w:lineRule="exact"/>
        <w:rPr>
          <w:rFonts w:ascii="仿宋" w:hAnsi="仿宋" w:eastAsia="仿宋" w:cs="仿宋"/>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highlight w:val="none"/>
        </w:rPr>
        <w:t xml:space="preserve">3.经双方协商一致，选择以下第</w:t>
      </w:r>
      <w:r>
        <w:rPr>
          <w:rFonts w:hint="eastAsia" w:ascii="仿宋" w:hAnsi="仿宋" w:eastAsia="仿宋" w:cs="仿宋"/>
          <w:b/>
          <w:bCs/>
          <w:color w:val="auto"/>
          <w:sz w:val="24"/>
          <w:highlight w:val="none"/>
          <w:u w:val="single"/>
        </w:rPr>
        <w:t xml:space="preserve">    </w:t>
      </w:r>
      <w:r>
        <w:rPr>
          <w:rFonts w:hint="eastAsia" w:ascii="仿宋" w:hAnsi="仿宋" w:eastAsia="仿宋" w:cs="仿宋"/>
          <w:b/>
          <w:bCs/>
          <w:color w:val="auto"/>
          <w:sz w:val="24"/>
          <w:highlight w:val="none"/>
        </w:rPr>
        <w:t xml:space="preserve">种付款方式：</w:t>
      </w:r>
      <w:r/>
    </w:p>
    <w:p>
      <w:pPr>
        <w:ind w:firstLine="480"/>
        <w:spacing w:line="600" w:lineRule="exact"/>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（一）付款方式（提交预付款保函的）</w:t>
      </w:r>
      <w:r/>
    </w:p>
    <w:p>
      <w:pPr>
        <w:ind w:firstLine="480"/>
        <w:spacing w:line="600" w:lineRule="exact"/>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合同签订且乙方向甲方出具预付款保函后15个工作日内，甲方应支付合同价款的百分之四十（40%）预付款，小写￥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大写：人民币</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。剩余合同价款甲方按考核结果逐月核拨。</w:t>
      </w:r>
      <w:r/>
    </w:p>
    <w:p>
      <w:pPr>
        <w:ind w:firstLine="480"/>
        <w:spacing w:line="600" w:lineRule="exact"/>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（二）付款方式（不提交预付款保函的）</w:t>
      </w:r>
      <w:r/>
    </w:p>
    <w:p>
      <w:pPr>
        <w:ind w:left="67" w:firstLine="480"/>
        <w:spacing w:line="60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合同签订且乙方向甲方</w:t>
      </w:r>
      <w:r>
        <w:rPr>
          <w:rFonts w:hint="eastAsia" w:ascii="仿宋" w:hAnsi="仿宋" w:eastAsia="仿宋" w:cs="仿宋"/>
          <w:color w:val="auto"/>
          <w:sz w:val="24"/>
          <w:highlight w:val="none"/>
          <w:lang w:val="en-US" w:eastAsia="zh-CN"/>
        </w:rPr>
        <w:t xml:space="preserve">出具</w:t>
      </w:r>
      <w:r>
        <w:rPr>
          <w:rFonts w:hint="eastAsia" w:ascii="仿宋" w:hAnsi="仿宋" w:eastAsia="仿宋" w:cs="仿宋"/>
          <w:color w:val="auto"/>
          <w:sz w:val="24"/>
          <w:highlight w:val="none"/>
        </w:rPr>
        <w:t xml:space="preserve">等额增值税发票后15个工作日内，甲方应支付合同价款的百分之十（10%）预付款，小写￥</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大写：人民币</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。剩余合同价款甲方按考核结果逐月核拨。</w:t>
      </w:r>
      <w:r/>
    </w:p>
    <w:p>
      <w:pPr>
        <w:ind w:left="67" w:firstLine="480"/>
        <w:spacing w:line="60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本项目在签订合同时，如乙方明确表示无需预付款的，在出具相关说明后甲方按月支付，依据上一月份考核结果，次月</w:t>
      </w:r>
      <w:r>
        <w:rPr>
          <w:rFonts w:hint="eastAsia" w:ascii="仿宋" w:hAnsi="仿宋" w:eastAsia="仿宋" w:cs="仿宋"/>
          <w:color w:val="auto"/>
          <w:sz w:val="24"/>
          <w:highlight w:val="none"/>
          <w:lang w:val="en-US" w:eastAsia="zh-CN"/>
        </w:rPr>
        <w:t xml:space="preserve">月底</w:t>
      </w:r>
      <w:r>
        <w:rPr>
          <w:rFonts w:hint="eastAsia" w:ascii="仿宋" w:hAnsi="仿宋" w:eastAsia="仿宋" w:cs="仿宋"/>
          <w:color w:val="auto"/>
          <w:sz w:val="24"/>
          <w:highlight w:val="none"/>
        </w:rPr>
        <w:t xml:space="preserve">前按照检查考核结果拨付。</w:t>
      </w:r>
      <w:r/>
    </w:p>
    <w:p>
      <w:pPr>
        <w:ind w:left="67" w:firstLine="480"/>
        <w:spacing w:line="6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甲方每月月底前对当月养护管理情况进行考核汇总，次月月底前出具考核结果，并据实办理政府采购资金结算手续支付乙方上月养护管理费用。当月养护管理费用的60%作为基本费用，40%作为考核费用。</w:t>
      </w:r>
      <w:r/>
    </w:p>
    <w:p>
      <w:pPr>
        <w:ind w:left="67" w:firstLine="480"/>
        <w:spacing w:line="6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当月考核成绩在95分以上（含95分）全额支付当月养护管理费用；</w:t>
      </w:r>
      <w:r/>
    </w:p>
    <w:p>
      <w:pPr>
        <w:ind w:left="67" w:firstLine="480"/>
        <w:spacing w:line="6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当月考核成绩在95-90分（含90分）之间的，当月养护管理费用为：基本费用+[（实际得分）/100]×考核费用；</w:t>
      </w:r>
      <w:r/>
    </w:p>
    <w:p>
      <w:pPr>
        <w:ind w:left="67" w:firstLine="480"/>
        <w:spacing w:line="6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当月考核成绩在90-80分（含80分）之间的，当月养护管理费用为：基本费用+[1-2×（100-实际得分）/100]×考核费用；</w:t>
      </w:r>
      <w:r/>
    </w:p>
    <w:p>
      <w:pPr>
        <w:ind w:left="67" w:firstLine="480"/>
        <w:spacing w:line="600" w:lineRule="exact"/>
        <w:widowControl/>
        <w:rPr>
          <w:rFonts w:ascii="仿宋" w:hAnsi="仿宋" w:eastAsia="仿宋" w:cs="仿宋"/>
          <w:color w:val="auto"/>
          <w:highlight w:val="none"/>
        </w:rPr>
      </w:pPr>
      <w:r>
        <w:rPr>
          <w:rFonts w:hint="eastAsia" w:ascii="仿宋" w:hAnsi="仿宋" w:eastAsia="仿宋" w:cs="仿宋"/>
          <w:color w:val="auto"/>
          <w:sz w:val="24"/>
          <w:highlight w:val="none"/>
        </w:rPr>
        <w:t xml:space="preserve">当月考核成绩在80分以下为不合格，当月养护管理费用为基本费用。</w:t>
      </w:r>
      <w:r/>
    </w:p>
    <w:p>
      <w:pPr>
        <w:ind w:left="1440" w:right="1440"/>
        <w:jc w:val="both"/>
        <w:spacing w:after="120"/>
        <w:widowControl w:val="off"/>
        <w:rPr>
          <w:rFonts w:hint="default" w:ascii="仿宋" w:hAnsi="仿宋" w:eastAsia="仿宋" w:cs="仿宋"/>
          <w:color w:val="auto"/>
          <w:sz w:val="21"/>
          <w:szCs w:val="24"/>
          <w:highlight w:val="none"/>
          <w:lang w:val="en-US" w:eastAsia="zh-CN" w:bidi="ar-SA"/>
        </w:rPr>
      </w:pPr>
      <w:r>
        <w:rPr>
          <w:rFonts w:hint="default" w:ascii="仿宋" w:hAnsi="仿宋" w:eastAsia="仿宋" w:cs="仿宋"/>
          <w:color w:val="auto"/>
          <w:sz w:val="21"/>
          <w:szCs w:val="24"/>
          <w:highlight w:val="none"/>
          <w:lang w:val="en-US" w:eastAsia="zh-CN" w:bidi="ar-SA"/>
        </w:rPr>
      </w:r>
      <w:r/>
    </w:p>
    <w:p>
      <w:pPr>
        <w:spacing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第四项质量与考核</w:t>
      </w:r>
      <w:r/>
    </w:p>
    <w:p>
      <w:pPr>
        <w:ind w:firstLine="480"/>
        <w:spacing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以徐州市地方标准《园林绿化养护管理规范》（DB 3203/T 502-2008）和徐州市相关规定为准。</w:t>
      </w:r>
      <w:r/>
    </w:p>
    <w:p>
      <w:pPr>
        <w:spacing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一、养护管理要点及主要内容</w:t>
      </w:r>
      <w:r/>
    </w:p>
    <w:p>
      <w:pPr>
        <w:ind w:firstLine="240"/>
        <w:spacing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（一）园艺管理、病虫害防治部分</w:t>
      </w:r>
      <w:r/>
    </w:p>
    <w:p>
      <w:pPr>
        <w:ind w:firstLine="480"/>
        <w:spacing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严格按照徐州市地方标准《园林绿化养护管理规范》（DB 3203/T 502-2008）进行养护管理。</w:t>
      </w:r>
      <w:r/>
    </w:p>
    <w:p>
      <w:pPr>
        <w:ind w:firstLine="240"/>
        <w:spacing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（二）其他</w:t>
      </w:r>
      <w:r/>
    </w:p>
    <w:p>
      <w:pPr>
        <w:ind w:firstLine="480"/>
        <w:spacing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1.负责对管理区域内的地面铺装（含木质铺装）、花坛、座椅（凳）、花架、栅（护）栏、亮化、喷泉等设施日常维修维护保养，各项设施保持完好、使用正常（设施达到设计使用年限自然损毁的除外）。</w:t>
      </w:r>
      <w:r/>
    </w:p>
    <w:p>
      <w:pPr>
        <w:ind w:firstLine="480"/>
        <w:spacing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2.按照徐州市住房和城乡建设局《关于开放式公园景点管理的实施意见》相关要求，负责对管理区域内的环境卫生保洁，无垃圾杂物，无干枯枝叶，垃圾能及时清运，重点地区随产随清，其他地区日产日清。垃圾清运地点在不违反市、区相关规定的前提下乙方自行解决。</w:t>
      </w:r>
      <w:r/>
    </w:p>
    <w:p>
      <w:pPr>
        <w:ind w:firstLine="480"/>
        <w:spacing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3.负责对管理区域内的秩序管理，无设摊摆卖，无拴挂、无宠物入园、水面无垂钓、游泳现象、夏季无赤臂现象，无自行车、机动车、电动车入园（残疾人轮椅、儿童车除外），无践踏绿地和其他破坏绿化的行为；游园秩序井然；公共设施完好无损，否则照价赔偿。</w:t>
      </w:r>
      <w:r/>
    </w:p>
    <w:p>
      <w:pPr>
        <w:ind w:firstLine="480"/>
        <w:spacing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4.负责公园、广场内厕所的日常管理。</w:t>
      </w:r>
      <w:r/>
    </w:p>
    <w:p>
      <w:pPr>
        <w:ind w:firstLine="480"/>
        <w:spacing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5.台账记录详细如实。</w:t>
      </w:r>
      <w:r/>
    </w:p>
    <w:p>
      <w:pPr>
        <w:ind w:firstLine="480"/>
        <w:spacing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6.确保甲方在上级各种检查以及各类创建评比活动中不失分。</w:t>
      </w:r>
      <w:r/>
    </w:p>
    <w:p>
      <w:pPr>
        <w:ind w:firstLine="480"/>
        <w:spacing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7.自行协调地方关系，指定专人分区负责养护管理，设置片长，按不同管理区域合理安排养护管理人员。</w:t>
      </w:r>
      <w:r/>
    </w:p>
    <w:p>
      <w:pPr>
        <w:ind w:firstLine="480"/>
        <w:spacing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8.乙方须配备必要的种植、运输工具，负责养护管理范围内的园林植物补植、种植、迁移工作。</w:t>
      </w:r>
      <w:r/>
    </w:p>
    <w:p>
      <w:pPr>
        <w:ind w:firstLine="480"/>
        <w:spacing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9.负责对养护管理范围内绿地养护，并对养护管理范围内死亡的树木、草坪、地被等，由乙方及时补种、完善，补植品种、规格应与原树木基本相同。</w:t>
      </w:r>
      <w:r/>
    </w:p>
    <w:p>
      <w:pPr>
        <w:ind w:firstLine="480"/>
        <w:spacing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10.按要求每月将苗木生长情况及日常养护管理计划、片区及人员安排计划上报甲方。</w:t>
      </w:r>
      <w:r/>
    </w:p>
    <w:p>
      <w:pPr>
        <w:ind w:firstLine="480"/>
        <w:spacing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11.如遇市政工程、重大活动时，乙方应派人员，做好绿地的维护管理工作，保证绿地及设施完好。</w:t>
      </w:r>
      <w:r/>
    </w:p>
    <w:p>
      <w:pPr>
        <w:ind w:firstLine="480"/>
        <w:spacing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12.乙方中标后进场实施养护管理工作，中标（成交）后的前3个月为试管期。试管期间，甲方对乙方养护管理工作进行检查考核，以确定乙方是否有实际履约能力。</w:t>
      </w:r>
      <w:r/>
    </w:p>
    <w:p>
      <w:pPr>
        <w:ind w:firstLine="480"/>
        <w:spacing w:line="600" w:lineRule="exact"/>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13.负责及时处置养护管理范围内发生的数字化城市管理案件、“12345”政府服务热线工单、防洪抗旱防火等应急工作及其他上级交办的事项。</w:t>
      </w:r>
      <w:r/>
    </w:p>
    <w:p>
      <w:pPr>
        <w:spacing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二、工作人员要求</w:t>
      </w:r>
      <w:r/>
    </w:p>
    <w:p>
      <w:pPr>
        <w:ind w:firstLine="480"/>
        <w:spacing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工作人员人数见乙方</w:t>
      </w:r>
      <w:r>
        <w:rPr>
          <w:rFonts w:hint="eastAsia" w:ascii="仿宋" w:hAnsi="仿宋" w:eastAsia="仿宋" w:cs="仿宋"/>
          <w:color w:val="auto"/>
          <w:sz w:val="24"/>
          <w:highlight w:val="none"/>
          <w:lang w:val="en-US" w:eastAsia="zh-CN"/>
        </w:rPr>
        <w:t xml:space="preserve">投标</w:t>
      </w:r>
      <w:r>
        <w:rPr>
          <w:rFonts w:hint="eastAsia" w:ascii="仿宋" w:hAnsi="仿宋" w:eastAsia="仿宋" w:cs="仿宋"/>
          <w:color w:val="auto"/>
          <w:sz w:val="24"/>
          <w:highlight w:val="none"/>
        </w:rPr>
        <w:t xml:space="preserve">文件，在总人数不变的情况下，合理安排各重要公园绿地的工作人员数量。工作人员具体要求如下：</w:t>
      </w:r>
      <w:r/>
    </w:p>
    <w:p>
      <w:pPr>
        <w:ind w:firstLine="480"/>
        <w:spacing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1.工作人员应穿戴统一服装，秩序及防火巡查人员制服及配套设备要符合行业规定及季节特点。</w:t>
      </w:r>
      <w:r/>
    </w:p>
    <w:p>
      <w:pPr>
        <w:ind w:firstLine="480"/>
        <w:spacing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2.确保24小时应急服务和承诺服务工作，</w:t>
      </w:r>
      <w:r>
        <w:rPr>
          <w:rFonts w:hint="eastAsia" w:ascii="仿宋" w:hAnsi="仿宋" w:eastAsia="仿宋" w:cs="仿宋"/>
          <w:color w:val="auto"/>
          <w:sz w:val="24"/>
          <w:highlight w:val="none"/>
          <w:lang w:val="en-US" w:eastAsia="zh-CN"/>
        </w:rPr>
        <w:t xml:space="preserve">有</w:t>
      </w:r>
      <w:r>
        <w:rPr>
          <w:rFonts w:hint="eastAsia" w:ascii="仿宋" w:hAnsi="仿宋" w:eastAsia="仿宋" w:cs="仿宋"/>
          <w:color w:val="auto"/>
          <w:sz w:val="24"/>
          <w:highlight w:val="none"/>
        </w:rPr>
        <w:t xml:space="preserve">值班人员及联系电话，养护管理范围内要24小时进行巡查。</w:t>
      </w:r>
      <w:r/>
    </w:p>
    <w:p>
      <w:pPr>
        <w:ind w:firstLine="480"/>
        <w:spacing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3.项目负责人必须常年在现场，并且不得随意更换，不得同时担任其他任何项目的项目负责人。</w:t>
      </w:r>
      <w:r/>
    </w:p>
    <w:p>
      <w:pPr>
        <w:ind w:firstLine="480"/>
        <w:spacing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确因特殊原因必须更换项目负责人的，由项目成交企业书面提出申请，经采购人书面批准后方可更换。拟调任项目负责人的业绩和工作能力不得低于原项目负责人。</w:t>
      </w:r>
      <w:r/>
    </w:p>
    <w:p>
      <w:pPr>
        <w:spacing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三、养护管理设备配置要求</w:t>
      </w:r>
      <w:r/>
    </w:p>
    <w:p>
      <w:pPr>
        <w:ind w:firstLine="480"/>
        <w:spacing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见乙方</w:t>
      </w:r>
      <w:r>
        <w:rPr>
          <w:rFonts w:hint="eastAsia" w:ascii="仿宋" w:hAnsi="仿宋" w:eastAsia="仿宋" w:cs="仿宋"/>
          <w:color w:val="auto"/>
          <w:sz w:val="24"/>
          <w:highlight w:val="none"/>
          <w:lang w:val="en-US" w:eastAsia="zh-CN"/>
        </w:rPr>
        <w:t xml:space="preserve">投标</w:t>
      </w:r>
      <w:r>
        <w:rPr>
          <w:rFonts w:hint="eastAsia" w:ascii="仿宋" w:hAnsi="仿宋" w:eastAsia="仿宋" w:cs="仿宋"/>
          <w:color w:val="auto"/>
          <w:sz w:val="24"/>
          <w:highlight w:val="none"/>
        </w:rPr>
        <w:t xml:space="preserve">文件。</w:t>
      </w:r>
      <w:r/>
    </w:p>
    <w:p>
      <w:pPr>
        <w:spacing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四、考核验收标准</w:t>
      </w:r>
      <w:r/>
    </w:p>
    <w:p>
      <w:pPr>
        <w:ind w:firstLine="480"/>
        <w:spacing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以徐州市地方标准《园林绿化养护管理规范》（DB 3203/T 502-2008）和徐州市相关规定为准。详见合同附件。</w:t>
      </w:r>
      <w:r/>
    </w:p>
    <w:p>
      <w:pPr>
        <w:spacing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第五项、甲乙双方的权利和义务</w:t>
      </w:r>
      <w:r/>
    </w:p>
    <w:p>
      <w:pPr>
        <w:spacing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一、甲方的权利和义务</w:t>
      </w:r>
      <w:r/>
    </w:p>
    <w:p>
      <w:pPr>
        <w:ind w:firstLine="240"/>
        <w:spacing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（一）甲方对乙方有实施日常检查、考核、管理的权利。</w:t>
      </w:r>
      <w:r/>
    </w:p>
    <w:p>
      <w:pPr>
        <w:ind w:firstLine="240"/>
        <w:spacing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（二）甲方可对乙方存在问题限期整改，整改费用由乙方承担。</w:t>
      </w:r>
      <w:r/>
    </w:p>
    <w:p>
      <w:pPr>
        <w:ind w:firstLine="240"/>
        <w:spacing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（三）甲方需确保乙方合同价款（按照甲方出具的考核结果）按时到位。</w:t>
      </w:r>
      <w:r/>
    </w:p>
    <w:p>
      <w:pPr>
        <w:ind w:firstLine="240"/>
        <w:spacing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（四）甲方检查人员必须公开、公平、公正检查考核。</w:t>
      </w:r>
      <w:r/>
    </w:p>
    <w:p>
      <w:pPr>
        <w:spacing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二、乙方的权利和义务</w:t>
      </w:r>
      <w:r/>
    </w:p>
    <w:p>
      <w:pPr>
        <w:ind w:firstLine="240"/>
        <w:spacing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（一）乙方应自觉接受甲方的检查、考核、指导和监督。</w:t>
      </w:r>
      <w:r/>
    </w:p>
    <w:p>
      <w:pPr>
        <w:ind w:firstLine="240"/>
        <w:spacing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（二）乙方必须保证不得雇用18周岁以下和男60周岁（女55周岁）以上的现场工作人员，如出现乙方雇用18周岁以下和男60周岁（女55周岁）以上的现场工作人员，甲方有权单方终止合同。</w:t>
      </w:r>
      <w:r/>
    </w:p>
    <w:p>
      <w:pPr>
        <w:ind w:firstLine="240"/>
        <w:spacing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（三）乙方必须按照合同约定足额配备相关人员。</w:t>
      </w:r>
      <w:r/>
    </w:p>
    <w:p>
      <w:pPr>
        <w:ind w:firstLine="240"/>
        <w:spacing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（四）乙方不得随意更换项目负责人。</w:t>
      </w:r>
      <w:r/>
    </w:p>
    <w:p>
      <w:pPr>
        <w:ind w:firstLine="240"/>
        <w:spacing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（五）合同履行期内，乙方所需要的作业、管理、机具停放等用房、用地由乙方自行解决。</w:t>
      </w:r>
      <w:r/>
    </w:p>
    <w:p>
      <w:pPr>
        <w:ind w:firstLine="240"/>
        <w:spacing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（六）乙方要加强工作人员的安全教育，完善相关措施，确保安全无事故。</w:t>
      </w:r>
      <w:r/>
    </w:p>
    <w:p>
      <w:pPr>
        <w:ind w:firstLine="240"/>
        <w:spacing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（七）在养护管理责任期内，乙方必须制定日工作计划，并按计划完成当天的日常养护管理工作。</w:t>
      </w:r>
      <w:r/>
    </w:p>
    <w:p>
      <w:pPr>
        <w:ind w:firstLine="240"/>
        <w:spacing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（八）乙方需全面配合甲方在乙方养护管理绿地内组织实施的科研试验等工作，并提供必要的人员和设备。</w:t>
      </w:r>
      <w:r/>
    </w:p>
    <w:p>
      <w:pPr>
        <w:ind w:firstLine="240"/>
        <w:spacing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（九）乙方应无条件在规定时间内完成某些需紧急处置的情况，或上级重大活动安排的任务及各类创建任务。</w:t>
      </w:r>
      <w:r/>
    </w:p>
    <w:p>
      <w:pPr>
        <w:spacing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第六项、违约责任</w:t>
      </w:r>
      <w:r/>
    </w:p>
    <w:p>
      <w:pPr>
        <w:spacing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一、发生下列情况之一的，甲方有权终止合同。</w:t>
      </w:r>
      <w:r/>
    </w:p>
    <w:p>
      <w:pPr>
        <w:ind w:firstLine="480"/>
        <w:spacing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（一）合同履行期内不服从甲方或相关检查考核单位管理的；</w:t>
      </w:r>
      <w:r/>
    </w:p>
    <w:p>
      <w:pPr>
        <w:ind w:firstLine="480"/>
        <w:spacing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（二）雇用18周岁以下和男60周岁（女55周岁）以上的现场工作人员的；</w:t>
      </w:r>
      <w:r/>
    </w:p>
    <w:p>
      <w:pPr>
        <w:ind w:firstLine="480"/>
        <w:spacing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（三）未按合同约定擅自更换项目负责人的；</w:t>
      </w:r>
      <w:r/>
    </w:p>
    <w:p>
      <w:pPr>
        <w:ind w:firstLine="480"/>
        <w:spacing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（四）在前3个月试管期间，考核成绩2次达到80分以下（含80分）；</w:t>
      </w:r>
      <w:r/>
    </w:p>
    <w:p>
      <w:pPr>
        <w:ind w:firstLine="480"/>
        <w:spacing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（五）全年累计2次考核不合格的，或全年累计3次考核成绩排在末位且有一次低于80分的；</w:t>
      </w:r>
      <w:r/>
    </w:p>
    <w:p>
      <w:pPr>
        <w:ind w:firstLine="480"/>
        <w:spacing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（六）在养护管理责任期内，如乙方10日内不进行日常养护管理或单方中途退出养护管理的；</w:t>
      </w:r>
      <w:r/>
    </w:p>
    <w:p>
      <w:pPr>
        <w:ind w:firstLine="480"/>
        <w:spacing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（七）在上级部门考核评比等活动中出现严重失分，或因养护管理不到位，全年累计被市级及以上新闻媒体曝光3次、并在社会上造成较严重影响的。</w:t>
      </w:r>
      <w:r/>
    </w:p>
    <w:p>
      <w:pPr>
        <w:spacing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二、发生下列情况之一的，甲方有权要求乙方限期整改，并承担相应责任。</w:t>
      </w:r>
      <w:r/>
    </w:p>
    <w:p>
      <w:pPr>
        <w:ind w:firstLine="240"/>
        <w:spacing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（一）未按合同约定数量配备相关工作人员，或者工作人员到岗率低于95%的，限期调整；若整改不到位，月度考核一次性扣除10分；</w:t>
      </w:r>
      <w:r/>
    </w:p>
    <w:p>
      <w:pPr>
        <w:ind w:firstLine="240"/>
        <w:spacing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（二）乙方如不能及时处置上级指派或各类应急任务的，甲方有权指派其他队伍进场，所发生的费用在乙方合同价款中扣除。</w:t>
      </w:r>
      <w:r/>
    </w:p>
    <w:p>
      <w:pPr>
        <w:ind w:firstLine="240"/>
        <w:spacing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（三）当月针对同一存在问题，连续2次整改不合格或累计3次（包括3次）以上未完成甲方交办的任务的，月度考核一次性扣除5分。</w:t>
      </w:r>
      <w:r/>
    </w:p>
    <w:p>
      <w:pPr>
        <w:ind w:right="34"/>
        <w:spacing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第七项、不可抗力事件处理</w:t>
      </w:r>
      <w:r/>
    </w:p>
    <w:p>
      <w:pPr>
        <w:ind w:right="34" w:firstLine="480"/>
        <w:spacing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一、在合同有效期内，任何一方因不可抗力事件导致不能履行合同，则合同履行期延长，其延长期与不可抗力影响期相同。</w:t>
      </w:r>
      <w:r/>
    </w:p>
    <w:p>
      <w:pPr>
        <w:ind w:right="34" w:firstLine="480"/>
        <w:spacing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二、不可抗力事件发生后，应立即通知对方，并寄送有关权威机构出具的证明。</w:t>
      </w:r>
      <w:r/>
    </w:p>
    <w:p>
      <w:pPr>
        <w:ind w:right="34" w:firstLine="480"/>
        <w:spacing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三、不可抗力事件延续120天以上，双方应通过友好协商，确定是否继续履行合同。</w:t>
      </w:r>
      <w:r/>
    </w:p>
    <w:p>
      <w:pPr>
        <w:spacing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第八项、诉讼</w:t>
      </w:r>
      <w:r/>
    </w:p>
    <w:p>
      <w:pPr>
        <w:ind w:firstLine="480"/>
        <w:spacing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双方在执行合同中所发生的一切争议，应通过协商解决。如协商不成，可向鼓楼区人民法院起诉。</w:t>
      </w:r>
      <w:r/>
    </w:p>
    <w:p>
      <w:pPr>
        <w:spacing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第九项、其他</w:t>
      </w:r>
      <w:r/>
    </w:p>
    <w:p>
      <w:pPr>
        <w:ind w:firstLine="480"/>
        <w:spacing w:line="600" w:lineRule="exact"/>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一、养护管理期内，乙方出现未按照甲方整改要求在规定期限内整改到位的，由甲方代为整改，费用由乙方承担。</w:t>
      </w:r>
      <w:r/>
    </w:p>
    <w:p>
      <w:pPr>
        <w:ind w:firstLine="480"/>
        <w:spacing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二、成交项目养护管理期间内如遇人身伤亡事故，由乙方承担全部经济与法律责任。</w:t>
      </w:r>
      <w:r/>
    </w:p>
    <w:p>
      <w:pPr>
        <w:ind w:firstLine="480"/>
        <w:spacing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三、承包面积若因故发生增减，则承包款根据合同单价同比例增减。</w:t>
      </w:r>
      <w:r/>
    </w:p>
    <w:p>
      <w:pPr>
        <w:ind w:firstLine="480"/>
        <w:spacing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四、合同执行过程中，如国家、省、市等有关部门对养护管理标准和要求等作出重大调整的，按调整后的标准和要求执行。</w:t>
      </w:r>
      <w:r/>
    </w:p>
    <w:p>
      <w:pPr>
        <w:ind w:firstLine="480"/>
        <w:spacing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五、合同经双方法定代表人或授权委托代表人签字并加盖单位公章后生效。</w:t>
      </w:r>
      <w:r/>
    </w:p>
    <w:p>
      <w:pPr>
        <w:ind w:firstLine="480"/>
        <w:spacing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六、本合同未尽事宜，遵照《民法典》有关条文执行。</w:t>
      </w:r>
      <w:r/>
    </w:p>
    <w:p>
      <w:pPr>
        <w:ind w:firstLine="480"/>
        <w:spacing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七、本合同一式</w:t>
      </w:r>
      <w:r>
        <w:rPr>
          <w:rFonts w:hint="eastAsia" w:ascii="仿宋" w:hAnsi="仿宋" w:eastAsia="仿宋" w:cs="仿宋"/>
          <w:color w:val="auto"/>
          <w:sz w:val="24"/>
          <w:highlight w:val="none"/>
          <w:u w:val="single"/>
        </w:rPr>
        <w:t xml:space="preserve"> 六 </w:t>
      </w:r>
      <w:r>
        <w:rPr>
          <w:rFonts w:hint="eastAsia" w:ascii="仿宋" w:hAnsi="仿宋" w:eastAsia="仿宋" w:cs="仿宋"/>
          <w:color w:val="auto"/>
          <w:sz w:val="24"/>
          <w:highlight w:val="none"/>
        </w:rPr>
        <w:t xml:space="preserve">份，具有同等法律效力，甲方</w:t>
      </w:r>
      <w:r>
        <w:rPr>
          <w:rFonts w:hint="eastAsia" w:ascii="仿宋" w:hAnsi="仿宋" w:eastAsia="仿宋" w:cs="仿宋"/>
          <w:color w:val="auto"/>
          <w:sz w:val="24"/>
          <w:highlight w:val="none"/>
          <w:u w:val="single"/>
        </w:rPr>
        <w:t xml:space="preserve"> 三 </w:t>
      </w:r>
      <w:r>
        <w:rPr>
          <w:rFonts w:hint="eastAsia" w:ascii="仿宋" w:hAnsi="仿宋" w:eastAsia="仿宋" w:cs="仿宋"/>
          <w:color w:val="auto"/>
          <w:sz w:val="24"/>
          <w:highlight w:val="none"/>
        </w:rPr>
        <w:t xml:space="preserve">份，乙方</w:t>
      </w:r>
      <w:r>
        <w:rPr>
          <w:rFonts w:hint="eastAsia" w:ascii="仿宋" w:hAnsi="仿宋" w:eastAsia="仿宋" w:cs="仿宋"/>
          <w:color w:val="auto"/>
          <w:sz w:val="24"/>
          <w:highlight w:val="none"/>
          <w:u w:val="single"/>
        </w:rPr>
        <w:t xml:space="preserve"> 二</w:t>
      </w:r>
      <w:r>
        <w:rPr>
          <w:rFonts w:hint="eastAsia" w:ascii="仿宋" w:hAnsi="仿宋" w:eastAsia="仿宋" w:cs="仿宋"/>
          <w:color w:val="auto"/>
          <w:sz w:val="24"/>
          <w:highlight w:val="none"/>
        </w:rPr>
        <w:t xml:space="preserve">份，招标代理机构备案</w:t>
      </w:r>
      <w:r>
        <w:rPr>
          <w:rFonts w:hint="eastAsia" w:ascii="仿宋" w:hAnsi="仿宋" w:eastAsia="仿宋" w:cs="仿宋"/>
          <w:color w:val="auto"/>
          <w:sz w:val="24"/>
          <w:highlight w:val="none"/>
          <w:u w:val="single"/>
        </w:rPr>
        <w:t xml:space="preserve"> 壹 </w:t>
      </w:r>
      <w:r>
        <w:rPr>
          <w:rFonts w:hint="eastAsia" w:ascii="仿宋" w:hAnsi="仿宋" w:eastAsia="仿宋" w:cs="仿宋"/>
          <w:color w:val="auto"/>
          <w:sz w:val="24"/>
          <w:highlight w:val="none"/>
        </w:rPr>
        <w:t xml:space="preserve">份。</w:t>
      </w:r>
      <w:r/>
    </w:p>
    <w:p>
      <w:pPr>
        <w:ind w:left="67" w:firstLine="480"/>
        <w:spacing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甲方 ：                       乙方：</w:t>
      </w:r>
      <w:r/>
    </w:p>
    <w:p>
      <w:pPr>
        <w:ind w:left="67" w:firstLine="480"/>
        <w:spacing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法定代表人或授权代表（签名）： 法定代表人或授权代表（签名）：</w:t>
      </w:r>
      <w:r/>
    </w:p>
    <w:p>
      <w:pPr>
        <w:ind w:left="420" w:right="33"/>
        <w:spacing w:before="240" w:after="240"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p>
      <w:pPr>
        <w:ind w:left="67" w:firstLine="480"/>
        <w:spacing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联系电话：          联系电话：</w:t>
      </w:r>
      <w:r/>
    </w:p>
    <w:p>
      <w:pPr>
        <w:ind w:left="67" w:firstLine="480"/>
        <w:spacing w:line="6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签定日期：          签定日期：</w:t>
      </w:r>
      <w:r/>
    </w:p>
    <w:p>
      <w:pPr>
        <w:ind w:left="67" w:firstLine="480"/>
        <w:spacing w:line="600" w:lineRule="exact"/>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签定地点：               签定地点：</w:t>
      </w:r>
      <w:r/>
    </w:p>
    <w:p>
      <w:pPr>
        <w:ind w:left="67" w:firstLine="480"/>
        <w:spacing w:line="600" w:lineRule="exact"/>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r>
      <w:r/>
    </w:p>
    <w:p>
      <w:pPr>
        <w:jc w:val="center"/>
        <w:rPr>
          <w:rFonts w:hint="eastAsia" w:ascii="方正小标宋简体" w:hAnsi="仿宋" w:eastAsia="方正小标宋简体"/>
          <w:bCs/>
          <w:color w:val="auto"/>
          <w:sz w:val="36"/>
          <w:szCs w:val="36"/>
          <w:highlight w:val="none"/>
        </w:rPr>
        <w:sectPr>
          <w:footnotePr/>
          <w:endnotePr/>
          <w:type w:val="nextPage"/>
          <w:pgSz w:w="11906" w:h="16838" w:orient="portrait"/>
          <w:pgMar w:top="851" w:right="1702" w:bottom="851" w:left="1804" w:header="851" w:footer="992" w:gutter="0"/>
          <w:cols w:num="1" w:sep="0" w:space="1701" w:equalWidth="1"/>
          <w:docGrid w:linePitch="360"/>
        </w:sectPr>
      </w:pPr>
      <w:r>
        <w:rPr>
          <w:rFonts w:hint="eastAsia" w:ascii="方正小标宋简体" w:hAnsi="仿宋" w:eastAsia="方正小标宋简体"/>
          <w:bCs/>
          <w:color w:val="auto"/>
          <w:sz w:val="36"/>
          <w:szCs w:val="36"/>
          <w:highlight w:val="none"/>
        </w:rPr>
      </w:r>
      <w:r/>
    </w:p>
    <w:p>
      <w:pPr>
        <w:jc w:val="both"/>
        <w:rPr>
          <w:rFonts w:hint="eastAsia" w:ascii="方正小标宋简体" w:hAnsi="仿宋" w:eastAsia="方正小标宋简体"/>
          <w:bCs/>
          <w:color w:val="auto"/>
          <w:sz w:val="32"/>
          <w:szCs w:val="32"/>
          <w:highlight w:val="none"/>
        </w:rPr>
      </w:pPr>
      <w:r>
        <w:rPr>
          <w:rFonts w:hint="eastAsia" w:ascii="方正小标宋简体" w:hAnsi="仿宋" w:eastAsia="方正小标宋简体"/>
          <w:bCs/>
          <w:color w:val="auto"/>
          <w:sz w:val="32"/>
          <w:szCs w:val="32"/>
          <w:highlight w:val="none"/>
          <w:lang w:val="en-US" w:eastAsia="zh-CN"/>
        </w:rPr>
        <w:t xml:space="preserve">附件1：</w:t>
      </w:r>
      <w:r>
        <w:rPr>
          <w:rFonts w:hint="eastAsia" w:ascii="方正小标宋简体" w:hAnsi="仿宋" w:eastAsia="方正小标宋简体"/>
          <w:bCs/>
          <w:color w:val="auto"/>
          <w:sz w:val="32"/>
          <w:szCs w:val="32"/>
          <w:highlight w:val="none"/>
        </w:rPr>
        <w:t xml:space="preserve">鼓楼区园林工程处公共绿地养护管理</w:t>
      </w:r>
      <w:r/>
    </w:p>
    <w:p>
      <w:pPr>
        <w:jc w:val="center"/>
        <w:rPr>
          <w:rFonts w:hint="eastAsia" w:ascii="方正小标宋简体" w:hAnsi="仿宋" w:eastAsia="方正小标宋简体"/>
          <w:bCs/>
          <w:color w:val="auto"/>
          <w:sz w:val="32"/>
          <w:szCs w:val="32"/>
          <w:highlight w:val="none"/>
        </w:rPr>
      </w:pPr>
      <w:r>
        <w:rPr>
          <w:rFonts w:hint="eastAsia" w:ascii="方正小标宋简体" w:hAnsi="仿宋" w:eastAsia="方正小标宋简体"/>
          <w:bCs/>
          <w:color w:val="auto"/>
          <w:sz w:val="32"/>
          <w:szCs w:val="32"/>
          <w:highlight w:val="none"/>
        </w:rPr>
        <w:t xml:space="preserve">检查考核办法</w:t>
      </w:r>
      <w:r/>
    </w:p>
    <w:p>
      <w:pPr>
        <w:ind w:firstLine="562"/>
        <w:spacing w:line="600" w:lineRule="exact"/>
        <w:rPr>
          <w:rFonts w:hint="eastAsia" w:ascii="仿宋_GB2312" w:hAnsi="楷体" w:eastAsia="仿宋_GB2312"/>
          <w:b/>
          <w:bCs/>
          <w:color w:val="auto"/>
          <w:sz w:val="28"/>
          <w:szCs w:val="28"/>
          <w:highlight w:val="none"/>
        </w:rPr>
      </w:pPr>
      <w:r>
        <w:rPr>
          <w:rFonts w:hint="eastAsia" w:ascii="仿宋_GB2312" w:hAnsi="楷体" w:eastAsia="仿宋_GB2312"/>
          <w:b/>
          <w:bCs/>
          <w:color w:val="auto"/>
          <w:sz w:val="28"/>
          <w:szCs w:val="28"/>
          <w:highlight w:val="none"/>
        </w:rPr>
      </w:r>
      <w:r/>
    </w:p>
    <w:p>
      <w:pPr>
        <w:ind w:firstLine="480"/>
        <w:spacing w:line="560" w:lineRule="exact"/>
        <w:rPr>
          <w:rFonts w:hint="eastAsia" w:ascii="仿宋" w:hAnsi="仿宋" w:eastAsia="仿宋"/>
          <w:bCs/>
          <w:color w:val="auto"/>
          <w:sz w:val="24"/>
          <w:szCs w:val="24"/>
          <w:highlight w:val="none"/>
        </w:rPr>
      </w:pPr>
      <w:r>
        <w:rPr>
          <w:rFonts w:hint="eastAsia" w:ascii="仿宋" w:hAnsi="仿宋" w:eastAsia="仿宋"/>
          <w:bCs/>
          <w:color w:val="auto"/>
          <w:sz w:val="24"/>
          <w:szCs w:val="24"/>
          <w:highlight w:val="none"/>
        </w:rPr>
        <w:t xml:space="preserve">为进一步提高鼓楼区城市公共绿地养护管理水平，规范绿化养护服务政府采购项目管理机制，高质量做好公共绿地养护管理工作，根据《徐州市绿化管理条例》、《园林绿化养护管理规范》及相关文件要求,特制定《鼓楼区</w:t>
      </w:r>
      <w:bookmarkStart w:id="21" w:name="OLE_LINK2"/>
      <w:r>
        <w:rPr>
          <w:rFonts w:hint="eastAsia" w:ascii="仿宋" w:hAnsi="仿宋" w:eastAsia="仿宋"/>
          <w:bCs/>
          <w:color w:val="auto"/>
          <w:sz w:val="24"/>
          <w:szCs w:val="24"/>
          <w:highlight w:val="none"/>
        </w:rPr>
        <w:t xml:space="preserve">园林工程处</w:t>
      </w:r>
      <w:bookmarkEnd w:id="21"/>
      <w:r>
        <w:rPr>
          <w:rFonts w:hint="eastAsia" w:ascii="仿宋" w:hAnsi="仿宋" w:eastAsia="仿宋"/>
          <w:bCs/>
          <w:color w:val="auto"/>
          <w:sz w:val="24"/>
          <w:szCs w:val="24"/>
          <w:highlight w:val="none"/>
        </w:rPr>
        <w:t xml:space="preserve">公共绿地养护管理检查考核办法》具体如下：</w:t>
      </w:r>
      <w:r/>
    </w:p>
    <w:p>
      <w:pPr>
        <w:ind w:firstLine="643"/>
        <w:spacing w:line="560" w:lineRule="exact"/>
        <w:rPr>
          <w:rFonts w:hint="eastAsia" w:ascii="仿宋" w:hAnsi="仿宋" w:eastAsia="仿宋"/>
          <w:b/>
          <w:bCs/>
          <w:color w:val="auto"/>
          <w:sz w:val="24"/>
          <w:szCs w:val="24"/>
          <w:highlight w:val="none"/>
        </w:rPr>
      </w:pPr>
      <w:r>
        <w:rPr>
          <w:rFonts w:hint="eastAsia" w:ascii="仿宋" w:hAnsi="仿宋" w:eastAsia="仿宋"/>
          <w:b/>
          <w:bCs/>
          <w:color w:val="auto"/>
          <w:sz w:val="24"/>
          <w:szCs w:val="24"/>
          <w:highlight w:val="none"/>
        </w:rPr>
        <w:t xml:space="preserve">一、检查考核对象</w:t>
      </w:r>
      <w:r/>
    </w:p>
    <w:p>
      <w:pPr>
        <w:ind w:firstLine="480"/>
        <w:spacing w:line="560" w:lineRule="exact"/>
        <w:rPr>
          <w:rFonts w:hint="eastAsia" w:ascii="仿宋" w:hAnsi="仿宋" w:eastAsia="仿宋"/>
          <w:bCs/>
          <w:color w:val="auto"/>
          <w:sz w:val="24"/>
          <w:szCs w:val="24"/>
          <w:highlight w:val="none"/>
        </w:rPr>
      </w:pPr>
      <w:r>
        <w:rPr>
          <w:rFonts w:hint="eastAsia" w:ascii="仿宋" w:hAnsi="仿宋" w:eastAsia="仿宋"/>
          <w:bCs/>
          <w:color w:val="auto"/>
          <w:sz w:val="24"/>
          <w:szCs w:val="24"/>
          <w:highlight w:val="none"/>
        </w:rPr>
        <w:t xml:space="preserve">通过政府采购确定，参与鼓楼区园林工程处公共绿地养护管理的中标人（养护管理企业）。</w:t>
      </w:r>
      <w:r/>
    </w:p>
    <w:p>
      <w:pPr>
        <w:ind w:firstLine="482"/>
        <w:spacing w:line="560" w:lineRule="exact"/>
        <w:rPr>
          <w:rFonts w:hint="eastAsia" w:ascii="仿宋" w:hAnsi="仿宋" w:eastAsia="仿宋"/>
          <w:b/>
          <w:color w:val="auto"/>
          <w:sz w:val="24"/>
          <w:szCs w:val="24"/>
          <w:highlight w:val="none"/>
        </w:rPr>
      </w:pPr>
      <w:r>
        <w:rPr>
          <w:rFonts w:hint="eastAsia" w:ascii="仿宋" w:hAnsi="仿宋" w:eastAsia="仿宋"/>
          <w:b/>
          <w:color w:val="auto"/>
          <w:sz w:val="24"/>
          <w:szCs w:val="24"/>
          <w:highlight w:val="none"/>
        </w:rPr>
        <w:t xml:space="preserve">二、检查考核内容和标准</w:t>
      </w:r>
      <w:r/>
    </w:p>
    <w:p>
      <w:pPr>
        <w:ind w:firstLine="480"/>
        <w:spacing w:line="560" w:lineRule="exact"/>
        <w:rPr>
          <w:rFonts w:hint="default" w:ascii="仿宋" w:hAnsi="仿宋" w:eastAsia="仿宋"/>
          <w:color w:val="auto"/>
          <w:sz w:val="24"/>
          <w:szCs w:val="24"/>
          <w:highlight w:val="none"/>
        </w:rPr>
      </w:pPr>
      <w:r>
        <w:rPr>
          <w:rFonts w:hint="eastAsia" w:ascii="仿宋" w:hAnsi="仿宋" w:eastAsia="仿宋"/>
          <w:color w:val="auto"/>
          <w:sz w:val="24"/>
          <w:szCs w:val="24"/>
          <w:highlight w:val="none"/>
        </w:rPr>
        <w:t xml:space="preserve">中标人必须严格按照徐州市地方标准</w:t>
      </w:r>
      <w:r>
        <w:rPr>
          <w:rFonts w:hint="default" w:ascii="仿宋" w:hAnsi="仿宋" w:eastAsia="仿宋"/>
          <w:color w:val="auto"/>
          <w:sz w:val="24"/>
          <w:szCs w:val="24"/>
          <w:highlight w:val="none"/>
        </w:rPr>
        <w:t xml:space="preserve">DB 3203/502-2008</w:t>
      </w:r>
      <w:r>
        <w:rPr>
          <w:rFonts w:hint="eastAsia" w:ascii="仿宋" w:hAnsi="仿宋" w:eastAsia="仿宋"/>
          <w:color w:val="auto"/>
          <w:sz w:val="24"/>
          <w:szCs w:val="24"/>
          <w:highlight w:val="none"/>
        </w:rPr>
        <w:t xml:space="preserve">《园林绿化养护管理规范》和徐州市相关规定，配合鼓楼区园林工程处要求，做好绿地保洁、苗木养护、秩序维护等工作。鼓楼区园林工程处</w:t>
      </w:r>
      <w:r>
        <w:rPr>
          <w:rFonts w:hint="eastAsia" w:ascii="仿宋" w:hAnsi="仿宋" w:eastAsia="仿宋" w:cs="仿宋"/>
          <w:color w:val="auto"/>
          <w:sz w:val="24"/>
          <w:szCs w:val="24"/>
          <w:highlight w:val="none"/>
        </w:rPr>
        <w:t xml:space="preserve">根据全年公共绿地养护管理工作内容及养护工作量，主要考核养护管理企业园艺管理质量水平和管理制度落实情况，严格按照《鼓楼区</w:t>
      </w:r>
      <w:r>
        <w:rPr>
          <w:rFonts w:hint="eastAsia" w:ascii="仿宋" w:hAnsi="仿宋" w:eastAsia="仿宋"/>
          <w:bCs/>
          <w:color w:val="auto"/>
          <w:sz w:val="24"/>
          <w:szCs w:val="24"/>
          <w:highlight w:val="none"/>
        </w:rPr>
        <w:t xml:space="preserve">园林工程处</w:t>
      </w:r>
      <w:r>
        <w:rPr>
          <w:rFonts w:hint="eastAsia" w:ascii="仿宋" w:hAnsi="仿宋" w:eastAsia="仿宋" w:cs="仿宋"/>
          <w:color w:val="auto"/>
          <w:sz w:val="24"/>
          <w:szCs w:val="24"/>
          <w:highlight w:val="none"/>
        </w:rPr>
        <w:t xml:space="preserve">公共绿地养护管理检查考核细则》（详见附表）进行综合考核。</w:t>
      </w:r>
      <w:r/>
    </w:p>
    <w:p>
      <w:pPr>
        <w:ind w:firstLine="482"/>
        <w:spacing w:line="560" w:lineRule="exact"/>
        <w:rPr>
          <w:rFonts w:hint="eastAsia" w:ascii="仿宋" w:hAnsi="仿宋" w:eastAsia="仿宋"/>
          <w:b/>
          <w:bCs/>
          <w:color w:val="auto"/>
          <w:sz w:val="24"/>
          <w:szCs w:val="24"/>
          <w:highlight w:val="none"/>
        </w:rPr>
      </w:pPr>
      <w:r>
        <w:rPr>
          <w:rFonts w:hint="eastAsia" w:ascii="仿宋" w:hAnsi="仿宋" w:eastAsia="仿宋"/>
          <w:b/>
          <w:bCs/>
          <w:color w:val="auto"/>
          <w:sz w:val="24"/>
          <w:szCs w:val="24"/>
          <w:highlight w:val="none"/>
        </w:rPr>
        <w:t xml:space="preserve">三、检查考核办法</w:t>
      </w:r>
      <w:r/>
    </w:p>
    <w:p>
      <w:pPr>
        <w:ind w:firstLine="540"/>
        <w:spacing w:line="56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鼓楼区</w:t>
      </w:r>
      <w:r>
        <w:rPr>
          <w:rFonts w:hint="eastAsia" w:ascii="仿宋" w:hAnsi="仿宋" w:eastAsia="仿宋"/>
          <w:bCs/>
          <w:color w:val="auto"/>
          <w:sz w:val="24"/>
          <w:szCs w:val="24"/>
          <w:highlight w:val="none"/>
        </w:rPr>
        <w:t xml:space="preserve">园林工程处</w:t>
      </w:r>
      <w:r>
        <w:rPr>
          <w:rFonts w:hint="eastAsia" w:ascii="仿宋" w:hAnsi="仿宋" w:eastAsia="仿宋"/>
          <w:color w:val="auto"/>
          <w:sz w:val="24"/>
          <w:szCs w:val="24"/>
          <w:highlight w:val="none"/>
        </w:rPr>
        <w:t xml:space="preserve">公共绿地养护管理检查考核实行“日常巡查、专项考核、月度考核”的基本考核制度。</w:t>
      </w:r>
      <w:r/>
    </w:p>
    <w:p>
      <w:pPr>
        <w:ind w:firstLine="540"/>
        <w:spacing w:line="56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1、日常巡查。日常巡查人员以巡查方式对中标人日常养护工作进行监督，留存巡查资料，发出书面整改通知书，要求中标人进行整改。</w:t>
      </w:r>
      <w:r/>
    </w:p>
    <w:p>
      <w:pPr>
        <w:ind w:firstLine="540"/>
        <w:spacing w:line="56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2、专项考核。中标人完成各项专项任务，</w:t>
      </w:r>
      <w:r>
        <w:rPr>
          <w:rFonts w:hint="eastAsia" w:ascii="仿宋" w:hAnsi="仿宋" w:eastAsia="仿宋" w:cs="仿宋"/>
          <w:color w:val="auto"/>
          <w:sz w:val="24"/>
          <w:szCs w:val="24"/>
          <w:highlight w:val="none"/>
        </w:rPr>
        <w:t xml:space="preserve">及时处置上级指派或各类应急工作，根据完成情况记入综合考核评分。</w:t>
      </w:r>
      <w:r/>
    </w:p>
    <w:p>
      <w:pPr>
        <w:ind w:firstLine="540"/>
        <w:spacing w:line="56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3、月度考核。鼓楼区园林工程处每月组织一次月度考核，结合12345工单、区城管局数字化考核、日常巡查、专项考核等情况，作出月度综合考评打分。</w:t>
      </w:r>
      <w:r/>
    </w:p>
    <w:p>
      <w:pPr>
        <w:ind w:firstLine="540"/>
        <w:spacing w:line="560" w:lineRule="exact"/>
        <w:rPr>
          <w:rFonts w:hint="eastAsia" w:ascii="仿宋" w:hAnsi="仿宋" w:eastAsia="仿宋"/>
          <w:b/>
          <w:color w:val="auto"/>
          <w:sz w:val="24"/>
          <w:szCs w:val="24"/>
          <w:highlight w:val="none"/>
        </w:rPr>
      </w:pPr>
      <w:r>
        <w:rPr>
          <w:rFonts w:hint="eastAsia" w:ascii="仿宋" w:hAnsi="仿宋" w:eastAsia="仿宋"/>
          <w:b/>
          <w:color w:val="auto"/>
          <w:sz w:val="24"/>
          <w:szCs w:val="24"/>
          <w:highlight w:val="none"/>
        </w:rPr>
        <w:t xml:space="preserve">四、考核经费认定兑现及扣款</w:t>
      </w:r>
      <w:r/>
    </w:p>
    <w:p>
      <w:pPr>
        <w:ind w:firstLine="540"/>
        <w:spacing w:line="56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1、</w:t>
      </w:r>
      <w:bookmarkStart w:id="22" w:name="OLE_LINK4"/>
      <w:r>
        <w:rPr>
          <w:rFonts w:hint="eastAsia" w:ascii="仿宋" w:hAnsi="仿宋" w:eastAsia="仿宋" w:cs="仿宋"/>
          <w:color w:val="auto"/>
          <w:sz w:val="24"/>
          <w:szCs w:val="24"/>
          <w:highlight w:val="none"/>
        </w:rPr>
        <w:t xml:space="preserve">鼓楼区园林工程处</w:t>
      </w:r>
      <w:bookmarkEnd w:id="22"/>
      <w:r>
        <w:rPr>
          <w:rFonts w:hint="eastAsia" w:ascii="仿宋" w:hAnsi="仿宋" w:eastAsia="仿宋" w:cs="仿宋"/>
          <w:color w:val="auto"/>
          <w:sz w:val="24"/>
          <w:szCs w:val="24"/>
          <w:highlight w:val="none"/>
        </w:rPr>
        <w:t xml:space="preserve">每月月底前完成考核各项工作，次月月初出具考核评分结果，根据合同约定的考评评分等级，据实办理政府采购资金结算手续，支付上月养护管理费用。</w:t>
      </w:r>
      <w:r/>
    </w:p>
    <w:p>
      <w:pPr>
        <w:ind w:firstLine="480"/>
        <w:spacing w:line="560" w:lineRule="exact"/>
        <w:widowControl/>
        <w:rPr>
          <w:rFonts w:hint="eastAsia" w:ascii="仿宋" w:hAnsi="仿宋" w:eastAsia="仿宋" w:cs="仿宋"/>
          <w:color w:val="auto"/>
          <w:sz w:val="24"/>
          <w:szCs w:val="24"/>
          <w:highlight w:val="none"/>
        </w:rPr>
      </w:pPr>
      <w:r>
        <w:rPr>
          <w:rFonts w:hint="eastAsia" w:ascii="仿宋" w:hAnsi="仿宋" w:eastAsia="仿宋"/>
          <w:color w:val="auto"/>
          <w:sz w:val="24"/>
          <w:szCs w:val="24"/>
          <w:highlight w:val="none"/>
        </w:rPr>
        <w:t xml:space="preserve">2、中标人出现重大养护工作失误者（由鼓楼区园林工程处根据实际情况综合评判），进行扣款处罚，处罚以1000元为基数递增。</w:t>
      </w:r>
      <w:r/>
    </w:p>
    <w:p>
      <w:pPr>
        <w:ind w:firstLine="540"/>
        <w:spacing w:line="56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3、针对多次考核不合格单位实行清退。</w:t>
      </w:r>
      <w:r/>
    </w:p>
    <w:p>
      <w:pPr>
        <w:spacing w:line="560" w:lineRule="exact"/>
        <w:rPr>
          <w:rFonts w:hint="default" w:ascii="仿宋_GB2312" w:hAnsi="仿宋_GB2312" w:eastAsia="仿宋_GB2312" w:cs="仿宋_GB2312"/>
          <w:color w:val="auto"/>
          <w:sz w:val="28"/>
          <w:szCs w:val="28"/>
          <w:highlight w:val="none"/>
        </w:rPr>
      </w:pPr>
      <w:r>
        <w:rPr>
          <w:rFonts w:hint="default" w:ascii="仿宋_GB2312" w:hAnsi="仿宋_GB2312" w:eastAsia="仿宋_GB2312" w:cs="仿宋_GB2312"/>
          <w:color w:val="auto"/>
          <w:sz w:val="28"/>
          <w:szCs w:val="28"/>
          <w:highlight w:val="none"/>
        </w:rPr>
      </w:r>
      <w:r/>
    </w:p>
    <w:p>
      <w:pPr>
        <w:ind w:firstLine="420"/>
        <w:spacing w:line="560" w:lineRule="exact"/>
        <w:rPr>
          <w:rFonts w:hint="eastAsia" w:ascii="仿宋" w:hAnsi="仿宋" w:eastAsia="仿宋"/>
          <w:color w:val="auto"/>
          <w:sz w:val="28"/>
          <w:szCs w:val="28"/>
          <w:highlight w:val="none"/>
          <w:lang w:val="en-US" w:eastAsia="zh-CN"/>
        </w:rPr>
        <w:sectPr>
          <w:footnotePr/>
          <w:endnotePr/>
          <w:type w:val="nextPage"/>
          <w:pgSz w:w="11906" w:h="16838" w:orient="portrait"/>
          <w:pgMar w:top="851" w:right="1702" w:bottom="851" w:left="1804" w:header="851" w:footer="992" w:gutter="0"/>
          <w:cols w:num="1" w:sep="0" w:space="1701" w:equalWidth="1"/>
          <w:docGrid w:linePitch="360"/>
        </w:sectPr>
      </w:pPr>
      <w:r>
        <w:rPr>
          <w:rFonts w:hint="eastAsia" w:ascii="仿宋" w:hAnsi="仿宋" w:eastAsia="仿宋"/>
          <w:color w:val="auto"/>
          <w:sz w:val="28"/>
          <w:szCs w:val="28"/>
          <w:highlight w:val="none"/>
          <w:lang w:val="en-US" w:eastAsia="zh-CN"/>
        </w:rPr>
      </w:r>
      <w:r/>
    </w:p>
    <w:p>
      <w:pPr>
        <w:ind w:firstLine="420"/>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附件1.1</w:t>
      </w:r>
      <w:r>
        <w:rPr>
          <w:rFonts w:hint="eastAsia" w:ascii="仿宋" w:hAnsi="仿宋" w:eastAsia="仿宋"/>
          <w:color w:val="auto"/>
          <w:sz w:val="28"/>
          <w:szCs w:val="28"/>
          <w:highlight w:val="none"/>
        </w:rPr>
        <w:t xml:space="preserve">：</w:t>
      </w:r>
      <w:r>
        <w:rPr>
          <w:rFonts w:hint="eastAsia" w:ascii="仿宋" w:hAnsi="仿宋" w:eastAsia="仿宋" w:cs="仿宋"/>
          <w:color w:val="auto"/>
          <w:sz w:val="28"/>
          <w:szCs w:val="28"/>
          <w:highlight w:val="none"/>
        </w:rPr>
        <w:t xml:space="preserve">鼓楼区园林工程处公共绿地养护管理</w:t>
      </w:r>
      <w:r>
        <w:rPr>
          <w:rFonts w:hint="eastAsia" w:ascii="仿宋" w:hAnsi="仿宋" w:eastAsia="仿宋"/>
          <w:color w:val="auto"/>
          <w:sz w:val="28"/>
          <w:szCs w:val="28"/>
          <w:highlight w:val="none"/>
        </w:rPr>
        <w:t xml:space="preserve">检查考核细则</w:t>
      </w:r>
      <w:r/>
    </w:p>
    <w:p>
      <w:pPr>
        <w:spacing w:line="56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    </w:t>
      </w:r>
      <w:r/>
    </w:p>
    <w:tbl>
      <w:tblPr>
        <w:tblStyle w:val="767"/>
        <w:tblW w:w="847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921"/>
        <w:gridCol w:w="4354"/>
        <w:gridCol w:w="2200"/>
      </w:tblGrid>
      <w:tr>
        <w:trPr>
          <w:trHeight w:val="780"/>
        </w:trPr>
        <w:tc>
          <w:tcPr>
            <w:gridSpan w:val="3"/>
            <w:shd w:val="clear" w:color="auto" w:fill="auto"/>
            <w:tcBorders>
              <w:top w:val="none" w:color="000000" w:sz="4" w:space="0"/>
              <w:left w:val="none" w:color="000000" w:sz="4" w:space="0"/>
              <w:bottom w:val="none" w:color="000000" w:sz="4" w:space="0"/>
              <w:right w:val="none" w:color="000000" w:sz="4" w:space="0"/>
            </w:tcBorders>
            <w:tcW w:w="8475" w:type="dxa"/>
            <w:vAlign w:val="center"/>
            <w:textDirection w:val="lrTb"/>
            <w:noWrap w:val="false"/>
          </w:tcPr>
          <w:p>
            <w:pPr>
              <w:jc w:val="center"/>
              <w:keepLines w:val="0"/>
              <w:keepNext w:val="0"/>
              <w:widowControl/>
              <w:rPr>
                <w:rFonts w:ascii="仿宋" w:hAnsi="仿宋" w:eastAsia="仿宋" w:cs="仿宋"/>
                <w:b/>
                <w:bCs/>
                <w:i w:val="0"/>
                <w:iCs w:val="0"/>
                <w:color w:val="auto"/>
                <w:sz w:val="28"/>
                <w:szCs w:val="28"/>
                <w:highlight w:val="none"/>
                <w:u w:val="none"/>
              </w:rPr>
              <w:suppressLineNumbers w:val="0"/>
            </w:pPr>
            <w:r>
              <w:rPr>
                <w:rFonts w:hint="eastAsia" w:ascii="仿宋" w:hAnsi="仿宋" w:eastAsia="仿宋" w:cs="仿宋"/>
                <w:b/>
                <w:bCs/>
                <w:i w:val="0"/>
                <w:iCs w:val="0"/>
                <w:color w:val="auto"/>
                <w:sz w:val="28"/>
                <w:szCs w:val="28"/>
                <w:highlight w:val="none"/>
                <w:u w:val="none"/>
                <w:lang w:val="en-US" w:eastAsia="zh-CN" w:bidi="ar"/>
              </w:rPr>
              <w:t xml:space="preserve">鼓楼区园林工程处公共绿地养护管理检查考核细则</w:t>
            </w:r>
            <w:r/>
          </w:p>
        </w:tc>
      </w:tr>
      <w:tr>
        <w:trPr>
          <w:trHeight w:val="870"/>
        </w:trPr>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项  目</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考核内容及要求</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综合评分</w:t>
            </w:r>
            <w:r/>
          </w:p>
        </w:tc>
      </w:tr>
      <w:tr>
        <w:trPr>
          <w:trHeight w:val="870"/>
        </w:trPr>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作业人员配备（10分）</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人员配备及要求按照合同规定条款执行，每少1人扣0.5分。</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sz w:val="21"/>
                <w:szCs w:val="21"/>
                <w:highlight w:val="none"/>
                <w:u w:val="none"/>
              </w:rPr>
            </w:r>
            <w:r/>
          </w:p>
        </w:tc>
      </w:tr>
      <w:tr>
        <w:trPr>
          <w:trHeight w:val="870"/>
        </w:trPr>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机械配置（10分）</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机械配置及要求按照合同规定条款执行，水车等大型设备每少1台扣1分，其它设备每少1台扣0.5分。</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sz w:val="21"/>
                <w:szCs w:val="21"/>
                <w:highlight w:val="none"/>
                <w:u w:val="none"/>
              </w:rPr>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卫生保洁（20分）</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园内路面净、路牙净、公共场所净、花坛内外净;无粪便、无垃圾、无杂物、保洁无漏片漏段、无污水积水、无砖瓦石块，垃圾清理清运及时,无垃圾焚烧现象。</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sz w:val="21"/>
                <w:szCs w:val="21"/>
                <w:highlight w:val="none"/>
                <w:u w:val="none"/>
              </w:rPr>
            </w:r>
            <w:r/>
          </w:p>
        </w:tc>
      </w:tr>
      <w:tr>
        <w:trPr>
          <w:trHeight w:val="1460"/>
        </w:trPr>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秩序管理（10分）</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仿宋" w:hAnsi="仿宋" w:eastAsia="仿宋" w:cs="仿宋"/>
                <w:i w:val="0"/>
                <w:iCs w:val="0"/>
                <w:color w:val="auto"/>
                <w:sz w:val="20"/>
                <w:szCs w:val="20"/>
                <w:highlight w:val="none"/>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园艺设施日常维护，保持完好、使用正常。园内无设摊摆卖，无拴挂、无宠物入园、水面无垂钓、游泳现象、夏季无赤臂现象，无自行车、机动车、电动车入园（残疾人轮椅、儿童车除外），无践踏绿地和其他破坏绿化的行为；游园秩序井然。</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sz w:val="21"/>
                <w:szCs w:val="21"/>
                <w:highlight w:val="none"/>
                <w:u w:val="none"/>
              </w:rPr>
            </w:r>
            <w:r/>
          </w:p>
        </w:tc>
      </w:tr>
      <w:tr>
        <w:trPr>
          <w:trHeight w:val="870"/>
        </w:trPr>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园林绿化养护管理（40分）</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基础养护：包含树木草坪修剪、抗旱浇水、除草松土、死株清理、缺株补植等。</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sz w:val="21"/>
                <w:szCs w:val="21"/>
                <w:highlight w:val="none"/>
                <w:u w:val="none"/>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vMerge w:val="continue"/>
            <w:textDirection w:val="lrTb"/>
            <w:noWrap w:val="false"/>
          </w:tcPr>
          <w:p>
            <w:pPr>
              <w:jc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病虫害防治。</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sz w:val="21"/>
                <w:szCs w:val="21"/>
                <w:highlight w:val="none"/>
                <w:u w:val="none"/>
              </w:rPr>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应急保障与社会监督（10分）</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对重大活动（领导视察，迎检考核等）、突发事件（火灾、治安、公共卫生等）有应急预案。遇突发事件，及时报告，并启动应急预案，采取应急措施。</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sz w:val="21"/>
                <w:szCs w:val="21"/>
                <w:highlight w:val="none"/>
                <w:u w:val="none"/>
              </w:rPr>
            </w:r>
            <w:r/>
          </w:p>
        </w:tc>
      </w:tr>
      <w:tr>
        <w:trPr>
          <w:trHeight w:val="1340"/>
        </w:trPr>
        <w:tc>
          <w:tcPr>
            <w:shd w:val="clear" w:color="auto" w:fill="auto"/>
            <w:tcBorders>
              <w:top w:val="single" w:color="000000" w:sz="4" w:space="0"/>
              <w:left w:val="single" w:color="000000" w:sz="4" w:space="0"/>
              <w:bottom w:val="single" w:color="000000" w:sz="4" w:space="0"/>
              <w:right w:val="single" w:color="000000" w:sz="4" w:space="0"/>
            </w:tcBorders>
            <w:tcW w:w="1860" w:type="dxa"/>
            <w:vAlign w:val="center"/>
            <w:vMerge w:val="continue"/>
            <w:textDirection w:val="lrTb"/>
            <w:noWrap w:val="false"/>
          </w:tcPr>
          <w:p>
            <w:pPr>
              <w:jc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应主动接受社会监督，有责投诉问题应在规定的期限内整改。市级以上检查不失责任分。服从采购人日常管理，对采购人安排的例会、资料、试验、整改、考核等100%按时完成。</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jc w:val="left"/>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sz w:val="21"/>
                <w:szCs w:val="21"/>
                <w:highlight w:val="none"/>
                <w:u w:val="none"/>
              </w:rPr>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综合得分(100分)</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结合群众投诉及媒体报道、领导检查及通报整改、现场考评(卫生保洁、秩序管理、园林绿化养护管理三项由现场考核评分表分值转化)等情况。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bl>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clear="all"/>
      </w:r>
      <w:r/>
    </w:p>
    <w:p>
      <w:pPr>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附件1.2：鼓楼区园林工程处公共绿地养护管理现场考核评分表</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bl>
      <w:tblPr>
        <w:tblStyle w:val="767"/>
        <w:tblW w:w="92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44"/>
        <w:gridCol w:w="1800"/>
        <w:gridCol w:w="800"/>
        <w:gridCol w:w="4124"/>
        <w:gridCol w:w="733"/>
        <w:gridCol w:w="859"/>
      </w:tblGrid>
      <w:tr>
        <w:trPr>
          <w:trHeight w:val="697"/>
        </w:trPr>
        <w:tc>
          <w:tcPr>
            <w:gridSpan w:val="6"/>
            <w:shd w:val="clear" w:color="auto" w:fill="auto"/>
            <w:tcBorders>
              <w:top w:val="none" w:color="000000" w:sz="4" w:space="0"/>
              <w:left w:val="none" w:color="000000" w:sz="4" w:space="0"/>
              <w:bottom w:val="none" w:color="000000" w:sz="4" w:space="0"/>
              <w:right w:val="none" w:color="000000" w:sz="4" w:space="0"/>
            </w:tcBorders>
            <w:tcW w:w="9260" w:type="dxa"/>
            <w:vAlign w:val="center"/>
            <w:textDirection w:val="lrTb"/>
            <w:noWrap w:val="false"/>
          </w:tcPr>
          <w:p>
            <w:pPr>
              <w:jc w:val="center"/>
              <w:keepLines w:val="0"/>
              <w:keepNext w:val="0"/>
              <w:widowControl/>
              <w:rPr>
                <w:rFonts w:ascii="仿宋" w:hAnsi="仿宋" w:eastAsia="仿宋" w:cs="仿宋"/>
                <w:b/>
                <w:bCs/>
                <w:i w:val="0"/>
                <w:iCs w:val="0"/>
                <w:color w:val="auto"/>
                <w:sz w:val="36"/>
                <w:szCs w:val="36"/>
                <w:highlight w:val="none"/>
                <w:u w:val="none"/>
              </w:rPr>
              <w:suppressLineNumbers w:val="0"/>
            </w:pPr>
            <w:r>
              <w:rPr>
                <w:rFonts w:hint="eastAsia" w:ascii="仿宋" w:hAnsi="仿宋" w:eastAsia="仿宋" w:cs="仿宋"/>
                <w:b/>
                <w:bCs/>
                <w:i w:val="0"/>
                <w:iCs w:val="0"/>
                <w:color w:val="auto"/>
                <w:sz w:val="28"/>
                <w:szCs w:val="28"/>
                <w:highlight w:val="none"/>
                <w:u w:val="none"/>
                <w:lang w:val="en-US" w:eastAsia="zh-CN" w:bidi="ar"/>
              </w:rPr>
              <w:t xml:space="preserve">鼓楼区园林工程处公共绿地养护管理现场考核评分表</w:t>
            </w:r>
            <w:r/>
          </w:p>
        </w:tc>
      </w:tr>
      <w:tr>
        <w:trPr>
          <w:trHeight w:val="786"/>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考核项目</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考核内容</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412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项目扣分</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扣分</w:t>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项目得分</w:t>
            </w:r>
            <w:r/>
          </w:p>
        </w:tc>
      </w:tr>
      <w:tr>
        <w:trPr>
          <w:trHeight w:val="1469"/>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卫生保洁         (100分)</w:t>
            </w:r>
            <w:r/>
          </w:p>
        </w:tc>
        <w:tc>
          <w:tcPr>
            <w:shd w:val="clear" w:color="auto" w:fill="auto"/>
            <w:tcBorders>
              <w:top w:val="none" w:color="000000" w:sz="4" w:space="0"/>
              <w:left w:val="none" w:color="000000" w:sz="4" w:space="0"/>
              <w:bottom w:val="none" w:color="000000" w:sz="4" w:space="0"/>
              <w:right w:val="none" w:color="000000" w:sz="4" w:space="0"/>
            </w:tcBorders>
            <w:tcW w:w="180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路面净、路牙净、公共场所净、花坛内外净;无粪便、无垃圾、无杂物、保洁无漏片漏段、无污水积水、无砖瓦石块</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12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存在保洁不及时，有垃圾杂物的，随意摆放养护作业工具、停放车辆及机械设备的，影响绿地清洁度的，扣1-10分；产生较大影响的，扣11-30分；产生严重影响的，综合研议。</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1054"/>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垃圾清理清运及时,无垃圾焚烧现象</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12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存在垃圾积存、垃圾焚烧情况的，发现1次扣10分。</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1269"/>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秩序管理       （100分）</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园艺设施日常维护，保持完好</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12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对轻微损毁的设施，修补或更换不及时的，发现1处扣2分；较重损毁不及时修补更换的，发现1处扣5分；出现严重损毁情况未及时处置的，综合研议</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1416"/>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游园秩序井然</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12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对树木有拴挂现象、摆摊设点等违反游园秩序行为的，发现1处扣5分；违反公序良俗行为未及时制止的，发现1次扣10分。</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1363"/>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无践踏绿地和其他破坏绿化的行为</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12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对绿地内存在轻微践踏绿地、破坏绿化、毁绿种菜行为，未及时制止的，发现1次扣5分；破坏行为构成严重后果的，综合研议。</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1282"/>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vMerge w:val="restart"/>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园林绿化养护管理  （100分）</w:t>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树木草坪修剪</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12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日常模纹、球类、草坪修剪不到位，秋冬季乔灌木修剪不规范，影响绿地整体景观效果的，扣1-5分；产生较大影响的，扣6-15分；产生严重影响的，扣15-25分；出现脱管情况的，综合研议</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1282"/>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除草切边</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12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对绿地内杂草较多，清除不及时，或切边不清晰，导致绿地整体杂乱，影响绿地整体景观的，扣1-5分；产生较大影响的，扣6-10分；产生严重影响的，扣11-15分；出现脱管情况的，综合研议</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r>
      <w:tr>
        <w:trPr>
          <w:trHeight w:val="1282"/>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死株清理及缺株补植</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12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对绿地内存在死株较多未伐除，苗木补植不到位，导致绿地斑秃、杂乱，影响绿地景观效果的，扣1-4分；产生较大影响的，扣5-8分；产生严重影响的，综合研议</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sz w:val="21"/>
                <w:szCs w:val="21"/>
                <w:highlight w:val="none"/>
                <w:u w:val="none"/>
              </w:rPr>
            </w:r>
            <w:r/>
          </w:p>
        </w:tc>
      </w:tr>
      <w:tr>
        <w:trPr>
          <w:trHeight w:val="1282"/>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抗旱浇水</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12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存在抗旱浇水不及时，影响苗木生长需求的，扣1-3分；存在较大影响的，扣4-8分；存在严重影响的，扣10分。</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sz w:val="21"/>
                <w:szCs w:val="21"/>
                <w:highlight w:val="none"/>
                <w:u w:val="none"/>
              </w:rPr>
            </w:r>
            <w:r/>
          </w:p>
        </w:tc>
      </w:tr>
      <w:tr>
        <w:trPr>
          <w:trHeight w:val="1399"/>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涂白及抗寒保暖</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12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对乔灌木存在涂白不均匀、高度不平齐的，香樟包裹不到位，春季解除不及时的，扣1-3分；存在明显不均匀、不平齐、不到位、不及时的，扣4-8分；存在严重不均匀、不平齐、不到位、不及时的，扣10分。</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sz w:val="21"/>
                <w:szCs w:val="21"/>
                <w:highlight w:val="none"/>
                <w:u w:val="none"/>
              </w:rPr>
            </w:r>
            <w:r/>
          </w:p>
        </w:tc>
      </w:tr>
      <w:tr>
        <w:trPr>
          <w:trHeight w:val="1291"/>
        </w:trPr>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vMerge w:val="continue"/>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病虫害防治</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124"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对绿地内存在轻微病情、虫情，未及时防治的，扣1-5分；较重病情、虫情未及时控制的，扣6-10分；严重病情、虫情，影响树木生长的，扣11-15分；病情、虫情产生严重影响的，综合研议</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sz w:val="21"/>
                <w:szCs w:val="21"/>
                <w:highlight w:val="none"/>
                <w:u w:val="none"/>
              </w:rPr>
            </w:r>
            <w:r/>
          </w:p>
        </w:tc>
      </w:tr>
    </w:tbl>
    <w:p>
      <w:pPr>
        <w:pStyle w:val="950"/>
        <w:ind w:firstLine="602"/>
        <w:spacing w:line="360" w:lineRule="auto"/>
        <w:rPr>
          <w:rFonts w:hint="eastAsia" w:ascii="宋体" w:hAnsi="宋体" w:eastAsia="宋体" w:cs="宋体"/>
          <w:color w:val="auto"/>
          <w:sz w:val="24"/>
          <w:szCs w:val="24"/>
          <w:highlight w:val="none"/>
        </w:rPr>
        <w:sectPr>
          <w:footnotePr/>
          <w:endnotePr/>
          <w:type w:val="nextPage"/>
          <w:pgSz w:w="11906" w:h="16838" w:orient="portrait"/>
          <w:pgMar w:top="851" w:right="1702" w:bottom="851" w:left="1804" w:header="851" w:footer="992" w:gutter="0"/>
          <w:cols w:num="1" w:sep="0" w:space="1701" w:equalWidth="1"/>
          <w:docGrid w:linePitch="360"/>
        </w:sectPr>
      </w:pPr>
      <w:r>
        <w:rPr>
          <w:rFonts w:hint="eastAsia" w:ascii="宋体" w:hAnsi="宋体" w:eastAsia="宋体" w:cs="宋体"/>
          <w:color w:val="auto"/>
          <w:sz w:val="24"/>
          <w:szCs w:val="24"/>
          <w:highlight w:val="none"/>
        </w:rPr>
      </w:r>
      <w:r/>
    </w:p>
    <w:p>
      <w:pPr>
        <w:pStyle w:val="950"/>
        <w:ind w:firstLine="60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第六章  采购需求</w:t>
      </w:r>
      <w:bookmarkEnd w:id="18"/>
      <w:r/>
      <w:r/>
    </w:p>
    <w:p>
      <w:pPr>
        <w:ind w:firstLine="562"/>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eastAsia="zh-CN"/>
        </w:rPr>
      </w:r>
      <w:r/>
    </w:p>
    <w:p>
      <w:pPr>
        <w:ind w:firstLine="562"/>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eastAsia="zh-CN"/>
        </w:rPr>
      </w:r>
      <w:r/>
    </w:p>
    <w:p>
      <w:pPr>
        <w:spacing w:line="400" w:lineRule="atLeast"/>
        <w:tabs>
          <w:tab w:val="left" w:pos="1212" w:leader="none"/>
        </w:tabs>
        <w:rPr>
          <w:rFonts w:hint="eastAsia" w:ascii="宋体" w:hAnsi="Times New Roman" w:eastAsia="宋体" w:cs="仿宋"/>
          <w:b/>
          <w:bCs/>
          <w:color w:val="auto"/>
          <w:sz w:val="24"/>
          <w:highlight w:val="none"/>
        </w:rPr>
      </w:pPr>
      <w:r>
        <w:rPr>
          <w:rFonts w:hint="eastAsia" w:ascii="宋体" w:hAnsi="Times New Roman" w:eastAsia="宋体" w:cs="仿宋"/>
          <w:b/>
          <w:bCs/>
          <w:color w:val="auto"/>
          <w:sz w:val="24"/>
          <w:highlight w:val="none"/>
        </w:rPr>
        <w:t xml:space="preserve">一、项目名称：丁万河两岸绿地养护</w:t>
      </w:r>
      <w:r/>
    </w:p>
    <w:p>
      <w:pPr>
        <w:spacing w:line="400" w:lineRule="atLeast"/>
        <w:tabs>
          <w:tab w:val="left" w:pos="1212" w:leader="none"/>
        </w:tabs>
        <w:rPr>
          <w:rFonts w:hint="eastAsia" w:ascii="宋体" w:hAnsi="Times New Roman" w:eastAsia="宋体" w:cs="仿宋"/>
          <w:b/>
          <w:bCs/>
          <w:color w:val="auto"/>
          <w:sz w:val="24"/>
          <w:highlight w:val="none"/>
        </w:rPr>
      </w:pPr>
      <w:r>
        <w:rPr>
          <w:rFonts w:hint="eastAsia" w:ascii="宋体" w:hAnsi="Times New Roman" w:eastAsia="宋体" w:cs="仿宋"/>
          <w:b/>
          <w:bCs/>
          <w:color w:val="auto"/>
          <w:sz w:val="24"/>
          <w:highlight w:val="none"/>
        </w:rPr>
        <w:t xml:space="preserve">二、本顶目不接受超过</w:t>
      </w:r>
      <w:r>
        <w:rPr>
          <w:rFonts w:hint="eastAsia" w:ascii="宋体" w:hAnsi="Times New Roman" w:eastAsia="宋体" w:cs="仿宋"/>
          <w:b/>
          <w:bCs/>
          <w:color w:val="auto"/>
          <w:sz w:val="24"/>
          <w:highlight w:val="none"/>
          <w:lang w:val="en-US" w:eastAsia="zh-CN"/>
        </w:rPr>
        <w:t xml:space="preserve">279</w:t>
      </w:r>
      <w:r>
        <w:rPr>
          <w:rFonts w:hint="eastAsia" w:ascii="宋体" w:hAnsi="Times New Roman" w:eastAsia="宋体" w:cs="仿宋"/>
          <w:b/>
          <w:bCs/>
          <w:color w:val="auto"/>
          <w:sz w:val="24"/>
          <w:highlight w:val="none"/>
        </w:rPr>
        <w:t xml:space="preserve">万元（人民币）</w:t>
      </w:r>
      <w:r>
        <w:rPr>
          <w:rFonts w:hint="eastAsia" w:ascii="宋体" w:hAnsi="Times New Roman" w:eastAsia="宋体" w:cs="仿宋"/>
          <w:b/>
          <w:bCs/>
          <w:color w:val="auto"/>
          <w:sz w:val="24"/>
          <w:highlight w:val="none"/>
          <w:lang w:eastAsia="zh-CN"/>
        </w:rPr>
        <w:t xml:space="preserve">（</w:t>
      </w:r>
      <w:r>
        <w:rPr>
          <w:rFonts w:hint="eastAsia" w:ascii="宋体" w:hAnsi="Times New Roman" w:eastAsia="宋体" w:cs="仿宋"/>
          <w:b/>
          <w:bCs/>
          <w:color w:val="auto"/>
          <w:sz w:val="24"/>
          <w:highlight w:val="none"/>
        </w:rPr>
        <w:t xml:space="preserve">采购项目</w:t>
      </w:r>
      <w:r>
        <w:rPr>
          <w:rFonts w:hint="eastAsia" w:ascii="宋体" w:hAnsi="Times New Roman" w:eastAsia="宋体" w:cs="仿宋"/>
          <w:b/>
          <w:bCs/>
          <w:color w:val="auto"/>
          <w:sz w:val="24"/>
          <w:highlight w:val="none"/>
          <w:lang w:eastAsia="zh-CN"/>
        </w:rPr>
        <w:t xml:space="preserve">预</w:t>
      </w:r>
      <w:r>
        <w:rPr>
          <w:rFonts w:hint="eastAsia" w:ascii="宋体" w:hAnsi="Times New Roman" w:eastAsia="宋体" w:cs="仿宋"/>
          <w:b/>
          <w:bCs/>
          <w:color w:val="auto"/>
          <w:sz w:val="24"/>
          <w:highlight w:val="none"/>
        </w:rPr>
        <w:t xml:space="preserve">算金额、最高限价)的报价。投标报价包括完成项目的所有费用（含代理服务费），招标人不再支付投标报价以外的任何费用</w:t>
      </w:r>
      <w:r/>
    </w:p>
    <w:p>
      <w:pPr>
        <w:jc w:val="left"/>
        <w:spacing w:line="500" w:lineRule="exact"/>
        <w:rPr>
          <w:rFonts w:hint="eastAsia" w:ascii="宋体" w:hAnsi="Times New Roman" w:eastAsia="宋体" w:cs="黑体"/>
          <w:b/>
          <w:bCs/>
          <w:color w:val="auto"/>
          <w:sz w:val="24"/>
          <w:highlight w:val="none"/>
        </w:rPr>
      </w:pPr>
      <w:r>
        <w:rPr>
          <w:rFonts w:hint="eastAsia" w:ascii="宋体" w:hAnsi="Times New Roman" w:eastAsia="宋体" w:cs="黑体"/>
          <w:b/>
          <w:bCs/>
          <w:color w:val="auto"/>
          <w:sz w:val="24"/>
          <w:highlight w:val="none"/>
        </w:rPr>
        <w:t xml:space="preserve">三、项目概况：</w:t>
      </w:r>
      <w:r/>
    </w:p>
    <w:p>
      <w:pPr>
        <w:ind w:firstLine="480"/>
        <w:jc w:val="left"/>
        <w:spacing w:line="500" w:lineRule="exact"/>
        <w:rPr>
          <w:rFonts w:hint="eastAsia" w:ascii="宋体" w:hAnsi="Times New Roman" w:eastAsia="宋体" w:cs="仿宋"/>
          <w:color w:val="auto"/>
          <w:sz w:val="24"/>
          <w:highlight w:val="none"/>
          <w:lang w:eastAsia="zh-CN"/>
        </w:rPr>
      </w:pPr>
      <w:r>
        <w:rPr>
          <w:rFonts w:hint="eastAsia" w:ascii="宋体" w:hAnsi="宋体" w:eastAsia="宋体" w:cs="宋体"/>
          <w:color w:val="auto"/>
          <w:sz w:val="24"/>
          <w:highlight w:val="none"/>
        </w:rPr>
        <w:t xml:space="preserve">丁万河两岸绿地</w:t>
      </w:r>
      <w:r>
        <w:rPr>
          <w:rFonts w:hint="eastAsia" w:ascii="宋体" w:hAnsi="宋体" w:eastAsia="宋体" w:cs="宋体"/>
          <w:color w:val="auto"/>
          <w:sz w:val="24"/>
          <w:highlight w:val="none"/>
          <w:lang w:eastAsia="zh-CN"/>
        </w:rPr>
        <w:t xml:space="preserve">范围：西至</w:t>
      </w:r>
      <w:r>
        <w:rPr>
          <w:rFonts w:hint="eastAsia" w:ascii="宋体" w:hAnsi="宋体" w:eastAsia="宋体" w:cs="宋体"/>
          <w:color w:val="auto"/>
          <w:sz w:val="24"/>
          <w:highlight w:val="none"/>
        </w:rPr>
        <w:t xml:space="preserve">玉潭湖</w:t>
      </w:r>
      <w:r>
        <w:rPr>
          <w:rFonts w:hint="eastAsia" w:ascii="宋体" w:hAnsi="宋体" w:eastAsia="宋体" w:cs="宋体"/>
          <w:color w:val="auto"/>
          <w:sz w:val="24"/>
          <w:highlight w:val="none"/>
          <w:lang w:eastAsia="zh-CN"/>
        </w:rPr>
        <w:t xml:space="preserve">，东至</w:t>
      </w:r>
      <w:r>
        <w:rPr>
          <w:rFonts w:hint="eastAsia" w:ascii="宋体" w:hAnsi="宋体" w:eastAsia="宋体" w:cs="宋体"/>
          <w:color w:val="auto"/>
          <w:sz w:val="24"/>
          <w:highlight w:val="none"/>
        </w:rPr>
        <w:t xml:space="preserve">运河口</w:t>
      </w:r>
      <w:r>
        <w:rPr>
          <w:rFonts w:hint="eastAsia" w:ascii="宋体" w:hAnsi="宋体" w:eastAsia="宋体" w:cs="宋体"/>
          <w:color w:val="auto"/>
          <w:sz w:val="24"/>
          <w:highlight w:val="none"/>
          <w:lang w:eastAsia="zh-CN"/>
        </w:rPr>
        <w:t xml:space="preserve">，去除劳武港公园、丁万河南路公园及辛山段市管绿地，总</w:t>
      </w:r>
      <w:r>
        <w:rPr>
          <w:rFonts w:hint="eastAsia" w:ascii="宋体" w:hAnsi="宋体" w:eastAsia="宋体" w:cs="宋体"/>
          <w:color w:val="auto"/>
          <w:sz w:val="24"/>
          <w:highlight w:val="none"/>
        </w:rPr>
        <w:t xml:space="preserve">面积约27万平方</w:t>
      </w:r>
      <w:r>
        <w:rPr>
          <w:rFonts w:hint="eastAsia" w:ascii="宋体" w:hAnsi="宋体" w:eastAsia="宋体" w:cs="宋体"/>
          <w:color w:val="auto"/>
          <w:sz w:val="24"/>
          <w:highlight w:val="none"/>
          <w:lang w:eastAsia="zh-CN"/>
        </w:rPr>
        <w:t xml:space="preserve">。</w:t>
      </w:r>
      <w:r/>
    </w:p>
    <w:p>
      <w:pPr>
        <w:jc w:val="left"/>
        <w:spacing w:line="500" w:lineRule="exact"/>
        <w:rPr>
          <w:rFonts w:hint="eastAsia" w:ascii="宋体" w:hAnsi="Times New Roman" w:eastAsia="宋体" w:cs="黑体"/>
          <w:b/>
          <w:bCs/>
          <w:color w:val="auto"/>
          <w:sz w:val="24"/>
          <w:highlight w:val="none"/>
        </w:rPr>
      </w:pPr>
      <w:r>
        <w:rPr>
          <w:rFonts w:hint="eastAsia" w:ascii="宋体" w:hAnsi="Times New Roman" w:eastAsia="宋体" w:cs="黑体"/>
          <w:b/>
          <w:bCs/>
          <w:color w:val="auto"/>
          <w:sz w:val="24"/>
          <w:highlight w:val="none"/>
        </w:rPr>
        <w:t xml:space="preserve">四、服务要求：</w:t>
      </w:r>
      <w:r/>
    </w:p>
    <w:p>
      <w:pPr>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服务范围内所有绿地养护管理,包括园艺养护（修剪、除草、施肥等）、卫生保洁、秩序管理、附属设施设备维修保养、病虫害防治、园林垃圾无害化处理、垃圾清理清运、城管数字化案件处理、12345工单处理、园林植物补植种植迁移、抗旱防汛防冻、文明城市卫生城市等各类创建评比、安全生产、其他重大活动</w:t>
      </w:r>
      <w:r>
        <w:rPr>
          <w:rFonts w:hint="eastAsia" w:ascii="宋体" w:hAnsi="Times New Roman" w:eastAsia="宋体" w:cs="仿宋"/>
          <w:color w:val="auto"/>
          <w:sz w:val="24"/>
          <w:highlight w:val="none"/>
        </w:rPr>
        <w:t xml:space="preserve">保障及临时性任务</w:t>
      </w:r>
      <w:r>
        <w:rPr>
          <w:rFonts w:hint="eastAsia" w:ascii="宋体" w:hAnsi="宋体" w:eastAsia="宋体" w:cs="宋体"/>
          <w:color w:val="auto"/>
          <w:sz w:val="24"/>
          <w:highlight w:val="none"/>
        </w:rPr>
        <w:t xml:space="preserve">等。                     </w:t>
      </w:r>
      <w:r/>
    </w:p>
    <w:p>
      <w:pPr>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w:t>
      </w:r>
      <w:r>
        <w:rPr>
          <w:rFonts w:hint="eastAsia" w:ascii="宋体" w:hAnsi="宋体" w:eastAsia="宋体" w:cs="宋体"/>
          <w:b/>
          <w:bCs/>
          <w:color w:val="auto"/>
          <w:sz w:val="24"/>
          <w:highlight w:val="none"/>
        </w:rPr>
        <w:t xml:space="preserve">服务周期：</w:t>
      </w:r>
      <w:r>
        <w:rPr>
          <w:rFonts w:hint="eastAsia" w:ascii="宋体" w:hAnsi="宋体" w:eastAsia="宋体" w:cs="宋体"/>
          <w:b/>
          <w:bCs/>
          <w:color w:val="auto"/>
          <w:sz w:val="24"/>
          <w:highlight w:val="none"/>
          <w:lang w:val="en-US" w:eastAsia="zh-CN"/>
        </w:rPr>
        <w:t xml:space="preserve">三</w:t>
      </w:r>
      <w:r>
        <w:rPr>
          <w:rFonts w:hint="eastAsia" w:ascii="宋体" w:hAnsi="宋体" w:eastAsia="宋体" w:cs="宋体"/>
          <w:b/>
          <w:bCs/>
          <w:color w:val="auto"/>
          <w:sz w:val="24"/>
          <w:highlight w:val="none"/>
        </w:rPr>
        <w:t xml:space="preserve">年</w:t>
      </w:r>
      <w:r>
        <w:rPr>
          <w:rFonts w:hint="eastAsia" w:ascii="宋体" w:hAnsi="宋体" w:eastAsia="宋体" w:cs="宋体"/>
          <w:color w:val="auto"/>
          <w:sz w:val="24"/>
          <w:highlight w:val="none"/>
        </w:rPr>
        <w:t xml:space="preserve">。</w:t>
      </w:r>
      <w:r/>
    </w:p>
    <w:p>
      <w:pPr>
        <w:jc w:val="left"/>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五、人员配备要求（本条为实质性响应指标，不满足或负偏离则视为响应无效。）</w:t>
      </w:r>
      <w:r/>
    </w:p>
    <w:p>
      <w:pPr>
        <w:jc w:val="left"/>
        <w:spacing w:line="500" w:lineRule="exact"/>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最低人员配置</w:t>
      </w:r>
      <w:r>
        <w:rPr>
          <w:rFonts w:hint="eastAsia" w:ascii="宋体" w:hAnsi="宋体" w:eastAsia="宋体" w:cs="宋体"/>
          <w:color w:val="auto"/>
          <w:sz w:val="24"/>
          <w:highlight w:val="none"/>
        </w:rPr>
        <w:t xml:space="preserve">要求</w:t>
      </w:r>
      <w:r/>
    </w:p>
    <w:p>
      <w:pPr>
        <w:ind w:left="1470" w:right="1470"/>
        <w:jc w:val="both"/>
        <w:spacing w:after="120"/>
        <w:widowControl w:val="off"/>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r>
      <w:r/>
    </w:p>
    <w:tbl>
      <w:tblPr>
        <w:tblStyle w:val="76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1"/>
        <w:gridCol w:w="1266"/>
        <w:gridCol w:w="1452"/>
        <w:gridCol w:w="2527"/>
        <w:gridCol w:w="2317"/>
      </w:tblGrid>
      <w:tr>
        <w:trPr>
          <w:jc w:val="center"/>
          <w:trHeight w:val="286"/>
        </w:trPr>
        <w:tc>
          <w:tcPr>
            <w:tcBorders>
              <w:top w:val="single" w:color="auto" w:sz="4" w:space="0"/>
              <w:left w:val="single" w:color="auto" w:sz="4" w:space="0"/>
              <w:bottom w:val="single" w:color="auto" w:sz="4" w:space="0"/>
              <w:right w:val="single" w:color="auto" w:sz="4" w:space="0"/>
            </w:tcBorders>
            <w:tcW w:w="788" w:type="pct"/>
            <w:vAlign w:val="center"/>
            <w:vMerge w:val="restart"/>
            <w:textDirection w:val="lrTb"/>
            <w:noWrap/>
          </w:tcPr>
          <w:p>
            <w:pPr>
              <w:jc w:val="center"/>
              <w:spacing w:line="500" w:lineRule="exact"/>
              <w:rPr>
                <w:rFonts w:hint="eastAsia" w:ascii="宋体" w:hAnsi="Times New Roman" w:eastAsia="宋体" w:cs="仿宋"/>
                <w:color w:val="auto"/>
                <w:highlight w:val="none"/>
              </w:rPr>
            </w:pPr>
            <w:r>
              <w:rPr>
                <w:rFonts w:hint="eastAsia" w:ascii="宋体" w:hAnsi="Times New Roman" w:eastAsia="宋体" w:cs="仿宋"/>
                <w:color w:val="auto"/>
                <w:highlight w:val="none"/>
              </w:rPr>
              <w:t xml:space="preserve">项目总</w:t>
            </w:r>
            <w:r/>
          </w:p>
          <w:p>
            <w:pPr>
              <w:jc w:val="center"/>
              <w:spacing w:line="500" w:lineRule="exact"/>
              <w:rPr>
                <w:rFonts w:ascii="宋体" w:hAnsi="Times New Roman" w:eastAsia="宋体" w:cs="仿宋"/>
                <w:color w:val="auto"/>
                <w:highlight w:val="none"/>
              </w:rPr>
            </w:pPr>
            <w:r>
              <w:rPr>
                <w:rFonts w:hint="eastAsia" w:ascii="宋体" w:hAnsi="Times New Roman" w:eastAsia="宋体" w:cs="仿宋"/>
                <w:color w:val="auto"/>
                <w:highlight w:val="none"/>
              </w:rPr>
              <w:t xml:space="preserve">负责人</w:t>
            </w:r>
            <w:r/>
          </w:p>
        </w:tc>
        <w:tc>
          <w:tcPr>
            <w:tcBorders>
              <w:top w:val="single" w:color="auto" w:sz="4" w:space="0"/>
              <w:left w:val="single" w:color="auto" w:sz="4" w:space="0"/>
              <w:bottom w:val="single" w:color="auto" w:sz="4" w:space="0"/>
              <w:right w:val="single" w:color="auto" w:sz="4" w:space="0"/>
            </w:tcBorders>
            <w:tcW w:w="562" w:type="pct"/>
            <w:vAlign w:val="center"/>
            <w:vMerge w:val="restart"/>
            <w:textDirection w:val="lrTb"/>
            <w:noWrap/>
          </w:tcPr>
          <w:p>
            <w:pPr>
              <w:jc w:val="center"/>
              <w:spacing w:line="500" w:lineRule="exact"/>
              <w:rPr>
                <w:rFonts w:ascii="宋体" w:hAnsi="Times New Roman" w:eastAsia="宋体" w:cs="仿宋"/>
                <w:color w:val="auto"/>
                <w:highlight w:val="none"/>
              </w:rPr>
            </w:pPr>
            <w:r>
              <w:rPr>
                <w:rFonts w:hint="eastAsia" w:ascii="宋体" w:hAnsi="Times New Roman" w:eastAsia="宋体" w:cs="仿宋"/>
                <w:color w:val="auto"/>
                <w:highlight w:val="none"/>
              </w:rPr>
              <w:t xml:space="preserve">现场负责人</w:t>
            </w:r>
            <w:r/>
          </w:p>
        </w:tc>
        <w:tc>
          <w:tcPr>
            <w:gridSpan w:val="3"/>
            <w:tcBorders>
              <w:top w:val="single" w:color="auto" w:sz="4" w:space="0"/>
              <w:left w:val="single" w:color="auto" w:sz="4" w:space="0"/>
              <w:bottom w:val="single" w:color="auto" w:sz="4" w:space="0"/>
              <w:right w:val="single" w:color="auto" w:sz="4" w:space="0"/>
            </w:tcBorders>
            <w:tcW w:w="3648" w:type="pct"/>
            <w:vAlign w:val="center"/>
            <w:textDirection w:val="lrTb"/>
            <w:noWrap/>
          </w:tcPr>
          <w:p>
            <w:pPr>
              <w:jc w:val="center"/>
              <w:spacing w:line="500" w:lineRule="exact"/>
              <w:rPr>
                <w:rFonts w:ascii="宋体" w:hAnsi="Times New Roman" w:eastAsia="宋体" w:cs="仿宋"/>
                <w:color w:val="auto"/>
                <w:highlight w:val="none"/>
              </w:rPr>
            </w:pPr>
            <w:r>
              <w:rPr>
                <w:rFonts w:hint="eastAsia" w:ascii="宋体" w:hAnsi="Times New Roman" w:eastAsia="宋体" w:cs="仿宋"/>
                <w:color w:val="auto"/>
                <w:highlight w:val="none"/>
              </w:rPr>
              <w:t xml:space="preserve">现场工作人员最低人数</w:t>
            </w:r>
            <w:r/>
          </w:p>
        </w:tc>
      </w:tr>
      <w:tr>
        <w:trPr>
          <w:jc w:val="center"/>
          <w:trHeight w:val="9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Times New Roman" w:eastAsia="宋体" w:cs="仿宋"/>
                <w:color w:val="auto"/>
                <w:highlight w:val="none"/>
              </w:rPr>
            </w:pPr>
            <w:r>
              <w:rPr>
                <w:rFonts w:ascii="宋体" w:hAnsi="Times New Roman" w:eastAsia="宋体" w:cs="仿宋"/>
                <w:color w:val="auto"/>
                <w:highlight w:val="none"/>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Times New Roman" w:eastAsia="宋体" w:cs="仿宋"/>
                <w:color w:val="auto"/>
                <w:highlight w:val="none"/>
              </w:rPr>
            </w:pPr>
            <w:r>
              <w:rPr>
                <w:rFonts w:ascii="宋体" w:hAnsi="Times New Roman" w:eastAsia="宋体" w:cs="仿宋"/>
                <w:color w:val="auto"/>
                <w:highlight w:val="none"/>
              </w:rPr>
            </w:r>
            <w:r/>
          </w:p>
        </w:tc>
        <w:tc>
          <w:tcPr>
            <w:tcBorders>
              <w:top w:val="single" w:color="auto" w:sz="4" w:space="0"/>
              <w:left w:val="single" w:color="auto" w:sz="4" w:space="0"/>
              <w:bottom w:val="single" w:color="auto" w:sz="4" w:space="0"/>
              <w:right w:val="single" w:color="auto" w:sz="4" w:space="0"/>
            </w:tcBorders>
            <w:tcW w:w="1021" w:type="pct"/>
            <w:vAlign w:val="center"/>
            <w:textDirection w:val="lrTb"/>
            <w:noWrap/>
          </w:tcPr>
          <w:p>
            <w:pPr>
              <w:jc w:val="center"/>
              <w:spacing w:line="500" w:lineRule="exact"/>
              <w:rPr>
                <w:rFonts w:ascii="宋体" w:hAnsi="Times New Roman" w:eastAsia="宋体" w:cs="仿宋"/>
                <w:color w:val="auto"/>
                <w:highlight w:val="none"/>
              </w:rPr>
            </w:pPr>
            <w:r>
              <w:rPr>
                <w:rFonts w:hint="eastAsia" w:ascii="宋体" w:hAnsi="Times New Roman" w:eastAsia="宋体" w:cs="仿宋"/>
                <w:color w:val="auto"/>
                <w:highlight w:val="none"/>
              </w:rPr>
              <w:t xml:space="preserve">总人数</w:t>
            </w:r>
            <w:r/>
          </w:p>
        </w:tc>
        <w:tc>
          <w:tcPr>
            <w:tcBorders>
              <w:top w:val="single" w:color="auto" w:sz="4" w:space="0"/>
              <w:left w:val="single" w:color="auto" w:sz="4" w:space="0"/>
              <w:bottom w:val="single" w:color="auto" w:sz="4" w:space="0"/>
              <w:right w:val="single" w:color="auto" w:sz="4" w:space="0"/>
            </w:tcBorders>
            <w:tcW w:w="1496" w:type="pct"/>
            <w:vAlign w:val="center"/>
            <w:textDirection w:val="lrTb"/>
            <w:noWrap/>
          </w:tcPr>
          <w:p>
            <w:pPr>
              <w:jc w:val="center"/>
              <w:spacing w:line="500" w:lineRule="exact"/>
              <w:rPr>
                <w:rFonts w:ascii="宋体" w:hAnsi="Times New Roman" w:eastAsia="宋体" w:cs="仿宋"/>
                <w:color w:val="auto"/>
                <w:highlight w:val="none"/>
              </w:rPr>
            </w:pPr>
            <w:r>
              <w:rPr>
                <w:rFonts w:hint="eastAsia" w:ascii="宋体" w:hAnsi="Times New Roman" w:eastAsia="宋体" w:cs="仿宋"/>
                <w:color w:val="auto"/>
                <w:highlight w:val="none"/>
              </w:rPr>
              <w:t xml:space="preserve">其中秩序巡查和保洁人数</w:t>
            </w:r>
            <w:r/>
          </w:p>
        </w:tc>
        <w:tc>
          <w:tcPr>
            <w:tcBorders>
              <w:top w:val="single" w:color="auto" w:sz="4" w:space="0"/>
              <w:left w:val="single" w:color="auto" w:sz="4" w:space="0"/>
              <w:bottom w:val="single" w:color="auto" w:sz="4" w:space="0"/>
              <w:right w:val="single" w:color="auto" w:sz="4" w:space="0"/>
            </w:tcBorders>
            <w:tcW w:w="1131" w:type="pct"/>
            <w:vAlign w:val="center"/>
            <w:textDirection w:val="lrTb"/>
            <w:noWrap/>
          </w:tcPr>
          <w:p>
            <w:pPr>
              <w:jc w:val="center"/>
              <w:spacing w:line="500" w:lineRule="exact"/>
              <w:rPr>
                <w:rFonts w:ascii="宋体" w:hAnsi="Times New Roman" w:eastAsia="宋体" w:cs="仿宋"/>
                <w:color w:val="auto"/>
                <w:highlight w:val="none"/>
              </w:rPr>
            </w:pPr>
            <w:r>
              <w:rPr>
                <w:rFonts w:hint="eastAsia" w:ascii="宋体" w:hAnsi="Times New Roman" w:eastAsia="宋体" w:cs="仿宋"/>
                <w:color w:val="auto"/>
                <w:highlight w:val="none"/>
              </w:rPr>
              <w:t xml:space="preserve">专职园林园艺修剪人数</w:t>
            </w:r>
            <w:r/>
          </w:p>
        </w:tc>
      </w:tr>
      <w:tr>
        <w:trPr>
          <w:jc w:val="center"/>
          <w:trHeight w:val="738" w:hRule="exact"/>
        </w:trPr>
        <w:tc>
          <w:tcPr>
            <w:tcBorders>
              <w:top w:val="single" w:color="auto" w:sz="4" w:space="0"/>
              <w:left w:val="single" w:color="auto" w:sz="4" w:space="0"/>
              <w:bottom w:val="single" w:color="auto" w:sz="4" w:space="0"/>
              <w:right w:val="single" w:color="auto" w:sz="4" w:space="0"/>
            </w:tcBorders>
            <w:tcW w:w="788" w:type="pct"/>
            <w:vAlign w:val="center"/>
            <w:textDirection w:val="lrTb"/>
            <w:noWrap/>
          </w:tcPr>
          <w:p>
            <w:pPr>
              <w:jc w:val="center"/>
              <w:spacing w:line="500" w:lineRule="exact"/>
              <w:rPr>
                <w:rFonts w:ascii="宋体" w:hAnsi="Times New Roman" w:eastAsia="宋体" w:cs="仿宋"/>
                <w:color w:val="auto"/>
                <w:highlight w:val="none"/>
              </w:rPr>
            </w:pPr>
            <w:r>
              <w:rPr>
                <w:rFonts w:hint="eastAsia" w:ascii="宋体" w:hAnsi="Times New Roman" w:eastAsia="宋体" w:cs="仿宋"/>
                <w:color w:val="auto"/>
                <w:highlight w:val="none"/>
              </w:rPr>
              <w:t xml:space="preserve">1人</w:t>
            </w:r>
            <w:r/>
          </w:p>
        </w:tc>
        <w:tc>
          <w:tcPr>
            <w:tcBorders>
              <w:top w:val="single" w:color="auto" w:sz="4" w:space="0"/>
              <w:left w:val="single" w:color="auto" w:sz="4" w:space="0"/>
              <w:bottom w:val="single" w:color="auto" w:sz="4" w:space="0"/>
              <w:right w:val="single" w:color="auto" w:sz="4" w:space="0"/>
            </w:tcBorders>
            <w:tcW w:w="562" w:type="pct"/>
            <w:vAlign w:val="center"/>
            <w:textDirection w:val="lrTb"/>
            <w:noWrap/>
          </w:tcPr>
          <w:p>
            <w:pPr>
              <w:jc w:val="center"/>
              <w:spacing w:line="500" w:lineRule="exact"/>
              <w:widowControl/>
              <w:rPr>
                <w:rFonts w:ascii="宋体" w:hAnsi="Times New Roman" w:eastAsia="宋体" w:cs="仿宋"/>
                <w:color w:val="auto"/>
                <w:highlight w:val="none"/>
              </w:rPr>
            </w:pPr>
            <w:r>
              <w:rPr>
                <w:rFonts w:hint="eastAsia" w:ascii="宋体" w:hAnsi="Times New Roman" w:eastAsia="宋体" w:cs="仿宋"/>
                <w:color w:val="auto"/>
                <w:highlight w:val="none"/>
              </w:rPr>
              <w:t xml:space="preserve">1人</w:t>
            </w:r>
            <w:r/>
          </w:p>
        </w:tc>
        <w:tc>
          <w:tcPr>
            <w:tcBorders>
              <w:top w:val="single" w:color="auto" w:sz="4" w:space="0"/>
              <w:left w:val="single" w:color="auto" w:sz="4" w:space="0"/>
              <w:bottom w:val="single" w:color="auto" w:sz="4" w:space="0"/>
              <w:right w:val="single" w:color="auto" w:sz="4" w:space="0"/>
            </w:tcBorders>
            <w:tcW w:w="1021" w:type="pct"/>
            <w:vAlign w:val="center"/>
            <w:textDirection w:val="lrTb"/>
            <w:noWrap/>
          </w:tcPr>
          <w:p>
            <w:pPr>
              <w:jc w:val="center"/>
              <w:spacing w:line="500" w:lineRule="exact"/>
              <w:rPr>
                <w:rFonts w:ascii="宋体" w:hAnsi="Times New Roman" w:eastAsia="宋体" w:cs="仿宋"/>
                <w:color w:val="auto"/>
                <w:highlight w:val="none"/>
              </w:rPr>
            </w:pPr>
            <w:r>
              <w:rPr>
                <w:rFonts w:hint="eastAsia" w:ascii="宋体" w:cs="仿宋"/>
                <w:color w:val="auto"/>
                <w:highlight w:val="none"/>
                <w:lang w:val="en-US" w:eastAsia="zh-CN"/>
              </w:rPr>
              <w:t xml:space="preserve">26</w:t>
            </w:r>
            <w:r>
              <w:rPr>
                <w:rFonts w:hint="eastAsia" w:ascii="宋体" w:hAnsi="Times New Roman" w:eastAsia="宋体" w:cs="仿宋"/>
                <w:color w:val="auto"/>
                <w:highlight w:val="none"/>
              </w:rPr>
              <w:t xml:space="preserve">人</w:t>
            </w:r>
            <w:r/>
          </w:p>
        </w:tc>
        <w:tc>
          <w:tcPr>
            <w:tcBorders>
              <w:top w:val="single" w:color="auto" w:sz="4" w:space="0"/>
              <w:left w:val="single" w:color="auto" w:sz="4" w:space="0"/>
              <w:bottom w:val="single" w:color="auto" w:sz="4" w:space="0"/>
              <w:right w:val="single" w:color="auto" w:sz="4" w:space="0"/>
            </w:tcBorders>
            <w:tcW w:w="1496" w:type="pct"/>
            <w:vAlign w:val="center"/>
            <w:textDirection w:val="lrTb"/>
            <w:noWrap/>
          </w:tcPr>
          <w:p>
            <w:pPr>
              <w:jc w:val="center"/>
              <w:spacing w:line="500" w:lineRule="exact"/>
              <w:rPr>
                <w:rFonts w:hint="default" w:ascii="宋体" w:hAnsi="Times New Roman" w:eastAsia="宋体" w:cs="仿宋"/>
                <w:color w:val="auto"/>
                <w:highlight w:val="none"/>
                <w:lang w:val="en-US" w:eastAsia="zh-CN"/>
              </w:rPr>
            </w:pPr>
            <w:r>
              <w:rPr>
                <w:rFonts w:hint="eastAsia" w:ascii="宋体" w:cs="仿宋"/>
                <w:color w:val="auto"/>
                <w:highlight w:val="none"/>
                <w:lang w:val="en-US" w:eastAsia="zh-CN"/>
              </w:rPr>
              <w:t xml:space="preserve">13人</w:t>
            </w:r>
            <w:r/>
          </w:p>
        </w:tc>
        <w:tc>
          <w:tcPr>
            <w:tcBorders>
              <w:top w:val="single" w:color="auto" w:sz="4" w:space="0"/>
              <w:left w:val="single" w:color="auto" w:sz="4" w:space="0"/>
              <w:bottom w:val="single" w:color="auto" w:sz="4" w:space="0"/>
              <w:right w:val="single" w:color="auto" w:sz="4" w:space="0"/>
            </w:tcBorders>
            <w:tcW w:w="1131" w:type="pct"/>
            <w:vAlign w:val="center"/>
            <w:textDirection w:val="lrTb"/>
            <w:noWrap/>
          </w:tcPr>
          <w:p>
            <w:pPr>
              <w:jc w:val="center"/>
              <w:spacing w:line="500" w:lineRule="exact"/>
              <w:rPr>
                <w:rFonts w:hint="default" w:ascii="宋体" w:hAnsi="Times New Roman" w:eastAsia="宋体" w:cs="仿宋"/>
                <w:color w:val="auto"/>
                <w:highlight w:val="none"/>
                <w:lang w:val="en-US" w:eastAsia="zh-CN"/>
              </w:rPr>
            </w:pPr>
            <w:r>
              <w:rPr>
                <w:rFonts w:hint="eastAsia" w:ascii="宋体" w:cs="仿宋"/>
                <w:color w:val="auto"/>
                <w:highlight w:val="none"/>
                <w:lang w:val="en-US" w:eastAsia="zh-CN"/>
              </w:rPr>
              <w:t xml:space="preserve">13人</w:t>
            </w:r>
            <w:r/>
          </w:p>
        </w:tc>
      </w:tr>
    </w:tbl>
    <w:p>
      <w:pPr>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2.统一工作服装。</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六、养护管理机械机具设备配置要求（本条为实质性响应指标，不满足或负偏离则视为响应无效。）</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r>
      <w:r/>
    </w:p>
    <w:p>
      <w:pPr>
        <w:ind w:firstLine="200"/>
        <w:jc w:val="both"/>
        <w:widowControl/>
        <w:rPr>
          <w:rFonts w:hint="eastAsia" w:ascii="Times New Roman" w:hAnsi="Times New Roman" w:eastAsia="宋体" w:cs="Times New Roman"/>
          <w:color w:val="auto"/>
          <w:sz w:val="20"/>
          <w:szCs w:val="24"/>
          <w:highlight w:val="none"/>
          <w:lang w:val="en-US" w:eastAsia="zh-CN" w:bidi="ar-SA"/>
        </w:rPr>
      </w:pPr>
      <w:r>
        <w:rPr>
          <w:rFonts w:hint="eastAsia" w:ascii="Times New Roman" w:hAnsi="Times New Roman" w:eastAsia="宋体" w:cs="Times New Roman"/>
          <w:color w:val="auto"/>
          <w:sz w:val="20"/>
          <w:szCs w:val="24"/>
          <w:highlight w:val="none"/>
          <w:lang w:val="en-US" w:eastAsia="zh-CN" w:bidi="ar-SA"/>
        </w:rPr>
      </w:r>
      <w:r/>
    </w:p>
    <w:tbl>
      <w:tblPr>
        <w:tblStyle w:val="767"/>
        <w:tblW w:w="4303" w:type="pct"/>
        <w:jc w:val="center"/>
        <w:tblLayout w:type="autofit"/>
        <w:tblCellMar>
          <w:left w:w="108" w:type="dxa"/>
          <w:top w:w="0" w:type="dxa"/>
          <w:right w:w="108" w:type="dxa"/>
          <w:bottom w:w="0" w:type="dxa"/>
        </w:tblCellMar>
        <w:tblLook w:val="04A0" w:firstRow="1" w:lastRow="0" w:firstColumn="1" w:lastColumn="0" w:noHBand="0" w:noVBand="1"/>
      </w:tblPr>
      <w:tblGrid>
        <w:gridCol w:w="481"/>
        <w:gridCol w:w="481"/>
        <w:gridCol w:w="746"/>
        <w:gridCol w:w="878"/>
        <w:gridCol w:w="2070"/>
        <w:gridCol w:w="1143"/>
        <w:gridCol w:w="1673"/>
        <w:gridCol w:w="1144"/>
      </w:tblGrid>
      <w:tr>
        <w:trPr>
          <w:jc w:val="center"/>
          <w:trHeight w:val="765"/>
        </w:trPr>
        <w:tc>
          <w:tcPr>
            <w:gridSpan w:val="4"/>
            <w:tcBorders>
              <w:top w:val="single" w:color="auto" w:sz="4" w:space="0"/>
              <w:left w:val="single" w:color="auto" w:sz="4" w:space="0"/>
              <w:bottom w:val="single" w:color="auto" w:sz="4" w:space="0"/>
              <w:right w:val="single" w:color="auto" w:sz="4" w:space="0"/>
            </w:tcBorders>
            <w:tcW w:w="1543" w:type="pct"/>
            <w:vAlign w:val="center"/>
            <w:textDirection w:val="lrTb"/>
            <w:noWrap/>
          </w:tcPr>
          <w:p>
            <w:pPr>
              <w:jc w:val="center"/>
              <w:spacing w:line="300" w:lineRule="exact"/>
              <w:widowControl/>
              <w:rPr>
                <w:rFonts w:hint="default" w:ascii="仿宋" w:hAnsi="仿宋" w:eastAsia="仿宋" w:cs="仿宋"/>
                <w:color w:val="auto"/>
                <w:highlight w:val="none"/>
              </w:rPr>
            </w:pPr>
            <w:r>
              <w:rPr>
                <w:rFonts w:hint="eastAsia" w:ascii="仿宋" w:hAnsi="仿宋" w:eastAsia="仿宋" w:cs="仿宋"/>
                <w:color w:val="auto"/>
                <w:highlight w:val="none"/>
              </w:rPr>
              <w:t xml:space="preserve">绿地养护设备（辆或台）</w:t>
            </w:r>
            <w:r/>
          </w:p>
        </w:tc>
        <w:tc>
          <w:tcPr>
            <w:tcBorders>
              <w:top w:val="single" w:color="auto" w:sz="4" w:space="0"/>
              <w:left w:val="single" w:color="auto" w:sz="4" w:space="0"/>
              <w:bottom w:val="single" w:color="auto" w:sz="4" w:space="0"/>
              <w:right w:val="single" w:color="auto" w:sz="4" w:space="0"/>
            </w:tcBorders>
            <w:tcW w:w="1176" w:type="pct"/>
            <w:vAlign w:val="center"/>
            <w:textDirection w:val="lrTb"/>
            <w:noWrap/>
          </w:tcPr>
          <w:p>
            <w:pPr>
              <w:jc w:val="center"/>
              <w:spacing w:line="300" w:lineRule="exact"/>
              <w:widowControl/>
              <w:rPr>
                <w:rFonts w:hint="default" w:ascii="仿宋" w:hAnsi="仿宋" w:eastAsia="仿宋" w:cs="仿宋"/>
                <w:color w:val="auto"/>
                <w:highlight w:val="none"/>
              </w:rPr>
            </w:pPr>
            <w:r>
              <w:rPr>
                <w:rFonts w:hint="eastAsia" w:ascii="仿宋" w:hAnsi="仿宋" w:eastAsia="仿宋" w:cs="仿宋"/>
                <w:color w:val="auto"/>
                <w:highlight w:val="none"/>
              </w:rPr>
              <w:t xml:space="preserve">园林垃圾无害化处理设备（台）</w:t>
            </w:r>
            <w:r/>
          </w:p>
        </w:tc>
        <w:tc>
          <w:tcPr>
            <w:tcBorders>
              <w:top w:val="single" w:color="auto" w:sz="4" w:space="0"/>
              <w:left w:val="none" w:color="000000" w:sz="4" w:space="0"/>
              <w:bottom w:val="single" w:color="auto" w:sz="4" w:space="0"/>
              <w:right w:val="single" w:color="auto" w:sz="4" w:space="0"/>
            </w:tcBorders>
            <w:tcW w:w="661" w:type="pct"/>
            <w:vAlign w:val="center"/>
            <w:textDirection w:val="lrTb"/>
            <w:noWrap/>
          </w:tcPr>
          <w:p>
            <w:pPr>
              <w:jc w:val="center"/>
              <w:spacing w:line="300" w:lineRule="exact"/>
              <w:widowControl/>
              <w:rPr>
                <w:rFonts w:hint="default" w:ascii="仿宋" w:hAnsi="仿宋" w:eastAsia="仿宋" w:cs="仿宋"/>
                <w:color w:val="auto"/>
                <w:highlight w:val="none"/>
              </w:rPr>
            </w:pPr>
            <w:r>
              <w:rPr>
                <w:rFonts w:hint="eastAsia" w:ascii="仿宋" w:hAnsi="仿宋" w:eastAsia="仿宋" w:cs="仿宋"/>
                <w:color w:val="auto"/>
                <w:highlight w:val="none"/>
              </w:rPr>
              <w:t xml:space="preserve">保洁设备（辆）</w:t>
            </w:r>
            <w:r/>
          </w:p>
        </w:tc>
        <w:tc>
          <w:tcPr>
            <w:tcBorders>
              <w:top w:val="single" w:color="auto" w:sz="4" w:space="0"/>
              <w:left w:val="none" w:color="000000" w:sz="4" w:space="0"/>
              <w:bottom w:val="single" w:color="auto" w:sz="4" w:space="0"/>
              <w:right w:val="single" w:color="auto" w:sz="4" w:space="0"/>
            </w:tcBorders>
            <w:tcW w:w="955" w:type="pct"/>
            <w:vAlign w:val="center"/>
            <w:textDirection w:val="lrTb"/>
            <w:noWrap/>
          </w:tcPr>
          <w:p>
            <w:pPr>
              <w:jc w:val="center"/>
              <w:spacing w:line="300" w:lineRule="exact"/>
              <w:rPr>
                <w:rFonts w:hint="default" w:ascii="仿宋" w:hAnsi="仿宋" w:eastAsia="仿宋" w:cs="仿宋"/>
                <w:color w:val="auto"/>
                <w:highlight w:val="none"/>
              </w:rPr>
            </w:pPr>
            <w:r>
              <w:rPr>
                <w:rFonts w:hint="eastAsia" w:ascii="仿宋" w:hAnsi="仿宋" w:eastAsia="仿宋" w:cs="仿宋"/>
                <w:color w:val="auto"/>
                <w:highlight w:val="none"/>
              </w:rPr>
              <w:t xml:space="preserve">办公设备（套）</w:t>
            </w:r>
            <w:r/>
          </w:p>
        </w:tc>
        <w:tc>
          <w:tcPr>
            <w:tcBorders>
              <w:top w:val="single" w:color="auto" w:sz="4" w:space="0"/>
              <w:left w:val="none" w:color="000000" w:sz="4" w:space="0"/>
              <w:bottom w:val="single" w:color="auto" w:sz="4" w:space="0"/>
              <w:right w:val="single" w:color="auto" w:sz="4" w:space="0"/>
            </w:tcBorders>
            <w:tcW w:w="661" w:type="pct"/>
            <w:vAlign w:val="center"/>
            <w:textDirection w:val="lrTb"/>
            <w:noWrap/>
          </w:tcPr>
          <w:p>
            <w:pPr>
              <w:jc w:val="center"/>
              <w:spacing w:line="300" w:lineRule="exact"/>
              <w:rPr>
                <w:rFonts w:hint="default" w:ascii="仿宋" w:hAnsi="仿宋" w:eastAsia="仿宋" w:cs="仿宋"/>
                <w:color w:val="auto"/>
                <w:highlight w:val="none"/>
              </w:rPr>
            </w:pPr>
            <w:r>
              <w:rPr>
                <w:rFonts w:hint="eastAsia" w:ascii="仿宋" w:hAnsi="仿宋" w:eastAsia="仿宋" w:cs="仿宋"/>
                <w:color w:val="auto"/>
                <w:highlight w:val="none"/>
              </w:rPr>
              <w:t xml:space="preserve">办公用车（台）</w:t>
            </w:r>
            <w:r/>
          </w:p>
        </w:tc>
      </w:tr>
      <w:tr>
        <w:trPr>
          <w:jc w:val="center"/>
          <w:trHeight w:val="1560"/>
        </w:trPr>
        <w:tc>
          <w:tcPr>
            <w:tcBorders>
              <w:top w:val="none" w:color="000000" w:sz="4" w:space="0"/>
              <w:left w:val="single" w:color="auto" w:sz="4" w:space="0"/>
              <w:bottom w:val="single" w:color="auto" w:sz="4" w:space="0"/>
              <w:right w:val="single" w:color="auto" w:sz="4" w:space="0"/>
            </w:tcBorders>
            <w:tcW w:w="293" w:type="pct"/>
            <w:vAlign w:val="center"/>
            <w:textDirection w:val="lrTb"/>
            <w:noWrap/>
          </w:tcPr>
          <w:p>
            <w:pPr>
              <w:jc w:val="center"/>
              <w:spacing w:line="300" w:lineRule="exact"/>
              <w:widowControl/>
              <w:rPr>
                <w:rFonts w:hint="default" w:ascii="仿宋" w:hAnsi="仿宋" w:eastAsia="仿宋" w:cs="仿宋"/>
                <w:color w:val="auto"/>
                <w:highlight w:val="none"/>
              </w:rPr>
            </w:pPr>
            <w:r>
              <w:rPr>
                <w:rFonts w:hint="eastAsia" w:ascii="仿宋" w:hAnsi="仿宋" w:eastAsia="仿宋" w:cs="仿宋"/>
                <w:color w:val="auto"/>
                <w:highlight w:val="none"/>
              </w:rPr>
              <w:t xml:space="preserve">水车</w:t>
            </w:r>
            <w:r/>
          </w:p>
        </w:tc>
        <w:tc>
          <w:tcPr>
            <w:tcBorders>
              <w:top w:val="none" w:color="000000" w:sz="4" w:space="0"/>
              <w:left w:val="single" w:color="auto" w:sz="4" w:space="0"/>
              <w:bottom w:val="single" w:color="auto" w:sz="4" w:space="0"/>
              <w:right w:val="single" w:color="auto" w:sz="4" w:space="0"/>
            </w:tcBorders>
            <w:tcW w:w="294" w:type="pct"/>
            <w:vAlign w:val="center"/>
            <w:textDirection w:val="lrTb"/>
            <w:noWrap/>
          </w:tcPr>
          <w:p>
            <w:pPr>
              <w:jc w:val="center"/>
              <w:spacing w:line="300" w:lineRule="exact"/>
              <w:widowControl/>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水泵</w:t>
            </w:r>
            <w:r/>
          </w:p>
        </w:tc>
        <w:tc>
          <w:tcPr>
            <w:tcBorders>
              <w:top w:val="none" w:color="000000" w:sz="4" w:space="0"/>
              <w:left w:val="single" w:color="auto" w:sz="4" w:space="0"/>
              <w:bottom w:val="single" w:color="auto" w:sz="4" w:space="0"/>
              <w:right w:val="single" w:color="auto" w:sz="4" w:space="0"/>
            </w:tcBorders>
            <w:tcW w:w="441" w:type="pct"/>
            <w:vAlign w:val="center"/>
            <w:textDirection w:val="lrTb"/>
            <w:noWrap/>
          </w:tcPr>
          <w:p>
            <w:pPr>
              <w:jc w:val="center"/>
              <w:spacing w:line="300" w:lineRule="exact"/>
              <w:widowControl/>
              <w:rPr>
                <w:rFonts w:hint="default" w:ascii="仿宋" w:hAnsi="仿宋" w:eastAsia="仿宋" w:cs="仿宋"/>
                <w:color w:val="auto"/>
                <w:highlight w:val="none"/>
              </w:rPr>
            </w:pPr>
            <w:r>
              <w:rPr>
                <w:rFonts w:hint="eastAsia" w:ascii="仿宋" w:hAnsi="仿宋" w:eastAsia="仿宋" w:cs="仿宋"/>
                <w:color w:val="auto"/>
                <w:highlight w:val="none"/>
              </w:rPr>
              <w:t xml:space="preserve">喷药设备</w:t>
            </w:r>
            <w:r/>
          </w:p>
        </w:tc>
        <w:tc>
          <w:tcPr>
            <w:tcBorders>
              <w:top w:val="none" w:color="000000" w:sz="4" w:space="0"/>
              <w:left w:val="single" w:color="auto" w:sz="4" w:space="0"/>
              <w:bottom w:val="single" w:color="auto" w:sz="4" w:space="0"/>
              <w:right w:val="single" w:color="auto" w:sz="4" w:space="0"/>
            </w:tcBorders>
            <w:tcW w:w="514" w:type="pct"/>
            <w:vAlign w:val="center"/>
            <w:textDirection w:val="lrTb"/>
            <w:noWrap/>
          </w:tcPr>
          <w:p>
            <w:pPr>
              <w:jc w:val="center"/>
              <w:spacing w:line="300" w:lineRule="exact"/>
              <w:widowControl/>
              <w:rPr>
                <w:rFonts w:hint="default" w:ascii="仿宋" w:hAnsi="仿宋" w:eastAsia="仿宋" w:cs="仿宋"/>
                <w:color w:val="auto"/>
                <w:highlight w:val="none"/>
              </w:rPr>
            </w:pPr>
            <w:r>
              <w:rPr>
                <w:rFonts w:hint="eastAsia" w:ascii="仿宋" w:hAnsi="仿宋" w:eastAsia="仿宋" w:cs="仿宋"/>
                <w:color w:val="auto"/>
                <w:highlight w:val="none"/>
              </w:rPr>
              <w:t xml:space="preserve">绿篱修剪机</w:t>
            </w:r>
            <w:r/>
          </w:p>
        </w:tc>
        <w:tc>
          <w:tcPr>
            <w:tcBorders>
              <w:top w:val="none" w:color="000000" w:sz="4" w:space="0"/>
              <w:left w:val="single" w:color="auto" w:sz="4" w:space="0"/>
              <w:bottom w:val="single" w:color="auto" w:sz="4" w:space="0"/>
              <w:right w:val="single" w:color="auto" w:sz="4" w:space="0"/>
            </w:tcBorders>
            <w:tcW w:w="1176" w:type="pct"/>
            <w:vAlign w:val="center"/>
            <w:textDirection w:val="lrTb"/>
            <w:noWrap/>
          </w:tcPr>
          <w:p>
            <w:pPr>
              <w:jc w:val="center"/>
              <w:spacing w:line="300" w:lineRule="exact"/>
              <w:widowControl/>
              <w:rPr>
                <w:rFonts w:hint="default" w:ascii="仿宋" w:hAnsi="仿宋" w:eastAsia="仿宋" w:cs="仿宋"/>
                <w:color w:val="auto"/>
                <w:highlight w:val="none"/>
              </w:rPr>
            </w:pPr>
            <w:r>
              <w:rPr>
                <w:rFonts w:hint="eastAsia" w:ascii="仿宋" w:hAnsi="仿宋" w:eastAsia="仿宋" w:cs="仿宋"/>
                <w:color w:val="auto"/>
                <w:highlight w:val="none"/>
              </w:rPr>
              <w:t xml:space="preserve">粉碎机</w:t>
            </w:r>
            <w:r/>
          </w:p>
        </w:tc>
        <w:tc>
          <w:tcPr>
            <w:tcBorders>
              <w:top w:val="none" w:color="000000" w:sz="4" w:space="0"/>
              <w:left w:val="single" w:color="auto" w:sz="4" w:space="0"/>
              <w:bottom w:val="single" w:color="000000" w:sz="4" w:space="0"/>
              <w:right w:val="single" w:color="auto" w:sz="4" w:space="0"/>
            </w:tcBorders>
            <w:tcW w:w="661" w:type="pct"/>
            <w:vAlign w:val="center"/>
            <w:textDirection w:val="lrTb"/>
            <w:noWrap/>
          </w:tcPr>
          <w:p>
            <w:pPr>
              <w:jc w:val="center"/>
              <w:spacing w:line="300" w:lineRule="exact"/>
              <w:widowControl/>
              <w:rPr>
                <w:rFonts w:hint="default" w:ascii="仿宋" w:hAnsi="仿宋" w:eastAsia="仿宋" w:cs="仿宋"/>
                <w:color w:val="auto"/>
                <w:highlight w:val="none"/>
              </w:rPr>
            </w:pPr>
            <w:r>
              <w:rPr>
                <w:rFonts w:hint="eastAsia" w:ascii="仿宋" w:hAnsi="仿宋" w:eastAsia="仿宋" w:cs="仿宋"/>
                <w:color w:val="auto"/>
                <w:highlight w:val="none"/>
              </w:rPr>
              <w:t xml:space="preserve">电动</w:t>
            </w:r>
            <w:r/>
          </w:p>
          <w:p>
            <w:pPr>
              <w:jc w:val="center"/>
              <w:spacing w:line="300" w:lineRule="exact"/>
              <w:widowControl/>
              <w:rPr>
                <w:rFonts w:hint="default" w:ascii="仿宋" w:hAnsi="仿宋" w:eastAsia="仿宋" w:cs="仿宋"/>
                <w:color w:val="auto"/>
                <w:highlight w:val="none"/>
              </w:rPr>
            </w:pPr>
            <w:r>
              <w:rPr>
                <w:rFonts w:hint="eastAsia" w:ascii="仿宋" w:hAnsi="仿宋" w:eastAsia="仿宋" w:cs="仿宋"/>
                <w:color w:val="auto"/>
                <w:highlight w:val="none"/>
              </w:rPr>
              <w:t xml:space="preserve">保洁车</w:t>
            </w:r>
            <w:r/>
          </w:p>
        </w:tc>
        <w:tc>
          <w:tcPr>
            <w:tcBorders>
              <w:top w:val="none" w:color="000000" w:sz="4" w:space="0"/>
              <w:left w:val="single" w:color="auto" w:sz="4" w:space="0"/>
              <w:bottom w:val="single" w:color="auto" w:sz="4" w:space="0"/>
              <w:right w:val="single" w:color="auto" w:sz="4" w:space="0"/>
            </w:tcBorders>
            <w:tcW w:w="955" w:type="pct"/>
            <w:vAlign w:val="center"/>
            <w:textDirection w:val="lrTb"/>
            <w:noWrap/>
          </w:tcPr>
          <w:p>
            <w:pPr>
              <w:jc w:val="center"/>
              <w:spacing w:line="300" w:lineRule="exact"/>
              <w:rPr>
                <w:rFonts w:hint="default" w:ascii="仿宋" w:hAnsi="仿宋" w:eastAsia="仿宋" w:cs="仿宋"/>
                <w:color w:val="auto"/>
                <w:highlight w:val="none"/>
              </w:rPr>
            </w:pPr>
            <w:r>
              <w:rPr>
                <w:rFonts w:hint="eastAsia" w:ascii="仿宋" w:hAnsi="仿宋" w:eastAsia="仿宋" w:cs="仿宋"/>
                <w:color w:val="auto"/>
                <w:highlight w:val="none"/>
              </w:rPr>
              <w:t xml:space="preserve">电脑、打印机等办公设备</w:t>
            </w:r>
            <w:r/>
          </w:p>
        </w:tc>
        <w:tc>
          <w:tcPr>
            <w:tcBorders>
              <w:top w:val="none" w:color="000000" w:sz="4" w:space="0"/>
              <w:left w:val="single" w:color="auto" w:sz="4" w:space="0"/>
              <w:bottom w:val="single" w:color="auto" w:sz="4" w:space="0"/>
              <w:right w:val="single" w:color="auto" w:sz="4" w:space="0"/>
            </w:tcBorders>
            <w:tcW w:w="661" w:type="pct"/>
            <w:vAlign w:val="center"/>
            <w:textDirection w:val="lrTb"/>
            <w:noWrap/>
          </w:tcPr>
          <w:p>
            <w:pPr>
              <w:jc w:val="center"/>
              <w:spacing w:line="300" w:lineRule="exact"/>
              <w:rPr>
                <w:rFonts w:hint="default" w:ascii="仿宋" w:hAnsi="仿宋" w:eastAsia="仿宋" w:cs="仿宋"/>
                <w:color w:val="auto"/>
                <w:highlight w:val="none"/>
              </w:rPr>
            </w:pPr>
            <w:r>
              <w:rPr>
                <w:rFonts w:hint="eastAsia" w:ascii="仿宋" w:hAnsi="仿宋" w:eastAsia="仿宋" w:cs="仿宋"/>
                <w:color w:val="auto"/>
                <w:highlight w:val="none"/>
              </w:rPr>
              <w:t xml:space="preserve">5座以上车辆</w:t>
            </w:r>
            <w:r/>
          </w:p>
        </w:tc>
      </w:tr>
      <w:tr>
        <w:trPr>
          <w:jc w:val="center"/>
          <w:trHeight w:val="644" w:hRule="exact"/>
        </w:trPr>
        <w:tc>
          <w:tcPr>
            <w:tcBorders>
              <w:top w:val="single" w:color="auto" w:sz="4" w:space="0"/>
              <w:left w:val="single" w:color="auto" w:sz="4" w:space="0"/>
              <w:bottom w:val="single" w:color="auto" w:sz="4" w:space="0"/>
              <w:right w:val="single" w:color="auto" w:sz="4" w:space="0"/>
            </w:tcBorders>
            <w:tcW w:w="293" w:type="pct"/>
            <w:vAlign w:val="center"/>
            <w:textDirection w:val="lrTb"/>
            <w:noWrap/>
          </w:tcPr>
          <w:p>
            <w:pPr>
              <w:jc w:val="center"/>
              <w:spacing w:line="300" w:lineRule="exact"/>
              <w:widowControl/>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 xml:space="preserve">1</w:t>
            </w:r>
            <w:r/>
          </w:p>
        </w:tc>
        <w:tc>
          <w:tcPr>
            <w:tcBorders>
              <w:top w:val="single" w:color="auto" w:sz="4" w:space="0"/>
              <w:left w:val="none" w:color="000000" w:sz="4" w:space="0"/>
              <w:bottom w:val="single" w:color="auto" w:sz="4" w:space="0"/>
              <w:right w:val="single" w:color="auto" w:sz="4" w:space="0"/>
            </w:tcBorders>
            <w:tcW w:w="294" w:type="pct"/>
            <w:vAlign w:val="center"/>
            <w:textDirection w:val="lrTb"/>
            <w:noWrap/>
          </w:tcPr>
          <w:p>
            <w:pPr>
              <w:jc w:val="center"/>
              <w:spacing w:line="300" w:lineRule="exact"/>
              <w:widowControl/>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p>
        </w:tc>
        <w:tc>
          <w:tcPr>
            <w:tcBorders>
              <w:top w:val="single" w:color="auto" w:sz="4" w:space="0"/>
              <w:left w:val="none" w:color="000000" w:sz="4" w:space="0"/>
              <w:bottom w:val="single" w:color="auto" w:sz="4" w:space="0"/>
              <w:right w:val="single" w:color="auto" w:sz="4" w:space="0"/>
            </w:tcBorders>
            <w:tcW w:w="441" w:type="pct"/>
            <w:vAlign w:val="center"/>
            <w:textDirection w:val="lrTb"/>
            <w:noWrap/>
          </w:tcPr>
          <w:p>
            <w:pPr>
              <w:jc w:val="center"/>
              <w:spacing w:line="300" w:lineRule="exact"/>
              <w:widowControl/>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 xml:space="preserve">2</w:t>
            </w:r>
            <w:r/>
          </w:p>
        </w:tc>
        <w:tc>
          <w:tcPr>
            <w:tcBorders>
              <w:top w:val="single" w:color="auto" w:sz="4" w:space="0"/>
              <w:left w:val="none" w:color="000000" w:sz="4" w:space="0"/>
              <w:bottom w:val="single" w:color="auto" w:sz="4" w:space="0"/>
              <w:right w:val="single" w:color="auto" w:sz="4" w:space="0"/>
            </w:tcBorders>
            <w:tcW w:w="514" w:type="pct"/>
            <w:vAlign w:val="center"/>
            <w:textDirection w:val="lrTb"/>
            <w:noWrap/>
          </w:tcPr>
          <w:p>
            <w:pPr>
              <w:jc w:val="center"/>
              <w:spacing w:line="300" w:lineRule="exact"/>
              <w:widowControl/>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 xml:space="preserve">4</w:t>
            </w:r>
            <w:r/>
          </w:p>
        </w:tc>
        <w:tc>
          <w:tcPr>
            <w:tcBorders>
              <w:top w:val="single" w:color="auto" w:sz="4" w:space="0"/>
              <w:left w:val="none" w:color="000000" w:sz="4" w:space="0"/>
              <w:bottom w:val="single" w:color="auto" w:sz="4" w:space="0"/>
              <w:right w:val="single" w:color="auto" w:sz="4" w:space="0"/>
            </w:tcBorders>
            <w:tcW w:w="1176" w:type="pct"/>
            <w:vAlign w:val="center"/>
            <w:textDirection w:val="lrTb"/>
            <w:noWrap/>
          </w:tcPr>
          <w:p>
            <w:pPr>
              <w:jc w:val="center"/>
              <w:spacing w:line="300" w:lineRule="exact"/>
              <w:widowControl/>
              <w:rPr>
                <w:rFonts w:hint="default" w:ascii="仿宋" w:hAnsi="仿宋" w:eastAsia="仿宋" w:cs="仿宋"/>
                <w:color w:val="auto"/>
                <w:highlight w:val="none"/>
              </w:rPr>
            </w:pPr>
            <w:r>
              <w:rPr>
                <w:rFonts w:hint="eastAsia" w:ascii="仿宋" w:hAnsi="仿宋" w:eastAsia="仿宋" w:cs="仿宋"/>
                <w:color w:val="auto"/>
                <w:highlight w:val="none"/>
              </w:rPr>
              <w:t xml:space="preserve">1</w:t>
            </w:r>
            <w:r/>
          </w:p>
        </w:tc>
        <w:tc>
          <w:tcPr>
            <w:tcBorders>
              <w:top w:val="single" w:color="auto" w:sz="4" w:space="0"/>
              <w:left w:val="none" w:color="000000" w:sz="4" w:space="0"/>
              <w:bottom w:val="single" w:color="auto" w:sz="4" w:space="0"/>
              <w:right w:val="single" w:color="auto" w:sz="4" w:space="0"/>
            </w:tcBorders>
            <w:tcW w:w="661" w:type="pct"/>
            <w:vAlign w:val="center"/>
            <w:textDirection w:val="lrTb"/>
            <w:noWrap/>
          </w:tcPr>
          <w:p>
            <w:pPr>
              <w:jc w:val="center"/>
              <w:spacing w:line="300" w:lineRule="exact"/>
              <w:widowControl/>
              <w:rPr>
                <w:rFonts w:hint="default" w:ascii="仿宋" w:hAnsi="仿宋" w:eastAsia="仿宋" w:cs="仿宋"/>
                <w:color w:val="auto"/>
                <w:highlight w:val="none"/>
              </w:rPr>
            </w:pPr>
            <w:r>
              <w:rPr>
                <w:rFonts w:hint="eastAsia" w:ascii="仿宋" w:hAnsi="仿宋" w:eastAsia="仿宋" w:cs="仿宋"/>
                <w:color w:val="auto"/>
                <w:highlight w:val="none"/>
              </w:rPr>
              <w:t xml:space="preserve">2</w:t>
            </w:r>
            <w:r/>
          </w:p>
        </w:tc>
        <w:tc>
          <w:tcPr>
            <w:tcBorders>
              <w:top w:val="single" w:color="auto" w:sz="4" w:space="0"/>
              <w:left w:val="none" w:color="000000" w:sz="4" w:space="0"/>
              <w:bottom w:val="single" w:color="auto" w:sz="4" w:space="0"/>
              <w:right w:val="single" w:color="auto" w:sz="4" w:space="0"/>
            </w:tcBorders>
            <w:tcW w:w="955" w:type="pct"/>
            <w:vAlign w:val="center"/>
            <w:textDirection w:val="lrTb"/>
            <w:noWrap/>
          </w:tcPr>
          <w:p>
            <w:pPr>
              <w:jc w:val="center"/>
              <w:spacing w:line="300" w:lineRule="exact"/>
              <w:widowControl/>
              <w:rPr>
                <w:rFonts w:hint="default" w:ascii="仿宋" w:hAnsi="仿宋" w:eastAsia="仿宋" w:cs="仿宋"/>
                <w:color w:val="auto"/>
                <w:highlight w:val="none"/>
              </w:rPr>
            </w:pPr>
            <w:r>
              <w:rPr>
                <w:rFonts w:hint="eastAsia" w:ascii="仿宋" w:hAnsi="仿宋" w:eastAsia="仿宋" w:cs="仿宋"/>
                <w:color w:val="auto"/>
                <w:highlight w:val="none"/>
              </w:rPr>
              <w:t xml:space="preserve">1</w:t>
            </w:r>
            <w:r/>
          </w:p>
        </w:tc>
        <w:tc>
          <w:tcPr>
            <w:tcBorders>
              <w:top w:val="single" w:color="auto" w:sz="4" w:space="0"/>
              <w:left w:val="none" w:color="000000" w:sz="4" w:space="0"/>
              <w:bottom w:val="single" w:color="auto" w:sz="4" w:space="0"/>
              <w:right w:val="single" w:color="auto" w:sz="4" w:space="0"/>
            </w:tcBorders>
            <w:tcW w:w="661" w:type="pct"/>
            <w:vAlign w:val="center"/>
            <w:textDirection w:val="lrTb"/>
            <w:noWrap/>
          </w:tcPr>
          <w:p>
            <w:pPr>
              <w:jc w:val="center"/>
              <w:spacing w:line="300" w:lineRule="exact"/>
              <w:rPr>
                <w:rFonts w:hint="default" w:ascii="仿宋" w:hAnsi="仿宋" w:eastAsia="仿宋" w:cs="仿宋"/>
                <w:color w:val="auto"/>
                <w:highlight w:val="none"/>
              </w:rPr>
            </w:pPr>
            <w:r>
              <w:rPr>
                <w:rFonts w:hint="eastAsia" w:ascii="仿宋" w:hAnsi="仿宋" w:eastAsia="仿宋" w:cs="仿宋"/>
                <w:color w:val="auto"/>
                <w:highlight w:val="none"/>
              </w:rPr>
              <w:t xml:space="preserve">1</w:t>
            </w:r>
            <w:r/>
          </w:p>
        </w:tc>
      </w:tr>
    </w:tbl>
    <w:p>
      <w:pPr>
        <w:ind w:right="1470"/>
        <w:jc w:val="both"/>
        <w:keepLines w:val="0"/>
        <w:keepNext w:val="0"/>
        <w:pageBreakBefore w:val="0"/>
        <w:spacing w:after="120" w:line="360" w:lineRule="auto"/>
        <w:widowControl w:val="off"/>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r>
      <w:r/>
    </w:p>
    <w:p>
      <w:pPr>
        <w:ind w:right="1470"/>
        <w:jc w:val="both"/>
        <w:keepLines w:val="0"/>
        <w:keepNext w:val="0"/>
        <w:pageBreakBefore w:val="0"/>
        <w:spacing w:after="120" w:line="360" w:lineRule="auto"/>
        <w:widowControl w:val="off"/>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t xml:space="preserve">1.本项目要求的养护管理机械机具设备必须是投标人自有或租赁。</w:t>
      </w:r>
      <w:r/>
    </w:p>
    <w:p>
      <w:pPr>
        <w:ind w:right="0"/>
        <w:jc w:val="both"/>
        <w:keepLines w:val="0"/>
        <w:keepNext w:val="0"/>
        <w:pageBreakBefore w:val="0"/>
        <w:spacing w:line="360" w:lineRule="auto"/>
        <w:widowControl w:val="off"/>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t xml:space="preserve">1.1设备为投标人自有的，投标文件中需提供该设备“</w:t>
      </w:r>
      <w:r>
        <w:rPr>
          <w:rFonts w:hint="eastAsia" w:cs="Times New Roman"/>
          <w:color w:val="auto"/>
          <w:sz w:val="21"/>
          <w:szCs w:val="24"/>
          <w:highlight w:val="none"/>
          <w:lang w:val="en-US" w:eastAsia="zh-CN" w:bidi="ar-SA"/>
        </w:rPr>
        <w:t xml:space="preserve">投标文件提交的截止时间</w:t>
      </w:r>
      <w:r>
        <w:rPr>
          <w:rFonts w:hint="eastAsia" w:ascii="Times New Roman" w:hAnsi="Times New Roman" w:eastAsia="宋体" w:cs="Times New Roman"/>
          <w:color w:val="auto"/>
          <w:sz w:val="21"/>
          <w:szCs w:val="24"/>
          <w:highlight w:val="none"/>
          <w:lang w:val="en-US" w:eastAsia="zh-CN" w:bidi="ar-SA"/>
        </w:rPr>
        <w:t xml:space="preserve">”前购置全额发票扫描件。</w:t>
      </w:r>
      <w:r/>
    </w:p>
    <w:p>
      <w:pPr>
        <w:ind w:right="0"/>
        <w:jc w:val="both"/>
        <w:keepLines w:val="0"/>
        <w:keepNext w:val="0"/>
        <w:pageBreakBefore w:val="0"/>
        <w:spacing w:line="360" w:lineRule="auto"/>
        <w:widowControl w:val="off"/>
        <w:rPr>
          <w:rFonts w:hint="default"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t xml:space="preserve">1.2设备为租赁的，投标文件中需提供该设备“</w:t>
      </w:r>
      <w:r>
        <w:rPr>
          <w:rFonts w:hint="eastAsia" w:cs="Times New Roman"/>
          <w:color w:val="auto"/>
          <w:sz w:val="21"/>
          <w:szCs w:val="24"/>
          <w:highlight w:val="none"/>
          <w:lang w:val="en-US" w:eastAsia="zh-CN" w:bidi="ar-SA"/>
        </w:rPr>
        <w:t xml:space="preserve">投标</w:t>
      </w:r>
      <w:r>
        <w:rPr>
          <w:rFonts w:hint="eastAsia" w:ascii="Times New Roman" w:hAnsi="Times New Roman" w:eastAsia="宋体" w:cs="Times New Roman"/>
          <w:color w:val="auto"/>
          <w:sz w:val="21"/>
          <w:szCs w:val="24"/>
          <w:highlight w:val="none"/>
          <w:lang w:val="en-US" w:eastAsia="zh-CN" w:bidi="ar-SA"/>
        </w:rPr>
        <w:t xml:space="preserve">文件提交的截止时间”前租赁合同和机械机具设备采购发票扫描件。</w:t>
      </w:r>
      <w:r/>
    </w:p>
    <w:p>
      <w:pPr>
        <w:ind w:right="1470"/>
        <w:jc w:val="both"/>
        <w:keepLines w:val="0"/>
        <w:keepNext w:val="0"/>
        <w:pageBreakBefore w:val="0"/>
        <w:spacing w:after="120" w:line="360" w:lineRule="auto"/>
        <w:widowControl w:val="off"/>
        <w:rPr>
          <w:rFonts w:hint="eastAsia" w:ascii="Times New Roman" w:hAnsi="Times New Roman" w:eastAsia="宋体" w:cs="Times New Roman"/>
          <w:color w:val="auto"/>
          <w:sz w:val="21"/>
          <w:szCs w:val="24"/>
          <w:highlight w:val="none"/>
          <w:lang w:val="en-US" w:eastAsia="zh-CN" w:bidi="ar-SA"/>
        </w:rPr>
      </w:pPr>
      <w:r>
        <w:rPr>
          <w:rFonts w:hint="eastAsia" w:cs="Times New Roman"/>
          <w:color w:val="auto"/>
          <w:sz w:val="21"/>
          <w:szCs w:val="24"/>
          <w:highlight w:val="none"/>
          <w:lang w:val="en-US" w:eastAsia="zh-CN" w:bidi="ar-SA"/>
        </w:rPr>
        <w:t xml:space="preserve">2、</w:t>
      </w:r>
      <w:r>
        <w:rPr>
          <w:rFonts w:hint="eastAsia" w:ascii="Times New Roman" w:hAnsi="Times New Roman" w:eastAsia="宋体" w:cs="Times New Roman"/>
          <w:color w:val="auto"/>
          <w:sz w:val="21"/>
          <w:szCs w:val="24"/>
          <w:highlight w:val="none"/>
          <w:lang w:val="en-US" w:eastAsia="zh-CN" w:bidi="ar-SA"/>
        </w:rPr>
        <w:t xml:space="preserve">合同签定前甲方现场查验证明材料原件和实物。</w:t>
      </w:r>
      <w:r/>
    </w:p>
    <w:p>
      <w:pPr>
        <w:ind w:firstLine="482"/>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七、</w:t>
      </w:r>
      <w:r>
        <w:rPr>
          <w:rFonts w:hint="eastAsia" w:ascii="宋体" w:hAnsi="宋体" w:eastAsia="宋体" w:cs="宋体"/>
          <w:color w:val="auto"/>
          <w:sz w:val="24"/>
          <w:highlight w:val="none"/>
          <w:lang w:val="en-US" w:eastAsia="zh-CN"/>
        </w:rPr>
        <w:t xml:space="preserve">养护</w:t>
      </w:r>
      <w:r>
        <w:rPr>
          <w:rFonts w:hint="eastAsia" w:ascii="宋体" w:hAnsi="宋体" w:eastAsia="宋体" w:cs="宋体"/>
          <w:color w:val="auto"/>
          <w:sz w:val="24"/>
          <w:highlight w:val="none"/>
        </w:rPr>
        <w:t xml:space="preserve">要求</w:t>
      </w:r>
      <w:r/>
    </w:p>
    <w:p>
      <w:pPr>
        <w:ind w:firstLine="562"/>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执行</w:t>
      </w:r>
      <w:r>
        <w:rPr>
          <w:rFonts w:hint="eastAsia" w:ascii="宋体" w:hAnsi="宋体" w:cs="宋体"/>
          <w:b/>
          <w:bCs/>
          <w:color w:val="auto"/>
          <w:sz w:val="24"/>
          <w:szCs w:val="24"/>
          <w:highlight w:val="none"/>
          <w:lang w:eastAsia="zh-CN"/>
        </w:rPr>
        <w:t xml:space="preserve">徐州市地方标准DB 3203/502-2008《园林绿化养护管理规范》和徐州市相关规定</w:t>
      </w:r>
      <w:r/>
    </w:p>
    <w:p>
      <w:pPr>
        <w:ind w:firstLine="562"/>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eastAsia="zh-CN"/>
        </w:rPr>
      </w:r>
      <w:r/>
    </w:p>
    <w:p>
      <w:pPr>
        <w:ind w:firstLine="562"/>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lang w:eastAsia="zh-CN"/>
        </w:rPr>
        <w:t xml:space="preserve">、其他要求：</w:t>
      </w:r>
      <w:r>
        <w:rPr>
          <w:rFonts w:hint="eastAsia" w:ascii="宋体" w:hAnsi="宋体" w:eastAsia="宋体" w:cs="宋体"/>
          <w:b/>
          <w:bCs/>
          <w:color w:val="auto"/>
          <w:sz w:val="24"/>
          <w:szCs w:val="24"/>
          <w:highlight w:val="none"/>
        </w:rPr>
        <w:t xml:space="preserve">见招标文件第五章《拟签订的合同文本》</w:t>
      </w:r>
      <w:r>
        <w:rPr>
          <w:rFonts w:hint="eastAsia" w:ascii="宋体" w:hAnsi="宋体" w:eastAsia="宋体" w:cs="宋体"/>
          <w:color w:val="auto"/>
          <w:sz w:val="24"/>
          <w:szCs w:val="24"/>
          <w:highlight w:val="none"/>
        </w:rPr>
        <w:t xml:space="preserve">。</w:t>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520" w:lineRule="exact"/>
        <w:rPr>
          <w:rStyle w:val="96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520" w:lineRule="exact"/>
        <w:rPr>
          <w:rStyle w:val="964"/>
          <w:rFonts w:hint="eastAsia" w:ascii="宋体" w:hAnsi="宋体" w:eastAsia="宋体" w:cs="宋体"/>
          <w:color w:val="auto"/>
          <w:sz w:val="24"/>
          <w:szCs w:val="24"/>
          <w:highlight w:val="none"/>
        </w:rPr>
        <w:sectPr>
          <w:footnotePr/>
          <w:endnotePr/>
          <w:type w:val="nextPage"/>
          <w:pgSz w:w="11906" w:h="16838" w:orient="portrait"/>
          <w:pgMar w:top="851" w:right="1702" w:bottom="851" w:left="1804" w:header="851" w:footer="992" w:gutter="0"/>
          <w:cols w:num="1" w:sep="0" w:space="1701" w:equalWidth="1"/>
          <w:docGrid w:linePitch="360"/>
        </w:sectPr>
      </w:pPr>
      <w:r>
        <w:rPr>
          <w:rFonts w:hint="eastAsia" w:ascii="宋体" w:hAnsi="宋体" w:eastAsia="宋体" w:cs="宋体"/>
          <w:color w:val="auto"/>
          <w:sz w:val="24"/>
          <w:szCs w:val="24"/>
          <w:highlight w:val="none"/>
        </w:rPr>
      </w:r>
      <w:r/>
    </w:p>
    <w:p>
      <w:pPr>
        <w:jc w:val="center"/>
        <w:spacing w:line="520" w:lineRule="exact"/>
        <w:rPr>
          <w:rStyle w:val="964"/>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520" w:lineRule="exact"/>
        <w:rPr>
          <w:rStyle w:val="964"/>
          <w:rFonts w:hint="eastAsia" w:ascii="宋体" w:hAnsi="宋体" w:eastAsia="宋体" w:cs="宋体"/>
          <w:color w:val="auto"/>
          <w:sz w:val="24"/>
          <w:szCs w:val="24"/>
          <w:highlight w:val="none"/>
        </w:rPr>
      </w:pPr>
      <w:r>
        <w:rPr>
          <w:rStyle w:val="964"/>
          <w:rFonts w:hint="eastAsia" w:ascii="宋体" w:hAnsi="宋体" w:eastAsia="宋体" w:cs="宋体"/>
          <w:color w:val="auto"/>
          <w:sz w:val="24"/>
          <w:szCs w:val="24"/>
          <w:highlight w:val="none"/>
        </w:rPr>
        <w:t xml:space="preserve">第七章  投标文件相关格式</w:t>
      </w:r>
      <w:bookmarkEnd w:id="19"/>
      <w:r/>
      <w:bookmarkEnd w:id="20"/>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line="52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一、投标函格式</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江苏中瑞建设项目管理有限公司</w:t>
      </w:r>
      <w:r/>
    </w:p>
    <w:p>
      <w:pPr>
        <w:ind w:firstLine="6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项目[项目编号：</w:t>
      </w:r>
      <w:r>
        <w:rPr>
          <w:rFonts w:hint="eastAsia" w:ascii="宋体" w:hAnsi="宋体" w:cs="宋体"/>
          <w:color w:val="auto"/>
          <w:sz w:val="24"/>
          <w:szCs w:val="24"/>
          <w:highlight w:val="none"/>
          <w:lang w:eastAsia="zh-CN"/>
        </w:rPr>
        <w:t xml:space="preserve">JSZC-320302-JSZR-G2026-0055</w:t>
      </w:r>
      <w:r>
        <w:rPr>
          <w:rFonts w:hint="eastAsia" w:ascii="宋体" w:hAnsi="宋体" w:cs="宋体"/>
          <w:color w:val="auto"/>
          <w:sz w:val="24"/>
          <w:szCs w:val="24"/>
          <w:highlight w:val="none"/>
        </w:rPr>
        <w:t xml:space="preserve">]招标文件，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(姓名)代表我方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（投标人的名称）全权处理本次投标的有关事宜。</w:t>
      </w:r>
      <w:r/>
    </w:p>
    <w:p>
      <w:pPr>
        <w:ind w:firstLine="6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据此函，投标人承诺并同意如下： </w:t>
      </w:r>
      <w:r/>
    </w:p>
    <w:p>
      <w:pPr>
        <w:ind w:firstLine="6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 投标人唯一投标报价见《开标一览表》。</w:t>
      </w:r>
      <w:r/>
    </w:p>
    <w:p>
      <w:pPr>
        <w:ind w:firstLine="6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 投标人将按招标文件的规定履行合同责任和义务。</w:t>
      </w:r>
      <w:r/>
    </w:p>
    <w:p>
      <w:pPr>
        <w:ind w:firstLine="6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 投标人已详细审查全部招标文件，包括第[插入编号] [补遗书][如果有的话]。投标人完全理解并同意放弃对这方面有不明及误解的权力。</w:t>
      </w:r>
      <w:r/>
    </w:p>
    <w:p>
      <w:pPr>
        <w:ind w:firstLine="6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 投标有效期为开标之日后90天。</w:t>
      </w:r>
      <w:r/>
    </w:p>
    <w:p>
      <w:pPr>
        <w:ind w:firstLine="6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 投标人同意提供按照贵方可能要求的与其投标有关的一切数据或资料，完全理解贵方不一定接受最低价的投标或收到的任何投标。</w:t>
      </w:r>
      <w:r/>
    </w:p>
    <w:p>
      <w:pPr>
        <w:ind w:firstLine="6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 投标人同意在授予合同后，按照有关规定支付公证费(如有)。</w:t>
      </w:r>
      <w:r/>
    </w:p>
    <w:p>
      <w:pPr>
        <w:ind w:right="29" w:firstLine="6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 </w:t>
      </w:r>
      <w:r>
        <w:rPr>
          <w:rFonts w:hint="eastAsia" w:ascii="宋体" w:hAnsi="宋体" w:cs="宋体"/>
          <w:color w:val="auto"/>
          <w:sz w:val="24"/>
          <w:szCs w:val="24"/>
          <w:highlight w:val="none"/>
          <w:lang w:eastAsia="zh-CN"/>
        </w:rPr>
        <w:t xml:space="preserve">江苏中瑞建设项目管理有限公司</w:t>
      </w:r>
      <w:r>
        <w:rPr>
          <w:rFonts w:hint="eastAsia" w:ascii="宋体" w:hAnsi="宋体" w:cs="宋体"/>
          <w:color w:val="auto"/>
          <w:sz w:val="24"/>
          <w:szCs w:val="24"/>
          <w:highlight w:val="none"/>
        </w:rPr>
        <w:t xml:space="preserve">有权将我单位本项目的《开标一览表》和《分项价格表》予以公示，公示的方式由</w:t>
      </w:r>
      <w:r>
        <w:rPr>
          <w:rFonts w:hint="eastAsia" w:ascii="宋体" w:hAnsi="宋体" w:cs="宋体"/>
          <w:color w:val="auto"/>
          <w:sz w:val="24"/>
          <w:szCs w:val="24"/>
          <w:highlight w:val="none"/>
          <w:lang w:eastAsia="zh-CN"/>
        </w:rPr>
        <w:t xml:space="preserve">江苏中瑞建设项目管理有限公司</w:t>
      </w:r>
      <w:r>
        <w:rPr>
          <w:rFonts w:hint="eastAsia" w:ascii="宋体" w:hAnsi="宋体" w:cs="宋体"/>
          <w:color w:val="auto"/>
          <w:sz w:val="24"/>
          <w:szCs w:val="24"/>
          <w:highlight w:val="none"/>
        </w:rPr>
        <w:t xml:space="preserve">确定。</w:t>
      </w:r>
      <w:r/>
    </w:p>
    <w:p>
      <w:pPr>
        <w:ind w:right="29" w:firstLine="6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 与本投标有关的一切正式往来信函请寄：</w:t>
      </w:r>
      <w:r/>
    </w:p>
    <w:p>
      <w:pPr>
        <w:ind w:firstLine="12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 </w:t>
      </w:r>
      <w:r/>
    </w:p>
    <w:p>
      <w:pPr>
        <w:ind w:firstLine="12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电话： </w:t>
      </w:r>
      <w:r/>
    </w:p>
    <w:p>
      <w:pPr>
        <w:ind w:firstLine="12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传真： </w:t>
      </w:r>
      <w:r/>
    </w:p>
    <w:p>
      <w:pPr>
        <w:ind w:firstLine="27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（电子签章）</w:t>
      </w:r>
      <w:r/>
    </w:p>
    <w:p>
      <w:pPr>
        <w:ind w:firstLine="6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45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jc w:val="cente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rPr>
          <w:rFonts w:hint="eastAsia" w:ascii="宋体" w:hAnsi="宋体" w:cs="宋体"/>
          <w:b/>
          <w:bCs/>
          <w:color w:val="auto"/>
          <w:sz w:val="24"/>
          <w:szCs w:val="24"/>
          <w:highlight w:val="none"/>
        </w:rPr>
        <w:t xml:space="preserve">二、开标一览表格式</w:t>
      </w:r>
      <w:r/>
    </w:p>
    <w:p>
      <w:pP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52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丁万河两岸绿地养护</w:t>
      </w:r>
      <w:r>
        <w:rPr>
          <w:rFonts w:hint="eastAsia" w:ascii="宋体" w:hAnsi="宋体" w:cs="宋体"/>
          <w:color w:val="auto"/>
          <w:sz w:val="24"/>
          <w:szCs w:val="24"/>
          <w:highlight w:val="none"/>
        </w:rPr>
        <w:t xml:space="preserve"> </w:t>
      </w:r>
      <w:r/>
    </w:p>
    <w:p>
      <w:pPr>
        <w:spacing w:line="5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JSZC-320302-JSZR-G2026-0055</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详见苏采云系统。</w:t>
      </w:r>
      <w:r/>
    </w:p>
    <w:p>
      <w:pPr>
        <w:pStyle w:val="974"/>
        <w:ind w:left="1470" w:right="147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注：报价为养护期三年的总报价。</w:t>
      </w:r>
      <w:r/>
    </w:p>
    <w:p>
      <w:pPr>
        <w:pStyle w:val="974"/>
        <w:ind w:left="1470" w:right="147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1500"/>
        <w:spacing w:line="479"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（电子签章）</w:t>
      </w:r>
      <w:r/>
    </w:p>
    <w:p>
      <w:pPr>
        <w:ind w:firstLine="5100"/>
        <w:spacing w:line="479"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日期： 年 月 日</w:t>
      </w:r>
      <w:r/>
    </w:p>
    <w:p>
      <w:pPr>
        <w:spacing w:line="479"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r>
      <w:r/>
    </w:p>
    <w:p>
      <w:pPr>
        <w:jc w:val="center"/>
        <w:widowControl/>
        <w:rPr>
          <w:rFonts w:ascii="黑体" w:hAnsi="黑体" w:eastAsia="黑体"/>
          <w:color w:val="auto"/>
          <w:sz w:val="24"/>
          <w:szCs w:val="24"/>
          <w:highlight w:val="none"/>
        </w:rPr>
      </w:pPr>
      <w:r>
        <w:rPr>
          <w:rFonts w:hint="eastAsia" w:ascii="宋体" w:hAnsi="宋体" w:cs="宋体"/>
          <w:color w:val="auto"/>
          <w:sz w:val="24"/>
          <w:szCs w:val="24"/>
          <w:highlight w:val="none"/>
        </w:rPr>
        <w:br w:type="page" w:clear="all"/>
      </w:r>
      <w:r>
        <w:rPr>
          <w:rFonts w:hint="eastAsia" w:ascii="宋体" w:hAnsi="宋体" w:eastAsia="宋体" w:cs="宋体"/>
          <w:b/>
          <w:bCs/>
          <w:color w:val="auto"/>
          <w:sz w:val="24"/>
          <w:szCs w:val="24"/>
          <w:highlight w:val="none"/>
        </w:rPr>
        <w:t xml:space="preserve">三、分项价格表格式</w:t>
      </w:r>
      <w:r/>
    </w:p>
    <w:p>
      <w:pPr>
        <w:ind w:firstLine="600"/>
        <w:spacing w:line="480"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丁万河两岸绿地养护</w:t>
      </w:r>
      <w:r>
        <w:rPr>
          <w:rFonts w:hint="eastAsia" w:ascii="宋体" w:hAnsi="宋体" w:eastAsia="宋体" w:cs="宋体"/>
          <w:color w:val="auto"/>
          <w:sz w:val="24"/>
          <w:szCs w:val="24"/>
          <w:highlight w:val="none"/>
        </w:rPr>
        <w:t xml:space="preserve">  </w:t>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JSZC-320302-JSZR-G2026-0055</w:t>
      </w:r>
      <w:r>
        <w:rPr>
          <w:rFonts w:hint="eastAsia" w:ascii="宋体" w:hAnsi="宋体" w:eastAsia="宋体" w:cs="宋体"/>
          <w:color w:val="auto"/>
          <w:sz w:val="24"/>
          <w:szCs w:val="24"/>
          <w:highlight w:val="none"/>
        </w:rPr>
        <w:t xml:space="preserve">   </w:t>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货币单位：人民币元</w:t>
      </w:r>
      <w:r/>
    </w:p>
    <w:p>
      <w:pPr>
        <w:ind w:firstLine="6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格式自拟。</w:t>
      </w:r>
      <w:r/>
    </w:p>
    <w:p>
      <w:pPr>
        <w:ind w:firstLine="285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4"/>
        <w:ind w:left="1470" w:right="14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85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6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39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6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0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72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注：①如果不提供详细分项报价的，将视为没有实质性响应招标文件。</w:t>
      </w:r>
      <w:r>
        <w:rPr>
          <w:rFonts w:hint="eastAsia" w:ascii="宋体" w:hAnsi="宋体" w:cs="宋体"/>
          <w:color w:val="auto"/>
          <w:sz w:val="24"/>
          <w:szCs w:val="24"/>
          <w:highlight w:val="none"/>
          <w:lang w:val="en-US" w:eastAsia="zh-CN"/>
        </w:rPr>
        <w:t xml:space="preserve"> </w:t>
      </w:r>
      <w:r>
        <w:rPr>
          <w:rFonts w:hint="eastAsia" w:ascii="宋体" w:hAnsi="宋体" w:cs="宋体"/>
          <w:b/>
          <w:bCs/>
          <w:color w:val="auto"/>
          <w:sz w:val="24"/>
          <w:szCs w:val="24"/>
          <w:highlight w:val="none"/>
          <w:lang w:val="en-US" w:eastAsia="zh-CN"/>
        </w:rPr>
        <w:t xml:space="preserve">详细的分项价格表中至少包含服务项目名称、服务事项、单价、总价等内容。 </w:t>
      </w:r>
      <w:r>
        <w:rPr>
          <w:rFonts w:hint="eastAsia" w:ascii="宋体" w:hAnsi="宋体" w:eastAsia="宋体" w:cs="宋体"/>
          <w:color w:val="auto"/>
          <w:sz w:val="24"/>
          <w:szCs w:val="24"/>
          <w:highlight w:val="none"/>
        </w:rPr>
        <w:t xml:space="preserve">②投标人对以上数据的真实性负责。</w:t>
      </w:r>
      <w:r/>
    </w:p>
    <w:p>
      <w:pPr>
        <w:ind w:firstLine="964"/>
        <w:spacing w:line="4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采购人或采购代理机构有权将以上内容进行公示。</w:t>
      </w:r>
      <w:r/>
    </w:p>
    <w:p>
      <w:pPr>
        <w:jc w:val="cente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、偏离表格式</w:t>
      </w:r>
      <w:r/>
    </w:p>
    <w:p>
      <w:pPr>
        <w:ind w:firstLine="60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48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丁万河两岸绿地养护</w:t>
      </w:r>
      <w:r/>
    </w:p>
    <w:p>
      <w:pPr>
        <w:spacing w:line="480" w:lineRule="exact"/>
        <w:rPr>
          <w:rFonts w:hint="eastAsia" w:ascii="宋体" w:hAnsi="宋体" w:eastAsia="宋体" w:cs="宋体"/>
          <w:color w:val="auto"/>
          <w:sz w:val="24"/>
          <w:szCs w:val="24"/>
          <w:highlight w:val="none"/>
          <w:u w:val="single"/>
          <w:lang w:eastAsia="zh-CN"/>
        </w:rPr>
      </w:pP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JSZC-320302-JSZR-G2026-0055</w:t>
      </w:r>
      <w:r/>
    </w:p>
    <w:p>
      <w:pPr>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r>
      <w:r/>
    </w:p>
    <w:tbl>
      <w:tblPr>
        <w:tblStyle w:val="7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jc w:val="center"/>
              <w:rPr>
                <w:rFonts w:hint="eastAsia" w:ascii="宋体" w:hAnsi="宋体" w:cs="宋体"/>
                <w:caps/>
                <w:color w:val="auto"/>
                <w:sz w:val="24"/>
                <w:szCs w:val="24"/>
                <w:highlight w:val="none"/>
              </w:rPr>
            </w:pPr>
            <w:r>
              <w:rPr>
                <w:rFonts w:hint="eastAsia" w:ascii="宋体" w:hAnsi="宋体" w:cs="宋体"/>
                <w:caps/>
                <w:color w:val="auto"/>
                <w:sz w:val="24"/>
                <w:szCs w:val="24"/>
                <w:highlight w:val="none"/>
              </w:rPr>
              <w:t xml:space="preserve">序号</w:t>
            </w:r>
            <w:r/>
          </w:p>
        </w:tc>
        <w:tc>
          <w:tcPr>
            <w:tcW w:w="1404" w:type="dxa"/>
            <w:vAlign w:val="center"/>
            <w:textDirection w:val="lrTb"/>
            <w:noWrap w:val="false"/>
          </w:tcPr>
          <w:p>
            <w:pPr>
              <w:jc w:val="center"/>
              <w:rPr>
                <w:rFonts w:hint="eastAsia" w:ascii="宋体" w:hAnsi="宋体" w:cs="宋体"/>
                <w:caps/>
                <w:color w:val="auto"/>
                <w:sz w:val="24"/>
                <w:szCs w:val="24"/>
                <w:highlight w:val="none"/>
              </w:rPr>
            </w:pPr>
            <w:r>
              <w:rPr>
                <w:rFonts w:hint="eastAsia" w:ascii="宋体" w:hAnsi="宋体" w:cs="宋体"/>
                <w:caps/>
                <w:color w:val="auto"/>
                <w:sz w:val="24"/>
                <w:szCs w:val="24"/>
                <w:highlight w:val="none"/>
              </w:rPr>
              <w:t xml:space="preserve">偏离内容</w:t>
            </w:r>
            <w:r/>
          </w:p>
        </w:tc>
        <w:tc>
          <w:tcPr>
            <w:tcW w:w="1476" w:type="dxa"/>
            <w:vAlign w:val="center"/>
            <w:textDirection w:val="lrTb"/>
            <w:noWrap w:val="false"/>
          </w:tcPr>
          <w:p>
            <w:pPr>
              <w:jc w:val="center"/>
              <w:rPr>
                <w:rFonts w:hint="eastAsia" w:ascii="宋体" w:hAnsi="宋体" w:cs="宋体"/>
                <w:caps/>
                <w:color w:val="auto"/>
                <w:sz w:val="24"/>
                <w:szCs w:val="24"/>
                <w:highlight w:val="none"/>
              </w:rPr>
            </w:pPr>
            <w:r>
              <w:rPr>
                <w:rFonts w:hint="eastAsia" w:ascii="宋体" w:hAnsi="宋体" w:cs="宋体"/>
                <w:color w:val="auto"/>
                <w:sz w:val="24"/>
                <w:szCs w:val="24"/>
                <w:highlight w:val="none"/>
              </w:rPr>
              <w:t xml:space="preserve">招标文件的要求</w:t>
            </w:r>
            <w:r/>
          </w:p>
        </w:tc>
        <w:tc>
          <w:tcPr>
            <w:tcW w:w="1620" w:type="dxa"/>
            <w:vAlign w:val="center"/>
            <w:textDirection w:val="lrTb"/>
            <w:noWrap w:val="false"/>
          </w:tcPr>
          <w:p>
            <w:pPr>
              <w:jc w:val="center"/>
              <w:rPr>
                <w:rFonts w:hint="eastAsia" w:ascii="宋体" w:hAnsi="宋体" w:cs="宋体"/>
                <w:caps/>
                <w:color w:val="auto"/>
                <w:sz w:val="24"/>
                <w:szCs w:val="24"/>
                <w:highlight w:val="none"/>
              </w:rPr>
            </w:pPr>
            <w:r>
              <w:rPr>
                <w:rFonts w:hint="eastAsia" w:ascii="宋体" w:hAnsi="宋体" w:cs="宋体"/>
                <w:color w:val="auto"/>
                <w:sz w:val="24"/>
                <w:szCs w:val="24"/>
                <w:highlight w:val="none"/>
              </w:rPr>
              <w:t xml:space="preserve">投标文件中的内容</w:t>
            </w:r>
            <w:r/>
          </w:p>
        </w:tc>
        <w:tc>
          <w:tcPr>
            <w:tcW w:w="1260" w:type="dxa"/>
            <w:vAlign w:val="center"/>
            <w:textDirection w:val="lrTb"/>
            <w:noWrap w:val="false"/>
          </w:tcPr>
          <w:p>
            <w:pPr>
              <w:jc w:val="center"/>
              <w:rPr>
                <w:rFonts w:hint="eastAsia" w:ascii="宋体" w:hAnsi="宋体" w:cs="宋体"/>
                <w:caps/>
                <w:color w:val="auto"/>
                <w:sz w:val="24"/>
                <w:szCs w:val="24"/>
                <w:highlight w:val="none"/>
              </w:rPr>
            </w:pPr>
            <w:r>
              <w:rPr>
                <w:rFonts w:hint="eastAsia" w:ascii="宋体" w:hAnsi="宋体" w:cs="宋体"/>
                <w:caps/>
                <w:color w:val="auto"/>
                <w:sz w:val="24"/>
                <w:szCs w:val="24"/>
                <w:highlight w:val="none"/>
              </w:rPr>
              <w:t xml:space="preserve">（正/负/无）偏离</w:t>
            </w:r>
            <w:r/>
          </w:p>
        </w:tc>
        <w:tc>
          <w:tcPr>
            <w:tcW w:w="2520" w:type="dxa"/>
            <w:vAlign w:val="center"/>
            <w:textDirection w:val="lrTb"/>
            <w:noWrap w:val="false"/>
          </w:tcPr>
          <w:p>
            <w:pPr>
              <w:jc w:val="center"/>
              <w:rPr>
                <w:rFonts w:hint="eastAsia" w:ascii="宋体" w:hAnsi="宋体" w:cs="宋体"/>
                <w:caps/>
                <w:color w:val="auto"/>
                <w:sz w:val="24"/>
                <w:szCs w:val="24"/>
                <w:highlight w:val="none"/>
              </w:rPr>
            </w:pPr>
            <w:r>
              <w:rPr>
                <w:rFonts w:hint="eastAsia" w:ascii="宋体" w:hAnsi="宋体" w:cs="宋体"/>
                <w:caps/>
                <w:color w:val="auto"/>
                <w:sz w:val="24"/>
                <w:szCs w:val="24"/>
                <w:highlight w:val="none"/>
              </w:rPr>
              <w:t xml:space="preserve">说明</w:t>
            </w:r>
            <w:r/>
          </w:p>
        </w:tc>
      </w:tr>
      <w:tr>
        <w:trPr>
          <w:trHeight w:val="794"/>
        </w:trPr>
        <w:tc>
          <w:tcPr>
            <w:tcW w:w="72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04"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76"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62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6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52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794"/>
        </w:trPr>
        <w:tc>
          <w:tcPr>
            <w:tcW w:w="72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04"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76"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62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6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52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794"/>
        </w:trPr>
        <w:tc>
          <w:tcPr>
            <w:tcW w:w="72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04"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76"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62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6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52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794"/>
        </w:trPr>
        <w:tc>
          <w:tcPr>
            <w:tcW w:w="72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04"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76"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62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6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52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794"/>
        </w:trPr>
        <w:tc>
          <w:tcPr>
            <w:tcW w:w="72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04"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76"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62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6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52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794"/>
        </w:trPr>
        <w:tc>
          <w:tcPr>
            <w:tcW w:w="72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04"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76"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62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6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520" w:type="dxa"/>
            <w:vAlign w:val="top"/>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r>
      <w:r/>
    </w:p>
    <w:p>
      <w:pPr>
        <w:ind w:firstLine="602"/>
        <w:spacing w:line="440" w:lineRule="exact"/>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注</w:t>
      </w:r>
      <w:r>
        <w:rPr>
          <w:rFonts w:hint="eastAsia" w:ascii="宋体" w:hAnsi="宋体" w:cs="宋体"/>
          <w:color w:val="auto"/>
          <w:sz w:val="24"/>
          <w:szCs w:val="24"/>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30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2850"/>
        <w:spacing w:line="30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（电子签章）</w:t>
      </w:r>
      <w:r/>
    </w:p>
    <w:p>
      <w:pPr>
        <w:ind w:firstLine="600"/>
        <w:spacing w:line="30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390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ind w:firstLine="60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60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jc w:val="center"/>
        <w:widowControl/>
        <w:rPr>
          <w:rFonts w:hint="eastAsia" w:ascii="宋体" w:hAnsi="宋体" w:cs="宋体"/>
          <w:color w:val="auto"/>
          <w:sz w:val="24"/>
          <w:szCs w:val="24"/>
          <w:highlight w:val="none"/>
        </w:rPr>
      </w:pPr>
      <w:r>
        <w:rPr>
          <w:rFonts w:hint="eastAsia" w:ascii="宋体" w:hAnsi="宋体" w:cs="宋体"/>
          <w:bCs/>
          <w:color w:val="auto"/>
          <w:sz w:val="24"/>
          <w:szCs w:val="24"/>
          <w:highlight w:val="none"/>
        </w:rPr>
        <w:br w:type="page" w:clear="all"/>
      </w:r>
      <w:r>
        <w:rPr>
          <w:rFonts w:hint="eastAsia" w:ascii="宋体" w:hAnsi="宋体" w:cs="宋体"/>
          <w:b/>
          <w:bCs w:val="0"/>
          <w:color w:val="auto"/>
          <w:sz w:val="24"/>
          <w:szCs w:val="24"/>
          <w:highlight w:val="none"/>
          <w:lang w:val="en-US" w:eastAsia="zh-CN"/>
        </w:rPr>
        <w:t xml:space="preserve">五</w:t>
      </w:r>
      <w:r>
        <w:rPr>
          <w:rFonts w:hint="eastAsia" w:ascii="宋体" w:hAnsi="宋体" w:eastAsia="宋体" w:cs="宋体"/>
          <w:b/>
          <w:bCs w:val="0"/>
          <w:color w:val="auto"/>
          <w:sz w:val="24"/>
          <w:szCs w:val="24"/>
          <w:highlight w:val="none"/>
        </w:rPr>
        <w:t xml:space="preserve">、法定代表人授权书格式</w:t>
      </w:r>
      <w:r/>
    </w:p>
    <w:p>
      <w:pP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委托人：</w:t>
      </w:r>
      <w:r/>
    </w:p>
    <w:p>
      <w:pP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w:t>
      </w:r>
      <w:r/>
    </w:p>
    <w:p>
      <w:pP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               职务：</w:t>
      </w:r>
      <w:r/>
    </w:p>
    <w:p>
      <w:pP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统一社会信用代码：</w:t>
      </w:r>
      <w:r/>
    </w:p>
    <w:p>
      <w:pP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受托人：                   性别：男（女）  </w:t>
      </w:r>
      <w:r/>
    </w:p>
    <w:p>
      <w:pP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年龄：  岁                 民族：   族</w:t>
      </w:r>
      <w:r/>
    </w:p>
    <w:p>
      <w:pP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职务：</w:t>
      </w:r>
      <w:r/>
    </w:p>
    <w:p>
      <w:pP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身份证号：</w:t>
      </w:r>
      <w:r/>
    </w:p>
    <w:p>
      <w:pPr>
        <w:ind w:firstLine="60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兹委托（       ）全权代表我企业（公司）参与（</w:t>
      </w:r>
      <w:r>
        <w:rPr>
          <w:rFonts w:hint="eastAsia" w:ascii="宋体" w:hAnsi="宋体" w:cs="宋体"/>
          <w:color w:val="auto"/>
          <w:sz w:val="24"/>
          <w:szCs w:val="24"/>
          <w:highlight w:val="none"/>
          <w:lang w:eastAsia="zh-CN"/>
        </w:rPr>
        <w:t xml:space="preserve">丁万河两岸绿地养护</w:t>
      </w:r>
      <w:r>
        <w:rPr>
          <w:rFonts w:hint="eastAsia" w:ascii="宋体" w:hAnsi="宋体" w:cs="宋体"/>
          <w:color w:val="auto"/>
          <w:sz w:val="24"/>
          <w:szCs w:val="24"/>
          <w:highlight w:val="none"/>
        </w:rPr>
        <w:t xml:space="preserve">）项目（项目编号：</w:t>
      </w:r>
      <w:r>
        <w:rPr>
          <w:rFonts w:hint="eastAsia" w:ascii="宋体" w:hAnsi="宋体" w:cs="宋体"/>
          <w:color w:val="auto"/>
          <w:sz w:val="24"/>
          <w:szCs w:val="24"/>
          <w:highlight w:val="none"/>
          <w:lang w:eastAsia="zh-CN"/>
        </w:rPr>
        <w:t xml:space="preserve">JSZC-320302-JSZR-G2026-0055</w:t>
      </w:r>
      <w:r>
        <w:rPr>
          <w:rFonts w:hint="eastAsia" w:ascii="宋体" w:hAnsi="宋体" w:cs="宋体"/>
          <w:color w:val="auto"/>
          <w:sz w:val="24"/>
          <w:szCs w:val="24"/>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特此授权委托。</w:t>
      </w:r>
      <w:r/>
    </w:p>
    <w:p>
      <w:pPr>
        <w:ind w:firstLine="60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委托人（电子签章）：         受托人（签字或盖章）：</w:t>
      </w:r>
      <w:r/>
    </w:p>
    <w:p>
      <w:pPr>
        <w:ind w:firstLine="60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法定代表人（签字或盖章）： </w:t>
      </w:r>
      <w:r/>
    </w:p>
    <w:p>
      <w:pPr>
        <w:ind w:right="600"/>
        <w:jc w:val="right"/>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年   月   日 </w:t>
      </w:r>
      <w:r/>
    </w:p>
    <w:p>
      <w:pP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(受托人身份证扫描件或复印件附后)</w:t>
      </w:r>
      <w:r/>
    </w:p>
    <w:p>
      <w:pPr>
        <w:ind w:firstLine="447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447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47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47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rPr>
          <w:rFonts w:hint="eastAsia" w:ascii="宋体" w:hAnsi="宋体" w:cs="宋体"/>
          <w:b/>
          <w:bCs/>
          <w:color w:val="auto"/>
          <w:sz w:val="24"/>
          <w:szCs w:val="24"/>
          <w:highlight w:val="none"/>
          <w:lang w:val="en-US" w:eastAsia="zh-CN"/>
        </w:rPr>
        <w:t xml:space="preserve">六</w:t>
      </w:r>
      <w:r>
        <w:rPr>
          <w:rFonts w:hint="eastAsia" w:ascii="宋体" w:hAnsi="宋体" w:cs="宋体"/>
          <w:b/>
          <w:bCs/>
          <w:color w:val="auto"/>
          <w:sz w:val="24"/>
          <w:szCs w:val="24"/>
          <w:highlight w:val="none"/>
        </w:rPr>
        <w:t xml:space="preserve">、中小企业声明函格式</w:t>
      </w:r>
      <w:r/>
    </w:p>
    <w:p>
      <w:pPr>
        <w:spacing w:line="48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lang w:val="en-US" w:eastAsia="zh-CN"/>
        </w:rPr>
        <w:t xml:space="preserve">JSZC-320302-JSZR-G2026-0055</w:t>
      </w:r>
      <w:r/>
    </w:p>
    <w:p>
      <w:pPr>
        <w:spacing w:line="48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lang w:eastAsia="zh-CN"/>
        </w:rPr>
        <w:t xml:space="preserve">丁万河两岸绿地养护 </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本公司郑重声明，根据《政府采购促进中小企业发展管理办法》（财库〔2020〕46号）的规定，本公司参加（</w:t>
      </w:r>
      <w:r>
        <w:rPr>
          <w:rFonts w:hint="eastAsia" w:ascii="仿宋" w:hAnsi="仿宋" w:eastAsia="仿宋" w:cs="仿宋"/>
          <w:color w:val="auto"/>
          <w:sz w:val="24"/>
          <w:highlight w:val="none"/>
          <w:u w:val="single"/>
        </w:rPr>
        <w:t xml:space="preserve">徐州市鼓楼区园林工程处</w:t>
      </w:r>
      <w:r>
        <w:rPr>
          <w:rFonts w:hint="eastAsia" w:ascii="仿宋" w:hAnsi="仿宋" w:eastAsia="仿宋" w:cs="仿宋"/>
          <w:color w:val="auto"/>
          <w:sz w:val="24"/>
          <w:highlight w:val="none"/>
        </w:rPr>
        <w:t xml:space="preserve">）的（</w:t>
      </w:r>
      <w:r>
        <w:rPr>
          <w:rFonts w:hint="eastAsia" w:ascii="仿宋" w:hAnsi="仿宋" w:eastAsia="仿宋" w:cs="仿宋"/>
          <w:color w:val="auto"/>
          <w:sz w:val="24"/>
          <w:highlight w:val="none"/>
          <w:u w:val="single"/>
          <w:lang w:eastAsia="zh-CN"/>
        </w:rPr>
        <w:t xml:space="preserve">丁万河两岸绿地养护 </w:t>
      </w:r>
      <w:r>
        <w:rPr>
          <w:rFonts w:hint="eastAsia" w:ascii="仿宋" w:hAnsi="仿宋" w:eastAsia="仿宋" w:cs="仿宋"/>
          <w:color w:val="auto"/>
          <w:sz w:val="24"/>
          <w:highlight w:val="none"/>
        </w:rPr>
        <w:t xml:space="preserve">）采购活动，服务全部由符合政策要求的中小企业承接。相关企业 （含联合体中的中小企业、签订分包意向协议的中小企业 ）的具体情况如下：</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u w:val="single"/>
        </w:rPr>
        <w:t xml:space="preserve">（</w:t>
      </w:r>
      <w:r>
        <w:rPr>
          <w:rFonts w:hint="eastAsia" w:ascii="仿宋" w:hAnsi="仿宋" w:eastAsia="仿宋" w:cs="仿宋"/>
          <w:color w:val="auto"/>
          <w:sz w:val="24"/>
          <w:highlight w:val="none"/>
          <w:u w:val="single"/>
          <w:lang w:eastAsia="zh-CN"/>
        </w:rPr>
        <w:t xml:space="preserve">丁万河两岸绿地养护 </w:t>
      </w:r>
      <w:r>
        <w:rPr>
          <w:rFonts w:hint="eastAsia" w:ascii="仿宋" w:hAnsi="仿宋" w:eastAsia="仿宋" w:cs="仿宋"/>
          <w:color w:val="auto"/>
          <w:sz w:val="24"/>
          <w:highlight w:val="none"/>
        </w:rPr>
        <w:t xml:space="preserve">），属于</w:t>
      </w:r>
      <w:r>
        <w:rPr>
          <w:rFonts w:hint="eastAsia" w:ascii="仿宋" w:hAnsi="仿宋" w:eastAsia="仿宋" w:cs="仿宋"/>
          <w:b/>
          <w:bCs/>
          <w:color w:val="auto"/>
          <w:sz w:val="24"/>
          <w:highlight w:val="none"/>
          <w:u w:val="single"/>
        </w:rPr>
        <w:t xml:space="preserve">（其他未列明行业（居民服务、修理和其他服务业））</w:t>
      </w:r>
      <w:r>
        <w:rPr>
          <w:rFonts w:hint="eastAsia" w:ascii="仿宋" w:hAnsi="仿宋" w:eastAsia="仿宋" w:cs="仿宋"/>
          <w:color w:val="auto"/>
          <w:sz w:val="24"/>
          <w:highlight w:val="none"/>
        </w:rPr>
        <w:t xml:space="preserve">行业；承建（承接）企业为</w:t>
      </w:r>
      <w:r>
        <w:rPr>
          <w:rFonts w:hint="eastAsia" w:ascii="仿宋" w:hAnsi="仿宋" w:eastAsia="仿宋" w:cs="仿宋"/>
          <w:color w:val="auto"/>
          <w:sz w:val="24"/>
          <w:highlight w:val="none"/>
          <w:u w:val="single"/>
        </w:rPr>
        <w:t xml:space="preserve">   （企业名称）</w:t>
      </w:r>
      <w:r>
        <w:rPr>
          <w:rFonts w:hint="eastAsia" w:ascii="仿宋" w:hAnsi="仿宋" w:eastAsia="仿宋" w:cs="仿宋"/>
          <w:color w:val="auto"/>
          <w:sz w:val="24"/>
          <w:highlight w:val="none"/>
        </w:rPr>
        <w:t xml:space="preserve">，从业人员</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人，营业收入为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万元，资产总额为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万元，属于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（□中型企业、□小型企业、□微型企业，请填写或勾选！）。</w:t>
      </w:r>
      <w:r/>
    </w:p>
    <w:p>
      <w:pPr>
        <w:ind w:left="0" w:firstLine="560"/>
        <w:jc w:val="both"/>
        <w:spacing w:after="120" w:line="480" w:lineRule="exact"/>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以上企业，不属于大企业的分支机构，不存在控股股东为大企业的情形，也不存在与大企业的负责人为同一人的情形。</w:t>
      </w:r>
      <w:r/>
    </w:p>
    <w:p>
      <w:pPr>
        <w:ind w:firstLine="56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本企业对上述声明内容的真实性负责。如有虚假，将依法承担相应责任。</w:t>
      </w:r>
      <w:r/>
    </w:p>
    <w:p>
      <w:pPr>
        <w:ind w:left="0"/>
        <w:jc w:val="both"/>
        <w:spacing w:after="120" w:line="480" w:lineRule="exact"/>
        <w:widowControl w:val="off"/>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r>
      <w:r/>
    </w:p>
    <w:p>
      <w:pPr>
        <w:ind w:left="420"/>
        <w:jc w:val="both"/>
        <w:spacing w:after="120" w:line="480" w:lineRule="exact"/>
        <w:widowControl w:val="off"/>
        <w:rPr>
          <w:rFonts w:hint="default"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企业名称（电子签章）：</w:t>
      </w:r>
      <w:r/>
    </w:p>
    <w:p>
      <w:pPr>
        <w:ind w:left="420"/>
        <w:jc w:val="both"/>
        <w:spacing w:after="120" w:line="480" w:lineRule="exact"/>
        <w:widowControl w:val="off"/>
        <w:rPr>
          <w:rFonts w:hint="default"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日期：  年  月  日</w:t>
      </w:r>
      <w:r/>
    </w:p>
    <w:p>
      <w:pPr>
        <w:ind w:firstLine="482"/>
        <w:spacing w:line="360" w:lineRule="auto"/>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注：本项目采购项目属性为：</w:t>
      </w:r>
      <w:r>
        <w:rPr>
          <w:rFonts w:hint="eastAsia" w:ascii="仿宋" w:hAnsi="仿宋" w:eastAsia="仿宋" w:cs="仿宋"/>
          <w:b/>
          <w:color w:val="auto"/>
          <w:sz w:val="24"/>
          <w:highlight w:val="none"/>
          <w:u w:val="single"/>
        </w:rPr>
        <w:t xml:space="preserve">其他未列明行业（居民服务、修理和其他服务业）</w:t>
      </w:r>
      <w:r>
        <w:rPr>
          <w:rFonts w:hint="eastAsia" w:ascii="仿宋" w:hAnsi="仿宋" w:eastAsia="仿宋" w:cs="仿宋"/>
          <w:b/>
          <w:color w:val="auto"/>
          <w:sz w:val="24"/>
          <w:highlight w:val="none"/>
        </w:rPr>
        <w:t xml:space="preserve">。</w:t>
      </w:r>
      <w:r/>
    </w:p>
    <w:p>
      <w:pPr>
        <w:ind w:firstLine="482"/>
        <w:spacing w:line="360" w:lineRule="auto"/>
        <w:rPr>
          <w:rFonts w:ascii="仿宋" w:hAnsi="仿宋" w:eastAsia="仿宋" w:cs="仿宋"/>
          <w:color w:val="auto"/>
          <w:sz w:val="24"/>
          <w:highlight w:val="none"/>
        </w:rPr>
      </w:pPr>
      <w:r>
        <w:rPr>
          <w:rFonts w:hint="eastAsia" w:ascii="仿宋" w:hAnsi="仿宋" w:eastAsia="仿宋" w:cs="仿宋"/>
          <w:b/>
          <w:color w:val="auto"/>
          <w:sz w:val="24"/>
          <w:highlight w:val="none"/>
        </w:rPr>
        <w:t xml:space="preserve">备注：从业人员、营业收入、资产总额填报上一年度数据，无上一年度数据的新成立企业可不填报。</w:t>
      </w:r>
      <w:r/>
    </w:p>
    <w:p>
      <w:pPr>
        <w:pStyle w:val="997"/>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pStyle w:val="997"/>
        <w:ind w:firstLine="602"/>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pStyle w:val="997"/>
        <w:ind w:firstLine="602"/>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说明：</w:t>
      </w:r>
      <w:r/>
    </w:p>
    <w:p>
      <w:pPr>
        <w:ind w:firstLine="602"/>
        <w:spacing w:line="4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602"/>
        <w:spacing w:line="4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2.从业人员、营业收入、资产总额填报供应商上一年度数据，无上一年度数据的新成立企业可不填报。</w:t>
      </w:r>
      <w:r/>
    </w:p>
    <w:p>
      <w:pPr>
        <w:ind w:firstLine="602"/>
        <w:spacing w:line="4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3.</w:t>
      </w:r>
      <w:r>
        <w:rPr>
          <w:rFonts w:hint="eastAsia" w:ascii="宋体" w:hAnsi="宋体" w:cs="宋体"/>
          <w:b/>
          <w:bCs/>
          <w:color w:val="auto"/>
          <w:sz w:val="24"/>
          <w:szCs w:val="24"/>
          <w:highlight w:val="none"/>
          <w:lang w:eastAsia="zh-CN"/>
        </w:rPr>
        <w:t xml:space="preserve">中标</w:t>
      </w:r>
      <w:r>
        <w:rPr>
          <w:rFonts w:hint="eastAsia" w:ascii="宋体" w:hAnsi="宋体" w:cs="宋体"/>
          <w:b/>
          <w:bCs/>
          <w:color w:val="auto"/>
          <w:sz w:val="24"/>
          <w:szCs w:val="24"/>
          <w:highlight w:val="none"/>
        </w:rPr>
        <w:t xml:space="preserve">供应商为小型、微型企业的，采购人或者其委托的采购代理机构有权随中标、成交结果同时公告其《中小企业声明函》，接受社会监督。</w:t>
      </w:r>
      <w:r/>
    </w:p>
    <w:p>
      <w:pPr>
        <w:ind w:firstLine="602"/>
        <w:spacing w:line="4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4.执行江苏省财政厅关于进一步加大政府采购支持中小企业力度的通知（苏财购〔2022〕45号）的规定。</w:t>
      </w:r>
      <w:r/>
    </w:p>
    <w:p>
      <w:pPr>
        <w:ind w:firstLine="602"/>
        <w:spacing w:line="4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5.供应商提供的《中小企业声明函》与事实不符的，依照《政府采购法》第七十七条第一款的规定追究法律责任。</w:t>
      </w:r>
      <w:r/>
    </w:p>
    <w:p>
      <w:pPr>
        <w:ind w:firstLine="602"/>
        <w:spacing w:line="4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6.《中小企业声明函》查询渠道用微信搜索“中小企业规模类型自测小程序”。</w:t>
      </w:r>
      <w:r/>
    </w:p>
    <w:p>
      <w:pPr>
        <w:pStyle w:val="968"/>
        <w:rPr>
          <w:rFonts w:hint="eastAsia" w:ascii="宋体" w:hAnsi="宋体" w:cs="宋体"/>
          <w:color w:val="auto"/>
          <w:sz w:val="24"/>
          <w:szCs w:val="24"/>
          <w:highlight w:val="none"/>
        </w:rPr>
      </w:pPr>
      <w:r>
        <w:rPr>
          <w:rFonts w:hint="eastAsia" w:ascii="宋体" w:hAnsi="宋体" w:cs="宋体"/>
          <w:color w:val="auto"/>
          <w:sz w:val="24"/>
          <w:szCs w:val="24"/>
          <w:highlight w:val="none"/>
        </w:rPr>
        <mc:AlternateContent>
          <mc:Choice Requires="wpg">
            <w:drawing>
              <wp:inline xmlns:wp="http://schemas.openxmlformats.org/drawingml/2006/wordprocessingDrawing" distT="0" distB="0" distL="0" distR="0">
                <wp:extent cx="2331085" cy="4370070"/>
                <wp:effectExtent l="0" t="0" r="0" b="0"/>
                <wp:docPr id="4" name="图片 3"/>
                <wp:cNvGraphicFramePr/>
                <a:graphic xmlns:a="http://schemas.openxmlformats.org/drawingml/2006/main">
                  <a:graphicData uri="http://schemas.openxmlformats.org/drawingml/2006/picture">
                    <pic:pic xmlns:pic="http://schemas.openxmlformats.org/drawingml/2006/picture">
                      <pic:nvPicPr>
                        <pic:cNvPr id="4" name="图片 3"/>
                        <pic:cNvPicPr/>
                        <pic:nvPr/>
                      </pic:nvPicPr>
                      <pic:blipFill>
                        <a:blip r:embed="rId17"/>
                        <a:srcRect l="0" t="4498" r="0" b="0"/>
                        <a:stretch/>
                      </pic:blipFill>
                      <pic:spPr bwMode="auto">
                        <a:xfrm>
                          <a:off x="0" y="0"/>
                          <a:ext cx="2331301" cy="43704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83.5pt;height:344.1pt;mso-wrap-distance-left:0.0pt;mso-wrap-distance-top:0.0pt;mso-wrap-distance-right:0.0pt;mso-wrap-distance-bottom:0.0pt;" stroked="f">
                <v:path textboxrect="0,0,0,0"/>
                <v:imagedata r:id="rId17" o:title=""/>
              </v:shape>
            </w:pict>
          </mc:Fallback>
        </mc:AlternateContent>
      </w:r>
      <w:r/>
    </w:p>
    <w:p>
      <w:pPr>
        <w:jc w:val="center"/>
        <w:spacing w:line="480" w:lineRule="exact"/>
        <w:rPr>
          <w:rFonts w:hint="eastAsia" w:ascii="宋体" w:hAnsi="宋体" w:cs="宋体"/>
          <w:b/>
          <w:color w:val="auto"/>
          <w:spacing w:val="6"/>
          <w:sz w:val="24"/>
          <w:szCs w:val="24"/>
          <w:highlight w:val="none"/>
        </w:rPr>
      </w:pPr>
      <w:r>
        <w:rPr>
          <w:rFonts w:hint="eastAsia" w:ascii="宋体" w:hAnsi="宋体" w:cs="宋体"/>
          <w:color w:val="auto"/>
          <w:sz w:val="24"/>
          <w:szCs w:val="24"/>
          <w:highlight w:val="none"/>
        </w:rPr>
        <w:br w:type="page" w:clear="all"/>
      </w:r>
      <w:r>
        <w:rPr>
          <w:rFonts w:hint="eastAsia" w:ascii="宋体" w:hAnsi="宋体" w:cs="宋体"/>
          <w:b/>
          <w:bCs/>
          <w:color w:val="auto"/>
          <w:sz w:val="24"/>
          <w:szCs w:val="24"/>
          <w:highlight w:val="none"/>
          <w:lang w:val="en-US" w:eastAsia="zh-CN"/>
        </w:rPr>
        <w:t xml:space="preserve">七</w:t>
      </w:r>
      <w:r>
        <w:rPr>
          <w:rFonts w:hint="eastAsia" w:ascii="宋体" w:hAnsi="宋体" w:cs="宋体"/>
          <w:b/>
          <w:bCs/>
          <w:color w:val="auto"/>
          <w:sz w:val="24"/>
          <w:szCs w:val="24"/>
          <w:highlight w:val="none"/>
        </w:rPr>
        <w:t xml:space="preserve">、残疾人福利性单位声明函格式</w:t>
      </w:r>
      <w:r/>
    </w:p>
    <w:p>
      <w:pPr>
        <w:ind w:firstLine="624"/>
        <w:spacing w:line="480" w:lineRule="exact"/>
        <w:rPr>
          <w:rFonts w:hint="eastAsia" w:ascii="宋体" w:hAnsi="宋体" w:cs="宋体"/>
          <w:color w:val="auto"/>
          <w:spacing w:val="6"/>
          <w:sz w:val="24"/>
          <w:szCs w:val="24"/>
          <w:highlight w:val="none"/>
        </w:rPr>
      </w:pPr>
      <w:r>
        <w:rPr>
          <w:rFonts w:hint="eastAsia" w:ascii="宋体" w:hAnsi="宋体" w:eastAsia="宋体" w:cs="宋体"/>
          <w:color w:val="auto"/>
          <w:spacing w:val="6"/>
          <w:sz w:val="28"/>
          <w:szCs w:val="28"/>
          <w:highlight w:val="none"/>
        </w:rPr>
        <w:t xml:space="preserve">（如投标人不属于残疾人福利性单位不需要提供此声明函）</w:t>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丁万河两岸绿地养护</w:t>
      </w:r>
      <w:r>
        <w:rPr>
          <w:rFonts w:hint="eastAsia" w:ascii="宋体" w:hAnsi="宋体" w:eastAsia="宋体" w:cs="宋体"/>
          <w:color w:val="auto"/>
          <w:sz w:val="24"/>
          <w:szCs w:val="24"/>
          <w:highlight w:val="none"/>
        </w:rPr>
        <w:t xml:space="preserve"> </w:t>
      </w:r>
      <w:r/>
    </w:p>
    <w:p>
      <w:pPr>
        <w:spacing w:line="480" w:lineRule="exact"/>
        <w:rPr>
          <w:rFonts w:hint="eastAsia" w:ascii="宋体" w:hAnsi="宋体" w:eastAsia="宋体" w:cs="宋体"/>
          <w:color w:val="auto"/>
          <w:spacing w:val="6"/>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JSZC-320302-JSZR-G2026-0055</w:t>
      </w:r>
      <w:r/>
    </w:p>
    <w:p>
      <w:pPr>
        <w:ind w:firstLine="624"/>
        <w:spacing w:line="480"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szCs w:val="24"/>
          <w:highlight w:val="none"/>
        </w:rPr>
        <w:t xml:space="preserve">〔2017〕 141</w:t>
      </w:r>
      <w:r>
        <w:rPr>
          <w:rFonts w:hint="eastAsia" w:ascii="宋体" w:hAnsi="宋体" w:cs="宋体"/>
          <w:color w:val="auto"/>
          <w:spacing w:val="6"/>
          <w:sz w:val="24"/>
          <w:szCs w:val="24"/>
          <w:highlight w:val="none"/>
        </w:rPr>
        <w:t xml:space="preserve">号）的规定，本单位为符合条件的残疾人福利性单位，且本单位参加</w:t>
      </w:r>
      <w:r>
        <w:rPr>
          <w:rFonts w:hint="eastAsia" w:ascii="宋体" w:hAnsi="宋体" w:cs="宋体"/>
          <w:color w:val="auto"/>
          <w:sz w:val="24"/>
          <w:szCs w:val="24"/>
          <w:highlight w:val="none"/>
        </w:rPr>
        <w:t xml:space="preserve">______</w:t>
      </w:r>
      <w:r>
        <w:rPr>
          <w:rFonts w:hint="eastAsia" w:ascii="宋体" w:hAnsi="宋体" w:cs="宋体"/>
          <w:color w:val="auto"/>
          <w:spacing w:val="6"/>
          <w:sz w:val="24"/>
          <w:szCs w:val="24"/>
          <w:highlight w:val="none"/>
        </w:rPr>
        <w:t xml:space="preserve">单位的</w:t>
      </w:r>
      <w:r>
        <w:rPr>
          <w:rFonts w:hint="eastAsia" w:ascii="宋体" w:hAnsi="宋体" w:cs="宋体"/>
          <w:color w:val="auto"/>
          <w:sz w:val="24"/>
          <w:szCs w:val="24"/>
          <w:highlight w:val="none"/>
        </w:rPr>
        <w:t xml:space="preserve">______</w:t>
      </w:r>
      <w:r>
        <w:rPr>
          <w:rFonts w:hint="eastAsia" w:ascii="宋体" w:hAnsi="宋体" w:cs="宋体"/>
          <w:color w:val="auto"/>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本单位对上述声明的真实性负责。如有虚假，将依法承担相应责任。</w:t>
      </w:r>
      <w:r/>
    </w:p>
    <w:p>
      <w:pPr>
        <w:ind w:firstLine="624"/>
        <w:spacing w:line="480"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r>
      <w:r/>
    </w:p>
    <w:p>
      <w:pPr>
        <w:ind w:firstLine="624"/>
        <w:spacing w:line="480"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r>
      <w:r/>
    </w:p>
    <w:p>
      <w:pPr>
        <w:ind w:firstLine="255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（电子签章）  </w:t>
      </w:r>
      <w:r/>
    </w:p>
    <w:p>
      <w:pPr>
        <w:ind w:firstLine="450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50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ind w:firstLine="624"/>
        <w:spacing w:line="480"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r>
      <w:r/>
    </w:p>
    <w:p>
      <w:pPr>
        <w:ind w:firstLine="624"/>
        <w:spacing w:line="480"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说明：</w:t>
      </w:r>
      <w:r/>
    </w:p>
    <w:p>
      <w:pPr>
        <w:ind w:firstLine="624"/>
        <w:spacing w:line="480"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中标、成交供应商为残疾人福利性单位的，采购人或者其委托的采购代理机构应当随中标、成交结果同时公告其《残疾人福利性单位声明函》，接受社会监督。</w:t>
      </w:r>
      <w:r/>
    </w:p>
    <w:p>
      <w:pPr>
        <w:ind w:firstLine="624"/>
        <w:spacing w:line="480"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供应商提供的《残疾人福利性单位声明函》与事实不符的，依照《政府采购法》第七十七条第一款的规定追究法律责任。</w:t>
      </w:r>
      <w:r/>
    </w:p>
    <w:p>
      <w:pP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60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rPr>
          <w:rFonts w:hint="eastAsia" w:ascii="宋体" w:hAnsi="宋体" w:cs="宋体"/>
          <w:b/>
          <w:bCs/>
          <w:color w:val="auto"/>
          <w:sz w:val="24"/>
          <w:szCs w:val="24"/>
          <w:highlight w:val="none"/>
          <w:lang w:val="en-US" w:eastAsia="zh-CN"/>
        </w:rPr>
        <w:t xml:space="preserve">八</w:t>
      </w:r>
      <w:r>
        <w:rPr>
          <w:rFonts w:hint="eastAsia" w:ascii="宋体" w:hAnsi="宋体" w:cs="宋体"/>
          <w:b/>
          <w:bCs/>
          <w:color w:val="auto"/>
          <w:sz w:val="24"/>
          <w:szCs w:val="24"/>
          <w:highlight w:val="none"/>
        </w:rPr>
        <w:t xml:space="preserve">、投标人参加政府采购活动前3年内在经营活动中没有重大违法记录的书面声明格式</w:t>
      </w:r>
      <w:r/>
    </w:p>
    <w:p>
      <w:pPr>
        <w:ind w:firstLine="60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60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我单位在参加</w:t>
      </w:r>
      <w:r>
        <w:rPr>
          <w:rFonts w:hint="eastAsia" w:ascii="宋体" w:hAnsi="宋体" w:cs="宋体"/>
          <w:color w:val="auto"/>
          <w:sz w:val="24"/>
          <w:szCs w:val="24"/>
          <w:highlight w:val="none"/>
          <w:lang w:eastAsia="zh-CN"/>
        </w:rPr>
        <w:t xml:space="preserve">丁万河两岸绿地养护</w:t>
      </w: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JSZC-320302-JSZR-G2026-0055</w:t>
      </w:r>
      <w:r>
        <w:rPr>
          <w:rFonts w:hint="eastAsia" w:ascii="宋体" w:hAnsi="宋体" w:cs="宋体"/>
          <w:color w:val="auto"/>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986"/>
        <w:ind w:firstLine="600"/>
        <w:spacing w:before="0" w:beforeAutospacing="0" w:after="0" w:afterAutospacing="0" w:line="480" w:lineRule="exact"/>
        <w:rPr>
          <w:rFonts w:hint="eastAsia"/>
          <w:color w:val="auto"/>
          <w:sz w:val="24"/>
          <w:szCs w:val="24"/>
          <w:highlight w:val="none"/>
        </w:rPr>
      </w:pPr>
      <w:r>
        <w:rPr>
          <w:rFonts w:hint="eastAsia"/>
          <w:color w:val="auto"/>
          <w:sz w:val="24"/>
          <w:szCs w:val="24"/>
          <w:highlight w:val="none"/>
        </w:rPr>
        <w:t xml:space="preserve">我单位对上述声明的真实性负责。如有虚假，将依法承担相应责任。</w:t>
      </w:r>
      <w:r/>
    </w:p>
    <w:p>
      <w:pP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285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（电子签章）  </w:t>
      </w:r>
      <w:r/>
    </w:p>
    <w:p>
      <w:pPr>
        <w:ind w:firstLine="450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95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pStyle w:val="983"/>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pStyle w:val="968"/>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83"/>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pStyle w:val="968"/>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83"/>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pStyle w:val="968"/>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83"/>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pStyle w:val="968"/>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83"/>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pStyle w:val="968"/>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83"/>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pStyle w:val="968"/>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83"/>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pStyle w:val="968"/>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83"/>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line="480" w:lineRule="exact"/>
        <w:rPr>
          <w:rFonts w:hint="eastAsia" w:ascii="宋体" w:hAnsi="宋体" w:cs="宋体"/>
          <w:b/>
          <w:bCs/>
          <w:color w:val="auto"/>
          <w:sz w:val="24"/>
          <w:szCs w:val="24"/>
          <w:highlight w:val="none"/>
        </w:rPr>
      </w:pPr>
      <w:r>
        <w:rPr>
          <w:rFonts w:hint="eastAsia" w:ascii="宋体" w:hAnsi="宋体" w:cs="宋体"/>
          <w:b/>
          <w:color w:val="auto"/>
          <w:sz w:val="24"/>
          <w:szCs w:val="24"/>
          <w:highlight w:val="none"/>
        </w:rPr>
        <w:br w:type="page" w:clear="all"/>
      </w:r>
      <w:r>
        <w:rPr>
          <w:rFonts w:hint="eastAsia" w:ascii="宋体" w:hAnsi="宋体" w:cs="宋体"/>
          <w:b/>
          <w:bCs/>
          <w:color w:val="auto"/>
          <w:sz w:val="24"/>
          <w:szCs w:val="24"/>
          <w:highlight w:val="none"/>
        </w:rPr>
        <w:t xml:space="preserve">九、具备履行合同所必需的设备和专业技术能力的书面声明</w:t>
      </w:r>
      <w:r/>
    </w:p>
    <w:p>
      <w:pPr>
        <w:ind w:firstLine="602"/>
        <w:jc w:val="center"/>
        <w:spacing w:line="4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（附证明材料原件的扫描件）</w:t>
      </w:r>
      <w:r/>
    </w:p>
    <w:p>
      <w:pPr>
        <w:ind w:firstLine="600"/>
        <w:spacing w:line="52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丁万河两岸绿地养护</w:t>
      </w:r>
      <w:r/>
    </w:p>
    <w:p>
      <w:pPr>
        <w:ind w:firstLine="600"/>
        <w:spacing w:line="5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项目</w:t>
      </w:r>
      <w:r>
        <w:rPr>
          <w:rFonts w:hint="eastAsia" w:ascii="宋体" w:hAnsi="宋体" w:cs="宋体"/>
          <w:color w:val="auto"/>
          <w:sz w:val="24"/>
          <w:szCs w:val="24"/>
          <w:highlight w:val="none"/>
        </w:rPr>
        <w:t xml:space="preserve">编号：</w:t>
      </w:r>
      <w:r>
        <w:rPr>
          <w:rFonts w:hint="eastAsia" w:ascii="宋体" w:hAnsi="宋体" w:cs="宋体"/>
          <w:color w:val="auto"/>
          <w:sz w:val="24"/>
          <w:szCs w:val="24"/>
          <w:highlight w:val="none"/>
          <w:lang w:eastAsia="zh-CN"/>
        </w:rPr>
        <w:t xml:space="preserve">JSZC-320302-JSZR-G2026-0055</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我单位郑重声明：我单位具备履行合同（项目名称：</w:t>
      </w:r>
      <w:r>
        <w:rPr>
          <w:rFonts w:hint="eastAsia" w:ascii="宋体" w:hAnsi="宋体" w:cs="宋体"/>
          <w:color w:val="auto"/>
          <w:sz w:val="24"/>
          <w:szCs w:val="24"/>
          <w:highlight w:val="none"/>
          <w:lang w:eastAsia="zh-CN"/>
        </w:rPr>
        <w:t xml:space="preserve">丁万河两岸绿地养护</w:t>
      </w: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JSZC-320302-JSZR-G2026-0055</w:t>
      </w:r>
      <w:r>
        <w:rPr>
          <w:rFonts w:hint="eastAsia" w:ascii="宋体" w:hAnsi="宋体" w:cs="宋体"/>
          <w:color w:val="auto"/>
          <w:sz w:val="24"/>
          <w:szCs w:val="24"/>
          <w:highlight w:val="none"/>
        </w:rPr>
        <w:t xml:space="preserve">）所必需的设备和专业技术能力</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具体为：</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设备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按照招标文件第六章《采购需求》中“六、养护管理机械机具设备配置要求”提供设备及相关证明材料，缺项无效。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（证明材料原件的扫描件附后）</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（证明材料原件的扫描件附后）</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（证明材料原件的扫描件附后）</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专业技术能力</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按照招标文件第六章《采购需求》“五、人员配备要求”提供承诺，不低于最低人员配置要求。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p>
    <w:p>
      <w:pPr>
        <w:ind w:firstLine="600"/>
        <w:spacing w:line="52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承诺格式自拟。</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特此声明。</w:t>
      </w:r>
      <w:r/>
    </w:p>
    <w:p>
      <w:pPr>
        <w:ind w:firstLine="60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投标人对上述声明的真实性负责。如有虚假，将依法承担相应责任。</w:t>
      </w:r>
      <w:r/>
    </w:p>
    <w:p>
      <w:pPr>
        <w:ind w:firstLine="60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285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（电子签章）  </w:t>
      </w:r>
      <w:r/>
    </w:p>
    <w:p>
      <w:pPr>
        <w:ind w:firstLine="450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95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rPr>
          <w:rFonts w:hint="eastAsia" w:ascii="宋体" w:hAnsi="宋体" w:eastAsia="宋体" w:cs="宋体"/>
          <w:b/>
          <w:bCs/>
          <w:color w:val="auto"/>
          <w:sz w:val="24"/>
          <w:szCs w:val="24"/>
          <w:highlight w:val="none"/>
          <w:lang w:val="en-US" w:eastAsia="zh-CN"/>
        </w:rPr>
        <w:t xml:space="preserve">十</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rPr>
        <w:t xml:space="preserve">预付款保函支付条款模板</w:t>
      </w:r>
      <w:r/>
    </w:p>
    <w:p>
      <w:pPr>
        <w:pStyle w:val="983"/>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ind w:firstLine="602"/>
        <w:spacing w:line="48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符合条件一：提交预付款保函的</w:t>
      </w:r>
      <w:r/>
    </w:p>
    <w:p>
      <w:pPr>
        <w:ind w:firstLine="602"/>
        <w:spacing w:line="48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（1）合同签订且乙方向甲方出具预付款保函后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个工作日内，甲方应支付合同价款的百分之</w:t>
      </w:r>
      <w:r>
        <w:rPr>
          <w:rFonts w:hint="eastAsia" w:ascii="宋体" w:hAnsi="宋体" w:cs="宋体"/>
          <w:color w:val="auto"/>
          <w:sz w:val="24"/>
          <w:szCs w:val="24"/>
          <w:highlight w:val="none"/>
          <w:u w:val="single"/>
        </w:rPr>
        <w:t xml:space="preserve">        XX（    XX%），</w:t>
      </w:r>
      <w:r>
        <w:rPr>
          <w:rFonts w:hint="eastAsia" w:ascii="宋体" w:hAnsi="宋体" w:cs="宋体"/>
          <w:color w:val="auto"/>
          <w:sz w:val="24"/>
          <w:szCs w:val="24"/>
          <w:highlight w:val="none"/>
        </w:rPr>
        <w:t xml:space="preserve">小写￥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大写：人民币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140" w:firstLine="602"/>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乙方需提交的支付文件：乙方出具的全额正式发票。</w:t>
      </w:r>
      <w:r/>
    </w:p>
    <w:p>
      <w:pPr>
        <w:ind w:left="140" w:firstLine="602"/>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（2）验收合格后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个工作日内，甲方应支付合同价款的百分之</w:t>
      </w:r>
      <w:r>
        <w:rPr>
          <w:rFonts w:hint="eastAsia" w:ascii="宋体" w:hAnsi="宋体" w:cs="宋体"/>
          <w:color w:val="auto"/>
          <w:sz w:val="24"/>
          <w:szCs w:val="24"/>
          <w:highlight w:val="none"/>
          <w:u w:val="single"/>
        </w:rPr>
        <w:t xml:space="preserve">XX（    XX%），</w:t>
      </w:r>
      <w:r>
        <w:rPr>
          <w:rFonts w:hint="eastAsia" w:ascii="宋体" w:hAnsi="宋体" w:cs="宋体"/>
          <w:color w:val="auto"/>
          <w:sz w:val="24"/>
          <w:szCs w:val="24"/>
          <w:highlight w:val="none"/>
        </w:rPr>
        <w:t xml:space="preserve">小写￥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大写：人民币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605"/>
        <w:spacing w:line="48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w:t>
      </w:r>
      <w:r/>
    </w:p>
    <w:p>
      <w:pPr>
        <w:ind w:firstLine="605"/>
        <w:spacing w:line="48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符合条件二：不提交预付款保函的</w:t>
      </w:r>
      <w:r/>
    </w:p>
    <w:p>
      <w:pPr>
        <w:ind w:firstLine="602"/>
        <w:spacing w:line="48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（1）合同签订后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个工作日内，甲方应支付合同价款的百分之</w:t>
      </w:r>
      <w:r>
        <w:rPr>
          <w:rFonts w:hint="eastAsia" w:ascii="宋体" w:hAnsi="宋体" w:cs="宋体"/>
          <w:color w:val="auto"/>
          <w:sz w:val="24"/>
          <w:szCs w:val="24"/>
          <w:highlight w:val="none"/>
          <w:u w:val="single"/>
        </w:rPr>
        <w:t xml:space="preserve">XX（    XX%），</w:t>
      </w:r>
      <w:r>
        <w:rPr>
          <w:rFonts w:hint="eastAsia" w:ascii="宋体" w:hAnsi="宋体" w:cs="宋体"/>
          <w:color w:val="auto"/>
          <w:sz w:val="24"/>
          <w:szCs w:val="24"/>
          <w:highlight w:val="none"/>
        </w:rPr>
        <w:t xml:space="preserve">小写￥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大写：人民币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140" w:firstLine="602"/>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乙方需提交的支付文件：乙方出具的全额正式发票。</w:t>
      </w:r>
      <w:r/>
    </w:p>
    <w:p>
      <w:pPr>
        <w:ind w:left="140" w:firstLine="602"/>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（2）验收合格后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个工作日内，甲方应支付合同价款的百分之</w:t>
      </w:r>
      <w:r>
        <w:rPr>
          <w:rFonts w:hint="eastAsia" w:ascii="宋体" w:hAnsi="宋体" w:cs="宋体"/>
          <w:color w:val="auto"/>
          <w:sz w:val="24"/>
          <w:szCs w:val="24"/>
          <w:highlight w:val="none"/>
          <w:u w:val="single"/>
        </w:rPr>
        <w:t xml:space="preserve">XX（    XX%），</w:t>
      </w:r>
      <w:r>
        <w:rPr>
          <w:rFonts w:hint="eastAsia" w:ascii="宋体" w:hAnsi="宋体" w:cs="宋体"/>
          <w:color w:val="auto"/>
          <w:sz w:val="24"/>
          <w:szCs w:val="24"/>
          <w:highlight w:val="none"/>
        </w:rPr>
        <w:t xml:space="preserve">小写￥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大写：人民币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140" w:firstLine="605"/>
        <w:spacing w:line="48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注:</w:t>
      </w:r>
      <w:r/>
    </w:p>
    <w:p>
      <w:pPr>
        <w:ind w:left="140" w:firstLine="602"/>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1、付款条件一中，出具预付款保函后支付的合同款应当与保函金额一致。</w:t>
      </w:r>
      <w:r/>
    </w:p>
    <w:p>
      <w:pPr>
        <w:ind w:left="140" w:firstLine="602"/>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2、付款条件二中，预付款比例设定应符合《关于做好政府采购支持企业发展有关事项的通知》(苏财购〔2020〕52号)要求。</w:t>
      </w:r>
      <w:r/>
    </w:p>
    <w:p>
      <w:pPr>
        <w:ind w:left="140" w:firstLine="602"/>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140" w:firstLine="602"/>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140" w:firstLine="602"/>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140" w:firstLine="602"/>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140" w:firstLine="602"/>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140" w:firstLine="602"/>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140" w:firstLine="602"/>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140" w:firstLine="602"/>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140" w:firstLine="602"/>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140" w:firstLine="602"/>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140" w:firstLine="602"/>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line="360" w:lineRule="auto"/>
        <w:rPr>
          <w:rFonts w:ascii="仿宋" w:hAnsi="仿宋" w:eastAsia="仿宋" w:cs="仿宋"/>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0"/>
          <w:szCs w:val="30"/>
          <w:highlight w:val="none"/>
        </w:rPr>
        <w:t xml:space="preserve">十</w:t>
      </w:r>
      <w:r>
        <w:rPr>
          <w:rFonts w:hint="eastAsia" w:ascii="仿宋" w:hAnsi="仿宋" w:eastAsia="仿宋" w:cs="仿宋"/>
          <w:b/>
          <w:bCs/>
          <w:color w:val="auto"/>
          <w:sz w:val="30"/>
          <w:szCs w:val="30"/>
          <w:highlight w:val="none"/>
          <w:lang w:val="en-US" w:eastAsia="zh-CN"/>
        </w:rPr>
        <w:t xml:space="preserve">一</w:t>
      </w:r>
      <w:r>
        <w:rPr>
          <w:rFonts w:hint="eastAsia" w:ascii="仿宋" w:hAnsi="仿宋" w:eastAsia="仿宋" w:cs="仿宋"/>
          <w:b/>
          <w:bCs/>
          <w:color w:val="auto"/>
          <w:sz w:val="30"/>
          <w:szCs w:val="30"/>
          <w:highlight w:val="none"/>
        </w:rPr>
        <w:t xml:space="preserve">、投标人相关声明（承诺）</w:t>
      </w:r>
      <w:r/>
    </w:p>
    <w:p>
      <w:pPr>
        <w:jc w:val="center"/>
        <w:spacing w:line="479" w:lineRule="atLeast"/>
        <w:rPr>
          <w:rFonts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（1）不提供联合体投标，中标后不转包或分包声明</w:t>
      </w:r>
      <w:r/>
    </w:p>
    <w:p>
      <w:pP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lang w:eastAsia="zh-CN"/>
        </w:rPr>
        <w:t xml:space="preserve">JSZC-320302-JSZR-G2026-0055</w:t>
      </w:r>
      <w:r/>
    </w:p>
    <w:p>
      <w:pPr>
        <w:ind w:firstLine="480"/>
        <w:spacing w:line="360" w:lineRule="auto"/>
        <w:rPr>
          <w:rFonts w:ascii="仿宋" w:hAnsi="仿宋" w:eastAsia="仿宋" w:cs="仿宋"/>
          <w:bCs/>
          <w:color w:val="auto"/>
          <w:sz w:val="24"/>
          <w:highlight w:val="none"/>
        </w:rPr>
      </w:pP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lang w:eastAsia="zh-CN"/>
        </w:rPr>
        <w:t xml:space="preserve">丁万河两岸绿地养护</w:t>
      </w:r>
      <w:r/>
    </w:p>
    <w:p>
      <w:pPr>
        <w:ind w:firstLine="605"/>
        <w:spacing w:line="360" w:lineRule="auto"/>
        <w:rPr>
          <w:rFonts w:ascii="仿宋" w:hAnsi="仿宋" w:eastAsia="仿宋" w:cs="仿宋"/>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highlight w:val="none"/>
        </w:rPr>
        <w:t xml:space="preserve"> </w:t>
      </w:r>
      <w:r/>
    </w:p>
    <w:p>
      <w:pPr>
        <w:ind w:firstLine="605"/>
        <w:spacing w:line="360" w:lineRule="auto"/>
        <w:rPr>
          <w:rFonts w:ascii="仿宋" w:hAnsi="仿宋" w:eastAsia="仿宋" w:cs="仿宋"/>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highlight w:val="none"/>
        </w:rPr>
        <w:t xml:space="preserve">我单位不跟任何投标人组成联合体参与本项目投标，且中标后不转包或分包。</w:t>
      </w:r>
      <w:r/>
    </w:p>
    <w:p>
      <w:pPr>
        <w:ind w:firstLine="605"/>
        <w:spacing w:line="360" w:lineRule="auto"/>
        <w:rPr>
          <w:rFonts w:ascii="仿宋" w:hAnsi="仿宋" w:eastAsia="仿宋" w:cs="仿宋"/>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highlight w:val="none"/>
        </w:rPr>
        <w:t xml:space="preserve">特此声明。</w:t>
      </w:r>
      <w:r/>
    </w:p>
    <w:p>
      <w:pPr>
        <w:ind w:firstLine="605"/>
        <w:spacing w:line="360" w:lineRule="auto"/>
        <w:rPr>
          <w:rFonts w:ascii="仿宋" w:hAnsi="仿宋" w:eastAsia="仿宋" w:cs="仿宋"/>
          <w:bCs/>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Cs/>
          <w:color w:val="auto"/>
          <w:sz w:val="24"/>
          <w:highlight w:val="none"/>
        </w:rPr>
      </w:r>
      <w:r/>
    </w:p>
    <w:p>
      <w:pPr>
        <w:ind w:firstLine="605"/>
        <w:spacing w:line="360" w:lineRule="auto"/>
        <w:rPr>
          <w:rFonts w:ascii="仿宋" w:hAnsi="仿宋" w:eastAsia="仿宋" w:cs="仿宋"/>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highlight w:val="none"/>
        </w:rPr>
        <w:t xml:space="preserve">我单位对上述声明的真实性负责。如有虚假，将依法承担相应责任。</w:t>
      </w:r>
      <w:r/>
    </w:p>
    <w:p>
      <w:pPr>
        <w:ind w:firstLine="605"/>
        <w:spacing w:line="360" w:lineRule="auto"/>
        <w:rPr>
          <w:rFonts w:ascii="仿宋" w:hAnsi="仿宋" w:eastAsia="仿宋" w:cs="仿宋"/>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highlight w:val="none"/>
        </w:rPr>
        <w:t xml:space="preserve"> </w:t>
      </w:r>
      <w:r/>
    </w:p>
    <w:p>
      <w:pPr>
        <w:ind w:firstLine="605"/>
        <w:spacing w:line="360" w:lineRule="auto"/>
        <w:rPr>
          <w:rFonts w:ascii="仿宋" w:hAnsi="仿宋" w:eastAsia="仿宋" w:cs="仿宋"/>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highlight w:val="none"/>
        </w:rPr>
        <w:t xml:space="preserve"> </w:t>
      </w:r>
      <w:r/>
    </w:p>
    <w:p>
      <w:pPr>
        <w:ind w:firstLine="605"/>
        <w:spacing w:line="360" w:lineRule="auto"/>
        <w:rPr>
          <w:rFonts w:ascii="仿宋" w:hAnsi="仿宋" w:eastAsia="仿宋" w:cs="仿宋"/>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highlight w:val="none"/>
        </w:rPr>
        <w:t xml:space="preserve">投标人（电子签章）：</w:t>
      </w:r>
      <w:r/>
    </w:p>
    <w:p>
      <w:pPr>
        <w:ind w:firstLine="605"/>
        <w:spacing w:line="360" w:lineRule="auto"/>
        <w:rPr>
          <w:rFonts w:ascii="仿宋" w:hAnsi="仿宋" w:eastAsia="仿宋" w:cs="仿宋"/>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highlight w:val="none"/>
        </w:rPr>
        <w:t xml:space="preserve">日期：   年  月  日</w:t>
      </w:r>
      <w:r/>
    </w:p>
    <w:p>
      <w:pPr>
        <w:ind w:left="0" w:right="1440"/>
        <w:jc w:val="both"/>
        <w:spacing w:after="120"/>
        <w:widowControl w:val="off"/>
        <w:rPr>
          <w:rFonts w:hint="default" w:ascii="Times New Roman" w:hAnsi="Times New Roman" w:eastAsia="宋体" w:cs="Times New Roman"/>
          <w:color w:val="auto"/>
          <w:sz w:val="21"/>
          <w:szCs w:val="24"/>
          <w:highlight w:val="none"/>
          <w:lang w:val="en-US" w:eastAsia="zh-CN" w:bidi="ar-SA"/>
        </w:rPr>
      </w:pPr>
      <w:r>
        <w:rPr>
          <w:rFonts w:hint="default" w:ascii="Times New Roman" w:hAnsi="Times New Roman" w:eastAsia="宋体" w:cs="Times New Roman"/>
          <w:color w:val="auto"/>
          <w:sz w:val="21"/>
          <w:szCs w:val="24"/>
          <w:highlight w:val="none"/>
          <w:lang w:val="en-US" w:eastAsia="zh-CN" w:bidi="ar-SA"/>
        </w:rPr>
      </w:r>
      <w:r/>
    </w:p>
    <w:p>
      <w:pPr>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br w:type="page" w:clear="all"/>
      </w:r>
      <w:r/>
    </w:p>
    <w:p>
      <w:pPr>
        <w:jc w:val="center"/>
        <w:spacing w:line="479" w:lineRule="atLeast"/>
        <w:rPr>
          <w:rFonts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（2）承诺书</w:t>
      </w:r>
      <w:r/>
    </w:p>
    <w:p>
      <w:pP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lang w:eastAsia="zh-CN"/>
        </w:rPr>
        <w:t xml:space="preserve">JSZC-320302-JSZR-G2026-0055</w:t>
      </w:r>
      <w:r/>
    </w:p>
    <w:p>
      <w:pPr>
        <w:ind w:firstLine="480"/>
        <w:spacing w:line="360" w:lineRule="auto"/>
        <w:rPr>
          <w:rFonts w:ascii="仿宋" w:hAnsi="仿宋" w:eastAsia="仿宋" w:cs="仿宋"/>
          <w:bCs/>
          <w:color w:val="auto"/>
          <w:sz w:val="24"/>
          <w:highlight w:val="none"/>
        </w:rPr>
      </w:pP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lang w:eastAsia="zh-CN"/>
        </w:rPr>
        <w:t xml:space="preserve">丁万河两岸绿地养护</w:t>
      </w:r>
      <w:r/>
    </w:p>
    <w:p>
      <w:pPr>
        <w:ind w:firstLine="605"/>
        <w:spacing w:line="360" w:lineRule="auto"/>
        <w:rPr>
          <w:rFonts w:ascii="仿宋" w:hAnsi="仿宋" w:eastAsia="仿宋" w:cs="仿宋"/>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highlight w:val="none"/>
        </w:rPr>
        <w:t xml:space="preserve"> </w:t>
      </w:r>
      <w:r/>
    </w:p>
    <w:p>
      <w:pPr>
        <w:ind w:firstLine="605"/>
        <w:spacing w:line="360" w:lineRule="auto"/>
        <w:rPr>
          <w:rFonts w:ascii="仿宋" w:hAnsi="仿宋" w:eastAsia="仿宋" w:cs="仿宋"/>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highlight w:val="none"/>
        </w:rPr>
        <w:t xml:space="preserve">我单位承诺：</w:t>
      </w:r>
      <w:r/>
    </w:p>
    <w:p>
      <w:pPr>
        <w:ind w:firstLine="605"/>
        <w:spacing w:line="360" w:lineRule="auto"/>
        <w:rPr>
          <w:rFonts w:ascii="仿宋" w:hAnsi="仿宋" w:eastAsia="仿宋" w:cs="仿宋"/>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highlight w:val="none"/>
        </w:rPr>
        <w:t xml:space="preserve">如有参与同一合同项下政府采购活动的投标人与我单位存在负责人为同一人的情况或者存在直接控股、管理关系，我单位不再参加该同一合同项下的政府采购活动。</w:t>
      </w:r>
      <w:r/>
    </w:p>
    <w:p>
      <w:pPr>
        <w:ind w:firstLine="605"/>
        <w:spacing w:line="360" w:lineRule="auto"/>
        <w:rPr>
          <w:rFonts w:ascii="仿宋" w:hAnsi="仿宋" w:eastAsia="仿宋" w:cs="仿宋"/>
          <w:bCs/>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Cs/>
          <w:color w:val="auto"/>
          <w:sz w:val="24"/>
          <w:highlight w:val="none"/>
        </w:rPr>
      </w:r>
      <w:r/>
    </w:p>
    <w:p>
      <w:pPr>
        <w:ind w:firstLine="605"/>
        <w:spacing w:line="360" w:lineRule="auto"/>
        <w:rPr>
          <w:rFonts w:ascii="仿宋" w:hAnsi="仿宋" w:eastAsia="仿宋" w:cs="仿宋"/>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highlight w:val="none"/>
        </w:rPr>
        <w:t xml:space="preserve">我单位对上述承诺负责，并依法承担相应责任。</w:t>
      </w:r>
      <w:r/>
    </w:p>
    <w:p>
      <w:pPr>
        <w:ind w:firstLine="605"/>
        <w:spacing w:line="360" w:lineRule="auto"/>
        <w:rPr>
          <w:rFonts w:ascii="仿宋" w:hAnsi="仿宋" w:eastAsia="仿宋" w:cs="仿宋"/>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highlight w:val="none"/>
        </w:rPr>
        <w:t xml:space="preserve"> </w:t>
      </w:r>
      <w:r/>
    </w:p>
    <w:p>
      <w:pPr>
        <w:ind w:firstLine="605"/>
        <w:spacing w:line="360" w:lineRule="auto"/>
        <w:rPr>
          <w:rFonts w:ascii="仿宋" w:hAnsi="仿宋" w:eastAsia="仿宋" w:cs="仿宋"/>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highlight w:val="none"/>
        </w:rPr>
        <w:t xml:space="preserve"> </w:t>
      </w:r>
      <w:r/>
    </w:p>
    <w:p>
      <w:pPr>
        <w:ind w:firstLine="605"/>
        <w:spacing w:line="360" w:lineRule="auto"/>
        <w:rPr>
          <w:rFonts w:ascii="仿宋" w:hAnsi="仿宋" w:eastAsia="仿宋" w:cs="仿宋"/>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highlight w:val="none"/>
        </w:rPr>
        <w:t xml:space="preserve">投标人（电子签章）：</w:t>
      </w:r>
      <w:r/>
    </w:p>
    <w:p>
      <w:pPr>
        <w:ind w:firstLine="605"/>
        <w:spacing w:line="360" w:lineRule="auto"/>
        <w:rPr>
          <w:rFonts w:ascii="仿宋" w:hAnsi="仿宋" w:eastAsia="仿宋" w:cs="仿宋"/>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highlight w:val="none"/>
        </w:rPr>
        <w:t xml:space="preserve">日期：   年  月  日</w:t>
      </w:r>
      <w:r/>
    </w:p>
    <w:p>
      <w:pPr>
        <w:ind w:left="0" w:right="1440"/>
        <w:jc w:val="both"/>
        <w:spacing w:after="120"/>
        <w:widowControl w:val="off"/>
        <w:rPr>
          <w:rFonts w:hint="default" w:ascii="Times New Roman" w:hAnsi="Times New Roman" w:eastAsia="宋体" w:cs="Times New Roman"/>
          <w:color w:val="auto"/>
          <w:sz w:val="21"/>
          <w:szCs w:val="24"/>
          <w:highlight w:val="none"/>
          <w:lang w:val="en-US" w:eastAsia="zh-CN" w:bidi="ar-SA"/>
        </w:rPr>
      </w:pPr>
      <w:r>
        <w:rPr>
          <w:rFonts w:hint="default" w:ascii="Times New Roman" w:hAnsi="Times New Roman" w:eastAsia="宋体" w:cs="Times New Roman"/>
          <w:color w:val="auto"/>
          <w:sz w:val="21"/>
          <w:szCs w:val="24"/>
          <w:highlight w:val="none"/>
          <w:lang w:val="en-US" w:eastAsia="zh-CN" w:bidi="ar-SA"/>
        </w:rPr>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br w:type="page" w:clear="all"/>
      </w:r>
      <w:r/>
    </w:p>
    <w:p>
      <w:pPr>
        <w:jc w:val="center"/>
        <w:spacing w:line="479" w:lineRule="atLeast"/>
        <w:rPr>
          <w:rFonts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（3）非本采购项目提供整体设计、规范编制或者项目管理、监理、检测等服务的供应商声明</w:t>
      </w:r>
      <w:r/>
    </w:p>
    <w:p>
      <w:pP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lang w:eastAsia="zh-CN"/>
        </w:rPr>
        <w:t xml:space="preserve">JSZC-320302-JSZR-G2026-0055</w:t>
      </w:r>
      <w:r/>
    </w:p>
    <w:p>
      <w:pPr>
        <w:ind w:firstLine="480"/>
        <w:spacing w:line="360" w:lineRule="auto"/>
        <w:rPr>
          <w:rFonts w:ascii="仿宋" w:hAnsi="仿宋" w:eastAsia="仿宋" w:cs="仿宋"/>
          <w:bCs/>
          <w:color w:val="auto"/>
          <w:sz w:val="24"/>
          <w:highlight w:val="none"/>
        </w:rPr>
      </w:pP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lang w:eastAsia="zh-CN"/>
        </w:rPr>
        <w:t xml:space="preserve">丁万河两岸绿地养护</w:t>
      </w:r>
      <w:r/>
    </w:p>
    <w:p>
      <w:pPr>
        <w:ind w:firstLine="605"/>
        <w:spacing w:line="360" w:lineRule="auto"/>
        <w:rPr>
          <w:rFonts w:ascii="仿宋" w:hAnsi="仿宋" w:eastAsia="仿宋" w:cs="仿宋"/>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highlight w:val="none"/>
        </w:rPr>
        <w:t xml:space="preserve"> </w:t>
      </w:r>
      <w:r/>
    </w:p>
    <w:p>
      <w:pPr>
        <w:ind w:firstLine="605"/>
        <w:spacing w:line="360" w:lineRule="auto"/>
        <w:rPr>
          <w:rFonts w:ascii="仿宋" w:hAnsi="仿宋" w:eastAsia="仿宋" w:cs="仿宋"/>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highlight w:val="none"/>
        </w:rPr>
        <w:t xml:space="preserve">我单位不是为本采购项目提供整体设计、规范编制或者项目管理、监理、检测等服务的供应商。否则不再参加本采购项目的采购活动。</w:t>
      </w:r>
      <w:r/>
    </w:p>
    <w:p>
      <w:pPr>
        <w:ind w:firstLine="605"/>
        <w:spacing w:line="360" w:lineRule="auto"/>
        <w:rPr>
          <w:rFonts w:ascii="仿宋" w:hAnsi="仿宋" w:eastAsia="仿宋" w:cs="仿宋"/>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highlight w:val="none"/>
        </w:rPr>
        <w:t xml:space="preserve">特此声明。</w:t>
      </w:r>
      <w:r/>
    </w:p>
    <w:p>
      <w:pPr>
        <w:ind w:firstLine="605"/>
        <w:spacing w:line="360" w:lineRule="auto"/>
        <w:rPr>
          <w:rFonts w:ascii="仿宋" w:hAnsi="仿宋" w:eastAsia="仿宋" w:cs="仿宋"/>
          <w:bCs/>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Cs/>
          <w:color w:val="auto"/>
          <w:sz w:val="24"/>
          <w:highlight w:val="none"/>
        </w:rPr>
      </w:r>
      <w:r/>
    </w:p>
    <w:p>
      <w:pPr>
        <w:ind w:firstLine="605"/>
        <w:spacing w:line="360" w:lineRule="auto"/>
        <w:rPr>
          <w:rFonts w:ascii="仿宋" w:hAnsi="仿宋" w:eastAsia="仿宋" w:cs="仿宋"/>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highlight w:val="none"/>
        </w:rPr>
        <w:t xml:space="preserve">我单位对上述声明的真实性负责。如有虚假，将依法承担相应责任。</w:t>
      </w:r>
      <w:r/>
    </w:p>
    <w:p>
      <w:pPr>
        <w:ind w:firstLine="605"/>
        <w:spacing w:line="360" w:lineRule="auto"/>
        <w:rPr>
          <w:rFonts w:ascii="仿宋" w:hAnsi="仿宋" w:eastAsia="仿宋" w:cs="仿宋"/>
          <w:bCs/>
          <w:color w:val="auto"/>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Cs/>
          <w:color w:val="auto"/>
          <w:sz w:val="24"/>
          <w:highlight w:val="none"/>
        </w:rPr>
      </w:r>
      <w:r/>
    </w:p>
    <w:p>
      <w:pPr>
        <w:ind w:firstLine="605"/>
        <w:spacing w:line="360" w:lineRule="auto"/>
        <w:rPr>
          <w:rFonts w:ascii="仿宋" w:hAnsi="仿宋" w:eastAsia="仿宋" w:cs="仿宋"/>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highlight w:val="none"/>
        </w:rPr>
        <w:t xml:space="preserve"> </w:t>
      </w:r>
      <w:r/>
    </w:p>
    <w:p>
      <w:pPr>
        <w:ind w:firstLine="605"/>
        <w:spacing w:line="360" w:lineRule="auto"/>
        <w:rPr>
          <w:rFonts w:ascii="仿宋" w:hAnsi="仿宋" w:eastAsia="仿宋" w:cs="仿宋"/>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highlight w:val="none"/>
        </w:rPr>
        <w:t xml:space="preserve"> </w:t>
      </w:r>
      <w:r/>
    </w:p>
    <w:p>
      <w:pPr>
        <w:ind w:firstLine="605"/>
        <w:spacing w:line="360" w:lineRule="auto"/>
        <w:rPr>
          <w:rFonts w:ascii="仿宋" w:hAnsi="仿宋" w:eastAsia="仿宋" w:cs="仿宋"/>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highlight w:val="none"/>
        </w:rPr>
        <w:t xml:space="preserve">投标人（电子签章）：</w:t>
      </w:r>
      <w:r/>
    </w:p>
    <w:p>
      <w:pPr>
        <w:ind w:firstLine="605"/>
        <w:spacing w:line="360" w:lineRule="auto"/>
        <w:rPr>
          <w:rFonts w:ascii="仿宋" w:hAnsi="仿宋" w:eastAsia="仿宋" w:cs="仿宋"/>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highlight w:val="none"/>
        </w:rPr>
        <w:t xml:space="preserve">日期：   年  月  日</w:t>
      </w:r>
      <w:r/>
    </w:p>
    <w:p>
      <w:pPr>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br w:type="page" w:clear="all"/>
      </w:r>
      <w:r/>
    </w:p>
    <w:p>
      <w:pPr>
        <w:jc w:val="center"/>
        <w:spacing w:line="479" w:lineRule="atLeast"/>
        <w:rPr>
          <w:rFonts w:ascii="仿宋" w:hAnsi="仿宋" w:eastAsia="仿宋" w:cs="仿宋"/>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（4）按照法律、行政法规、招标文件规定的其他要求参与招投标的相关承诺书</w:t>
      </w:r>
      <w:r/>
    </w:p>
    <w:p>
      <w:pP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lang w:eastAsia="zh-CN"/>
        </w:rPr>
        <w:t xml:space="preserve">JSZC-320302-JSZR-G2026-0055</w:t>
      </w:r>
      <w:r/>
    </w:p>
    <w:p>
      <w:pPr>
        <w:ind w:firstLine="480"/>
        <w:spacing w:line="360" w:lineRule="auto"/>
        <w:rPr>
          <w:rFonts w:ascii="仿宋" w:hAnsi="仿宋" w:eastAsia="仿宋" w:cs="仿宋"/>
          <w:bCs/>
          <w:color w:val="auto"/>
          <w:sz w:val="24"/>
          <w:highlight w:val="none"/>
        </w:rPr>
      </w:pPr>
      <w:r>
        <w:rPr>
          <w:rFonts w:hint="eastAsia" w:ascii="仿宋" w:hAnsi="仿宋" w:eastAsia="仿宋" w:cs="仿宋"/>
          <w:color w:val="auto"/>
          <w:sz w:val="24"/>
          <w:highlight w:val="none"/>
        </w:rPr>
        <w:t xml:space="preserve">项目名称：</w:t>
      </w:r>
      <w:r>
        <w:rPr>
          <w:rFonts w:hint="eastAsia" w:ascii="仿宋" w:hAnsi="仿宋" w:eastAsia="仿宋" w:cs="仿宋"/>
          <w:color w:val="auto"/>
          <w:sz w:val="24"/>
          <w:highlight w:val="none"/>
          <w:lang w:eastAsia="zh-CN"/>
        </w:rPr>
        <w:t xml:space="preserve">丁万河两岸绿地养护</w:t>
      </w:r>
      <w:r/>
    </w:p>
    <w:p>
      <w:pPr>
        <w:ind w:firstLine="605"/>
        <w:spacing w:line="360" w:lineRule="auto"/>
        <w:rPr>
          <w:rFonts w:ascii="仿宋" w:hAnsi="仿宋" w:eastAsia="仿宋" w:cs="仿宋"/>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highlight w:val="none"/>
        </w:rPr>
        <w:t xml:space="preserve"> </w:t>
      </w:r>
      <w:r/>
    </w:p>
    <w:p>
      <w:pPr>
        <w:ind w:firstLine="605"/>
        <w:spacing w:line="360" w:lineRule="auto"/>
        <w:rPr>
          <w:rFonts w:ascii="仿宋" w:hAnsi="仿宋" w:eastAsia="仿宋" w:cs="仿宋"/>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highlight w:val="none"/>
        </w:rPr>
        <w:t xml:space="preserve">我单位承诺：</w:t>
      </w:r>
      <w:r/>
    </w:p>
    <w:p>
      <w:pPr>
        <w:ind w:firstLine="605"/>
        <w:spacing w:line="360" w:lineRule="auto"/>
        <w:rPr>
          <w:rFonts w:ascii="仿宋" w:hAnsi="仿宋" w:eastAsia="仿宋" w:cs="仿宋"/>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highlight w:val="none"/>
        </w:rPr>
        <w:t xml:space="preserve">我单位严格按照法律、行政法规、招标文件规定的其他要求参与本项目的招标投标活动，并依法承担相应责任。</w:t>
      </w:r>
      <w:r/>
    </w:p>
    <w:p>
      <w:pPr>
        <w:ind w:left="1440" w:right="1440"/>
        <w:jc w:val="both"/>
        <w:spacing w:after="120"/>
        <w:widowControl w:val="off"/>
        <w:rPr>
          <w:rFonts w:hint="default" w:ascii="Times New Roman" w:hAnsi="Times New Roman" w:eastAsia="宋体" w:cs="Times New Roman"/>
          <w:color w:val="auto"/>
          <w:sz w:val="21"/>
          <w:szCs w:val="24"/>
          <w:highlight w:val="none"/>
          <w:lang w:val="en-US" w:eastAsia="zh-CN" w:bidi="ar-SA"/>
        </w:rPr>
      </w:pPr>
      <w:r>
        <w:rPr>
          <w:rFonts w:hint="default" w:ascii="Times New Roman" w:hAnsi="Times New Roman" w:eastAsia="宋体" w:cs="Times New Roman"/>
          <w:color w:val="auto"/>
          <w:sz w:val="21"/>
          <w:szCs w:val="24"/>
          <w:highlight w:val="none"/>
          <w:lang w:val="en-US" w:eastAsia="zh-CN" w:bidi="ar-SA"/>
        </w:rPr>
      </w:r>
      <w:r/>
    </w:p>
    <w:p>
      <w:pPr>
        <w:ind w:firstLine="605"/>
        <w:spacing w:line="360" w:lineRule="auto"/>
        <w:rPr>
          <w:rFonts w:ascii="仿宋" w:hAnsi="仿宋" w:eastAsia="仿宋" w:cs="仿宋"/>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highlight w:val="none"/>
        </w:rPr>
        <w:t xml:space="preserve"> </w:t>
      </w:r>
      <w:r/>
    </w:p>
    <w:p>
      <w:pPr>
        <w:ind w:firstLine="605"/>
        <w:spacing w:line="360" w:lineRule="auto"/>
        <w:rPr>
          <w:rFonts w:ascii="仿宋" w:hAnsi="仿宋" w:eastAsia="仿宋" w:cs="仿宋"/>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highlight w:val="none"/>
        </w:rPr>
        <w:t xml:space="preserve"> </w:t>
      </w:r>
      <w:r/>
    </w:p>
    <w:p>
      <w:pPr>
        <w:ind w:firstLine="605"/>
        <w:spacing w:line="360" w:lineRule="auto"/>
        <w:rPr>
          <w:rFonts w:ascii="仿宋" w:hAnsi="仿宋" w:eastAsia="仿宋" w:cs="仿宋"/>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highlight w:val="none"/>
        </w:rPr>
        <w:t xml:space="preserve">投标人（电子签章）：</w:t>
      </w:r>
      <w:r/>
    </w:p>
    <w:p>
      <w:pPr>
        <w:ind w:firstLine="605"/>
        <w:spacing w:line="360" w:lineRule="auto"/>
        <w:rPr>
          <w:rFonts w:ascii="仿宋" w:hAnsi="仿宋" w:eastAsia="仿宋" w:cs="仿宋"/>
          <w:bCs/>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highlight w:val="none"/>
        </w:rPr>
        <w:t xml:space="preserve">日期：   年  月  日</w:t>
      </w:r>
      <w:r/>
    </w:p>
    <w:p>
      <w:pPr>
        <w:ind w:left="140" w:firstLine="602"/>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sectPr>
      <w:footnotePr/>
      <w:endnotePr/>
      <w:type w:val="nextPage"/>
      <w:pgSz w:w="11906" w:h="16838" w:orient="portrait"/>
      <w:pgMar w:top="851" w:right="1702" w:bottom="851" w:left="18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小标宋简体">
    <w:panose1 w:val="020B0503020202020204"/>
  </w:font>
  <w:font w:name="Wingdings">
    <w:panose1 w:val="05000000000000000000"/>
  </w:font>
  <w:font w:name="Cambria">
    <w:panose1 w:val="02040503050406030204"/>
  </w:font>
  <w:font w:name="Courier New">
    <w:panose1 w:val="02070309020205020404"/>
  </w:font>
  <w:font w:name="Calibri Light">
    <w:panose1 w:val="020F0302020204030204"/>
  </w:font>
  <w:font w:name="微软雅黑">
    <w:panose1 w:val="020B0503020204020204"/>
  </w:font>
  <w:font w:name="Calibri">
    <w:panose1 w:val="020F0502020204030204"/>
  </w:font>
  <w:font w:name="Tahoma">
    <w:panose1 w:val="020B0604030504040204"/>
  </w:font>
  <w:font w:name="仿宋">
    <w:panose1 w:val="02010609060101010101"/>
  </w:font>
  <w:font w:name="新宋体">
    <w:panose1 w:val="02010609030101010101"/>
  </w:font>
  <w:font w:name="Symbol">
    <w:panose1 w:val="05050102010706020507"/>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a:effectLst/>
                    </wps:spPr>
                    <wps:txbx>
                      <w:txbxContent>
                        <w:p>
                          <w:pPr>
                            <w:pStyle w:val="782"/>
                          </w:pPr>
                          <w:r>
                            <w:fldChar w:fldCharType="begin"/>
                          </w:r>
                          <w:r>
                            <w:instrText xml:space="preserve"> PAGE  \* MERGEFORMAT </w:instrText>
                          </w:r>
                          <w:r>
                            <w:fldChar w:fldCharType="separate"/>
                          </w:r>
                          <w:r>
                            <w:t xml:space="preserve">26</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2"/>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rPr>
        <w:rStyle w:val="1017"/>
      </w:rPr>
      <w:framePr w:wrap="around" w:vAnchor="text" w:hAnchor="margin" w:xAlign="center" w:y="1"/>
    </w:pPr>
    <w:r>
      <w:fldChar w:fldCharType="begin"/>
    </w:r>
    <w:r>
      <w:rPr>
        <w:rStyle w:val="1017"/>
      </w:rPr>
      <w:instrText xml:space="preserve">PAGE  </w:instrText>
    </w:r>
    <w:r>
      <w:fldChar w:fldCharType="end"/>
    </w:r>
    <w:r/>
  </w:p>
  <w:p>
    <w:pPr>
      <w:pStyle w:val="102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70"/>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6" w:default="1">
    <w:name w:val="Normal"/>
    <w:link w:val="10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7">
    <w:name w:val="Heading 1"/>
    <w:basedOn w:val="756"/>
    <w:next w:val="756"/>
    <w:link w:val="802"/>
    <w:uiPriority w:val="9"/>
    <w:qFormat/>
    <w:pPr>
      <w:keepLines/>
      <w:keepNext/>
      <w:spacing w:before="480" w:after="200"/>
      <w:outlineLvl w:val="0"/>
    </w:pPr>
    <w:rPr>
      <w:rFonts w:ascii="Arial" w:hAnsi="Arial" w:eastAsia="Arial" w:cs="Arial"/>
      <w:sz w:val="40"/>
      <w:szCs w:val="40"/>
    </w:rPr>
  </w:style>
  <w:style w:type="paragraph" w:styleId="758">
    <w:name w:val="Heading 2"/>
    <w:basedOn w:val="756"/>
    <w:next w:val="756"/>
    <w:link w:val="803"/>
    <w:uiPriority w:val="9"/>
    <w:unhideWhenUsed/>
    <w:qFormat/>
    <w:pPr>
      <w:keepLines/>
      <w:keepNext/>
      <w:spacing w:before="360" w:after="200"/>
      <w:outlineLvl w:val="1"/>
    </w:pPr>
    <w:rPr>
      <w:rFonts w:ascii="Arial" w:hAnsi="Arial" w:eastAsia="Arial" w:cs="Arial"/>
      <w:sz w:val="34"/>
    </w:rPr>
  </w:style>
  <w:style w:type="paragraph" w:styleId="759">
    <w:name w:val="Heading 3"/>
    <w:basedOn w:val="756"/>
    <w:next w:val="756"/>
    <w:link w:val="804"/>
    <w:uiPriority w:val="9"/>
    <w:unhideWhenUsed/>
    <w:qFormat/>
    <w:pPr>
      <w:keepLines/>
      <w:keepNext/>
      <w:spacing w:before="320" w:after="200"/>
      <w:outlineLvl w:val="2"/>
    </w:pPr>
    <w:rPr>
      <w:rFonts w:ascii="Arial" w:hAnsi="Arial" w:eastAsia="Arial" w:cs="Arial"/>
      <w:sz w:val="30"/>
      <w:szCs w:val="30"/>
    </w:rPr>
  </w:style>
  <w:style w:type="paragraph" w:styleId="760">
    <w:name w:val="Heading 4"/>
    <w:basedOn w:val="756"/>
    <w:next w:val="756"/>
    <w:link w:val="805"/>
    <w:uiPriority w:val="9"/>
    <w:unhideWhenUsed/>
    <w:qFormat/>
    <w:pPr>
      <w:keepLines/>
      <w:keepNext/>
      <w:spacing w:before="320" w:after="200"/>
      <w:outlineLvl w:val="3"/>
    </w:pPr>
    <w:rPr>
      <w:rFonts w:ascii="Arial" w:hAnsi="Arial" w:eastAsia="Arial" w:cs="Arial"/>
      <w:b/>
      <w:bCs/>
      <w:sz w:val="26"/>
      <w:szCs w:val="26"/>
    </w:rPr>
  </w:style>
  <w:style w:type="paragraph" w:styleId="761">
    <w:name w:val="Heading 5"/>
    <w:basedOn w:val="756"/>
    <w:next w:val="768"/>
    <w:link w:val="806"/>
    <w:uiPriority w:val="9"/>
    <w:unhideWhenUsed/>
    <w:qFormat/>
    <w:pPr>
      <w:keepLines/>
      <w:keepNext/>
      <w:spacing w:before="320" w:after="200"/>
      <w:outlineLvl w:val="4"/>
    </w:pPr>
    <w:rPr>
      <w:rFonts w:ascii="Arial" w:hAnsi="Arial" w:eastAsia="Arial" w:cs="Arial"/>
      <w:b/>
      <w:bCs/>
      <w:sz w:val="24"/>
      <w:szCs w:val="24"/>
    </w:rPr>
  </w:style>
  <w:style w:type="paragraph" w:styleId="762">
    <w:name w:val="Heading 6"/>
    <w:basedOn w:val="756"/>
    <w:next w:val="756"/>
    <w:link w:val="807"/>
    <w:uiPriority w:val="9"/>
    <w:unhideWhenUsed/>
    <w:qFormat/>
    <w:pPr>
      <w:keepLines/>
      <w:keepNext/>
      <w:spacing w:before="320" w:after="200"/>
      <w:outlineLvl w:val="5"/>
    </w:pPr>
    <w:rPr>
      <w:rFonts w:ascii="Arial" w:hAnsi="Arial" w:eastAsia="Arial" w:cs="Arial"/>
      <w:b/>
      <w:bCs/>
      <w:sz w:val="22"/>
      <w:szCs w:val="22"/>
    </w:rPr>
  </w:style>
  <w:style w:type="paragraph" w:styleId="763">
    <w:name w:val="Heading 7"/>
    <w:basedOn w:val="756"/>
    <w:next w:val="756"/>
    <w:link w:val="808"/>
    <w:uiPriority w:val="9"/>
    <w:unhideWhenUsed/>
    <w:qFormat/>
    <w:pPr>
      <w:keepLines/>
      <w:keepNext/>
      <w:spacing w:before="320" w:after="200"/>
      <w:outlineLvl w:val="6"/>
    </w:pPr>
    <w:rPr>
      <w:rFonts w:ascii="Arial" w:hAnsi="Arial" w:eastAsia="Arial" w:cs="Arial"/>
      <w:b/>
      <w:bCs/>
      <w:i/>
      <w:iCs/>
      <w:sz w:val="22"/>
      <w:szCs w:val="22"/>
    </w:rPr>
  </w:style>
  <w:style w:type="paragraph" w:styleId="764">
    <w:name w:val="Heading 8"/>
    <w:basedOn w:val="756"/>
    <w:next w:val="756"/>
    <w:link w:val="809"/>
    <w:uiPriority w:val="9"/>
    <w:unhideWhenUsed/>
    <w:qFormat/>
    <w:pPr>
      <w:keepLines/>
      <w:keepNext/>
      <w:spacing w:before="320" w:after="200"/>
      <w:outlineLvl w:val="7"/>
    </w:pPr>
    <w:rPr>
      <w:rFonts w:ascii="Arial" w:hAnsi="Arial" w:eastAsia="Arial" w:cs="Arial"/>
      <w:i/>
      <w:iCs/>
      <w:sz w:val="22"/>
      <w:szCs w:val="22"/>
    </w:rPr>
  </w:style>
  <w:style w:type="paragraph" w:styleId="765">
    <w:name w:val="Heading 9"/>
    <w:basedOn w:val="756"/>
    <w:next w:val="756"/>
    <w:link w:val="810"/>
    <w:uiPriority w:val="9"/>
    <w:unhideWhenUsed/>
    <w:qFormat/>
    <w:pPr>
      <w:keepLines/>
      <w:keepNext/>
      <w:spacing w:before="320" w:after="200"/>
      <w:outlineLvl w:val="8"/>
    </w:pPr>
    <w:rPr>
      <w:rFonts w:ascii="Arial" w:hAnsi="Arial" w:eastAsia="Arial" w:cs="Arial"/>
      <w:i/>
      <w:iCs/>
      <w:sz w:val="21"/>
      <w:szCs w:val="21"/>
    </w:rPr>
  </w:style>
  <w:style w:type="character" w:styleId="766" w:default="1">
    <w:name w:val="Default Paragraph Font"/>
    <w:uiPriority w:val="1"/>
    <w:semiHidden/>
    <w:unhideWhenUsed/>
    <w:qFormat/>
  </w:style>
  <w:style w:type="table" w:styleId="767" w:default="1">
    <w:name w:val="Normal Table"/>
    <w:uiPriority w:val="99"/>
    <w:semiHidden/>
    <w:unhideWhenUsed/>
    <w:qFormat/>
    <w:tblPr>
      <w:tblCellMar>
        <w:left w:w="108" w:type="dxa"/>
        <w:top w:w="0" w:type="dxa"/>
        <w:right w:w="108" w:type="dxa"/>
        <w:bottom w:w="0" w:type="dxa"/>
      </w:tblCellMar>
    </w:tblPr>
  </w:style>
  <w:style w:type="paragraph" w:styleId="768">
    <w:name w:val="Normal (Web)"/>
    <w:basedOn w:val="756"/>
    <w:uiPriority w:val="99"/>
    <w:semiHidden/>
    <w:unhideWhenUsed/>
    <w:qFormat/>
    <w:rPr>
      <w:sz w:val="24"/>
    </w:rPr>
  </w:style>
  <w:style w:type="paragraph" w:styleId="769">
    <w:name w:val="toc 7"/>
    <w:basedOn w:val="756"/>
    <w:next w:val="756"/>
    <w:uiPriority w:val="39"/>
    <w:unhideWhenUsed/>
    <w:qFormat/>
    <w:pPr>
      <w:ind w:left="1701" w:right="0" w:firstLine="0"/>
      <w:spacing w:after="57"/>
    </w:pPr>
  </w:style>
  <w:style w:type="paragraph" w:styleId="770">
    <w:name w:val="List Number 2"/>
    <w:basedOn w:val="756"/>
    <w:uiPriority w:val="99"/>
    <w:semiHidden/>
    <w:unhideWhenUsed/>
    <w:qFormat/>
    <w:pPr>
      <w:numPr>
        <w:ilvl w:val="0"/>
        <w:numId w:val="1"/>
      </w:numPr>
    </w:pPr>
  </w:style>
  <w:style w:type="paragraph" w:styleId="771">
    <w:name w:val="Caption"/>
    <w:basedOn w:val="756"/>
    <w:next w:val="75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2">
    <w:name w:val="annotation text"/>
    <w:basedOn w:val="756"/>
    <w:uiPriority w:val="99"/>
    <w:semiHidden/>
    <w:unhideWhenUsed/>
    <w:qFormat/>
    <w:pPr>
      <w:jc w:val="left"/>
    </w:pPr>
  </w:style>
  <w:style w:type="paragraph" w:styleId="773">
    <w:name w:val="Body Text"/>
    <w:basedOn w:val="756"/>
    <w:next w:val="774"/>
    <w:uiPriority w:val="0"/>
    <w:qFormat/>
  </w:style>
  <w:style w:type="paragraph" w:styleId="774"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775">
    <w:name w:val="Body Text Indent"/>
    <w:basedOn w:val="756"/>
    <w:next w:val="776"/>
    <w:uiPriority w:val="99"/>
    <w:unhideWhenUsed/>
    <w:qFormat/>
    <w:pPr>
      <w:ind w:left="420"/>
      <w:spacing w:after="120"/>
    </w:pPr>
  </w:style>
  <w:style w:type="paragraph" w:styleId="776">
    <w:name w:val="envelope return"/>
    <w:basedOn w:val="756"/>
    <w:uiPriority w:val="99"/>
    <w:unhideWhenUsed/>
    <w:qFormat/>
    <w:rPr>
      <w:rFonts w:ascii="Arial" w:hAnsi="Arial"/>
    </w:rPr>
  </w:style>
  <w:style w:type="paragraph" w:styleId="777">
    <w:name w:val="Block Text"/>
    <w:uiPriority w:val="0"/>
    <w:unhideWhenUsed/>
    <w:qFormat/>
    <w:pPr>
      <w:ind w:left="420" w:right="33"/>
      <w:jc w:val="both"/>
      <w:widowControl w:val="off"/>
    </w:pPr>
    <w:rPr>
      <w:rFonts w:hint="default" w:ascii="Times New Roman" w:hAnsi="Times New Roman" w:eastAsia="宋体" w:cs="Times New Roman"/>
      <w:sz w:val="24"/>
      <w:szCs w:val="24"/>
      <w:lang w:val="en-US" w:eastAsia="zh-CN" w:bidi="ar-SA"/>
    </w:rPr>
  </w:style>
  <w:style w:type="paragraph" w:styleId="778">
    <w:name w:val="toc 5"/>
    <w:basedOn w:val="756"/>
    <w:next w:val="756"/>
    <w:uiPriority w:val="39"/>
    <w:unhideWhenUsed/>
    <w:qFormat/>
    <w:pPr>
      <w:ind w:left="1134" w:right="0" w:firstLine="0"/>
      <w:spacing w:after="57"/>
    </w:pPr>
  </w:style>
  <w:style w:type="paragraph" w:styleId="779">
    <w:name w:val="toc 3"/>
    <w:basedOn w:val="756"/>
    <w:next w:val="756"/>
    <w:uiPriority w:val="39"/>
    <w:unhideWhenUsed/>
    <w:qFormat/>
    <w:pPr>
      <w:ind w:left="567" w:right="0" w:firstLine="0"/>
      <w:spacing w:after="57"/>
    </w:pPr>
  </w:style>
  <w:style w:type="paragraph" w:styleId="780">
    <w:name w:val="toc 8"/>
    <w:basedOn w:val="756"/>
    <w:next w:val="756"/>
    <w:uiPriority w:val="39"/>
    <w:unhideWhenUsed/>
    <w:qFormat/>
    <w:pPr>
      <w:ind w:left="1984" w:right="0" w:firstLine="0"/>
      <w:spacing w:after="57"/>
    </w:pPr>
  </w:style>
  <w:style w:type="paragraph" w:styleId="781">
    <w:name w:val="endnote text"/>
    <w:basedOn w:val="756"/>
    <w:link w:val="948"/>
    <w:uiPriority w:val="99"/>
    <w:semiHidden/>
    <w:unhideWhenUsed/>
    <w:qFormat/>
    <w:pPr>
      <w:spacing w:after="0" w:line="240" w:lineRule="auto"/>
    </w:pPr>
    <w:rPr>
      <w:sz w:val="20"/>
    </w:rPr>
  </w:style>
  <w:style w:type="paragraph" w:styleId="782">
    <w:name w:val="Footer"/>
    <w:basedOn w:val="756"/>
    <w:link w:val="821"/>
    <w:uiPriority w:val="99"/>
    <w:unhideWhenUsed/>
    <w:qFormat/>
    <w:pPr>
      <w:spacing w:after="0" w:line="240" w:lineRule="auto"/>
      <w:tabs>
        <w:tab w:val="center" w:pos="7143" w:leader="none"/>
        <w:tab w:val="right" w:pos="14287" w:leader="none"/>
      </w:tabs>
    </w:pPr>
  </w:style>
  <w:style w:type="paragraph" w:styleId="783">
    <w:name w:val="Header"/>
    <w:basedOn w:val="756"/>
    <w:link w:val="819"/>
    <w:uiPriority w:val="99"/>
    <w:unhideWhenUsed/>
    <w:qFormat/>
    <w:pPr>
      <w:spacing w:after="0" w:line="240" w:lineRule="auto"/>
      <w:tabs>
        <w:tab w:val="center" w:pos="7143" w:leader="none"/>
        <w:tab w:val="right" w:pos="14287" w:leader="none"/>
      </w:tabs>
    </w:pPr>
  </w:style>
  <w:style w:type="paragraph" w:styleId="784">
    <w:name w:val="toc 1"/>
    <w:basedOn w:val="756"/>
    <w:next w:val="756"/>
    <w:uiPriority w:val="39"/>
    <w:unhideWhenUsed/>
    <w:qFormat/>
    <w:pPr>
      <w:ind w:left="0" w:right="0" w:firstLine="0"/>
      <w:spacing w:after="57"/>
    </w:pPr>
  </w:style>
  <w:style w:type="paragraph" w:styleId="785">
    <w:name w:val="toc 4"/>
    <w:basedOn w:val="756"/>
    <w:next w:val="756"/>
    <w:uiPriority w:val="39"/>
    <w:unhideWhenUsed/>
    <w:qFormat/>
    <w:pPr>
      <w:ind w:left="850" w:right="0" w:firstLine="0"/>
      <w:spacing w:after="57"/>
    </w:pPr>
  </w:style>
  <w:style w:type="paragraph" w:styleId="786">
    <w:name w:val="Subtitle"/>
    <w:basedOn w:val="756"/>
    <w:next w:val="756"/>
    <w:link w:val="814"/>
    <w:uiPriority w:val="11"/>
    <w:qFormat/>
    <w:pPr>
      <w:spacing w:before="200" w:after="200"/>
    </w:pPr>
    <w:rPr>
      <w:sz w:val="24"/>
      <w:szCs w:val="24"/>
    </w:rPr>
  </w:style>
  <w:style w:type="paragraph" w:styleId="787">
    <w:name w:val="footnote text"/>
    <w:basedOn w:val="756"/>
    <w:link w:val="947"/>
    <w:uiPriority w:val="99"/>
    <w:semiHidden/>
    <w:unhideWhenUsed/>
    <w:qFormat/>
    <w:pPr>
      <w:spacing w:after="40" w:line="240" w:lineRule="auto"/>
    </w:pPr>
    <w:rPr>
      <w:sz w:val="18"/>
    </w:rPr>
  </w:style>
  <w:style w:type="paragraph" w:styleId="788">
    <w:name w:val="toc 6"/>
    <w:basedOn w:val="756"/>
    <w:next w:val="756"/>
    <w:uiPriority w:val="39"/>
    <w:unhideWhenUsed/>
    <w:qFormat/>
    <w:pPr>
      <w:ind w:left="1417" w:right="0" w:firstLine="0"/>
      <w:spacing w:after="57"/>
    </w:pPr>
  </w:style>
  <w:style w:type="paragraph" w:styleId="789">
    <w:name w:val="table of figures"/>
    <w:basedOn w:val="756"/>
    <w:next w:val="756"/>
    <w:uiPriority w:val="99"/>
    <w:unhideWhenUsed/>
    <w:qFormat/>
    <w:pPr>
      <w:spacing w:after="0" w:afterAutospacing="0"/>
    </w:pPr>
  </w:style>
  <w:style w:type="paragraph" w:styleId="790">
    <w:name w:val="toc 2"/>
    <w:basedOn w:val="756"/>
    <w:next w:val="756"/>
    <w:uiPriority w:val="39"/>
    <w:unhideWhenUsed/>
    <w:qFormat/>
    <w:pPr>
      <w:ind w:left="283" w:right="0" w:firstLine="0"/>
      <w:spacing w:after="57"/>
    </w:pPr>
  </w:style>
  <w:style w:type="paragraph" w:styleId="791">
    <w:name w:val="toc 9"/>
    <w:basedOn w:val="756"/>
    <w:next w:val="756"/>
    <w:uiPriority w:val="39"/>
    <w:unhideWhenUsed/>
    <w:qFormat/>
    <w:pPr>
      <w:ind w:left="2268" w:right="0" w:firstLine="0"/>
      <w:spacing w:after="57"/>
    </w:pPr>
  </w:style>
  <w:style w:type="paragraph" w:styleId="792">
    <w:name w:val="Title"/>
    <w:basedOn w:val="756"/>
    <w:next w:val="756"/>
    <w:link w:val="813"/>
    <w:uiPriority w:val="10"/>
    <w:qFormat/>
    <w:pPr>
      <w:contextualSpacing/>
      <w:spacing w:before="300" w:after="200"/>
    </w:pPr>
    <w:rPr>
      <w:sz w:val="48"/>
      <w:szCs w:val="48"/>
    </w:rPr>
  </w:style>
  <w:style w:type="paragraph" w:styleId="793">
    <w:name w:val="Body Text First Indent"/>
    <w:basedOn w:val="773"/>
    <w:next w:val="794"/>
    <w:uiPriority w:val="99"/>
    <w:qFormat/>
    <w:pPr>
      <w:ind w:firstLine="420"/>
    </w:pPr>
  </w:style>
  <w:style w:type="paragraph" w:styleId="794">
    <w:name w:val="Body Text First Indent 2"/>
    <w:basedOn w:val="775"/>
    <w:next w:val="793"/>
    <w:uiPriority w:val="99"/>
    <w:qFormat/>
    <w:pPr>
      <w:ind w:firstLine="420"/>
      <w:jc w:val="left"/>
      <w:spacing w:line="360" w:lineRule="auto"/>
    </w:pPr>
    <w:rPr>
      <w:sz w:val="24"/>
      <w:szCs w:val="21"/>
      <w:lang w:val="zh-CN"/>
    </w:rPr>
  </w:style>
  <w:style w:type="table" w:styleId="79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6">
    <w:name w:val="Strong"/>
    <w:basedOn w:val="766"/>
    <w:uiPriority w:val="22"/>
    <w:qFormat/>
    <w:rPr>
      <w:b/>
    </w:rPr>
  </w:style>
  <w:style w:type="character" w:styleId="797">
    <w:name w:val="endnote reference"/>
    <w:uiPriority w:val="99"/>
    <w:semiHidden/>
    <w:unhideWhenUsed/>
    <w:qFormat/>
    <w:rPr>
      <w:vertAlign w:val="superscript"/>
    </w:rPr>
  </w:style>
  <w:style w:type="character" w:styleId="798">
    <w:name w:val="page number"/>
    <w:basedOn w:val="766"/>
    <w:uiPriority w:val="0"/>
    <w:qFormat/>
    <w:rPr>
      <w:rFonts w:ascii="黑体" w:hAnsi="黑体" w:eastAsia="黑体" w:cs="Times New Roman"/>
      <w:color w:val="auto"/>
      <w:sz w:val="22"/>
      <w:szCs w:val="22"/>
    </w:rPr>
  </w:style>
  <w:style w:type="character" w:styleId="799">
    <w:name w:val="Hyperlink"/>
    <w:uiPriority w:val="99"/>
    <w:unhideWhenUsed/>
    <w:qFormat/>
    <w:rPr>
      <w:color w:val="0000ff" w:themeColor="hyperlink"/>
      <w:u w:val="single"/>
      <w14:textFill>
        <w14:solidFill>
          <w14:schemeClr w14:val="hlink"/>
        </w14:solidFill>
      </w14:textFill>
    </w:rPr>
  </w:style>
  <w:style w:type="character" w:styleId="800">
    <w:name w:val="footnote reference"/>
    <w:uiPriority w:val="99"/>
    <w:unhideWhenUsed/>
    <w:qFormat/>
    <w:rPr>
      <w:vertAlign w:val="superscript"/>
    </w:rPr>
  </w:style>
  <w:style w:type="paragraph" w:styleId="801" w:customStyle="1">
    <w:name w:val="Normal Indent1"/>
    <w:uiPriority w:val="0"/>
    <w:qFormat/>
    <w:pPr>
      <w:ind w:firstLine="420"/>
      <w:spacing w:line="360" w:lineRule="auto"/>
    </w:pPr>
    <w:rPr>
      <w:rFonts w:hint="default" w:ascii="Times New Roman" w:hAnsi="Times New Roman" w:eastAsia="宋体" w:cs="Times New Roman"/>
      <w:lang w:val="en-US" w:eastAsia="zh-CN" w:bidi="ar-SA"/>
    </w:rPr>
  </w:style>
  <w:style w:type="character" w:styleId="802" w:customStyle="1">
    <w:name w:val="Heading 1 Char"/>
    <w:link w:val="757"/>
    <w:uiPriority w:val="9"/>
    <w:qFormat/>
    <w:rPr>
      <w:rFonts w:ascii="Arial" w:hAnsi="Arial" w:eastAsia="Arial" w:cs="Arial"/>
      <w:sz w:val="40"/>
      <w:szCs w:val="40"/>
    </w:rPr>
  </w:style>
  <w:style w:type="character" w:styleId="803" w:customStyle="1">
    <w:name w:val="Heading 2 Char"/>
    <w:link w:val="758"/>
    <w:uiPriority w:val="9"/>
    <w:qFormat/>
    <w:rPr>
      <w:rFonts w:ascii="Arial" w:hAnsi="Arial" w:eastAsia="Arial" w:cs="Arial"/>
      <w:sz w:val="34"/>
    </w:rPr>
  </w:style>
  <w:style w:type="character" w:styleId="804" w:customStyle="1">
    <w:name w:val="Heading 3 Char"/>
    <w:link w:val="759"/>
    <w:uiPriority w:val="9"/>
    <w:qFormat/>
    <w:rPr>
      <w:rFonts w:ascii="Arial" w:hAnsi="Arial" w:eastAsia="Arial" w:cs="Arial"/>
      <w:sz w:val="30"/>
      <w:szCs w:val="30"/>
    </w:rPr>
  </w:style>
  <w:style w:type="character" w:styleId="805" w:customStyle="1">
    <w:name w:val="Heading 4 Char"/>
    <w:link w:val="760"/>
    <w:uiPriority w:val="9"/>
    <w:qFormat/>
    <w:rPr>
      <w:rFonts w:ascii="Arial" w:hAnsi="Arial" w:eastAsia="Arial" w:cs="Arial"/>
      <w:b/>
      <w:bCs/>
      <w:sz w:val="26"/>
      <w:szCs w:val="26"/>
    </w:rPr>
  </w:style>
  <w:style w:type="character" w:styleId="806" w:customStyle="1">
    <w:name w:val="Heading 5 Char"/>
    <w:link w:val="761"/>
    <w:uiPriority w:val="9"/>
    <w:qFormat/>
    <w:rPr>
      <w:rFonts w:ascii="Arial" w:hAnsi="Arial" w:eastAsia="Arial" w:cs="Arial"/>
      <w:b/>
      <w:bCs/>
      <w:sz w:val="24"/>
      <w:szCs w:val="24"/>
    </w:rPr>
  </w:style>
  <w:style w:type="character" w:styleId="807" w:customStyle="1">
    <w:name w:val="Heading 6 Char"/>
    <w:link w:val="762"/>
    <w:uiPriority w:val="9"/>
    <w:qFormat/>
    <w:rPr>
      <w:rFonts w:ascii="Arial" w:hAnsi="Arial" w:eastAsia="Arial" w:cs="Arial"/>
      <w:b/>
      <w:bCs/>
      <w:sz w:val="22"/>
      <w:szCs w:val="22"/>
    </w:rPr>
  </w:style>
  <w:style w:type="character" w:styleId="808" w:customStyle="1">
    <w:name w:val="Heading 7 Char"/>
    <w:link w:val="763"/>
    <w:uiPriority w:val="9"/>
    <w:qFormat/>
    <w:rPr>
      <w:rFonts w:ascii="Arial" w:hAnsi="Arial" w:eastAsia="Arial" w:cs="Arial"/>
      <w:b/>
      <w:bCs/>
      <w:i/>
      <w:iCs/>
      <w:sz w:val="22"/>
      <w:szCs w:val="22"/>
    </w:rPr>
  </w:style>
  <w:style w:type="character" w:styleId="809" w:customStyle="1">
    <w:name w:val="Heading 8 Char"/>
    <w:link w:val="764"/>
    <w:uiPriority w:val="9"/>
    <w:qFormat/>
    <w:rPr>
      <w:rFonts w:ascii="Arial" w:hAnsi="Arial" w:eastAsia="Arial" w:cs="Arial"/>
      <w:i/>
      <w:iCs/>
      <w:sz w:val="22"/>
      <w:szCs w:val="22"/>
    </w:rPr>
  </w:style>
  <w:style w:type="character" w:styleId="810" w:customStyle="1">
    <w:name w:val="Heading 9 Char"/>
    <w:link w:val="765"/>
    <w:uiPriority w:val="9"/>
    <w:qFormat/>
    <w:rPr>
      <w:rFonts w:ascii="Arial" w:hAnsi="Arial" w:eastAsia="Arial" w:cs="Arial"/>
      <w:i/>
      <w:iCs/>
      <w:sz w:val="21"/>
      <w:szCs w:val="21"/>
    </w:rPr>
  </w:style>
  <w:style w:type="paragraph" w:styleId="811">
    <w:name w:val="List Paragraph"/>
    <w:basedOn w:val="756"/>
    <w:uiPriority w:val="34"/>
    <w:qFormat/>
    <w:pPr>
      <w:contextualSpacing/>
      <w:ind w:left="720"/>
    </w:pPr>
  </w:style>
  <w:style w:type="paragraph" w:styleId="812">
    <w:name w:val="No Spacing"/>
    <w:uiPriority w:val="1"/>
    <w:qFormat/>
    <w:pPr>
      <w:spacing w:before="0" w:after="0" w:line="240" w:lineRule="auto"/>
    </w:pPr>
    <w:rPr>
      <w:rFonts w:hint="default" w:ascii="Times New Roman" w:hAnsi="Times New Roman" w:eastAsia="宋体" w:cs="Times New Roman"/>
    </w:rPr>
  </w:style>
  <w:style w:type="character" w:styleId="813" w:customStyle="1">
    <w:name w:val="Title Char"/>
    <w:link w:val="792"/>
    <w:uiPriority w:val="10"/>
    <w:qFormat/>
    <w:rPr>
      <w:sz w:val="48"/>
      <w:szCs w:val="48"/>
    </w:rPr>
  </w:style>
  <w:style w:type="character" w:styleId="814" w:customStyle="1">
    <w:name w:val="Subtitle Char"/>
    <w:link w:val="786"/>
    <w:uiPriority w:val="11"/>
    <w:qFormat/>
    <w:rPr>
      <w:sz w:val="24"/>
      <w:szCs w:val="24"/>
    </w:rPr>
  </w:style>
  <w:style w:type="paragraph" w:styleId="815">
    <w:name w:val="Quote"/>
    <w:basedOn w:val="756"/>
    <w:next w:val="756"/>
    <w:link w:val="816"/>
    <w:uiPriority w:val="29"/>
    <w:qFormat/>
    <w:pPr>
      <w:ind w:left="720" w:right="720"/>
    </w:pPr>
    <w:rPr>
      <w:i/>
    </w:rPr>
  </w:style>
  <w:style w:type="character" w:styleId="816" w:customStyle="1">
    <w:name w:val="Quote Char"/>
    <w:link w:val="815"/>
    <w:uiPriority w:val="29"/>
    <w:qFormat/>
    <w:rPr>
      <w:i/>
    </w:rPr>
  </w:style>
  <w:style w:type="paragraph" w:styleId="817">
    <w:name w:val="Intense Quote"/>
    <w:basedOn w:val="756"/>
    <w:next w:val="756"/>
    <w:link w:val="8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8" w:customStyle="1">
    <w:name w:val="Intense Quote Char"/>
    <w:link w:val="817"/>
    <w:uiPriority w:val="30"/>
    <w:qFormat/>
    <w:rPr>
      <w:i/>
    </w:rPr>
  </w:style>
  <w:style w:type="character" w:styleId="819" w:customStyle="1">
    <w:name w:val="Header Char"/>
    <w:link w:val="783"/>
    <w:uiPriority w:val="99"/>
    <w:qFormat/>
  </w:style>
  <w:style w:type="character" w:styleId="820" w:customStyle="1">
    <w:name w:val="Footer Char"/>
    <w:link w:val="782"/>
    <w:uiPriority w:val="99"/>
    <w:qFormat/>
  </w:style>
  <w:style w:type="character" w:styleId="821" w:customStyle="1">
    <w:name w:val="Caption Char"/>
    <w:link w:val="782"/>
    <w:uiPriority w:val="99"/>
    <w:qFormat/>
  </w:style>
  <w:style w:type="table" w:styleId="82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6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7" w:customStyle="1">
    <w:name w:val="Footnote Text Char"/>
    <w:link w:val="787"/>
    <w:uiPriority w:val="99"/>
    <w:qFormat/>
    <w:rPr>
      <w:sz w:val="18"/>
    </w:rPr>
  </w:style>
  <w:style w:type="character" w:styleId="948" w:customStyle="1">
    <w:name w:val="Endnote Text Char"/>
    <w:link w:val="781"/>
    <w:uiPriority w:val="99"/>
    <w:qFormat/>
    <w:rPr>
      <w:sz w:val="20"/>
    </w:rPr>
  </w:style>
  <w:style w:type="paragraph" w:styleId="949" w:customStyle="1">
    <w:name w:val="TOC Heading"/>
    <w:uiPriority w:val="39"/>
    <w:unhideWhenUsed/>
    <w:qFormat/>
    <w:rPr>
      <w:rFonts w:hint="default" w:ascii="Times New Roman" w:hAnsi="Times New Roman" w:eastAsia="宋体" w:cs="Times New Roman"/>
    </w:rPr>
  </w:style>
  <w:style w:type="paragraph" w:styleId="950" w:customStyle="1">
    <w:name w:val="标题 11"/>
    <w:basedOn w:val="756"/>
    <w:next w:val="756"/>
    <w:link w:val="964"/>
    <w:uiPriority w:val="0"/>
    <w:qFormat/>
    <w:pPr>
      <w:jc w:val="center"/>
      <w:keepLines/>
      <w:keepNext/>
      <w:spacing w:line="578" w:lineRule="auto"/>
      <w:outlineLvl w:val="0"/>
    </w:pPr>
    <w:rPr>
      <w:rFonts w:eastAsia="新宋体"/>
      <w:b/>
      <w:bCs/>
      <w:sz w:val="30"/>
      <w:szCs w:val="44"/>
    </w:rPr>
  </w:style>
  <w:style w:type="paragraph" w:styleId="951" w:customStyle="1">
    <w:name w:val="标题 21"/>
    <w:basedOn w:val="756"/>
    <w:next w:val="756"/>
    <w:uiPriority w:val="99"/>
    <w:qFormat/>
    <w:pPr>
      <w:jc w:val="center"/>
      <w:keepLines/>
      <w:keepNext/>
      <w:spacing w:before="260" w:after="260" w:line="360" w:lineRule="auto"/>
      <w:outlineLvl w:val="1"/>
    </w:pPr>
    <w:rPr>
      <w:rFonts w:ascii="Arial" w:hAnsi="Arial" w:eastAsia="仿宋"/>
      <w:bCs/>
      <w:sz w:val="24"/>
      <w:szCs w:val="32"/>
    </w:rPr>
  </w:style>
  <w:style w:type="paragraph" w:styleId="952" w:customStyle="1">
    <w:name w:val="标题 31"/>
    <w:basedOn w:val="756"/>
    <w:next w:val="756"/>
    <w:link w:val="965"/>
    <w:uiPriority w:val="9"/>
    <w:qFormat/>
    <w:pPr>
      <w:jc w:val="left"/>
      <w:keepLines/>
      <w:keepNext/>
      <w:spacing w:before="260" w:after="260" w:line="416" w:lineRule="auto"/>
      <w:widowControl/>
      <w:outlineLvl w:val="2"/>
    </w:pPr>
    <w:rPr>
      <w:rFonts w:ascii="Tahoma" w:hAnsi="Tahoma" w:eastAsia="微软雅黑" w:cs="Times New Roman"/>
      <w:b/>
      <w:bCs/>
      <w:sz w:val="32"/>
      <w:szCs w:val="32"/>
    </w:rPr>
  </w:style>
  <w:style w:type="paragraph" w:styleId="953" w:customStyle="1">
    <w:name w:val="标题 411"/>
    <w:basedOn w:val="756"/>
    <w:next w:val="756"/>
    <w:link w:val="966"/>
    <w:uiPriority w:val="0"/>
    <w:qFormat/>
    <w:pPr>
      <w:keepLines/>
      <w:keepNext/>
      <w:spacing w:before="280" w:after="290" w:line="376" w:lineRule="auto"/>
      <w:outlineLvl w:val="3"/>
    </w:pPr>
    <w:rPr>
      <w:rFonts w:ascii="Calibri Light" w:hAnsi="Calibri Light" w:eastAsia="宋体" w:cs="Times New Roman"/>
      <w:b/>
      <w:bCs/>
      <w:sz w:val="28"/>
      <w:szCs w:val="28"/>
    </w:rPr>
  </w:style>
  <w:style w:type="character" w:styleId="954" w:customStyle="1">
    <w:name w:val="默认段落字体11"/>
    <w:link w:val="756"/>
    <w:uiPriority w:val="1"/>
    <w:unhideWhenUsed/>
    <w:qFormat/>
  </w:style>
  <w:style w:type="table" w:styleId="955" w:customStyle="1">
    <w:name w:val="普通表格1"/>
    <w:uiPriority w:val="99"/>
    <w:unhideWhenUsed/>
    <w:qFormat/>
    <w:tblPr/>
  </w:style>
  <w:style w:type="paragraph" w:styleId="956" w:customStyle="1">
    <w:name w:val="正文文本11"/>
    <w:basedOn w:val="957"/>
    <w:next w:val="756"/>
    <w:uiPriority w:val="0"/>
    <w:qFormat/>
    <w:pPr>
      <w:spacing w:after="120"/>
    </w:pPr>
  </w:style>
  <w:style w:type="paragraph" w:styleId="957" w:customStyle="1">
    <w:name w:val="正文11"/>
    <w:next w:val="958"/>
    <w:link w:val="96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8" w:customStyle="1">
    <w:name w:val="正文首行缩进1"/>
    <w:basedOn w:val="959"/>
    <w:uiPriority w:val="0"/>
    <w:qFormat/>
    <w:pPr>
      <w:ind w:firstLine="420"/>
      <w:spacing w:after="120"/>
    </w:pPr>
    <w:rPr>
      <w:rFonts w:ascii="Times New Roman"/>
      <w:szCs w:val="24"/>
    </w:rPr>
  </w:style>
  <w:style w:type="paragraph" w:styleId="959" w:customStyle="1">
    <w:name w:val="正文文本1"/>
    <w:basedOn w:val="957"/>
    <w:next w:val="958"/>
    <w:uiPriority w:val="0"/>
    <w:qFormat/>
    <w:pPr>
      <w:spacing w:after="120"/>
    </w:pPr>
    <w:rPr>
      <w:lang w:eastAsia="en-US"/>
    </w:rPr>
  </w:style>
  <w:style w:type="character" w:styleId="960" w:customStyle="1">
    <w:name w:val="16"/>
    <w:basedOn w:val="961"/>
    <w:link w:val="957"/>
    <w:uiPriority w:val="0"/>
    <w:qFormat/>
    <w:rPr>
      <w:rFonts w:ascii="Times New Roman" w:hAnsi="Times New Roman" w:eastAsia="宋体" w:cs="Times New Roman"/>
      <w:sz w:val="21"/>
      <w:szCs w:val="24"/>
      <w:lang w:val="en-US" w:eastAsia="zh-CN" w:bidi="ar-SA"/>
    </w:rPr>
  </w:style>
  <w:style w:type="character" w:styleId="961" w:customStyle="1">
    <w:name w:val="默认段落字体1"/>
    <w:link w:val="957"/>
    <w:uiPriority w:val="0"/>
    <w:semiHidden/>
    <w:qFormat/>
  </w:style>
  <w:style w:type="paragraph" w:styleId="962" w:customStyle="1">
    <w:name w:val="标题 211"/>
    <w:basedOn w:val="963"/>
    <w:next w:val="957"/>
    <w:uiPriority w:val="0"/>
    <w:qFormat/>
    <w:pPr>
      <w:keepLines/>
      <w:keepNext/>
      <w:spacing w:before="260" w:after="260" w:line="416" w:lineRule="auto"/>
      <w:outlineLvl w:val="1"/>
    </w:pPr>
    <w:rPr>
      <w:rFonts w:ascii="Calibri Light" w:hAnsi="Calibri Light"/>
      <w:bCs/>
      <w:sz w:val="32"/>
      <w:szCs w:val="32"/>
    </w:rPr>
  </w:style>
  <w:style w:type="paragraph" w:styleId="963" w:customStyle="1">
    <w:name w:val="正文1111"/>
    <w:next w:val="962"/>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64" w:customStyle="1">
    <w:name w:val="标题 1 字符"/>
    <w:link w:val="950"/>
    <w:uiPriority w:val="0"/>
    <w:qFormat/>
    <w:rPr>
      <w:rFonts w:eastAsia="新宋体"/>
      <w:b/>
      <w:bCs/>
      <w:sz w:val="30"/>
      <w:szCs w:val="44"/>
    </w:rPr>
  </w:style>
  <w:style w:type="character" w:styleId="965" w:customStyle="1">
    <w:name w:val="标题 3 字符"/>
    <w:link w:val="952"/>
    <w:uiPriority w:val="9"/>
    <w:qFormat/>
    <w:rPr>
      <w:rFonts w:ascii="Tahoma" w:hAnsi="Tahoma" w:eastAsia="微软雅黑" w:cs="Times New Roman"/>
      <w:b/>
      <w:bCs/>
      <w:sz w:val="32"/>
      <w:szCs w:val="32"/>
    </w:rPr>
  </w:style>
  <w:style w:type="character" w:styleId="966" w:customStyle="1">
    <w:name w:val="标题 4 字符"/>
    <w:link w:val="953"/>
    <w:uiPriority w:val="0"/>
    <w:semiHidden/>
    <w:qFormat/>
    <w:rPr>
      <w:rFonts w:ascii="Calibri Light" w:hAnsi="Calibri Light" w:eastAsia="宋体" w:cs="Times New Roman"/>
      <w:b/>
      <w:bCs/>
      <w:sz w:val="28"/>
      <w:szCs w:val="28"/>
    </w:rPr>
  </w:style>
  <w:style w:type="paragraph" w:styleId="967" w:customStyle="1">
    <w:name w:val="正文缩进1"/>
    <w:basedOn w:val="756"/>
    <w:uiPriority w:val="0"/>
    <w:qFormat/>
    <w:pPr>
      <w:ind w:firstLine="420"/>
    </w:pPr>
  </w:style>
  <w:style w:type="paragraph" w:styleId="968" w:customStyle="1">
    <w:name w:val="索引 5111"/>
    <w:basedOn w:val="756"/>
    <w:next w:val="756"/>
    <w:uiPriority w:val="0"/>
    <w:qFormat/>
    <w:pPr>
      <w:ind w:left="798"/>
      <w:jc w:val="left"/>
    </w:pPr>
    <w:rPr>
      <w:rFonts w:ascii="Calibri" w:hAnsi="Calibri"/>
    </w:rPr>
  </w:style>
  <w:style w:type="paragraph" w:styleId="969" w:customStyle="1">
    <w:name w:val="批注文字1"/>
    <w:basedOn w:val="756"/>
    <w:link w:val="970"/>
    <w:uiPriority w:val="99"/>
    <w:qFormat/>
    <w:pPr>
      <w:jc w:val="left"/>
    </w:pPr>
  </w:style>
  <w:style w:type="character" w:styleId="970" w:customStyle="1">
    <w:name w:val="批注文字 字符"/>
    <w:link w:val="969"/>
    <w:uiPriority w:val="99"/>
    <w:qFormat/>
    <w:rPr>
      <w:sz w:val="21"/>
      <w:szCs w:val="24"/>
    </w:rPr>
  </w:style>
  <w:style w:type="paragraph" w:styleId="971" w:customStyle="1">
    <w:name w:val="正文文本12"/>
    <w:basedOn w:val="756"/>
    <w:next w:val="756"/>
    <w:uiPriority w:val="0"/>
    <w:qFormat/>
    <w:pPr>
      <w:spacing w:after="120"/>
    </w:pPr>
  </w:style>
  <w:style w:type="paragraph" w:styleId="972" w:customStyle="1">
    <w:name w:val="正文文本缩进12"/>
    <w:basedOn w:val="756"/>
    <w:next w:val="973"/>
    <w:uiPriority w:val="0"/>
    <w:qFormat/>
    <w:pPr>
      <w:ind w:left="420"/>
      <w:spacing w:after="120"/>
    </w:pPr>
    <w:rPr>
      <w:rFonts w:ascii="Calibri" w:hAnsi="Calibri"/>
    </w:rPr>
  </w:style>
  <w:style w:type="paragraph" w:styleId="973" w:customStyle="1">
    <w:name w:val="寄信人地址11"/>
    <w:basedOn w:val="756"/>
    <w:uiPriority w:val="0"/>
    <w:qFormat/>
    <w:rPr>
      <w:rFonts w:ascii="Arial" w:hAnsi="Arial"/>
    </w:rPr>
  </w:style>
  <w:style w:type="paragraph" w:styleId="974" w:customStyle="1">
    <w:name w:val="文本块12"/>
    <w:basedOn w:val="756"/>
    <w:next w:val="756"/>
    <w:uiPriority w:val="6"/>
    <w:unhideWhenUsed/>
    <w:qFormat/>
    <w:pPr>
      <w:ind w:left="1440" w:right="1440"/>
      <w:spacing w:after="120"/>
    </w:pPr>
  </w:style>
  <w:style w:type="paragraph" w:styleId="975" w:customStyle="1">
    <w:name w:val="纯文本11"/>
    <w:basedOn w:val="756"/>
    <w:uiPriority w:val="0"/>
    <w:qFormat/>
    <w:rPr>
      <w:rFonts w:ascii="宋体" w:hAnsi="Courier New"/>
      <w:szCs w:val="20"/>
    </w:rPr>
  </w:style>
  <w:style w:type="paragraph" w:styleId="976" w:customStyle="1">
    <w:name w:val="日期1"/>
    <w:basedOn w:val="756"/>
    <w:next w:val="756"/>
    <w:uiPriority w:val="0"/>
    <w:qFormat/>
    <w:rPr>
      <w:rFonts w:eastAsia="仿宋_GB2312"/>
      <w:sz w:val="28"/>
      <w:szCs w:val="20"/>
    </w:rPr>
  </w:style>
  <w:style w:type="paragraph" w:styleId="977" w:customStyle="1">
    <w:name w:val="批注框文本1"/>
    <w:basedOn w:val="756"/>
    <w:link w:val="978"/>
    <w:uiPriority w:val="0"/>
    <w:qFormat/>
    <w:rPr>
      <w:sz w:val="18"/>
      <w:szCs w:val="18"/>
    </w:rPr>
  </w:style>
  <w:style w:type="character" w:styleId="978" w:customStyle="1">
    <w:name w:val="批注框文本 字符"/>
    <w:link w:val="977"/>
    <w:uiPriority w:val="0"/>
    <w:qFormat/>
    <w:rPr>
      <w:rFonts w:ascii="Times New Roman" w:hAnsi="Times New Roman" w:eastAsia="宋体" w:cs="Times New Roman"/>
      <w:sz w:val="18"/>
      <w:szCs w:val="18"/>
    </w:rPr>
  </w:style>
  <w:style w:type="paragraph" w:styleId="979" w:customStyle="1">
    <w:name w:val="页脚111"/>
    <w:basedOn w:val="756"/>
    <w:link w:val="980"/>
    <w:uiPriority w:val="99"/>
    <w:qFormat/>
    <w:pPr>
      <w:jc w:val="left"/>
      <w:tabs>
        <w:tab w:val="center" w:pos="4153" w:leader="none"/>
        <w:tab w:val="right" w:pos="8306" w:leader="none"/>
      </w:tabs>
    </w:pPr>
    <w:rPr>
      <w:sz w:val="18"/>
      <w:szCs w:val="18"/>
    </w:rPr>
  </w:style>
  <w:style w:type="character" w:styleId="980" w:customStyle="1">
    <w:name w:val="页脚 字符"/>
    <w:link w:val="979"/>
    <w:uiPriority w:val="99"/>
    <w:qFormat/>
    <w:rPr>
      <w:rFonts w:ascii="Times New Roman" w:hAnsi="Times New Roman" w:eastAsia="宋体" w:cs="Times New Roman"/>
      <w:sz w:val="18"/>
      <w:szCs w:val="18"/>
    </w:rPr>
  </w:style>
  <w:style w:type="paragraph" w:styleId="981" w:customStyle="1">
    <w:name w:val="页眉1"/>
    <w:basedOn w:val="756"/>
    <w:uiPriority w:val="99"/>
    <w:qFormat/>
    <w:pPr>
      <w:jc w:val="center"/>
      <w:tabs>
        <w:tab w:val="center" w:pos="4153" w:leader="none"/>
        <w:tab w:val="right" w:pos="8306" w:leader="none"/>
      </w:tabs>
      <w:pBdr>
        <w:bottom w:val="single" w:color="000000" w:sz="6" w:space="1"/>
      </w:pBdr>
    </w:pPr>
    <w:rPr>
      <w:sz w:val="18"/>
      <w:szCs w:val="18"/>
    </w:rPr>
  </w:style>
  <w:style w:type="paragraph" w:styleId="982" w:customStyle="1">
    <w:name w:val="目录 11111"/>
    <w:basedOn w:val="756"/>
    <w:next w:val="756"/>
    <w:uiPriority w:val="39"/>
    <w:qFormat/>
  </w:style>
  <w:style w:type="paragraph" w:styleId="983" w:customStyle="1">
    <w:name w:val="脚注文本111"/>
    <w:basedOn w:val="756"/>
    <w:next w:val="968"/>
    <w:link w:val="984"/>
    <w:uiPriority w:val="99"/>
    <w:qFormat/>
    <w:pPr>
      <w:jc w:val="left"/>
    </w:pPr>
    <w:rPr>
      <w:rFonts w:ascii="宋体" w:eastAsia="Times New Roman"/>
      <w:sz w:val="18"/>
      <w:szCs w:val="18"/>
    </w:rPr>
  </w:style>
  <w:style w:type="character" w:styleId="984" w:customStyle="1">
    <w:name w:val="脚注文本 字符"/>
    <w:link w:val="983"/>
    <w:uiPriority w:val="99"/>
    <w:qFormat/>
    <w:rPr>
      <w:rFonts w:ascii="宋体" w:hAnsi="Times New Roman" w:eastAsia="Times New Roman" w:cs="Times New Roman"/>
      <w:sz w:val="18"/>
      <w:szCs w:val="18"/>
    </w:rPr>
  </w:style>
  <w:style w:type="paragraph" w:styleId="985" w:customStyle="1">
    <w:name w:val="目录 21"/>
    <w:basedOn w:val="756"/>
    <w:next w:val="756"/>
    <w:uiPriority w:val="0"/>
    <w:unhideWhenUsed/>
    <w:qFormat/>
    <w:pPr>
      <w:ind w:left="420"/>
    </w:pPr>
  </w:style>
  <w:style w:type="paragraph" w:styleId="986" w:customStyle="1">
    <w:name w:val="普通(网站)1"/>
    <w:basedOn w:val="756"/>
    <w:uiPriority w:val="99"/>
    <w:qFormat/>
    <w:pPr>
      <w:jc w:val="left"/>
      <w:spacing w:before="100" w:beforeAutospacing="1" w:after="100" w:afterAutospacing="1"/>
      <w:widowControl/>
    </w:pPr>
    <w:rPr>
      <w:rFonts w:ascii="宋体" w:hAnsi="宋体" w:cs="宋体"/>
      <w:sz w:val="24"/>
    </w:rPr>
  </w:style>
  <w:style w:type="paragraph" w:styleId="987" w:customStyle="1">
    <w:name w:val="批注主题1"/>
    <w:basedOn w:val="969"/>
    <w:next w:val="969"/>
    <w:link w:val="988"/>
    <w:uiPriority w:val="0"/>
    <w:unhideWhenUsed/>
    <w:qFormat/>
    <w:rPr>
      <w:b/>
      <w:bCs/>
    </w:rPr>
  </w:style>
  <w:style w:type="character" w:styleId="988" w:customStyle="1">
    <w:name w:val="批注主题 字符"/>
    <w:link w:val="987"/>
    <w:uiPriority w:val="0"/>
    <w:semiHidden/>
    <w:qFormat/>
    <w:rPr>
      <w:b/>
      <w:bCs/>
      <w:sz w:val="21"/>
      <w:szCs w:val="24"/>
    </w:rPr>
  </w:style>
  <w:style w:type="paragraph" w:styleId="989" w:customStyle="1">
    <w:name w:val="正文首行缩进 21"/>
    <w:basedOn w:val="972"/>
    <w:uiPriority w:val="0"/>
    <w:qFormat/>
    <w:pPr>
      <w:ind w:firstLine="420"/>
    </w:pPr>
  </w:style>
  <w:style w:type="table" w:styleId="990" w:customStyle="1">
    <w:name w:val="网格型1"/>
    <w:basedOn w:val="955"/>
    <w:uiPriority w:val="39"/>
    <w:qFormat/>
    <w:tblPr/>
  </w:style>
  <w:style w:type="character" w:styleId="991" w:customStyle="1">
    <w:name w:val="要点1"/>
    <w:basedOn w:val="954"/>
    <w:link w:val="756"/>
    <w:uiPriority w:val="0"/>
    <w:qFormat/>
    <w:rPr>
      <w:b/>
    </w:rPr>
  </w:style>
  <w:style w:type="character" w:styleId="992" w:customStyle="1">
    <w:name w:val="页码11"/>
    <w:link w:val="756"/>
    <w:uiPriority w:val="0"/>
    <w:qFormat/>
  </w:style>
  <w:style w:type="character" w:styleId="993" w:customStyle="1">
    <w:name w:val="超链接111"/>
    <w:link w:val="756"/>
    <w:uiPriority w:val="99"/>
    <w:unhideWhenUsed/>
    <w:qFormat/>
    <w:rPr>
      <w:color w:val="0000ff"/>
      <w:u w:val="single"/>
    </w:rPr>
  </w:style>
  <w:style w:type="character" w:styleId="994" w:customStyle="1">
    <w:name w:val="批注引用1"/>
    <w:link w:val="756"/>
    <w:uiPriority w:val="0"/>
    <w:unhideWhenUsed/>
    <w:qFormat/>
    <w:rPr>
      <w:sz w:val="21"/>
      <w:szCs w:val="21"/>
    </w:rPr>
  </w:style>
  <w:style w:type="paragraph" w:styleId="995" w:customStyle="1">
    <w:name w:val="正文首行缩进11"/>
    <w:basedOn w:val="756"/>
    <w:next w:val="996"/>
    <w:uiPriority w:val="0"/>
    <w:qFormat/>
    <w:pPr>
      <w:ind w:firstLine="420"/>
    </w:pPr>
    <w:rPr>
      <w:rFonts w:ascii="仿宋_GB2312" w:hAnsi="Times New Roman" w:eastAsia="仿宋_GB2312"/>
      <w:sz w:val="30"/>
      <w:szCs w:val="30"/>
    </w:rPr>
  </w:style>
  <w:style w:type="paragraph" w:styleId="996" w:customStyle="1">
    <w:name w:val="正文首行缩进 211"/>
    <w:basedOn w:val="997"/>
    <w:next w:val="998"/>
    <w:uiPriority w:val="0"/>
    <w:qFormat/>
    <w:pPr>
      <w:ind w:firstLine="420"/>
    </w:pPr>
    <w:rPr>
      <w:sz w:val="24"/>
    </w:rPr>
  </w:style>
  <w:style w:type="paragraph" w:styleId="997" w:customStyle="1">
    <w:name w:val="正文文本缩进11"/>
    <w:basedOn w:val="998"/>
    <w:next w:val="998"/>
    <w:uiPriority w:val="0"/>
    <w:qFormat/>
    <w:pPr>
      <w:ind w:firstLine="425"/>
      <w:spacing w:line="360" w:lineRule="auto"/>
    </w:pPr>
  </w:style>
  <w:style w:type="paragraph" w:styleId="998" w:customStyle="1">
    <w:name w:val="正文112"/>
    <w:next w:val="958"/>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99" w:customStyle="1">
    <w:name w:val="font141"/>
    <w:link w:val="756"/>
    <w:uiPriority w:val="0"/>
    <w:qFormat/>
    <w:rPr>
      <w:rFonts w:hint="eastAsia" w:ascii="仿宋" w:hAnsi="仿宋" w:eastAsia="仿宋" w:cs="仿宋"/>
      <w:color w:val="000000"/>
      <w:sz w:val="22"/>
      <w:szCs w:val="22"/>
      <w:u w:val="none"/>
    </w:rPr>
  </w:style>
  <w:style w:type="character" w:styleId="1000" w:customStyle="1">
    <w:name w:val="超链接1"/>
    <w:link w:val="756"/>
    <w:uiPriority w:val="0"/>
    <w:qFormat/>
    <w:rPr>
      <w:sz w:val="21"/>
      <w:szCs w:val="24"/>
      <w:lang w:val="en-US" w:eastAsia="zh-CN" w:bidi="ar-SA"/>
    </w:rPr>
  </w:style>
  <w:style w:type="paragraph" w:styleId="1001" w:customStyle="1">
    <w:name w:val="目录 11"/>
    <w:basedOn w:val="1002"/>
    <w:next w:val="957"/>
    <w:uiPriority w:val="0"/>
    <w:qFormat/>
    <w:pPr>
      <w:jc w:val="left"/>
      <w:spacing w:after="100" w:line="259" w:lineRule="auto"/>
      <w:widowControl/>
    </w:pPr>
    <w:rPr>
      <w:rFonts w:ascii="Calibri" w:hAnsi="Calibri"/>
      <w:sz w:val="22"/>
      <w:szCs w:val="22"/>
    </w:rPr>
  </w:style>
  <w:style w:type="paragraph" w:styleId="1002" w:customStyle="1">
    <w:name w:val="正文12"/>
    <w:next w:val="1003"/>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003" w:customStyle="1">
    <w:name w:val="文本块11"/>
    <w:basedOn w:val="1002"/>
    <w:uiPriority w:val="0"/>
    <w:qFormat/>
    <w:pPr>
      <w:ind w:left="420" w:right="33"/>
      <w:jc w:val="left"/>
    </w:pPr>
    <w:rPr>
      <w:sz w:val="24"/>
      <w:szCs w:val="20"/>
    </w:rPr>
  </w:style>
  <w:style w:type="character" w:styleId="1004" w:customStyle="1">
    <w:name w:val="font121"/>
    <w:link w:val="756"/>
    <w:uiPriority w:val="0"/>
    <w:qFormat/>
    <w:rPr>
      <w:rFonts w:hint="eastAsia" w:ascii="宋体" w:hAnsi="宋体" w:eastAsia="宋体" w:cs="宋体"/>
      <w:color w:val="000000"/>
      <w:sz w:val="20"/>
      <w:szCs w:val="20"/>
      <w:u w:val="none"/>
    </w:rPr>
  </w:style>
  <w:style w:type="character" w:styleId="1005" w:customStyle="1">
    <w:name w:val="超链接11"/>
    <w:link w:val="1006"/>
    <w:uiPriority w:val="0"/>
    <w:qFormat/>
    <w:rPr>
      <w:sz w:val="21"/>
      <w:szCs w:val="24"/>
    </w:rPr>
  </w:style>
  <w:style w:type="paragraph" w:styleId="1006" w:customStyle="1">
    <w:name w:val="正文1"/>
    <w:basedOn w:val="957"/>
    <w:next w:val="1007"/>
    <w:link w:val="1005"/>
    <w:uiPriority w:val="0"/>
    <w:qFormat/>
    <w:pPr>
      <w:jc w:val="both"/>
      <w:widowControl w:val="off"/>
    </w:pPr>
    <w:rPr>
      <w:sz w:val="21"/>
      <w:szCs w:val="24"/>
      <w:lang w:val="en-US" w:eastAsia="zh-CN" w:bidi="ar-SA"/>
    </w:rPr>
  </w:style>
  <w:style w:type="paragraph" w:styleId="1007" w:customStyle="1">
    <w:name w:val="脚注文本1"/>
    <w:basedOn w:val="1008"/>
    <w:next w:val="1010"/>
    <w:uiPriority w:val="0"/>
    <w:qFormat/>
    <w:pPr>
      <w:jc w:val="left"/>
    </w:pPr>
    <w:rPr>
      <w:rFonts w:ascii="宋体" w:eastAsia="Times New Roman"/>
      <w:sz w:val="18"/>
      <w:szCs w:val="18"/>
    </w:rPr>
  </w:style>
  <w:style w:type="paragraph" w:styleId="1008" w:customStyle="1">
    <w:name w:val="正文111"/>
    <w:next w:val="100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9" w:customStyle="1">
    <w:name w:val="目录 111"/>
    <w:basedOn w:val="1006"/>
    <w:next w:val="756"/>
    <w:uiPriority w:val="0"/>
    <w:qFormat/>
    <w:pPr>
      <w:jc w:val="left"/>
      <w:spacing w:after="100" w:line="259" w:lineRule="auto"/>
      <w:widowControl/>
    </w:pPr>
    <w:rPr>
      <w:rFonts w:ascii="Calibri" w:hAnsi="Calibri"/>
      <w:sz w:val="22"/>
      <w:szCs w:val="22"/>
    </w:rPr>
  </w:style>
  <w:style w:type="paragraph" w:styleId="1010" w:customStyle="1">
    <w:name w:val="索引 51"/>
    <w:basedOn w:val="1006"/>
    <w:next w:val="1006"/>
    <w:uiPriority w:val="0"/>
    <w:qFormat/>
    <w:pPr>
      <w:ind w:left="798"/>
      <w:jc w:val="left"/>
    </w:pPr>
    <w:rPr>
      <w:rFonts w:ascii="Calibri" w:hAnsi="Calibri"/>
    </w:rPr>
  </w:style>
  <w:style w:type="paragraph" w:styleId="1011" w:customStyle="1">
    <w:name w:val="文本块1"/>
    <w:basedOn w:val="957"/>
    <w:uiPriority w:val="0"/>
    <w:qFormat/>
    <w:pPr>
      <w:ind w:left="1440" w:right="1440"/>
      <w:spacing w:after="120"/>
    </w:pPr>
  </w:style>
  <w:style w:type="paragraph" w:styleId="1012" w:customStyle="1">
    <w:name w:val="标题 41"/>
    <w:basedOn w:val="1013"/>
    <w:next w:val="1008"/>
    <w:uiPriority w:val="0"/>
    <w:qFormat/>
    <w:pPr>
      <w:keepLines/>
      <w:keepNext/>
      <w:spacing w:before="280" w:after="290" w:line="376" w:lineRule="auto"/>
      <w:outlineLvl w:val="3"/>
    </w:pPr>
    <w:rPr>
      <w:rFonts w:ascii="Cambria" w:hAnsi="Cambria"/>
      <w:sz w:val="28"/>
      <w:szCs w:val="28"/>
    </w:rPr>
  </w:style>
  <w:style w:type="paragraph" w:styleId="1013" w:customStyle="1">
    <w:name w:val="标题1"/>
    <w:basedOn w:val="1008"/>
    <w:next w:val="998"/>
    <w:uiPriority w:val="0"/>
    <w:qFormat/>
    <w:pPr>
      <w:jc w:val="center"/>
      <w:spacing w:before="300" w:after="300"/>
      <w:outlineLvl w:val="0"/>
    </w:pPr>
    <w:rPr>
      <w:rFonts w:ascii="Cambria" w:hAnsi="Cambria" w:eastAsia="仿宋_GB2312"/>
      <w:b/>
      <w:bCs/>
      <w:sz w:val="36"/>
      <w:szCs w:val="32"/>
    </w:rPr>
  </w:style>
  <w:style w:type="paragraph" w:styleId="1014" w:customStyle="1">
    <w:name w:val="一级条标题"/>
    <w:basedOn w:val="1015"/>
    <w:next w:val="101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15" w:customStyle="1">
    <w:name w:val="章标题"/>
    <w:basedOn w:val="756"/>
    <w:next w:val="756"/>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1016" w:customStyle="1">
    <w:name w:val="段"/>
    <w:basedOn w:val="1006"/>
    <w:next w:val="756"/>
    <w:uiPriority w:val="0"/>
    <w:qFormat/>
    <w:pPr>
      <w:ind w:firstLine="200"/>
      <w:widowControl/>
    </w:pPr>
    <w:rPr>
      <w:rFonts w:hint="eastAsia" w:ascii="宋体"/>
    </w:rPr>
  </w:style>
  <w:style w:type="character" w:styleId="1017" w:customStyle="1">
    <w:name w:val="页码1"/>
    <w:link w:val="756"/>
    <w:uiPriority w:val="0"/>
    <w:qFormat/>
  </w:style>
  <w:style w:type="character" w:styleId="1018" w:customStyle="1">
    <w:name w:val="font01"/>
    <w:link w:val="756"/>
    <w:uiPriority w:val="0"/>
    <w:qFormat/>
    <w:rPr>
      <w:rFonts w:hint="eastAsia" w:ascii="宋体" w:hAnsi="宋体" w:eastAsia="宋体" w:cs="宋体"/>
      <w:b/>
      <w:color w:val="000000"/>
      <w:sz w:val="20"/>
      <w:szCs w:val="20"/>
      <w:u w:val="none"/>
    </w:rPr>
  </w:style>
  <w:style w:type="character" w:styleId="1019" w:customStyle="1">
    <w:name w:val="NormalCharacter1"/>
    <w:link w:val="756"/>
    <w:uiPriority w:val="0"/>
    <w:semiHidden/>
    <w:qFormat/>
    <w:rPr>
      <w:sz w:val="28"/>
      <w:lang w:val="en-US" w:eastAsia="zh-CN" w:bidi="ar-SA"/>
    </w:rPr>
  </w:style>
  <w:style w:type="paragraph" w:styleId="1020" w:customStyle="1">
    <w:name w:val="179"/>
    <w:basedOn w:val="756"/>
    <w:uiPriority w:val="0"/>
    <w:qFormat/>
    <w:pPr>
      <w:ind w:firstLine="420"/>
      <w:jc w:val="left"/>
      <w:widowControl/>
    </w:pPr>
    <w:rPr>
      <w:rFonts w:ascii="宋体" w:hAnsi="宋体"/>
      <w:sz w:val="24"/>
    </w:rPr>
  </w:style>
  <w:style w:type="paragraph" w:styleId="1021" w:customStyle="1">
    <w:name w:val="p0"/>
    <w:basedOn w:val="957"/>
    <w:uiPriority w:val="0"/>
    <w:qFormat/>
    <w:pPr>
      <w:widowControl/>
    </w:pPr>
    <w:rPr>
      <w:szCs w:val="21"/>
    </w:rPr>
  </w:style>
  <w:style w:type="paragraph" w:styleId="1022" w:customStyle="1">
    <w:name w:val="Table Paragraph"/>
    <w:basedOn w:val="756"/>
    <w:uiPriority w:val="1"/>
    <w:qFormat/>
    <w:pPr>
      <w:jc w:val="left"/>
    </w:pPr>
    <w:rPr>
      <w:rFonts w:ascii="Arial Unicode MS" w:hAnsi="Arial Unicode MS" w:eastAsia="Arial Unicode MS" w:cs="Arial Unicode MS"/>
      <w:sz w:val="22"/>
      <w:szCs w:val="22"/>
      <w:lang w:val="zh-CN" w:bidi="zh-CN"/>
    </w:rPr>
  </w:style>
  <w:style w:type="paragraph" w:styleId="1023" w:customStyle="1">
    <w:name w:val="列出段落"/>
    <w:basedOn w:val="756"/>
    <w:uiPriority w:val="34"/>
    <w:qFormat/>
    <w:pPr>
      <w:ind w:firstLine="420"/>
    </w:pPr>
  </w:style>
  <w:style w:type="paragraph" w:styleId="1024" w:customStyle="1">
    <w:name w:val="目录 1111"/>
    <w:basedOn w:val="756"/>
    <w:next w:val="756"/>
    <w:uiPriority w:val="39"/>
    <w:unhideWhenUsed/>
    <w:qFormat/>
    <w:pPr>
      <w:jc w:val="left"/>
      <w:spacing w:after="100" w:line="259" w:lineRule="auto"/>
      <w:widowControl/>
    </w:pPr>
    <w:rPr>
      <w:rFonts w:ascii="Calibri" w:hAnsi="Calibri" w:eastAsia="宋体"/>
      <w:sz w:val="22"/>
      <w:szCs w:val="22"/>
    </w:rPr>
  </w:style>
  <w:style w:type="paragraph" w:styleId="1025" w:customStyle="1">
    <w:name w:val="BlockQuote1"/>
    <w:basedOn w:val="1008"/>
    <w:uiPriority w:val="0"/>
    <w:qFormat/>
    <w:pPr>
      <w:ind w:left="256" w:right="6" w:firstLine="624"/>
    </w:pPr>
    <w:rPr>
      <w:rFonts w:eastAsia="仿宋_GB2312"/>
      <w:sz w:val="28"/>
    </w:rPr>
  </w:style>
  <w:style w:type="paragraph" w:styleId="1026"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27" w:customStyle="1">
    <w:name w:val="*正文"/>
    <w:basedOn w:val="756"/>
    <w:uiPriority w:val="0"/>
    <w:qFormat/>
    <w:pPr>
      <w:ind w:firstLine="480"/>
      <w:spacing w:line="440" w:lineRule="exact"/>
    </w:pPr>
    <w:rPr>
      <w:rFonts w:ascii="仿宋" w:hAnsi="仿宋" w:eastAsia="仿宋"/>
      <w:sz w:val="24"/>
    </w:rPr>
  </w:style>
  <w:style w:type="paragraph" w:styleId="1028" w:customStyle="1">
    <w:name w:val="页脚1"/>
    <w:basedOn w:val="1006"/>
    <w:uiPriority w:val="0"/>
    <w:qFormat/>
    <w:pPr>
      <w:jc w:val="left"/>
      <w:tabs>
        <w:tab w:val="center" w:pos="4153" w:leader="none"/>
        <w:tab w:val="right" w:pos="8306" w:leader="none"/>
      </w:tabs>
    </w:pPr>
    <w:rPr>
      <w:sz w:val="18"/>
      <w:szCs w:val="18"/>
    </w:rPr>
  </w:style>
  <w:style w:type="paragraph" w:styleId="1029" w:customStyle="1">
    <w:name w:val="页眉11"/>
    <w:basedOn w:val="963"/>
    <w:uiPriority w:val="0"/>
    <w:qFormat/>
    <w:pPr>
      <w:jc w:val="center"/>
      <w:tabs>
        <w:tab w:val="center" w:pos="4153" w:leader="none"/>
        <w:tab w:val="right" w:pos="8306" w:leader="none"/>
      </w:tabs>
      <w:pBdr>
        <w:bottom w:val="single" w:color="000000" w:sz="6" w:space="1"/>
      </w:pBdr>
    </w:pPr>
    <w:rPr>
      <w:sz w:val="18"/>
      <w:szCs w:val="18"/>
    </w:rPr>
  </w:style>
  <w:style w:type="paragraph" w:styleId="1030" w:customStyle="1">
    <w:name w:val="页脚11"/>
    <w:basedOn w:val="963"/>
    <w:uiPriority w:val="0"/>
    <w:qFormat/>
    <w:pPr>
      <w:jc w:val="left"/>
      <w:tabs>
        <w:tab w:val="center" w:pos="4153" w:leader="none"/>
        <w:tab w:val="right" w:pos="8306" w:leader="none"/>
      </w:tabs>
    </w:pPr>
    <w:rPr>
      <w:sz w:val="18"/>
      <w:szCs w:val="18"/>
    </w:rPr>
  </w:style>
  <w:style w:type="paragraph" w:styleId="1031" w:customStyle="1">
    <w:name w:val="标准"/>
    <w:basedOn w:val="756"/>
    <w:uiPriority w:val="0"/>
    <w:qFormat/>
    <w:pPr>
      <w:ind w:firstLine="200"/>
      <w:spacing w:line="360" w:lineRule="auto"/>
    </w:pPr>
    <w:rPr>
      <w:rFonts w:cs="宋体"/>
      <w:szCs w:val="21"/>
    </w:rPr>
  </w:style>
  <w:style w:type="paragraph" w:styleId="1032" w:customStyle="1">
    <w:name w:val="列出段落2"/>
    <w:basedOn w:val="756"/>
    <w:uiPriority w:val="34"/>
    <w:qFormat/>
    <w:pPr>
      <w:ind w:firstLine="420"/>
    </w:pPr>
  </w:style>
  <w:style w:type="paragraph" w:styleId="1033" w:customStyle="1">
    <w:name w:val="目录 1112"/>
    <w:basedOn w:val="756"/>
    <w:next w:val="756"/>
    <w:uiPriority w:val="39"/>
    <w:qFormat/>
  </w:style>
  <w:style w:type="paragraph" w:styleId="1034" w:customStyle="1">
    <w:name w:val="脚注文本11"/>
    <w:basedOn w:val="756"/>
    <w:next w:val="1035"/>
    <w:uiPriority w:val="0"/>
    <w:unhideWhenUsed/>
    <w:qFormat/>
    <w:pPr>
      <w:spacing w:after="40"/>
    </w:pPr>
    <w:rPr>
      <w:sz w:val="18"/>
    </w:rPr>
  </w:style>
  <w:style w:type="paragraph" w:styleId="1035" w:customStyle="1">
    <w:name w:val="索引 511"/>
    <w:basedOn w:val="756"/>
    <w:next w:val="756"/>
    <w:uiPriority w:val="0"/>
    <w:qFormat/>
    <w:pPr>
      <w:ind w:left="798"/>
      <w:jc w:val="left"/>
    </w:pPr>
    <w:rPr>
      <w:rFonts w:ascii="Calibri" w:hAnsi="Calibri"/>
      <w:sz w:val="21"/>
    </w:rPr>
  </w:style>
  <w:style w:type="paragraph" w:styleId="1036" w:customStyle="1">
    <w:name w:val="样式 样式 样式 样式 小四 左 首行缩进:  2 字符 + 首行缩进:  2 字符 Char + 右  0 字符1 + 首行缩...3"/>
    <w:basedOn w:val="756"/>
    <w:uiPriority w:val="99"/>
    <w:qFormat/>
    <w:pPr>
      <w:ind w:firstLine="480"/>
      <w:jc w:val="left"/>
      <w:spacing w:line="360" w:lineRule="auto"/>
    </w:pPr>
    <w:rPr>
      <w:sz w:val="24"/>
    </w:rPr>
  </w:style>
  <w:style w:type="paragraph" w:styleId="1037" w:customStyle="1">
    <w:name w:val="纯文本1"/>
    <w:basedOn w:val="1008"/>
    <w:uiPriority w:val="0"/>
    <w:qFormat/>
    <w:rPr>
      <w:rFonts w:ascii="宋体" w:hAnsi="Courier New"/>
      <w:szCs w:val="21"/>
    </w:rPr>
  </w:style>
  <w:style w:type="paragraph" w:styleId="1038" w:customStyle="1">
    <w:name w:val="Table Text"/>
    <w:basedOn w:val="756"/>
    <w:uiPriority w:val="0"/>
    <w:semiHidden/>
    <w:qFormat/>
    <w:rPr>
      <w:rFonts w:ascii="宋体" w:hAnsi="宋体" w:eastAsia="宋体" w:cs="宋体"/>
      <w:sz w:val="32"/>
      <w:szCs w:val="32"/>
      <w:lang w:val="en-US" w:eastAsia="en-US" w:bidi="ar-SA"/>
    </w:rPr>
  </w:style>
  <w:style w:type="paragraph" w:styleId="1039" w:customStyle="1">
    <w:name w:val="Heading21"/>
    <w:basedOn w:val="756"/>
    <w:next w:val="756"/>
    <w:uiPriority w:val="0"/>
    <w:qFormat/>
    <w:pPr>
      <w:jc w:val="left"/>
      <w:keepLines/>
      <w:keepNext/>
      <w:spacing w:before="260" w:after="260" w:line="416" w:lineRule="auto"/>
    </w:pPr>
    <w:rPr>
      <w:rFonts w:ascii="Calibri Light" w:hAnsi="Calibri Light"/>
      <w:b/>
      <w:bCs/>
      <w:sz w:val="24"/>
      <w:szCs w:val="32"/>
    </w:rPr>
  </w:style>
  <w:style w:type="paragraph" w:styleId="1040" w:customStyle="1">
    <w:name w:val="文本块111"/>
    <w:basedOn w:val="756"/>
    <w:next w:val="756"/>
    <w:uiPriority w:val="6"/>
    <w:unhideWhenUsed/>
    <w:qFormat/>
    <w:pPr>
      <w:ind w:left="1440" w:right="1440"/>
      <w:spacing w:after="120"/>
    </w:pPr>
  </w:style>
  <w:style w:type="paragraph" w:styleId="1041" w:customStyle="1">
    <w:name w:val="正文文本缩进1"/>
    <w:basedOn w:val="1006"/>
    <w:next w:val="1042"/>
    <w:uiPriority w:val="0"/>
    <w:qFormat/>
    <w:pPr>
      <w:ind w:left="420"/>
      <w:spacing w:after="120"/>
    </w:pPr>
  </w:style>
  <w:style w:type="paragraph" w:styleId="1042" w:customStyle="1">
    <w:name w:val="寄信人地址1"/>
    <w:basedOn w:val="957"/>
    <w:uiPriority w:val="0"/>
    <w:qFormat/>
    <w:rPr>
      <w:rFonts w:ascii="Arial" w:hAnsi="Arial"/>
    </w:rPr>
  </w:style>
  <w:style w:type="paragraph" w:styleId="1043" w:customStyle="1">
    <w:name w:val="17"/>
    <w:uiPriority w:val="0"/>
    <w:qFormat/>
    <w:pPr>
      <w:jc w:val="both"/>
      <w:widowControl w:val="off"/>
    </w:pPr>
    <w:rPr>
      <w:rFonts w:hint="default" w:ascii="Calibri" w:hAnsi="Calibri" w:eastAsia="宋体" w:cs="Times New Roman"/>
      <w:sz w:val="21"/>
      <w:szCs w:val="22"/>
      <w:lang w:val="en-US" w:eastAsia="zh-CN" w:bidi="ar-SA"/>
    </w:rPr>
  </w:style>
  <w:style w:type="paragraph" w:styleId="1044" w:customStyle="1">
    <w:name w:val="15_0"/>
    <w:basedOn w:val="756"/>
    <w:uiPriority w:val="0"/>
    <w:qFormat/>
    <w:pPr>
      <w:jc w:val="left"/>
      <w:spacing w:after="0" w:line="240" w:lineRule="auto"/>
      <w:widowControl/>
    </w:pPr>
    <w:rPr>
      <w:rFonts w:eastAsia="Times New Roman"/>
      <w:sz w:val="24"/>
      <w:lang w:eastAsia="en-US"/>
    </w:rPr>
  </w:style>
  <w:style w:type="numbering" w:styleId="10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中瑞事业一部</cp:lastModifiedBy>
  <cp:revision>11</cp:revision>
  <dcterms:created xsi:type="dcterms:W3CDTF">2025-11-05T03:23:00Z</dcterms:created>
  <dcterms:modified xsi:type="dcterms:W3CDTF">2026-08-21T01:57:54Z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eyJoZGlkIjoiNDEzOGYyYzU3YjMzOGU4OTg4ODMwZTU1OTczMDNhNTIiLCJ1c2VySWQiOiI3MjMzOTkxMjUifQ==</vt:lpwstr>
  </property>
  <property fmtid="{D5CDD505-2E9C-101B-9397-08002B2CF9AE}" pid="3" name="KSOProductBuildVer">
    <vt:lpwstr>2052-12.1.0.28043</vt:lpwstr>
  </property>
  <property fmtid="{D5CDD505-2E9C-101B-9397-08002B2CF9AE}" pid="4" name="ICV">
    <vt:lpwstr>D74E5E1B613935672DF6386A769CAFA8_43</vt:lpwstr>
  </property>
</Properties>
</file>