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EDC40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bCs/>
          <w:color w:val="000000"/>
          <w:kern w:val="0"/>
          <w:sz w:val="24"/>
          <w:szCs w:val="24"/>
          <w:highlight w:val="none"/>
        </w:rPr>
      </w:pPr>
      <w:r>
        <w:rPr>
          <w:rFonts w:hint="eastAsia" w:ascii="宋体" w:hAnsi="宋体" w:eastAsia="宋体" w:cs="宋体"/>
          <w:bCs/>
          <w:color w:val="000000"/>
          <w:kern w:val="0"/>
          <w:sz w:val="24"/>
          <w:szCs w:val="24"/>
          <w:highlight w:val="none"/>
        </w:rPr>
        <w:t>如有建议或意见，请以书面形式并加盖公章、注明联系人、联系方式，于202</w:t>
      </w:r>
      <w:r>
        <w:rPr>
          <w:rFonts w:hint="eastAsia" w:ascii="宋体" w:hAnsi="宋体" w:eastAsia="宋体" w:cs="宋体"/>
          <w:bCs/>
          <w:color w:val="000000"/>
          <w:kern w:val="0"/>
          <w:sz w:val="24"/>
          <w:szCs w:val="24"/>
          <w:highlight w:val="none"/>
          <w:lang w:val="en-US" w:eastAsia="zh-CN"/>
        </w:rPr>
        <w:t>6</w:t>
      </w:r>
      <w:r>
        <w:rPr>
          <w:rFonts w:hint="eastAsia" w:ascii="宋体" w:hAnsi="宋体" w:eastAsia="宋体" w:cs="宋体"/>
          <w:bCs/>
          <w:color w:val="000000"/>
          <w:kern w:val="0"/>
          <w:sz w:val="24"/>
          <w:szCs w:val="24"/>
          <w:highlight w:val="none"/>
        </w:rPr>
        <w:t>年</w:t>
      </w:r>
      <w:r>
        <w:rPr>
          <w:rFonts w:hint="eastAsia" w:ascii="宋体" w:hAnsi="宋体" w:eastAsia="宋体" w:cs="宋体"/>
          <w:bCs/>
          <w:color w:val="000000"/>
          <w:kern w:val="0"/>
          <w:sz w:val="24"/>
          <w:szCs w:val="24"/>
          <w:highlight w:val="none"/>
          <w:lang w:val="en-US" w:eastAsia="zh-CN"/>
        </w:rPr>
        <w:t>9</w:t>
      </w:r>
      <w:r>
        <w:rPr>
          <w:rFonts w:hint="eastAsia" w:ascii="宋体" w:hAnsi="宋体" w:eastAsia="宋体" w:cs="宋体"/>
          <w:bCs/>
          <w:color w:val="000000"/>
          <w:kern w:val="0"/>
          <w:sz w:val="24"/>
          <w:szCs w:val="24"/>
          <w:highlight w:val="none"/>
        </w:rPr>
        <w:t>月</w:t>
      </w:r>
      <w:r>
        <w:rPr>
          <w:rFonts w:hint="eastAsia" w:ascii="宋体" w:hAnsi="宋体" w:eastAsia="宋体" w:cs="宋体"/>
          <w:bCs/>
          <w:color w:val="000000"/>
          <w:kern w:val="0"/>
          <w:sz w:val="24"/>
          <w:szCs w:val="24"/>
          <w:highlight w:val="none"/>
          <w:lang w:val="en-US" w:eastAsia="zh-CN"/>
        </w:rPr>
        <w:t>29</w:t>
      </w:r>
      <w:r>
        <w:rPr>
          <w:rFonts w:hint="eastAsia" w:ascii="宋体" w:hAnsi="宋体" w:eastAsia="宋体" w:cs="宋体"/>
          <w:bCs/>
          <w:color w:val="000000"/>
          <w:kern w:val="0"/>
          <w:sz w:val="24"/>
          <w:szCs w:val="24"/>
          <w:highlight w:val="none"/>
        </w:rPr>
        <w:t>日17:00之前送至我单位，逾期不受理（如邮寄，202</w:t>
      </w:r>
      <w:r>
        <w:rPr>
          <w:rFonts w:hint="eastAsia" w:ascii="宋体" w:hAnsi="宋体" w:eastAsia="宋体" w:cs="宋体"/>
          <w:bCs/>
          <w:color w:val="000000"/>
          <w:kern w:val="0"/>
          <w:sz w:val="24"/>
          <w:szCs w:val="24"/>
          <w:highlight w:val="none"/>
          <w:lang w:val="en-US" w:eastAsia="zh-CN"/>
        </w:rPr>
        <w:t>6</w:t>
      </w:r>
      <w:r>
        <w:rPr>
          <w:rFonts w:hint="eastAsia" w:ascii="宋体" w:hAnsi="宋体" w:eastAsia="宋体" w:cs="宋体"/>
          <w:bCs/>
          <w:color w:val="000000"/>
          <w:kern w:val="0"/>
          <w:sz w:val="24"/>
          <w:szCs w:val="24"/>
          <w:highlight w:val="none"/>
        </w:rPr>
        <w:t>年</w:t>
      </w:r>
      <w:r>
        <w:rPr>
          <w:rFonts w:hint="eastAsia" w:ascii="宋体" w:hAnsi="宋体" w:eastAsia="宋体" w:cs="宋体"/>
          <w:bCs/>
          <w:color w:val="000000"/>
          <w:kern w:val="0"/>
          <w:sz w:val="24"/>
          <w:szCs w:val="24"/>
          <w:highlight w:val="none"/>
          <w:lang w:val="en-US" w:eastAsia="zh-CN"/>
        </w:rPr>
        <w:t>9</w:t>
      </w:r>
      <w:r>
        <w:rPr>
          <w:rFonts w:hint="eastAsia" w:ascii="宋体" w:hAnsi="宋体" w:eastAsia="宋体" w:cs="宋体"/>
          <w:bCs/>
          <w:color w:val="000000"/>
          <w:kern w:val="0"/>
          <w:sz w:val="24"/>
          <w:szCs w:val="24"/>
          <w:highlight w:val="none"/>
        </w:rPr>
        <w:t>月</w:t>
      </w:r>
      <w:r>
        <w:rPr>
          <w:rFonts w:hint="eastAsia" w:ascii="宋体" w:hAnsi="宋体" w:eastAsia="宋体" w:cs="宋体"/>
          <w:bCs/>
          <w:color w:val="000000"/>
          <w:kern w:val="0"/>
          <w:sz w:val="24"/>
          <w:szCs w:val="24"/>
          <w:highlight w:val="none"/>
          <w:lang w:val="en-US" w:eastAsia="zh-CN"/>
        </w:rPr>
        <w:t>29</w:t>
      </w:r>
      <w:r>
        <w:rPr>
          <w:rFonts w:hint="eastAsia" w:ascii="宋体" w:hAnsi="宋体" w:eastAsia="宋体" w:cs="宋体"/>
          <w:bCs/>
          <w:color w:val="000000"/>
          <w:kern w:val="0"/>
          <w:sz w:val="24"/>
          <w:szCs w:val="24"/>
          <w:highlight w:val="none"/>
        </w:rPr>
        <w:t>日17:00之后到达本公司的邮件将不再受理）。</w:t>
      </w:r>
    </w:p>
    <w:p w14:paraId="4D111F4C">
      <w:r>
        <w:br w:type="page"/>
      </w:r>
    </w:p>
    <w:p w14:paraId="3E6DBB71">
      <w:pPr>
        <w:numPr>
          <w:ilvl w:val="0"/>
          <w:numId w:val="0"/>
        </w:numPr>
        <w:spacing w:line="360" w:lineRule="auto"/>
        <w:jc w:val="center"/>
        <w:rPr>
          <w:rFonts w:hint="eastAsia" w:ascii="宋体" w:hAnsi="宋体" w:eastAsia="宋体" w:cs="宋体"/>
          <w:b/>
          <w:color w:val="auto"/>
          <w:kern w:val="0"/>
          <w:sz w:val="32"/>
          <w:szCs w:val="32"/>
          <w:lang w:val="en-US"/>
        </w:rPr>
      </w:pPr>
      <w:r>
        <w:rPr>
          <w:rFonts w:hint="eastAsia" w:ascii="宋体" w:hAnsi="宋体" w:eastAsia="宋体" w:cs="宋体"/>
          <w:b/>
          <w:color w:val="auto"/>
          <w:kern w:val="0"/>
          <w:sz w:val="32"/>
          <w:szCs w:val="32"/>
          <w:lang w:val="en-US" w:eastAsia="zh-CN"/>
        </w:rPr>
        <w:t xml:space="preserve">第六章 </w:t>
      </w:r>
      <w:r>
        <w:rPr>
          <w:rFonts w:hint="eastAsia" w:ascii="宋体" w:hAnsi="宋体" w:eastAsia="宋体" w:cs="宋体"/>
          <w:b/>
          <w:color w:val="auto"/>
          <w:kern w:val="0"/>
          <w:sz w:val="32"/>
          <w:szCs w:val="32"/>
        </w:rPr>
        <w:t>采购需求</w:t>
      </w:r>
    </w:p>
    <w:p w14:paraId="21D9A2E0">
      <w:pPr>
        <w:spacing w:line="360" w:lineRule="auto"/>
        <w:rPr>
          <w:rFonts w:hint="default" w:ascii="宋体" w:hAnsi="宋体" w:eastAsia="宋体" w:cs="宋体"/>
          <w:b/>
          <w:kern w:val="0"/>
          <w:sz w:val="24"/>
          <w:szCs w:val="24"/>
          <w:highlight w:val="none"/>
          <w:lang w:val="en-US" w:eastAsia="zh-CN"/>
        </w:rPr>
      </w:pPr>
      <w:r>
        <w:rPr>
          <w:rFonts w:hint="eastAsia" w:ascii="宋体" w:hAnsi="宋体" w:eastAsia="宋体" w:cs="宋体"/>
          <w:b/>
          <w:kern w:val="0"/>
          <w:sz w:val="24"/>
          <w:szCs w:val="24"/>
          <w:highlight w:val="none"/>
          <w:lang w:val="en-US" w:eastAsia="zh-CN"/>
        </w:rPr>
        <w:t>一、项目说明：</w:t>
      </w:r>
    </w:p>
    <w:p w14:paraId="7CC2AE7B">
      <w:pPr>
        <w:spacing w:line="360" w:lineRule="auto"/>
        <w:rPr>
          <w:rFonts w:hint="eastAsia" w:ascii="宋体" w:hAnsi="宋体" w:eastAsia="宋体" w:cs="宋体"/>
          <w:b/>
          <w:kern w:val="0"/>
          <w:sz w:val="24"/>
          <w:szCs w:val="24"/>
          <w:highlight w:val="none"/>
          <w:lang w:val="en-US" w:eastAsia="zh-CN"/>
        </w:rPr>
      </w:pPr>
      <w:r>
        <w:rPr>
          <w:rFonts w:hint="eastAsia" w:ascii="宋体" w:hAnsi="宋体" w:eastAsia="宋体" w:cs="宋体"/>
          <w:b/>
          <w:kern w:val="0"/>
          <w:sz w:val="24"/>
          <w:szCs w:val="24"/>
          <w:highlight w:val="none"/>
          <w:lang w:val="en-US" w:eastAsia="zh-CN"/>
        </w:rPr>
        <w:t>1</w:t>
      </w:r>
      <w:r>
        <w:rPr>
          <w:rFonts w:hint="eastAsia" w:ascii="宋体" w:hAnsi="宋体" w:eastAsia="宋体" w:cs="宋体"/>
          <w:b/>
          <w:kern w:val="0"/>
          <w:sz w:val="24"/>
          <w:szCs w:val="24"/>
          <w:highlight w:val="none"/>
        </w:rPr>
        <w:t>、本项目</w:t>
      </w:r>
      <w:r>
        <w:rPr>
          <w:rFonts w:hint="eastAsia" w:ascii="宋体" w:hAnsi="宋体" w:eastAsia="宋体" w:cs="宋体"/>
          <w:b/>
          <w:kern w:val="0"/>
          <w:sz w:val="24"/>
          <w:szCs w:val="24"/>
          <w:highlight w:val="none"/>
          <w:lang w:val="en-US" w:eastAsia="zh-CN"/>
        </w:rPr>
        <w:t>预算为人民币200.00万</w:t>
      </w:r>
      <w:r>
        <w:rPr>
          <w:rFonts w:hint="eastAsia" w:ascii="宋体" w:hAnsi="宋体" w:eastAsia="宋体" w:cs="宋体"/>
          <w:b/>
          <w:kern w:val="0"/>
          <w:sz w:val="24"/>
          <w:szCs w:val="24"/>
          <w:highlight w:val="none"/>
        </w:rPr>
        <w:t>元</w:t>
      </w:r>
      <w:r>
        <w:rPr>
          <w:rFonts w:hint="eastAsia" w:ascii="宋体" w:hAnsi="宋体" w:eastAsia="宋体" w:cs="宋体"/>
          <w:b/>
          <w:kern w:val="0"/>
          <w:sz w:val="24"/>
          <w:szCs w:val="24"/>
          <w:highlight w:val="none"/>
          <w:lang w:val="en-US" w:eastAsia="zh-CN"/>
        </w:rPr>
        <w:t>/年</w:t>
      </w:r>
      <w:r>
        <w:rPr>
          <w:rFonts w:hint="eastAsia" w:ascii="宋体" w:hAnsi="宋体" w:eastAsia="宋体" w:cs="宋体"/>
          <w:b/>
          <w:kern w:val="0"/>
          <w:sz w:val="24"/>
          <w:szCs w:val="24"/>
          <w:highlight w:val="none"/>
          <w:lang w:eastAsia="zh-CN"/>
        </w:rPr>
        <w:t>，且本项目不接受优惠率低于50.00%的投标报价。</w:t>
      </w:r>
    </w:p>
    <w:p w14:paraId="237EE2E2">
      <w:pPr>
        <w:spacing w:line="360" w:lineRule="auto"/>
        <w:rPr>
          <w:rFonts w:hint="eastAsia" w:ascii="宋体" w:hAnsi="宋体" w:eastAsia="宋体" w:cs="宋体"/>
          <w:b w:val="0"/>
          <w:bCs/>
          <w:kern w:val="0"/>
          <w:sz w:val="24"/>
          <w:szCs w:val="24"/>
          <w:highlight w:val="none"/>
          <w:lang w:eastAsia="zh-CN"/>
        </w:rPr>
      </w:pPr>
      <w:r>
        <w:rPr>
          <w:rFonts w:hint="eastAsia" w:ascii="宋体" w:hAnsi="宋体" w:eastAsia="宋体" w:cs="宋体"/>
          <w:b w:val="0"/>
          <w:bCs/>
          <w:kern w:val="0"/>
          <w:sz w:val="24"/>
          <w:szCs w:val="24"/>
          <w:highlight w:val="none"/>
          <w:lang w:val="en-US" w:eastAsia="zh-CN"/>
        </w:rPr>
        <w:t>注：</w:t>
      </w:r>
      <w:r>
        <w:rPr>
          <w:rFonts w:hint="eastAsia" w:ascii="宋体" w:hAnsi="宋体" w:eastAsia="宋体" w:cs="宋体"/>
          <w:b w:val="0"/>
          <w:bCs/>
          <w:kern w:val="0"/>
          <w:sz w:val="24"/>
          <w:szCs w:val="24"/>
          <w:highlight w:val="none"/>
        </w:rPr>
        <w:t>采购人按照检验检测项目需求中所检测项目的单价、实际检测数量</w:t>
      </w:r>
      <w:r>
        <w:rPr>
          <w:rFonts w:hint="eastAsia" w:ascii="宋体" w:hAnsi="宋体" w:eastAsia="宋体" w:cs="宋体"/>
          <w:b w:val="0"/>
          <w:bCs/>
          <w:kern w:val="0"/>
          <w:sz w:val="24"/>
          <w:szCs w:val="24"/>
          <w:highlight w:val="none"/>
          <w:lang w:val="en-US" w:eastAsia="zh-CN"/>
        </w:rPr>
        <w:t>以及</w:t>
      </w:r>
      <w:r>
        <w:rPr>
          <w:rFonts w:hint="eastAsia" w:ascii="宋体" w:hAnsi="宋体" w:eastAsia="宋体" w:cs="宋体"/>
          <w:b w:val="0"/>
          <w:bCs/>
          <w:kern w:val="0"/>
          <w:sz w:val="24"/>
          <w:szCs w:val="24"/>
          <w:highlight w:val="none"/>
        </w:rPr>
        <w:t>中标的</w:t>
      </w:r>
      <w:r>
        <w:rPr>
          <w:rFonts w:hint="eastAsia" w:ascii="宋体" w:hAnsi="宋体" w:eastAsia="宋体" w:cs="宋体"/>
          <w:b w:val="0"/>
          <w:bCs/>
          <w:kern w:val="0"/>
          <w:sz w:val="24"/>
          <w:szCs w:val="24"/>
          <w:highlight w:val="none"/>
          <w:lang w:val="en-US" w:eastAsia="zh-CN"/>
        </w:rPr>
        <w:t>优惠率</w:t>
      </w:r>
      <w:r>
        <w:rPr>
          <w:rFonts w:hint="eastAsia" w:ascii="宋体" w:hAnsi="宋体" w:eastAsia="宋体" w:cs="宋体"/>
          <w:b w:val="0"/>
          <w:bCs/>
          <w:kern w:val="0"/>
          <w:sz w:val="24"/>
          <w:szCs w:val="24"/>
          <w:highlight w:val="none"/>
        </w:rPr>
        <w:t>进行最终结算。</w:t>
      </w:r>
    </w:p>
    <w:p w14:paraId="2883F13F">
      <w:pPr>
        <w:widowControl w:val="0"/>
        <w:spacing w:after="0" w:line="360" w:lineRule="auto"/>
        <w:jc w:val="both"/>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kern w:val="0"/>
          <w:sz w:val="24"/>
          <w:szCs w:val="24"/>
          <w:highlight w:val="none"/>
          <w:lang w:val="en-US" w:eastAsia="zh-CN" w:bidi="ar-SA"/>
        </w:rPr>
        <w:t>2、结算费用=所检测项目的单价×实际检测数量×（1-中标的优惠率）。</w:t>
      </w:r>
    </w:p>
    <w:p w14:paraId="2F7DB8FB">
      <w:pPr>
        <w:widowControl w:val="0"/>
        <w:spacing w:after="0" w:line="360" w:lineRule="auto"/>
        <w:jc w:val="both"/>
        <w:rPr>
          <w:rFonts w:hint="default"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3、项目名称：血液系统疾病样本委托检验服务项目。</w:t>
      </w:r>
    </w:p>
    <w:p w14:paraId="5280A5F6">
      <w:pPr>
        <w:widowControl w:val="0"/>
        <w:spacing w:after="0" w:line="360" w:lineRule="auto"/>
        <w:jc w:val="both"/>
        <w:rPr>
          <w:rFonts w:hint="default"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4、项目内容：包含血液病相关基因定性检测，白血病免疫分型（包括MRD），染色体R显带分析，FISH探针等。</w:t>
      </w:r>
    </w:p>
    <w:p w14:paraId="67519BF8">
      <w:pPr>
        <w:widowControl w:val="0"/>
        <w:spacing w:after="0" w:line="360" w:lineRule="auto"/>
        <w:jc w:val="both"/>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kern w:val="0"/>
          <w:sz w:val="24"/>
          <w:szCs w:val="24"/>
          <w:highlight w:val="none"/>
          <w:lang w:val="en-US" w:eastAsia="zh-CN" w:bidi="ar-SA"/>
        </w:rPr>
        <w:t>5、合同履行期限：自合同签订之日起1年。采购人如需自行开展相关检测项目，提前一个月书面通知中标人后自行开展回收检测项目）。</w:t>
      </w:r>
    </w:p>
    <w:p w14:paraId="2F0A0DFF">
      <w:pPr>
        <w:widowControl w:val="0"/>
        <w:spacing w:after="0" w:line="360" w:lineRule="auto"/>
        <w:jc w:val="both"/>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二、检验检测项目清单（不接受超过单次最高限价的响应报价）：</w:t>
      </w:r>
    </w:p>
    <w:tbl>
      <w:tblPr>
        <w:tblStyle w:val="2"/>
        <w:tblW w:w="630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6"/>
        <w:gridCol w:w="2450"/>
        <w:gridCol w:w="1159"/>
        <w:gridCol w:w="1274"/>
        <w:gridCol w:w="3566"/>
        <w:gridCol w:w="1447"/>
      </w:tblGrid>
      <w:tr w14:paraId="192F8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1"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7DA961FC">
            <w:pPr>
              <w:keepNext w:val="0"/>
              <w:keepLines w:val="0"/>
              <w:widowControl/>
              <w:suppressLineNumbers w:val="0"/>
              <w:spacing w:line="240" w:lineRule="auto"/>
              <w:jc w:val="center"/>
              <w:rPr>
                <w:rFonts w:hint="eastAsia" w:ascii="宋体" w:hAnsi="宋体" w:eastAsia="宋体" w:cs="宋体"/>
                <w:b/>
                <w:bCs/>
                <w:i w:val="0"/>
                <w:iCs w:val="0"/>
                <w:color w:val="000000"/>
                <w:kern w:val="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532F2D06">
            <w:pPr>
              <w:keepNext w:val="0"/>
              <w:keepLines w:val="0"/>
              <w:widowControl/>
              <w:suppressLineNumbers w:val="0"/>
              <w:spacing w:line="240" w:lineRule="auto"/>
              <w:jc w:val="center"/>
              <w:rPr>
                <w:rFonts w:hint="eastAsia" w:ascii="宋体" w:hAnsi="宋体" w:eastAsia="宋体" w:cs="宋体"/>
                <w:b/>
                <w:bCs/>
                <w:i w:val="0"/>
                <w:iCs w:val="0"/>
                <w:color w:val="000000"/>
                <w:kern w:val="0"/>
                <w:sz w:val="24"/>
                <w:szCs w:val="24"/>
                <w:u w:val="none"/>
              </w:rPr>
            </w:pPr>
            <w:r>
              <w:rPr>
                <w:rFonts w:hint="eastAsia" w:ascii="宋体" w:hAnsi="宋体" w:eastAsia="宋体" w:cs="宋体"/>
                <w:b/>
                <w:bCs/>
                <w:i w:val="0"/>
                <w:iCs w:val="0"/>
                <w:color w:val="000000"/>
                <w:kern w:val="0"/>
                <w:sz w:val="24"/>
                <w:szCs w:val="24"/>
                <w:u w:val="none"/>
                <w:lang w:val="en-US" w:eastAsia="zh-CN" w:bidi="ar"/>
              </w:rPr>
              <w:t>检验检测项目需求（医院未开展项目）</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5814D404">
            <w:pPr>
              <w:keepNext w:val="0"/>
              <w:keepLines w:val="0"/>
              <w:widowControl/>
              <w:suppressLineNumbers w:val="0"/>
              <w:spacing w:line="240" w:lineRule="auto"/>
              <w:jc w:val="center"/>
              <w:rPr>
                <w:rFonts w:hint="eastAsia" w:ascii="宋体" w:hAnsi="宋体" w:eastAsia="宋体" w:cs="宋体"/>
                <w:b/>
                <w:bCs/>
                <w:i w:val="0"/>
                <w:iCs w:val="0"/>
                <w:color w:val="000000"/>
                <w:kern w:val="0"/>
                <w:sz w:val="24"/>
                <w:szCs w:val="24"/>
                <w:u w:val="none"/>
              </w:rPr>
            </w:pPr>
            <w:r>
              <w:rPr>
                <w:rFonts w:hint="eastAsia" w:ascii="宋体" w:hAnsi="宋体" w:eastAsia="宋体" w:cs="宋体"/>
                <w:b/>
                <w:bCs/>
                <w:i w:val="0"/>
                <w:iCs w:val="0"/>
                <w:color w:val="000000"/>
                <w:kern w:val="0"/>
                <w:sz w:val="24"/>
                <w:szCs w:val="24"/>
                <w:u w:val="none"/>
                <w:lang w:val="en-US" w:eastAsia="zh-CN" w:bidi="ar"/>
              </w:rPr>
              <w:t>单次最高限价                   （元）</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37396B51">
            <w:pPr>
              <w:keepNext w:val="0"/>
              <w:keepLines w:val="0"/>
              <w:widowControl/>
              <w:suppressLineNumbers w:val="0"/>
              <w:spacing w:line="240" w:lineRule="auto"/>
              <w:jc w:val="center"/>
              <w:rPr>
                <w:rFonts w:hint="eastAsia" w:ascii="宋体" w:hAnsi="宋体" w:eastAsia="宋体" w:cs="宋体"/>
                <w:b/>
                <w:bCs/>
                <w:i w:val="0"/>
                <w:iCs w:val="0"/>
                <w:color w:val="000000"/>
                <w:kern w:val="0"/>
                <w:sz w:val="24"/>
                <w:szCs w:val="24"/>
                <w:u w:val="none"/>
              </w:rPr>
            </w:pPr>
            <w:r>
              <w:rPr>
                <w:rFonts w:hint="eastAsia" w:ascii="宋体" w:hAnsi="宋体" w:eastAsia="宋体" w:cs="宋体"/>
                <w:b/>
                <w:bCs/>
                <w:i w:val="0"/>
                <w:iCs w:val="0"/>
                <w:color w:val="000000"/>
                <w:kern w:val="0"/>
                <w:sz w:val="24"/>
                <w:szCs w:val="24"/>
                <w:u w:val="none"/>
                <w:lang w:val="en-US" w:eastAsia="zh-CN" w:bidi="ar"/>
              </w:rPr>
              <w:t>检验方法</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3CEDE483">
            <w:pPr>
              <w:keepNext w:val="0"/>
              <w:keepLines w:val="0"/>
              <w:widowControl/>
              <w:suppressLineNumbers w:val="0"/>
              <w:spacing w:line="240" w:lineRule="auto"/>
              <w:jc w:val="center"/>
              <w:rPr>
                <w:rFonts w:hint="eastAsia" w:ascii="宋体" w:hAnsi="宋体" w:eastAsia="宋体" w:cs="宋体"/>
                <w:b/>
                <w:bCs/>
                <w:i w:val="0"/>
                <w:iCs w:val="0"/>
                <w:color w:val="000000"/>
                <w:kern w:val="0"/>
                <w:sz w:val="24"/>
                <w:szCs w:val="24"/>
                <w:u w:val="none"/>
              </w:rPr>
            </w:pPr>
            <w:r>
              <w:rPr>
                <w:rFonts w:hint="eastAsia" w:ascii="宋体" w:hAnsi="宋体" w:eastAsia="宋体" w:cs="宋体"/>
                <w:b/>
                <w:bCs/>
                <w:i w:val="0"/>
                <w:iCs w:val="0"/>
                <w:color w:val="000000"/>
                <w:kern w:val="0"/>
                <w:sz w:val="24"/>
                <w:szCs w:val="24"/>
                <w:u w:val="none"/>
                <w:lang w:val="en-US" w:eastAsia="zh-CN" w:bidi="ar"/>
              </w:rPr>
              <w:t>项目明细</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47C56AB3">
            <w:pPr>
              <w:keepNext w:val="0"/>
              <w:keepLines w:val="0"/>
              <w:widowControl/>
              <w:suppressLineNumbers w:val="0"/>
              <w:spacing w:line="240" w:lineRule="auto"/>
              <w:jc w:val="center"/>
              <w:rPr>
                <w:rFonts w:hint="eastAsia" w:ascii="宋体" w:hAnsi="宋体" w:eastAsia="宋体" w:cs="宋体"/>
                <w:b/>
                <w:bCs/>
                <w:i w:val="0"/>
                <w:iCs w:val="0"/>
                <w:color w:val="000000"/>
                <w:kern w:val="0"/>
                <w:sz w:val="24"/>
                <w:szCs w:val="24"/>
                <w:u w:val="none"/>
              </w:rPr>
            </w:pPr>
            <w:r>
              <w:rPr>
                <w:rFonts w:hint="eastAsia" w:ascii="宋体" w:hAnsi="宋体" w:eastAsia="宋体" w:cs="宋体"/>
                <w:b/>
                <w:bCs/>
                <w:i w:val="0"/>
                <w:iCs w:val="0"/>
                <w:color w:val="000000"/>
                <w:kern w:val="0"/>
                <w:sz w:val="24"/>
                <w:szCs w:val="24"/>
                <w:u w:val="none"/>
                <w:lang w:val="en-US" w:eastAsia="zh-CN" w:bidi="ar"/>
              </w:rPr>
              <w:t>报告时间</w:t>
            </w:r>
          </w:p>
        </w:tc>
      </w:tr>
      <w:tr w14:paraId="034F8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58019229">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7B9143AA">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IgH重排（IGH、IGK、IGL）</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6404AC06">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1200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207F363A">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测序</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548B2179">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用PCR方法和基因扫描定性检测了IgH的3种血液病基因重排异常，分别是IGH、IGK、IGL。</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3ED76944">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7个工作日</w:t>
            </w:r>
          </w:p>
        </w:tc>
      </w:tr>
      <w:tr w14:paraId="4D42C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2"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186D2704">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4133BEDD">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TCR重排（TCRB、TCRG、TCRD）</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3291AF6E">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1200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27FED2E8">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测序</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1B30C04C">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用PCR方法和基因扫描定性检测了TCR的3种血液病基因重排异常，分别是TCRB、TCRG、TCRD。</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52988A62">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7个工作日</w:t>
            </w:r>
          </w:p>
        </w:tc>
      </w:tr>
      <w:tr w14:paraId="457D5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6"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6C8FCCE9">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76379E48">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color w:val="000000"/>
                <w:kern w:val="0"/>
                <w:sz w:val="24"/>
                <w:szCs w:val="24"/>
                <w:u w:val="none"/>
                <w:lang w:val="en-US" w:eastAsia="zh-CN" w:bidi="ar"/>
              </w:rPr>
              <w:t>IGHV突变（IGH、IGK、IGL，IGHV突变）</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4B18F19C">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1200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7BD47C3E">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测序</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5FBAB6DC">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用PCR方法定性检测了IgH的3种血液病相关基因（重排）,分别是IGH、IGK、IGL。然后再进行脱氧核糖核酸测序检测IGHV突变表达产物的比例，依旧按照IGH重排收费。</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7D14BB0B">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7个工作日</w:t>
            </w:r>
          </w:p>
        </w:tc>
      </w:tr>
      <w:tr w14:paraId="35235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8"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5AB8185E">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050712A3">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血液病融合基因筛查（靶向RNA测序)</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576347CB">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4000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54EC0A86">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测序</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43DCB9A4">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检测RARA、ABL、ERG、IFR4、JAK2、MYC、NUP98、DUX4、ZNF384、RARB等基因的对手基因，帮助患者提供靶向和治疗信息：第一类是ALL患者，例如B-ALL特别是MLL重排阴性、BCR-ABL阴性，有较高的检出率会发现Ph-like和一些新的融合，可以帮助患者提供靶向和治疗信息；第二类是AML患者，比如APLv，以及一些正常核型或者只发现FLT3突变以及难治复发的AML患者，通过靶向RNA测序发现MLL重排和NUP98重排非常重要；第三类是MPN伴有嗜酸细胞增高的患者。</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48F43F2F">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7个工作日</w:t>
            </w:r>
          </w:p>
        </w:tc>
      </w:tr>
      <w:tr w14:paraId="29B65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6"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091C2A3F">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2954F88B">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短串联重复序列PCR（STR-PCR）</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5C1B1EF7">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800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0DE34A08">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STR-PCR</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0140658A">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检测移植后患者血液种D3S1358、vWA等25个基因位点序列，比较供受者自身位点序列，并计算嵌合率，只收取2个位点测序检测费用。</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3995F161">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5个工作日</w:t>
            </w:r>
          </w:p>
        </w:tc>
      </w:tr>
      <w:tr w14:paraId="383CF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603DDF84">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6</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3C6365FD">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MPN突变一代（JAK2-Exon12、JAK2-Exon14、CALR-Exon9、MPL-Exon10、CSF3R-Exon14）</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6D3F2584">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1600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02D4183E">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测序</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451ECDCA">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检测JAK2、CALR、MPL、CSF3R基因，辅助MPN疾病的诊断与鉴别</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77BD9EA1">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5个工作日</w:t>
            </w:r>
          </w:p>
        </w:tc>
      </w:tr>
      <w:tr w14:paraId="13DE3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1D136D44">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7</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02C74880">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IKZF1突变</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0D21C529">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35476611">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测序</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1EC941F9">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标准收费。</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4E117207">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5个工作日</w:t>
            </w:r>
          </w:p>
        </w:tc>
      </w:tr>
      <w:tr w14:paraId="034FE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3D8BFD56">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8</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35A9985D">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CEBPA双等位基因突变（Exon1)</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427D6AAD">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17AFF97F">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测序</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11137C97">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标准收费。</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3FB61995">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5个工作日</w:t>
            </w:r>
          </w:p>
        </w:tc>
      </w:tr>
      <w:tr w14:paraId="149A6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37"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7A09FBDD">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9</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138C748D">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SF3B1突变（Exon14、Exon15）</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5EE28789">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800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02156C14">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测序</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58A86D69">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检测SF3B1基因14外显子、SF3B1基因15号外显子，SF3B1突变常发生于髓系肿瘤中，是PMF、MPN-U、MDS/MPN-RS辅助诊断标准之一，通过该项目可以辅助疾病的诊断和评估患者预后。</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6A00D3CD">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5个工作日</w:t>
            </w:r>
          </w:p>
        </w:tc>
      </w:tr>
      <w:tr w14:paraId="1FE7E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5BC4FEC2">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10</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6D119776">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FLT3-ITD突变</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46DE3B4B">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752FB78E">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测序</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421A4053">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标准收费</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0629797D">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5个工作日</w:t>
            </w:r>
          </w:p>
        </w:tc>
      </w:tr>
      <w:tr w14:paraId="5DA26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24EB2A57">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11</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3142164D">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C-kit基因（Exon8、Exon17）</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75DE8C58">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800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37A56A0E">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测序</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1343096E">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检测C-kit基因Exon8、C-kit基因Exon17，该基因激活性突变见于急性髓系白血病，伴有KIT基因突变的AML患者复发率明显增高，通过该项目可以辅助疾病的诊断、判断预后。</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69494B79">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5个工作日</w:t>
            </w:r>
          </w:p>
        </w:tc>
      </w:tr>
      <w:tr w14:paraId="779A9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9"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1F54B78A">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12</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442B948D">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TP53基因突变（Exon4、Exon5、Exon6、Exon7、Exon8）</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6A8B0499">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1200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6DB222F2">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测序</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654B7177">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检测TP53基因Exon4、TP53基因Exon5、TP53基因TP53基因Exon6、TP53基因Exon7、TP53基因Exon8，AML伴TP53突变常伴随复杂核型，为高风险组。通过该项目可以评估预后。</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1C87086C">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5个工作日</w:t>
            </w:r>
          </w:p>
        </w:tc>
      </w:tr>
      <w:tr w14:paraId="7E31D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9"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3D7ABB31">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13</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095F2B1A">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NOTCH1基因（Exon26、Exon27、Exon34）</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19AD0D63">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800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0647668A">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测序</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5187F72C">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检测NOTCH1基因Exon26、NOTCH1基因Exon27、NOTCH1基因Exon34，收两个测序费用。超过50%的原发性T-ALL患者白血病细胞中存在N0TCH1基因突变，通过该检测可以辅助疾病的诊断及判断预后。</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47C67749">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5个工作日</w:t>
            </w:r>
          </w:p>
        </w:tc>
      </w:tr>
      <w:tr w14:paraId="65621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0"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1333D8D5">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14</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2463577F">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JAK2基因突变（Exon12、Exon14）</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3EBAA618">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800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7E0F1426">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测序</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0FE0CBDE">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检测JAK2基因Exon12、JAK2基因Exon14，JAK2基因变异可见于多种MPN及其他血液肿瘤。可辅助诊断、评估预后。</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620351C7">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5个工作日</w:t>
            </w:r>
          </w:p>
        </w:tc>
      </w:tr>
      <w:tr w14:paraId="3110E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8"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1F47765A">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15</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293B3CCC">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CXCR4突变（Exon2)</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380D933A">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1D4A1182">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测序</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1F3AC97C">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标准收费。</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7AFDBA6D">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5个工作日</w:t>
            </w:r>
          </w:p>
        </w:tc>
      </w:tr>
      <w:tr w14:paraId="7F3C4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68CAC9B8">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16</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6C009170">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CNL基因突变（CSF3R-Exon14、Exon17）</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0AF7A511">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800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0344D9E8">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测序</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75EE0EAF">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检测CSF3R基因（Exon14、Exon17），辅助CNL的诊断。</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04804E0F">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5个工作日</w:t>
            </w:r>
          </w:p>
        </w:tc>
      </w:tr>
      <w:tr w14:paraId="79E31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8"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672887A0">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17</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02C78D98">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BCR-ABL激酶区突变</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2277F188">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800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63801919">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测序</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1E3B1006">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检测检测BCR-ABL融合基因中ABL激酶区突变imatinib binding site 、P-loop、A-loop等区域，收两个区域测序费用；BCR-ABL激酶区突变是白血病患者对伊马替尼产生耐药的主要原因。通过检测该项目可以明确TKI靶向治疗药物。</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5845FB11">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5个工作日</w:t>
            </w:r>
          </w:p>
        </w:tc>
      </w:tr>
      <w:tr w14:paraId="196AD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1"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763E76CD">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18</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4CC6EA66">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STAT3（Exon19-21）、STAT5B（Exon16）</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2770ED54">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800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461FFAC8">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测序</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68C9BE35">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检测STAT3、STAT5B基因，STAT3、STAT5B突变见于T细胞大颗粒淋巴细胞白血病，通过该项目可以辅助T细胞大颗粒淋巴细胞白血病的诊断。</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0111DF2D">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5个工作日</w:t>
            </w:r>
          </w:p>
        </w:tc>
      </w:tr>
      <w:tr w14:paraId="0C204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6"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702D8733">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19</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712592D5">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异常血红蛋白病基因突变（HBA1、HBA2、HBB、HBD）</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49B8FA6C">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1600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279EF1E8">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测序</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3146A377">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检测HBA1、HBA2、HBB、HBD，辅助诊断异常血红蛋白病。</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445ECDCE">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5个工作日</w:t>
            </w:r>
          </w:p>
        </w:tc>
      </w:tr>
      <w:tr w14:paraId="464A9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6"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13487EB4">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20</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77FFBBBB">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u w:val="none"/>
                <w:lang w:val="en-US"/>
              </w:rPr>
            </w:pPr>
            <w:r>
              <w:rPr>
                <w:rFonts w:hint="eastAsia" w:ascii="宋体" w:hAnsi="宋体" w:eastAsia="宋体" w:cs="宋体"/>
                <w:b w:val="0"/>
                <w:bCs w:val="0"/>
                <w:i w:val="0"/>
                <w:iCs w:val="0"/>
                <w:color w:val="000000"/>
                <w:kern w:val="0"/>
                <w:sz w:val="24"/>
                <w:szCs w:val="24"/>
                <w:u w:val="none"/>
                <w:lang w:val="en-US" w:eastAsia="zh-CN" w:bidi="ar"/>
              </w:rPr>
              <w:t>造血和淋巴系统肿瘤基因突变222（CSF3R、BCL2、BCL6、BRAF、DNMT3A、JAK2、KIT、NPM1、CCND1、CXCR4、MPL、IKZF1、PDGFRA、PDGFRB、TP53、NRAS、EZH2等）</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17FAFD1E">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6800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382C9675">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测序</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31F60F8D">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检测CSF3R、BCL2、BCL6、BRAF、DNMT3A、JAK2、KIT、NPM1、CCND1、CXCR4、MPL、IKZF1、PDGFRA、PDGFRB、TP53、NRAS、EZH2等指南/权威文献报道过有临床意义的基因突变，适用于初诊或复发造血和淋巴系统异常或肿瘤患者筛查，协助疾病诊断、预后评估和靶向治疗。</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7A6F4D9D">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10个工作日</w:t>
            </w:r>
          </w:p>
        </w:tc>
      </w:tr>
      <w:tr w14:paraId="7D573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6"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1B7115CF">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21</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7D5824DB">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B细胞淋巴瘤基因突变28（BRAF、BCL2、BCL6、CD79B、CXCR4、MYD88、MYC、TP53等）</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63360F4E">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3200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5E961DFF">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测序</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567741A5">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检测BRAF、BCL2、BCL6、CD79B、CXCR4、MYD88、MYC、TP53等指南明确报道过有临床意义的基因突变，用于B细胞淋巴瘤诊断与鉴别诊断、预后评估及靶向治疗。</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6C468EBA">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10个工作日</w:t>
            </w:r>
          </w:p>
        </w:tc>
      </w:tr>
      <w:tr w14:paraId="3615D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9"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58D3A426">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22</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0EEFB0D5">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NK/T细胞淋巴瘤基因突变17（CCR4、DNMT3A、IDH1、IDH2、IRF4、RHOA、STAT3、TET2等）</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2CB651A2">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3200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04016470">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测序</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316A1FBA">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检测CCR4、DNMT3A、IDH1、IDH2、IRF4、RHOA、STAT3、TET2等指南明确报道过有临床意义的基因突变，用于NK/T细胞淋巴瘤诊断与鉴别诊断、预后评估及靶向治疗。</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096329CE">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10个工作日</w:t>
            </w:r>
          </w:p>
        </w:tc>
      </w:tr>
      <w:tr w14:paraId="4974B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92"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1D9E5CA6">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23</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78281C99">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淋巴瘤基因突变43（BRAF、BCL2、BCL6、CD79B、CXCR4、CCR4、DNMT3A、IDH1、IDH2、IRF4等）</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3C214244">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4000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04A34733">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测序</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5E88AFA1">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检测BRAF、BCL2、BCL6、CD79B、CXCR4、CCR4、DNMT3A、IDH1、IDH2、IRF4等指南明确报道过有临床意义的基因突变，用于淋巴瘤诊断与鉴别诊断、预后评估及靶向治疗。</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351B2E0B">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10个工作日</w:t>
            </w:r>
          </w:p>
        </w:tc>
      </w:tr>
      <w:tr w14:paraId="517B6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8"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0D77B899">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24</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66869542">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遗传相关红系基因突变203（FANCA、FANCB、UGT1A1、ALAS2、SLC25A38、GLRX5、ABCB7、PUS1、G6PD、EPB42、SLC4A1、SPTB、ANK1、SPTA1等）</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049EFE44">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5600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034C53C9">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测序</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20735B7B">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检测FANCA、FANCB、UGT1A1、ALAS2、SLC25A38、GLRX5、ABCB7、PUS1、G6PD、EPB42、SLC4A1、SPTB、ANK1、SPTA1等指南/权威文献明确报道过有临床意义的基因突变，用于遗传相关红系疾病的诊断及辅助诊断。</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4EC3FB07">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10个工作日</w:t>
            </w:r>
          </w:p>
        </w:tc>
      </w:tr>
      <w:tr w14:paraId="12462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1"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72C01BFD">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25</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55F4058C">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出血、凝血、血栓性疾病基因突变199（F8、F9、F10、F11、F12、ABCG5、ABCG8、ANKRD26、AP3B1、ARL11、ASXL1、ADRA2A、A2M、RUNX1等）</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66895DAA">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5600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58D5D940">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测序</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1CCC60AB">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检测F8、F9、F10、F11、F12、ABCG5、ABCG8、ANKRD26、AP3B1、ARL11、ASXL1、ADRA2A、A2M、RUNX1等指南/权威文献明确报道过有临床意义的基因突变，用于先天性或遗传学血栓性疾病、凝血异常疾病、血小板疾病的诊断与鉴别诊断。</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2F1EB26D">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10个工作日</w:t>
            </w:r>
          </w:p>
        </w:tc>
      </w:tr>
      <w:tr w14:paraId="755A6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5"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59BEDB21">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26</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1964EA29">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噬血细胞综合征基因突变12（AP3B1、CD27、 ITK 、MAGT1、PRF1、STX11 、STXBP2、 UNC13D等）</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07667D10">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3200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12D13E58">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测序</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1D867A40">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检测AP3B1、CD27、 ITK 、MAGT1、PRF1、STX11 、STXBP2、 UNC13D等指南/权威文献明确报道过有临床意义的基因突变，用于噬血细胞综合征辅助诊断标准，疗效观察、病情检测及预后评估。</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4CD681E3">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10个工作日</w:t>
            </w:r>
          </w:p>
        </w:tc>
      </w:tr>
      <w:tr w14:paraId="0540D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27"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258460C1">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27</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48E078BF">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先天性骨髓衰竭基因突变92（ANKRD26，ETV6，GATA2，RUNX1，SAMD9，SRP72、ELANE，HAX1，WAS，G6PC3，GFI1，CSF3R，JAGN1等）</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46FE84B8">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5200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63A5AC68">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测序</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083FC55A">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检测ANKRD26，ETV6，GATA2，RUNX1，SAMD9，SRP72、ELANE，HAX1，WAS，G6PC3，GFI1，CSF3R，JAGN1等指南/权威文献明确报道过有临床意义的基因突变，用于疑似先天性骨髓衰竭(范可尼贫血、粒细胞缺乏症、端粒酶缺陷等)疾病的诊断及辅助诊断。</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726EE1E9">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10个工作日</w:t>
            </w:r>
          </w:p>
        </w:tc>
      </w:tr>
      <w:tr w14:paraId="7E954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1"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07382ED6">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28</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6C0E456D">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造血系统早期克隆性造血病变基因突变23（ASXL1、BCOR、CBL、DNMT3A、ETV6、IDH1、IDH2、JAK2、KIT、TP531等）</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40E41C0E">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4000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6968CD08">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测序</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03D91D33">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检测ASXL1、BCOR、CBL、DNMT3A、ETV6、IDH1、IDH2、JAK2、KIT、TP531等指南/权威文献明确报道过有临床意义的基因突变，用于克隆性造血原因导致的原因不明贫血、白细胞减少或再生障碍性贫血等疾病的筛查。</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1B20780A">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10个工作日</w:t>
            </w:r>
          </w:p>
        </w:tc>
      </w:tr>
      <w:tr w14:paraId="250D0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2AC25F5D">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29</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7B7DEEBA">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髓系肿瘤及急性白血病基因突变86（CSF3R、BRAF、DNMT3A、JAK2、KIT、NPM1、CBL、MPL、PDGFRA、PDGFRB、TP53、RARA、EZH2、TET2等）</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501563E4">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5600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3D203BC2">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测序</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17935923">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检测CSF3R、BRAF、DNMT3A、JAK2、KIT、NPM1、CBL、MPL、PDGFRA、PDGFRB、TP53、RARA、EZH2、TET2等指南/权威文献明确报道过有临床意义的基因突变，用于造血系统常见基因突变,AML、ALL等疾病辅助诊断、预后判断、靶向治疗等。</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64332A7D">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10个工作日</w:t>
            </w:r>
          </w:p>
        </w:tc>
      </w:tr>
      <w:tr w14:paraId="7FE12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81"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7B937B63">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30</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3C5D8110">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ALL 基因突变46（PDGFRB、PHF6、MEF2D、NOTCH1、BRAF、ABL1、ETV6、GATA3、KRAS、IKZF1、FLT3、RUNX1等）</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153A1BDE">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4800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38BDA4C5">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测序</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7FC902E7">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检测PDGFRB、PHF6、MEF2D、NOTCH1、BRAF、ABL1、ETV6、GATA3、KRAS、IKZF1、FLT3、RUNX1等指南/权威文献明确报道过有临床意义的基因突变，有助于ALL的诊断、预后评估和靶向治疗。</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5E864CFC">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10个工作日</w:t>
            </w:r>
          </w:p>
        </w:tc>
      </w:tr>
      <w:tr w14:paraId="6B002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1"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38B53509">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31</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745C5863">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AML 基因突变22（ASXL1、 BCOR、 CALR、 CEBPA、 DDX41、 DNMT3A等）</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18E6F43C">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2400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13CCB8CD">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测序</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1EFB19FE">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检测ASXL1、 BCOR、 CALR、 CEBPA、 DDX41、 DNMT3A等指南明确报道过有临床意义的基因突变，有助于AML的诊断、预后评估和靶向治疗。</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0B3484AC">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10个工作日</w:t>
            </w:r>
          </w:p>
        </w:tc>
      </w:tr>
      <w:tr w14:paraId="26AD7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54"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4543EEE4">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32</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519F3D97">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骨髓增殖性肿瘤 (MPN) 基因突变26（ASXL1、EZH2、TET2、IDH1、IDH2、SRSF2、SF3B1、DNMT3A、CBL、RUNX1等）</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1BF73DC7">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4000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0969F808">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测序</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799D654B">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检测ASXL1、EZH2、TET2、IDH1、IDH2、SRSF2、SF3B1、DNMT3A、CBL、RUNX1等指南明确报道过有临床意义的基因突变，有助于MPN的诊断、预后评估和靶向治疗。</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1428C696">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10个工作日</w:t>
            </w:r>
          </w:p>
        </w:tc>
      </w:tr>
      <w:tr w14:paraId="28FE4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5"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34C867F4">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33</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4C7454A8">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遗传性血栓/易栓性疾病相关基因突变66（F8 ，F9 ，ACTN1、ADAMTS13、ANO6、CBS、CD320、CD46、CD81、CFH等）</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0BE72232">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4000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6CCF590D">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测序</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1E44169F">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检测F8 ，F9 ，ACTN1、ADAMTS13、ANO6、CBS、CD320、CD46、CD81、CFH等指南/权威文献明确报道过有临床意义的基因突变，用于先天性或遗传学血栓性疾病、凝血异常疾病、血小板疾病的诊断与鉴别诊断。</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13EBF148">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10个工作日</w:t>
            </w:r>
          </w:p>
        </w:tc>
      </w:tr>
      <w:tr w14:paraId="23B5A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0"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640100F2">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34</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7ED4EEF9">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慢性淋巴细胞白血病(CLL)基因突变25（TP53、NOTCH1，SF3B1、ATM，PAX5，BIRC3、EGR2、MYD88，FAT1等）</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2B7B74D0">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3200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24A3408F">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测序</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6C8C64D1">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检测TP53、NOTCH1，SF3B1、ATM，PAX5，BIRC3、EGR2、MYD88，FAT1等指南明确报道过有临床意义的基因突变，有助于CLL的诊断、预后评估和靶向治疗。</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459DA592">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10个工作日</w:t>
            </w:r>
          </w:p>
        </w:tc>
      </w:tr>
      <w:tr w14:paraId="1A401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9" w:hRule="atLeast"/>
          <w:jc w:val="center"/>
        </w:trPr>
        <w:tc>
          <w:tcPr>
            <w:tcW w:w="397" w:type="pct"/>
            <w:tcBorders>
              <w:top w:val="single" w:color="000000" w:sz="4" w:space="0"/>
              <w:left w:val="single" w:color="000000" w:sz="4" w:space="0"/>
              <w:bottom w:val="single" w:color="auto" w:sz="4" w:space="0"/>
              <w:right w:val="single" w:color="000000" w:sz="4" w:space="0"/>
            </w:tcBorders>
            <w:noWrap w:val="0"/>
            <w:vAlign w:val="center"/>
          </w:tcPr>
          <w:p w14:paraId="4DA68299">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35</w:t>
            </w:r>
          </w:p>
        </w:tc>
        <w:tc>
          <w:tcPr>
            <w:tcW w:w="1139" w:type="pct"/>
            <w:tcBorders>
              <w:top w:val="single" w:color="000000" w:sz="4" w:space="0"/>
              <w:left w:val="single" w:color="000000" w:sz="4" w:space="0"/>
              <w:bottom w:val="single" w:color="auto" w:sz="4" w:space="0"/>
              <w:right w:val="single" w:color="000000" w:sz="4" w:space="0"/>
            </w:tcBorders>
            <w:noWrap w:val="0"/>
            <w:vAlign w:val="center"/>
          </w:tcPr>
          <w:p w14:paraId="195BEFA1">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各种基因热点突变</w:t>
            </w:r>
          </w:p>
        </w:tc>
        <w:tc>
          <w:tcPr>
            <w:tcW w:w="538" w:type="pct"/>
            <w:tcBorders>
              <w:top w:val="single" w:color="000000" w:sz="4" w:space="0"/>
              <w:left w:val="single" w:color="000000" w:sz="4" w:space="0"/>
              <w:bottom w:val="single" w:color="auto" w:sz="4" w:space="0"/>
              <w:right w:val="single" w:color="000000" w:sz="4" w:space="0"/>
            </w:tcBorders>
            <w:noWrap w:val="0"/>
            <w:vAlign w:val="center"/>
          </w:tcPr>
          <w:p w14:paraId="2A9B4C00">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400</w:t>
            </w:r>
          </w:p>
        </w:tc>
        <w:tc>
          <w:tcPr>
            <w:tcW w:w="592" w:type="pct"/>
            <w:tcBorders>
              <w:top w:val="single" w:color="000000" w:sz="4" w:space="0"/>
              <w:left w:val="single" w:color="000000" w:sz="4" w:space="0"/>
              <w:bottom w:val="single" w:color="auto" w:sz="4" w:space="0"/>
              <w:right w:val="single" w:color="000000" w:sz="4" w:space="0"/>
            </w:tcBorders>
            <w:noWrap w:val="0"/>
            <w:vAlign w:val="center"/>
          </w:tcPr>
          <w:p w14:paraId="1C615032">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测序</w:t>
            </w:r>
          </w:p>
        </w:tc>
        <w:tc>
          <w:tcPr>
            <w:tcW w:w="1658" w:type="pct"/>
            <w:tcBorders>
              <w:top w:val="single" w:color="000000" w:sz="4" w:space="0"/>
              <w:left w:val="single" w:color="000000" w:sz="4" w:space="0"/>
              <w:bottom w:val="single" w:color="auto" w:sz="4" w:space="0"/>
              <w:right w:val="single" w:color="000000" w:sz="4" w:space="0"/>
            </w:tcBorders>
            <w:noWrap w:val="0"/>
            <w:vAlign w:val="center"/>
          </w:tcPr>
          <w:p w14:paraId="1BCBA62A">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标准收费</w:t>
            </w:r>
          </w:p>
        </w:tc>
        <w:tc>
          <w:tcPr>
            <w:tcW w:w="672" w:type="pct"/>
            <w:tcBorders>
              <w:top w:val="single" w:color="000000" w:sz="4" w:space="0"/>
              <w:left w:val="single" w:color="000000" w:sz="4" w:space="0"/>
              <w:bottom w:val="single" w:color="auto" w:sz="4" w:space="0"/>
              <w:right w:val="single" w:color="000000" w:sz="4" w:space="0"/>
            </w:tcBorders>
            <w:noWrap w:val="0"/>
            <w:vAlign w:val="center"/>
          </w:tcPr>
          <w:p w14:paraId="308D65B4">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5个工作日</w:t>
            </w:r>
          </w:p>
        </w:tc>
      </w:tr>
      <w:tr w14:paraId="2A3BC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jc w:val="center"/>
        </w:trPr>
        <w:tc>
          <w:tcPr>
            <w:tcW w:w="397" w:type="pct"/>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77433231">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36</w:t>
            </w:r>
          </w:p>
        </w:tc>
        <w:tc>
          <w:tcPr>
            <w:tcW w:w="1139" w:type="pct"/>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14:paraId="7CF9F247">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血清蛋白电泳+免疫固定电泳（IgD、IgE）</w:t>
            </w:r>
          </w:p>
        </w:tc>
        <w:tc>
          <w:tcPr>
            <w:tcW w:w="538" w:type="pct"/>
            <w:vMerge w:val="restart"/>
            <w:tcBorders>
              <w:top w:val="single" w:color="auto" w:sz="4" w:space="0"/>
              <w:left w:val="single" w:color="auto" w:sz="4" w:space="0"/>
              <w:bottom w:val="single" w:color="auto" w:sz="4" w:space="0"/>
              <w:right w:val="single" w:color="auto" w:sz="4" w:space="0"/>
            </w:tcBorders>
            <w:noWrap w:val="0"/>
            <w:vAlign w:val="center"/>
          </w:tcPr>
          <w:p w14:paraId="1FA4A079">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340</w:t>
            </w:r>
          </w:p>
        </w:tc>
        <w:tc>
          <w:tcPr>
            <w:tcW w:w="592" w:type="pct"/>
            <w:tcBorders>
              <w:top w:val="single" w:color="auto" w:sz="4" w:space="0"/>
              <w:left w:val="single" w:color="auto" w:sz="4" w:space="0"/>
              <w:bottom w:val="single" w:color="auto" w:sz="4" w:space="0"/>
              <w:right w:val="single" w:color="auto" w:sz="4" w:space="0"/>
            </w:tcBorders>
            <w:noWrap w:val="0"/>
            <w:vAlign w:val="center"/>
          </w:tcPr>
          <w:p w14:paraId="57685D3E">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6</w:t>
            </w:r>
          </w:p>
        </w:tc>
        <w:tc>
          <w:tcPr>
            <w:tcW w:w="1658" w:type="pct"/>
            <w:vMerge w:val="restart"/>
            <w:tcBorders>
              <w:top w:val="single" w:color="auto" w:sz="4" w:space="0"/>
              <w:left w:val="single" w:color="auto" w:sz="4" w:space="0"/>
              <w:bottom w:val="single" w:color="auto" w:sz="4" w:space="0"/>
              <w:right w:val="single" w:color="auto" w:sz="4" w:space="0"/>
            </w:tcBorders>
            <w:noWrap w:val="0"/>
            <w:vAlign w:val="center"/>
          </w:tcPr>
          <w:p w14:paraId="3286B2AC">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用血清蛋白电泳方法检测白蛋白、、α1球蛋白、α2球蛋白、β球蛋白、γ球蛋白、M蛋白6种蛋白占比；用固定电泳方法检测IgA\IgM\IgG\κ\λ 五种M蛋白。</w:t>
            </w:r>
          </w:p>
        </w:tc>
        <w:tc>
          <w:tcPr>
            <w:tcW w:w="672" w:type="pct"/>
            <w:vMerge w:val="restart"/>
            <w:tcBorders>
              <w:top w:val="single" w:color="auto" w:sz="4" w:space="0"/>
              <w:left w:val="single" w:color="auto" w:sz="4" w:space="0"/>
              <w:bottom w:val="single" w:color="auto" w:sz="4" w:space="0"/>
              <w:right w:val="single" w:color="auto" w:sz="4" w:space="0"/>
            </w:tcBorders>
            <w:noWrap w:val="0"/>
            <w:vAlign w:val="center"/>
          </w:tcPr>
          <w:p w14:paraId="2FC1D4A0">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5个工作日</w:t>
            </w:r>
          </w:p>
        </w:tc>
      </w:tr>
      <w:tr w14:paraId="6A809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397" w:type="pct"/>
            <w:vMerge w:val="continue"/>
            <w:tcBorders>
              <w:top w:val="single" w:color="auto" w:sz="4" w:space="0"/>
              <w:left w:val="single" w:color="auto" w:sz="4" w:space="0"/>
              <w:bottom w:val="nil"/>
              <w:right w:val="single" w:color="000000" w:sz="4" w:space="0"/>
            </w:tcBorders>
            <w:shd w:val="clear" w:color="auto" w:fill="auto"/>
            <w:noWrap w:val="0"/>
            <w:vAlign w:val="center"/>
          </w:tcPr>
          <w:p w14:paraId="7A7AFD9E">
            <w:pPr>
              <w:spacing w:line="240" w:lineRule="auto"/>
              <w:jc w:val="center"/>
              <w:rPr>
                <w:rFonts w:hint="eastAsia" w:ascii="宋体" w:hAnsi="宋体" w:eastAsia="宋体" w:cs="宋体"/>
                <w:b w:val="0"/>
                <w:bCs w:val="0"/>
                <w:i w:val="0"/>
                <w:iCs w:val="0"/>
                <w:color w:val="000000"/>
                <w:kern w:val="0"/>
                <w:sz w:val="24"/>
                <w:szCs w:val="24"/>
                <w:u w:val="none"/>
              </w:rPr>
            </w:pPr>
          </w:p>
        </w:tc>
        <w:tc>
          <w:tcPr>
            <w:tcW w:w="1139" w:type="pct"/>
            <w:vMerge w:val="continue"/>
            <w:tcBorders>
              <w:top w:val="single" w:color="auto" w:sz="4" w:space="0"/>
              <w:left w:val="single" w:color="000000" w:sz="4" w:space="0"/>
              <w:bottom w:val="nil"/>
              <w:right w:val="single" w:color="000000" w:sz="4" w:space="0"/>
            </w:tcBorders>
            <w:shd w:val="clear" w:color="auto" w:fill="FFFFFF"/>
            <w:noWrap w:val="0"/>
            <w:vAlign w:val="center"/>
          </w:tcPr>
          <w:p w14:paraId="27B383E3">
            <w:pPr>
              <w:spacing w:line="240" w:lineRule="auto"/>
              <w:jc w:val="center"/>
              <w:rPr>
                <w:rFonts w:hint="eastAsia" w:ascii="宋体" w:hAnsi="宋体" w:eastAsia="宋体" w:cs="宋体"/>
                <w:b w:val="0"/>
                <w:bCs w:val="0"/>
                <w:i w:val="0"/>
                <w:iCs w:val="0"/>
                <w:color w:val="000000"/>
                <w:kern w:val="0"/>
                <w:sz w:val="24"/>
                <w:szCs w:val="24"/>
                <w:u w:val="none"/>
              </w:rPr>
            </w:pPr>
          </w:p>
        </w:tc>
        <w:tc>
          <w:tcPr>
            <w:tcW w:w="538" w:type="pct"/>
            <w:vMerge w:val="continue"/>
            <w:tcBorders>
              <w:top w:val="single" w:color="auto" w:sz="4" w:space="0"/>
              <w:left w:val="single" w:color="000000" w:sz="4" w:space="0"/>
              <w:bottom w:val="nil"/>
              <w:right w:val="single" w:color="000000" w:sz="4" w:space="0"/>
            </w:tcBorders>
            <w:noWrap w:val="0"/>
            <w:vAlign w:val="center"/>
          </w:tcPr>
          <w:p w14:paraId="00A4E573">
            <w:pPr>
              <w:spacing w:line="240" w:lineRule="auto"/>
              <w:jc w:val="center"/>
              <w:rPr>
                <w:rFonts w:hint="eastAsia" w:ascii="宋体" w:hAnsi="宋体" w:eastAsia="宋体" w:cs="宋体"/>
                <w:b w:val="0"/>
                <w:bCs w:val="0"/>
                <w:i w:val="0"/>
                <w:iCs w:val="0"/>
                <w:color w:val="000000"/>
                <w:kern w:val="0"/>
                <w:sz w:val="24"/>
                <w:szCs w:val="24"/>
                <w:u w:val="none"/>
              </w:rPr>
            </w:pPr>
          </w:p>
        </w:tc>
        <w:tc>
          <w:tcPr>
            <w:tcW w:w="592" w:type="pct"/>
            <w:tcBorders>
              <w:top w:val="single" w:color="auto" w:sz="4" w:space="0"/>
              <w:left w:val="single" w:color="000000" w:sz="4" w:space="0"/>
              <w:bottom w:val="single" w:color="000000" w:sz="4" w:space="0"/>
              <w:right w:val="single" w:color="000000" w:sz="4" w:space="0"/>
            </w:tcBorders>
            <w:noWrap w:val="0"/>
            <w:vAlign w:val="center"/>
          </w:tcPr>
          <w:p w14:paraId="2F6A57FA">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w:t>
            </w:r>
          </w:p>
        </w:tc>
        <w:tc>
          <w:tcPr>
            <w:tcW w:w="1658" w:type="pct"/>
            <w:vMerge w:val="continue"/>
            <w:tcBorders>
              <w:top w:val="single" w:color="auto" w:sz="4" w:space="0"/>
              <w:left w:val="single" w:color="000000" w:sz="4" w:space="0"/>
              <w:bottom w:val="nil"/>
              <w:right w:val="single" w:color="000000" w:sz="4" w:space="0"/>
            </w:tcBorders>
            <w:noWrap w:val="0"/>
            <w:vAlign w:val="center"/>
          </w:tcPr>
          <w:p w14:paraId="6EA7E97D">
            <w:pPr>
              <w:spacing w:line="240" w:lineRule="auto"/>
              <w:jc w:val="center"/>
              <w:rPr>
                <w:rFonts w:hint="eastAsia" w:ascii="宋体" w:hAnsi="宋体" w:eastAsia="宋体" w:cs="宋体"/>
                <w:b w:val="0"/>
                <w:bCs w:val="0"/>
                <w:i w:val="0"/>
                <w:iCs w:val="0"/>
                <w:color w:val="000000"/>
                <w:kern w:val="0"/>
                <w:sz w:val="24"/>
                <w:szCs w:val="24"/>
                <w:u w:val="none"/>
              </w:rPr>
            </w:pPr>
          </w:p>
        </w:tc>
        <w:tc>
          <w:tcPr>
            <w:tcW w:w="672" w:type="pct"/>
            <w:vMerge w:val="continue"/>
            <w:tcBorders>
              <w:top w:val="single" w:color="auto" w:sz="4" w:space="0"/>
              <w:left w:val="single" w:color="000000" w:sz="4" w:space="0"/>
              <w:bottom w:val="nil"/>
              <w:right w:val="single" w:color="auto" w:sz="4" w:space="0"/>
            </w:tcBorders>
            <w:noWrap w:val="0"/>
            <w:vAlign w:val="center"/>
          </w:tcPr>
          <w:p w14:paraId="7B923311">
            <w:pPr>
              <w:spacing w:line="240" w:lineRule="auto"/>
              <w:jc w:val="center"/>
              <w:rPr>
                <w:rFonts w:hint="eastAsia" w:ascii="宋体" w:hAnsi="宋体" w:eastAsia="宋体" w:cs="宋体"/>
                <w:b w:val="0"/>
                <w:bCs w:val="0"/>
                <w:i w:val="0"/>
                <w:iCs w:val="0"/>
                <w:color w:val="000000"/>
                <w:kern w:val="0"/>
                <w:sz w:val="24"/>
                <w:szCs w:val="24"/>
                <w:u w:val="none"/>
              </w:rPr>
            </w:pPr>
          </w:p>
        </w:tc>
      </w:tr>
      <w:tr w14:paraId="48AB4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2BC5BAD1">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37</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661CEBC4">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color w:val="000000"/>
                <w:kern w:val="0"/>
                <w:sz w:val="24"/>
                <w:szCs w:val="24"/>
                <w:u w:val="none"/>
                <w:lang w:val="en-US" w:eastAsia="zh-CN" w:bidi="ar"/>
              </w:rPr>
              <w:t>α地贫基因检测</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1CD817F0">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51FC40D1">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反向点杂交</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6677B964">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标准收费</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39FE904C">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7个工作日</w:t>
            </w:r>
          </w:p>
        </w:tc>
      </w:tr>
      <w:tr w14:paraId="5E56D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2"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108B7B46">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38</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16474CE1">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color w:val="000000"/>
                <w:kern w:val="0"/>
                <w:sz w:val="24"/>
                <w:szCs w:val="24"/>
                <w:u w:val="none"/>
                <w:lang w:val="en-US" w:eastAsia="zh-CN" w:bidi="ar"/>
              </w:rPr>
              <w:t>β地贫基因检测</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0C8FC72C">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12332069">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反向点杂交</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302C15E9">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标准收费</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7F2499D4">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7个工作日</w:t>
            </w:r>
          </w:p>
        </w:tc>
      </w:tr>
      <w:tr w14:paraId="19151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39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91C2AA">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39</w:t>
            </w:r>
          </w:p>
        </w:tc>
        <w:tc>
          <w:tcPr>
            <w:tcW w:w="113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D9C8FF">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NK细胞KIR受体及杀伤功能检测</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36124EA0">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highlight w:val="none"/>
                <w:u w:val="none"/>
                <w:lang w:val="en-US"/>
              </w:rPr>
            </w:pPr>
            <w:r>
              <w:rPr>
                <w:rFonts w:hint="eastAsia" w:ascii="宋体" w:hAnsi="宋体" w:eastAsia="宋体" w:cs="宋体"/>
                <w:b w:val="0"/>
                <w:bCs w:val="0"/>
                <w:i w:val="0"/>
                <w:iCs w:val="0"/>
                <w:color w:val="000000"/>
                <w:kern w:val="0"/>
                <w:sz w:val="24"/>
                <w:szCs w:val="24"/>
                <w:highlight w:val="none"/>
                <w:u w:val="none"/>
                <w:lang w:val="en-US" w:eastAsia="zh-CN" w:bidi="ar"/>
              </w:rPr>
              <w:t>300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10F7C926">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流式细胞术</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4DA1F034">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标准收费</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5DDB9C02">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2个工作日</w:t>
            </w:r>
          </w:p>
        </w:tc>
      </w:tr>
      <w:tr w14:paraId="33156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397" w:type="pct"/>
            <w:vMerge w:val="restart"/>
            <w:tcBorders>
              <w:top w:val="single" w:color="000000" w:sz="4" w:space="0"/>
              <w:left w:val="single" w:color="000000" w:sz="4" w:space="0"/>
              <w:bottom w:val="single" w:color="000000" w:sz="4" w:space="0"/>
              <w:right w:val="single" w:color="000000" w:sz="4" w:space="0"/>
            </w:tcBorders>
            <w:noWrap w:val="0"/>
            <w:vAlign w:val="center"/>
          </w:tcPr>
          <w:p w14:paraId="115D7622">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40</w:t>
            </w:r>
          </w:p>
        </w:tc>
        <w:tc>
          <w:tcPr>
            <w:tcW w:w="1139" w:type="pct"/>
            <w:vMerge w:val="restart"/>
            <w:tcBorders>
              <w:top w:val="single" w:color="000000" w:sz="4" w:space="0"/>
              <w:left w:val="single" w:color="000000" w:sz="4" w:space="0"/>
              <w:bottom w:val="single" w:color="000000" w:sz="4" w:space="0"/>
              <w:right w:val="single" w:color="000000" w:sz="4" w:space="0"/>
            </w:tcBorders>
            <w:noWrap w:val="0"/>
            <w:vAlign w:val="center"/>
          </w:tcPr>
          <w:p w14:paraId="4049A46B">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血清游离轻链</w:t>
            </w:r>
          </w:p>
        </w:tc>
        <w:tc>
          <w:tcPr>
            <w:tcW w:w="538" w:type="pct"/>
            <w:vMerge w:val="restart"/>
            <w:tcBorders>
              <w:top w:val="single" w:color="000000" w:sz="4" w:space="0"/>
              <w:left w:val="single" w:color="000000" w:sz="4" w:space="0"/>
              <w:bottom w:val="single" w:color="000000" w:sz="4" w:space="0"/>
              <w:right w:val="single" w:color="000000" w:sz="4" w:space="0"/>
            </w:tcBorders>
            <w:noWrap w:val="0"/>
            <w:vAlign w:val="center"/>
          </w:tcPr>
          <w:p w14:paraId="5DB3C018">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highlight w:val="none"/>
                <w:u w:val="none"/>
                <w:lang w:val="en-US" w:eastAsia="zh-CN"/>
              </w:rPr>
            </w:pPr>
            <w:r>
              <w:rPr>
                <w:rFonts w:hint="eastAsia" w:ascii="宋体" w:hAnsi="宋体" w:eastAsia="宋体" w:cs="宋体"/>
                <w:b w:val="0"/>
                <w:bCs w:val="0"/>
                <w:i w:val="0"/>
                <w:iCs w:val="0"/>
                <w:color w:val="000000"/>
                <w:kern w:val="0"/>
                <w:sz w:val="24"/>
                <w:szCs w:val="24"/>
                <w:highlight w:val="none"/>
                <w:u w:val="none"/>
                <w:lang w:val="en-US" w:eastAsia="zh-CN"/>
              </w:rPr>
              <w:t>300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56A13598">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免疫比浊法</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0CA84D14">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标准收费</w:t>
            </w:r>
          </w:p>
        </w:tc>
        <w:tc>
          <w:tcPr>
            <w:tcW w:w="672" w:type="pct"/>
            <w:vMerge w:val="restart"/>
            <w:tcBorders>
              <w:top w:val="single" w:color="000000" w:sz="4" w:space="0"/>
              <w:left w:val="single" w:color="000000" w:sz="4" w:space="0"/>
              <w:bottom w:val="single" w:color="000000" w:sz="4" w:space="0"/>
              <w:right w:val="single" w:color="000000" w:sz="4" w:space="0"/>
            </w:tcBorders>
            <w:noWrap w:val="0"/>
            <w:vAlign w:val="center"/>
          </w:tcPr>
          <w:p w14:paraId="545A6EAB">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2个工作日</w:t>
            </w:r>
          </w:p>
        </w:tc>
      </w:tr>
      <w:tr w14:paraId="19647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39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26C5A5">
            <w:pPr>
              <w:spacing w:line="240" w:lineRule="auto"/>
              <w:jc w:val="center"/>
              <w:rPr>
                <w:rFonts w:hint="eastAsia" w:ascii="宋体" w:hAnsi="宋体" w:eastAsia="宋体" w:cs="宋体"/>
                <w:b w:val="0"/>
                <w:bCs w:val="0"/>
                <w:i w:val="0"/>
                <w:iCs w:val="0"/>
                <w:color w:val="000000"/>
                <w:kern w:val="0"/>
                <w:sz w:val="24"/>
                <w:szCs w:val="24"/>
                <w:highlight w:val="none"/>
                <w:u w:val="none"/>
              </w:rPr>
            </w:pPr>
          </w:p>
        </w:tc>
        <w:tc>
          <w:tcPr>
            <w:tcW w:w="113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F5EBD0">
            <w:pPr>
              <w:spacing w:line="240" w:lineRule="auto"/>
              <w:jc w:val="center"/>
              <w:rPr>
                <w:rFonts w:hint="eastAsia" w:ascii="宋体" w:hAnsi="宋体" w:eastAsia="宋体" w:cs="宋体"/>
                <w:b w:val="0"/>
                <w:bCs w:val="0"/>
                <w:i w:val="0"/>
                <w:iCs w:val="0"/>
                <w:color w:val="000000"/>
                <w:kern w:val="0"/>
                <w:sz w:val="24"/>
                <w:szCs w:val="24"/>
                <w:highlight w:val="none"/>
                <w:u w:val="none"/>
              </w:rPr>
            </w:pPr>
          </w:p>
        </w:tc>
        <w:tc>
          <w:tcPr>
            <w:tcW w:w="5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7E8EE4">
            <w:pPr>
              <w:spacing w:line="240" w:lineRule="auto"/>
              <w:jc w:val="center"/>
              <w:rPr>
                <w:rFonts w:hint="eastAsia" w:ascii="宋体" w:hAnsi="宋体" w:eastAsia="宋体" w:cs="宋体"/>
                <w:b w:val="0"/>
                <w:bCs w:val="0"/>
                <w:i w:val="0"/>
                <w:iCs w:val="0"/>
                <w:color w:val="000000"/>
                <w:kern w:val="0"/>
                <w:sz w:val="24"/>
                <w:szCs w:val="24"/>
                <w:highlight w:val="none"/>
                <w:u w:val="none"/>
              </w:rPr>
            </w:pP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11BBB72B">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免疫比浊法</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31C3D7F8">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标准收费</w:t>
            </w:r>
          </w:p>
        </w:tc>
        <w:tc>
          <w:tcPr>
            <w:tcW w:w="67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E3356B">
            <w:pPr>
              <w:spacing w:line="240" w:lineRule="auto"/>
              <w:jc w:val="center"/>
              <w:rPr>
                <w:rFonts w:hint="eastAsia" w:ascii="宋体" w:hAnsi="宋体" w:eastAsia="宋体" w:cs="宋体"/>
                <w:b w:val="0"/>
                <w:bCs w:val="0"/>
                <w:i w:val="0"/>
                <w:iCs w:val="0"/>
                <w:color w:val="000000"/>
                <w:kern w:val="0"/>
                <w:sz w:val="24"/>
                <w:szCs w:val="24"/>
                <w:u w:val="none"/>
              </w:rPr>
            </w:pPr>
          </w:p>
        </w:tc>
      </w:tr>
      <w:tr w14:paraId="43B7B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397"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FE2C18">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41</w:t>
            </w:r>
          </w:p>
        </w:tc>
        <w:tc>
          <w:tcPr>
            <w:tcW w:w="1139"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A95829">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尿游离轻链</w:t>
            </w:r>
          </w:p>
        </w:tc>
        <w:tc>
          <w:tcPr>
            <w:tcW w:w="538"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34AE5A">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highlight w:val="none"/>
                <w:u w:val="none"/>
                <w:lang w:val="en-US" w:eastAsia="zh-CN"/>
              </w:rPr>
            </w:pPr>
            <w:r>
              <w:rPr>
                <w:rFonts w:hint="eastAsia" w:ascii="宋体" w:hAnsi="宋体" w:eastAsia="宋体" w:cs="宋体"/>
                <w:b w:val="0"/>
                <w:bCs w:val="0"/>
                <w:i w:val="0"/>
                <w:iCs w:val="0"/>
                <w:color w:val="000000"/>
                <w:kern w:val="0"/>
                <w:sz w:val="24"/>
                <w:szCs w:val="24"/>
                <w:highlight w:val="none"/>
                <w:u w:val="none"/>
                <w:lang w:val="en-US" w:eastAsia="zh-CN"/>
              </w:rPr>
              <w:t>300</w:t>
            </w:r>
          </w:p>
        </w:tc>
        <w:tc>
          <w:tcPr>
            <w:tcW w:w="59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6A58B8">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免疫比浊法</w:t>
            </w:r>
          </w:p>
        </w:tc>
        <w:tc>
          <w:tcPr>
            <w:tcW w:w="165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4B8683">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标准收费</w:t>
            </w:r>
          </w:p>
        </w:tc>
        <w:tc>
          <w:tcPr>
            <w:tcW w:w="672" w:type="pct"/>
            <w:vMerge w:val="restart"/>
            <w:tcBorders>
              <w:top w:val="single" w:color="000000" w:sz="4" w:space="0"/>
              <w:left w:val="single" w:color="000000" w:sz="4" w:space="0"/>
              <w:bottom w:val="single" w:color="000000" w:sz="4" w:space="0"/>
              <w:right w:val="single" w:color="000000" w:sz="4" w:space="0"/>
            </w:tcBorders>
            <w:noWrap w:val="0"/>
            <w:vAlign w:val="center"/>
          </w:tcPr>
          <w:p w14:paraId="1DBFC287">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2个工作日</w:t>
            </w:r>
          </w:p>
        </w:tc>
      </w:tr>
      <w:tr w14:paraId="7B52A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397"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94A0B4">
            <w:pPr>
              <w:spacing w:line="240" w:lineRule="auto"/>
              <w:jc w:val="center"/>
              <w:rPr>
                <w:rFonts w:hint="eastAsia" w:ascii="宋体" w:hAnsi="宋体" w:eastAsia="宋体" w:cs="宋体"/>
                <w:b w:val="0"/>
                <w:bCs w:val="0"/>
                <w:i w:val="0"/>
                <w:iCs w:val="0"/>
                <w:color w:val="000000"/>
                <w:kern w:val="0"/>
                <w:sz w:val="24"/>
                <w:szCs w:val="24"/>
                <w:highlight w:val="none"/>
                <w:u w:val="none"/>
              </w:rPr>
            </w:pPr>
          </w:p>
        </w:tc>
        <w:tc>
          <w:tcPr>
            <w:tcW w:w="1139"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F0B30D">
            <w:pPr>
              <w:spacing w:line="240" w:lineRule="auto"/>
              <w:jc w:val="center"/>
              <w:rPr>
                <w:rFonts w:hint="eastAsia" w:ascii="宋体" w:hAnsi="宋体" w:eastAsia="宋体" w:cs="宋体"/>
                <w:b w:val="0"/>
                <w:bCs w:val="0"/>
                <w:i w:val="0"/>
                <w:iCs w:val="0"/>
                <w:color w:val="000000"/>
                <w:kern w:val="0"/>
                <w:sz w:val="24"/>
                <w:szCs w:val="24"/>
                <w:highlight w:val="none"/>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D93E72">
            <w:pPr>
              <w:spacing w:line="240" w:lineRule="auto"/>
              <w:jc w:val="center"/>
              <w:rPr>
                <w:rFonts w:hint="eastAsia" w:ascii="宋体" w:hAnsi="宋体" w:eastAsia="宋体" w:cs="宋体"/>
                <w:b w:val="0"/>
                <w:bCs w:val="0"/>
                <w:i w:val="0"/>
                <w:iCs w:val="0"/>
                <w:color w:val="000000"/>
                <w:kern w:val="0"/>
                <w:sz w:val="24"/>
                <w:szCs w:val="24"/>
                <w:highlight w:val="none"/>
                <w:u w:val="none"/>
              </w:rPr>
            </w:pPr>
          </w:p>
        </w:tc>
        <w:tc>
          <w:tcPr>
            <w:tcW w:w="59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D56B2F">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免疫比浊法</w:t>
            </w:r>
          </w:p>
        </w:tc>
        <w:tc>
          <w:tcPr>
            <w:tcW w:w="165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6FB912">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标准收费</w:t>
            </w:r>
          </w:p>
        </w:tc>
        <w:tc>
          <w:tcPr>
            <w:tcW w:w="67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D1079E">
            <w:pPr>
              <w:spacing w:line="240" w:lineRule="auto"/>
              <w:jc w:val="center"/>
              <w:rPr>
                <w:rFonts w:hint="eastAsia" w:ascii="宋体" w:hAnsi="宋体" w:eastAsia="宋体" w:cs="宋体"/>
                <w:b w:val="0"/>
                <w:bCs w:val="0"/>
                <w:i w:val="0"/>
                <w:iCs w:val="0"/>
                <w:color w:val="000000"/>
                <w:kern w:val="0"/>
                <w:sz w:val="24"/>
                <w:szCs w:val="24"/>
                <w:u w:val="none"/>
              </w:rPr>
            </w:pPr>
          </w:p>
        </w:tc>
      </w:tr>
      <w:tr w14:paraId="3EB03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jc w:val="center"/>
        </w:trPr>
        <w:tc>
          <w:tcPr>
            <w:tcW w:w="397" w:type="pct"/>
            <w:vMerge w:val="restart"/>
            <w:tcBorders>
              <w:top w:val="single" w:color="000000" w:sz="4" w:space="0"/>
              <w:left w:val="single" w:color="000000" w:sz="4" w:space="0"/>
              <w:bottom w:val="single" w:color="000000" w:sz="4" w:space="0"/>
              <w:right w:val="single" w:color="000000" w:sz="4" w:space="0"/>
            </w:tcBorders>
            <w:noWrap w:val="0"/>
            <w:vAlign w:val="center"/>
          </w:tcPr>
          <w:p w14:paraId="6A4A9328">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42</w:t>
            </w:r>
          </w:p>
        </w:tc>
        <w:tc>
          <w:tcPr>
            <w:tcW w:w="1139" w:type="pct"/>
            <w:vMerge w:val="restart"/>
            <w:tcBorders>
              <w:top w:val="single" w:color="000000" w:sz="4" w:space="0"/>
              <w:left w:val="single" w:color="000000" w:sz="4" w:space="0"/>
              <w:bottom w:val="single" w:color="000000" w:sz="4" w:space="0"/>
              <w:right w:val="single" w:color="000000" w:sz="4" w:space="0"/>
            </w:tcBorders>
            <w:noWrap w:val="0"/>
            <w:vAlign w:val="center"/>
          </w:tcPr>
          <w:p w14:paraId="127AEDBC">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HLA配型（6位点）</w:t>
            </w:r>
          </w:p>
        </w:tc>
        <w:tc>
          <w:tcPr>
            <w:tcW w:w="538" w:type="pct"/>
            <w:vMerge w:val="restart"/>
            <w:tcBorders>
              <w:top w:val="single" w:color="000000" w:sz="4" w:space="0"/>
              <w:left w:val="single" w:color="000000" w:sz="4" w:space="0"/>
              <w:bottom w:val="single" w:color="000000" w:sz="4" w:space="0"/>
              <w:right w:val="single" w:color="000000" w:sz="4" w:space="0"/>
            </w:tcBorders>
            <w:noWrap w:val="0"/>
            <w:vAlign w:val="center"/>
          </w:tcPr>
          <w:p w14:paraId="3CFC20D6">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2000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62254949">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PCR-SBT</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12860E7D">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HLA-A/B/C</w:t>
            </w:r>
          </w:p>
        </w:tc>
        <w:tc>
          <w:tcPr>
            <w:tcW w:w="672" w:type="pct"/>
            <w:vMerge w:val="restart"/>
            <w:tcBorders>
              <w:top w:val="single" w:color="000000" w:sz="4" w:space="0"/>
              <w:left w:val="single" w:color="000000" w:sz="4" w:space="0"/>
              <w:bottom w:val="single" w:color="000000" w:sz="4" w:space="0"/>
              <w:right w:val="single" w:color="000000" w:sz="4" w:space="0"/>
            </w:tcBorders>
            <w:noWrap w:val="0"/>
            <w:vAlign w:val="center"/>
          </w:tcPr>
          <w:p w14:paraId="333C9A4E">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7个工作日</w:t>
            </w:r>
          </w:p>
        </w:tc>
      </w:tr>
      <w:tr w14:paraId="59C79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7" w:hRule="atLeast"/>
          <w:jc w:val="center"/>
        </w:trPr>
        <w:tc>
          <w:tcPr>
            <w:tcW w:w="39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EF2FE1">
            <w:pPr>
              <w:spacing w:line="240" w:lineRule="auto"/>
              <w:jc w:val="center"/>
              <w:rPr>
                <w:rFonts w:hint="eastAsia" w:ascii="宋体" w:hAnsi="宋体" w:eastAsia="宋体" w:cs="宋体"/>
                <w:b w:val="0"/>
                <w:bCs w:val="0"/>
                <w:i w:val="0"/>
                <w:iCs w:val="0"/>
                <w:color w:val="000000"/>
                <w:kern w:val="0"/>
                <w:sz w:val="24"/>
                <w:szCs w:val="24"/>
                <w:u w:val="none"/>
              </w:rPr>
            </w:pPr>
          </w:p>
        </w:tc>
        <w:tc>
          <w:tcPr>
            <w:tcW w:w="113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16190D">
            <w:pPr>
              <w:spacing w:line="240" w:lineRule="auto"/>
              <w:jc w:val="center"/>
              <w:rPr>
                <w:rFonts w:hint="eastAsia" w:ascii="宋体" w:hAnsi="宋体" w:eastAsia="宋体" w:cs="宋体"/>
                <w:b w:val="0"/>
                <w:bCs w:val="0"/>
                <w:i w:val="0"/>
                <w:iCs w:val="0"/>
                <w:color w:val="000000"/>
                <w:kern w:val="0"/>
                <w:sz w:val="24"/>
                <w:szCs w:val="24"/>
                <w:u w:val="none"/>
              </w:rPr>
            </w:pPr>
          </w:p>
        </w:tc>
        <w:tc>
          <w:tcPr>
            <w:tcW w:w="5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FE0E24">
            <w:pPr>
              <w:spacing w:line="240" w:lineRule="auto"/>
              <w:jc w:val="center"/>
              <w:rPr>
                <w:rFonts w:hint="eastAsia" w:ascii="宋体" w:hAnsi="宋体" w:eastAsia="宋体" w:cs="宋体"/>
                <w:b w:val="0"/>
                <w:bCs w:val="0"/>
                <w:i w:val="0"/>
                <w:iCs w:val="0"/>
                <w:color w:val="000000"/>
                <w:kern w:val="0"/>
                <w:sz w:val="24"/>
                <w:szCs w:val="24"/>
                <w:u w:val="none"/>
              </w:rPr>
            </w:pP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101D5184">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PCR-SBT</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74D96FC5">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HLA-DRB1/DQB1/DPB1</w:t>
            </w:r>
          </w:p>
        </w:tc>
        <w:tc>
          <w:tcPr>
            <w:tcW w:w="67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A7323F">
            <w:pPr>
              <w:spacing w:line="240" w:lineRule="auto"/>
              <w:jc w:val="center"/>
              <w:rPr>
                <w:rFonts w:hint="eastAsia" w:ascii="宋体" w:hAnsi="宋体" w:eastAsia="宋体" w:cs="宋体"/>
                <w:b w:val="0"/>
                <w:bCs w:val="0"/>
                <w:i w:val="0"/>
                <w:iCs w:val="0"/>
                <w:color w:val="000000"/>
                <w:kern w:val="0"/>
                <w:sz w:val="24"/>
                <w:szCs w:val="24"/>
                <w:u w:val="none"/>
              </w:rPr>
            </w:pPr>
          </w:p>
        </w:tc>
      </w:tr>
      <w:tr w14:paraId="13968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397" w:type="pct"/>
            <w:vMerge w:val="restart"/>
            <w:tcBorders>
              <w:top w:val="single" w:color="000000" w:sz="4" w:space="0"/>
              <w:left w:val="single" w:color="000000" w:sz="4" w:space="0"/>
              <w:bottom w:val="single" w:color="000000" w:sz="4" w:space="0"/>
              <w:right w:val="single" w:color="000000" w:sz="4" w:space="0"/>
            </w:tcBorders>
            <w:noWrap w:val="0"/>
            <w:vAlign w:val="center"/>
          </w:tcPr>
          <w:p w14:paraId="3E54229C">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43</w:t>
            </w:r>
          </w:p>
        </w:tc>
        <w:tc>
          <w:tcPr>
            <w:tcW w:w="1139" w:type="pct"/>
            <w:vMerge w:val="restart"/>
            <w:tcBorders>
              <w:top w:val="single" w:color="000000" w:sz="4" w:space="0"/>
              <w:left w:val="single" w:color="000000" w:sz="4" w:space="0"/>
              <w:bottom w:val="single" w:color="000000" w:sz="4" w:space="0"/>
              <w:right w:val="single" w:color="000000" w:sz="4" w:space="0"/>
            </w:tcBorders>
            <w:noWrap w:val="0"/>
            <w:vAlign w:val="center"/>
          </w:tcPr>
          <w:p w14:paraId="78755179">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HLA配型（9位点）</w:t>
            </w:r>
          </w:p>
        </w:tc>
        <w:tc>
          <w:tcPr>
            <w:tcW w:w="538" w:type="pct"/>
            <w:vMerge w:val="restart"/>
            <w:tcBorders>
              <w:top w:val="single" w:color="000000" w:sz="4" w:space="0"/>
              <w:left w:val="single" w:color="000000" w:sz="4" w:space="0"/>
              <w:bottom w:val="single" w:color="000000" w:sz="4" w:space="0"/>
              <w:right w:val="single" w:color="000000" w:sz="4" w:space="0"/>
            </w:tcBorders>
            <w:noWrap w:val="0"/>
            <w:vAlign w:val="center"/>
          </w:tcPr>
          <w:p w14:paraId="0C5C1DF3">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3000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3BE97E95">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PCR-SBT</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56F6255F">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HLA-A/B/C</w:t>
            </w:r>
          </w:p>
        </w:tc>
        <w:tc>
          <w:tcPr>
            <w:tcW w:w="672" w:type="pct"/>
            <w:vMerge w:val="restart"/>
            <w:tcBorders>
              <w:top w:val="single" w:color="000000" w:sz="4" w:space="0"/>
              <w:left w:val="single" w:color="000000" w:sz="4" w:space="0"/>
              <w:bottom w:val="single" w:color="000000" w:sz="4" w:space="0"/>
              <w:right w:val="single" w:color="000000" w:sz="4" w:space="0"/>
            </w:tcBorders>
            <w:noWrap w:val="0"/>
            <w:vAlign w:val="center"/>
          </w:tcPr>
          <w:p w14:paraId="265C53D4">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7个工作日</w:t>
            </w:r>
          </w:p>
        </w:tc>
      </w:tr>
      <w:tr w14:paraId="3E8D5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39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8C8662">
            <w:pPr>
              <w:spacing w:line="240" w:lineRule="auto"/>
              <w:jc w:val="center"/>
              <w:rPr>
                <w:rFonts w:hint="eastAsia" w:ascii="宋体" w:hAnsi="宋体" w:eastAsia="宋体" w:cs="宋体"/>
                <w:b w:val="0"/>
                <w:bCs w:val="0"/>
                <w:i w:val="0"/>
                <w:iCs w:val="0"/>
                <w:color w:val="000000"/>
                <w:kern w:val="0"/>
                <w:sz w:val="24"/>
                <w:szCs w:val="24"/>
                <w:u w:val="none"/>
              </w:rPr>
            </w:pPr>
          </w:p>
        </w:tc>
        <w:tc>
          <w:tcPr>
            <w:tcW w:w="113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AE0C28">
            <w:pPr>
              <w:spacing w:line="240" w:lineRule="auto"/>
              <w:jc w:val="center"/>
              <w:rPr>
                <w:rFonts w:hint="eastAsia" w:ascii="宋体" w:hAnsi="宋体" w:eastAsia="宋体" w:cs="宋体"/>
                <w:b w:val="0"/>
                <w:bCs w:val="0"/>
                <w:i w:val="0"/>
                <w:iCs w:val="0"/>
                <w:color w:val="000000"/>
                <w:kern w:val="0"/>
                <w:sz w:val="24"/>
                <w:szCs w:val="24"/>
                <w:u w:val="none"/>
              </w:rPr>
            </w:pPr>
          </w:p>
        </w:tc>
        <w:tc>
          <w:tcPr>
            <w:tcW w:w="5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BB6BBD">
            <w:pPr>
              <w:spacing w:line="240" w:lineRule="auto"/>
              <w:jc w:val="center"/>
              <w:rPr>
                <w:rFonts w:hint="eastAsia" w:ascii="宋体" w:hAnsi="宋体" w:eastAsia="宋体" w:cs="宋体"/>
                <w:b w:val="0"/>
                <w:bCs w:val="0"/>
                <w:i w:val="0"/>
                <w:iCs w:val="0"/>
                <w:color w:val="000000"/>
                <w:kern w:val="0"/>
                <w:sz w:val="24"/>
                <w:szCs w:val="24"/>
                <w:u w:val="none"/>
              </w:rPr>
            </w:pP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4EF6085A">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PCR-SBT</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41E26847">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HLA-DRB1/DQB1/DPB1/DQA1/DPA1/DRB3.4.5</w:t>
            </w:r>
          </w:p>
        </w:tc>
        <w:tc>
          <w:tcPr>
            <w:tcW w:w="67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A763BE">
            <w:pPr>
              <w:spacing w:line="240" w:lineRule="auto"/>
              <w:jc w:val="center"/>
              <w:rPr>
                <w:rFonts w:hint="eastAsia" w:ascii="宋体" w:hAnsi="宋体" w:eastAsia="宋体" w:cs="宋体"/>
                <w:b w:val="0"/>
                <w:bCs w:val="0"/>
                <w:i w:val="0"/>
                <w:iCs w:val="0"/>
                <w:color w:val="000000"/>
                <w:kern w:val="0"/>
                <w:sz w:val="24"/>
                <w:szCs w:val="24"/>
                <w:u w:val="none"/>
              </w:rPr>
            </w:pPr>
          </w:p>
        </w:tc>
      </w:tr>
      <w:tr w14:paraId="41BDC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6F41CAF7">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44</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515EEDDE">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lang w:val="en-US" w:eastAsia="zh-CN" w:bidi="ar-SA"/>
              </w:rPr>
            </w:pPr>
            <w:r>
              <w:rPr>
                <w:rFonts w:hint="eastAsia" w:ascii="宋体" w:hAnsi="宋体" w:eastAsia="宋体" w:cs="宋体"/>
                <w:b w:val="0"/>
                <w:bCs w:val="0"/>
                <w:i w:val="0"/>
                <w:iCs w:val="0"/>
                <w:color w:val="000000"/>
                <w:kern w:val="0"/>
                <w:sz w:val="24"/>
                <w:szCs w:val="24"/>
                <w:u w:val="none"/>
                <w:lang w:val="en-US" w:eastAsia="zh-CN" w:bidi="ar"/>
              </w:rPr>
              <w:t>血浆因子Ⅷ抑制物定量测定</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49CFE48B">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lang w:val="en-US" w:eastAsia="zh-CN" w:bidi="ar-SA"/>
              </w:rPr>
            </w:pPr>
            <w:r>
              <w:rPr>
                <w:rFonts w:hint="eastAsia" w:ascii="宋体" w:hAnsi="宋体" w:eastAsia="宋体" w:cs="宋体"/>
                <w:b w:val="0"/>
                <w:bCs w:val="0"/>
                <w:i w:val="0"/>
                <w:iCs w:val="0"/>
                <w:color w:val="000000"/>
                <w:kern w:val="0"/>
                <w:sz w:val="24"/>
                <w:szCs w:val="24"/>
                <w:u w:val="none"/>
                <w:lang w:val="en-US" w:eastAsia="zh-CN" w:bidi="ar"/>
              </w:rPr>
              <w:t>30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204B8573">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lang w:val="en-US" w:eastAsia="zh-CN" w:bidi="ar-SA"/>
              </w:rPr>
            </w:pPr>
            <w:r>
              <w:rPr>
                <w:rFonts w:hint="eastAsia" w:ascii="宋体" w:hAnsi="宋体" w:eastAsia="宋体" w:cs="宋体"/>
                <w:b w:val="0"/>
                <w:bCs w:val="0"/>
                <w:i w:val="0"/>
                <w:iCs w:val="0"/>
                <w:color w:val="000000"/>
                <w:kern w:val="0"/>
                <w:sz w:val="24"/>
                <w:szCs w:val="24"/>
                <w:u w:val="none"/>
                <w:lang w:val="en-US" w:eastAsia="zh-CN" w:bidi="ar"/>
              </w:rPr>
              <w:t>Bethesda法</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52AC743B">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lang w:val="en-US" w:eastAsia="zh-CN" w:bidi="ar-SA"/>
              </w:rPr>
            </w:pPr>
            <w:r>
              <w:rPr>
                <w:rFonts w:hint="eastAsia" w:ascii="宋体" w:hAnsi="宋体" w:eastAsia="宋体" w:cs="宋体"/>
                <w:b w:val="0"/>
                <w:bCs w:val="0"/>
                <w:i w:val="0"/>
                <w:iCs w:val="0"/>
                <w:color w:val="000000"/>
                <w:kern w:val="0"/>
                <w:sz w:val="24"/>
                <w:szCs w:val="24"/>
                <w:u w:val="none"/>
                <w:lang w:val="en-US" w:eastAsia="zh-CN" w:bidi="ar"/>
              </w:rPr>
              <w:t>仪器法</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35A4BBD3">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lang w:val="en-US" w:eastAsia="zh-CN" w:bidi="ar-SA"/>
              </w:rPr>
            </w:pPr>
            <w:r>
              <w:rPr>
                <w:rFonts w:hint="eastAsia" w:ascii="宋体" w:hAnsi="宋体" w:eastAsia="宋体" w:cs="宋体"/>
                <w:b w:val="0"/>
                <w:bCs w:val="0"/>
                <w:i w:val="0"/>
                <w:iCs w:val="0"/>
                <w:color w:val="000000"/>
                <w:kern w:val="0"/>
                <w:sz w:val="24"/>
                <w:szCs w:val="24"/>
                <w:u w:val="none"/>
                <w:lang w:val="en-US" w:eastAsia="zh-CN" w:bidi="ar"/>
              </w:rPr>
              <w:t>7个工作日</w:t>
            </w:r>
          </w:p>
        </w:tc>
      </w:tr>
      <w:tr w14:paraId="2E8FD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3"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1CC69B9F">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lang w:val="en-US" w:eastAsia="zh-CN" w:bidi="ar-SA"/>
              </w:rPr>
            </w:pPr>
            <w:r>
              <w:rPr>
                <w:rFonts w:hint="eastAsia" w:ascii="宋体" w:hAnsi="宋体" w:eastAsia="宋体" w:cs="宋体"/>
                <w:b w:val="0"/>
                <w:bCs w:val="0"/>
                <w:i w:val="0"/>
                <w:iCs w:val="0"/>
                <w:color w:val="000000"/>
                <w:kern w:val="0"/>
                <w:sz w:val="24"/>
                <w:szCs w:val="24"/>
                <w:u w:val="none"/>
                <w:lang w:val="en-US" w:eastAsia="zh-CN" w:bidi="ar"/>
              </w:rPr>
              <w:t>45</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33D01583">
            <w:pPr>
              <w:keepNext w:val="0"/>
              <w:keepLines w:val="0"/>
              <w:widowControl/>
              <w:suppressLineNumbers w:val="0"/>
              <w:spacing w:line="240" w:lineRule="auto"/>
              <w:jc w:val="center"/>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color w:val="000000"/>
                <w:kern w:val="0"/>
                <w:sz w:val="24"/>
                <w:szCs w:val="24"/>
                <w:u w:val="none"/>
                <w:lang w:val="en-US" w:eastAsia="zh-CN" w:bidi="ar"/>
              </w:rPr>
              <w:t>血浆凝血因子活性测定：II、V、VII、X、Ⅺ、Ⅻ因子</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1BE4AB33">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40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0CD773EF">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仪器法</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068F8FBE">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每种因子检测计费一次</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46E9761D">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1个工作日</w:t>
            </w:r>
          </w:p>
        </w:tc>
      </w:tr>
      <w:tr w14:paraId="25B6B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3"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078CEE03">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lang w:val="en-US" w:eastAsia="zh-CN" w:bidi="ar-SA"/>
              </w:rPr>
            </w:pPr>
            <w:r>
              <w:rPr>
                <w:rFonts w:hint="eastAsia" w:ascii="宋体" w:hAnsi="宋体" w:eastAsia="宋体" w:cs="宋体"/>
                <w:b w:val="0"/>
                <w:bCs w:val="0"/>
                <w:i w:val="0"/>
                <w:iCs w:val="0"/>
                <w:color w:val="000000"/>
                <w:kern w:val="0"/>
                <w:sz w:val="24"/>
                <w:szCs w:val="24"/>
                <w:u w:val="none"/>
                <w:lang w:val="en-US" w:eastAsia="zh-CN" w:bidi="ar"/>
              </w:rPr>
              <w:t>46</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13F8759B">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lang w:val="en-US" w:eastAsia="zh-CN" w:bidi="ar-SA"/>
              </w:rPr>
            </w:pPr>
            <w:r>
              <w:rPr>
                <w:rFonts w:hint="eastAsia" w:ascii="宋体" w:hAnsi="宋体" w:eastAsia="宋体" w:cs="宋体"/>
                <w:b w:val="0"/>
                <w:bCs w:val="0"/>
                <w:color w:val="000000"/>
                <w:kern w:val="0"/>
                <w:sz w:val="24"/>
                <w:szCs w:val="24"/>
                <w:u w:val="none"/>
                <w:lang w:val="en-US" w:eastAsia="zh-CN" w:bidi="ar"/>
              </w:rPr>
              <w:t>血管性假性血友病因子（VWF）</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1D20F60F">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lang w:val="en-US" w:eastAsia="zh-CN" w:bidi="ar-SA"/>
              </w:rPr>
            </w:pPr>
            <w:r>
              <w:rPr>
                <w:rFonts w:hint="eastAsia" w:ascii="宋体" w:hAnsi="宋体" w:eastAsia="宋体" w:cs="宋体"/>
                <w:b w:val="0"/>
                <w:bCs w:val="0"/>
                <w:i w:val="0"/>
                <w:iCs w:val="0"/>
                <w:color w:val="000000"/>
                <w:kern w:val="0"/>
                <w:sz w:val="24"/>
                <w:szCs w:val="24"/>
                <w:u w:val="none"/>
                <w:lang w:val="en-US" w:eastAsia="zh-CN" w:bidi="ar"/>
              </w:rPr>
              <w:t>50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30002E0A">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lang w:val="en-US" w:eastAsia="zh-CN" w:bidi="ar-SA"/>
              </w:rPr>
            </w:pPr>
            <w:r>
              <w:rPr>
                <w:rFonts w:hint="eastAsia" w:ascii="宋体" w:hAnsi="宋体" w:eastAsia="宋体" w:cs="宋体"/>
                <w:b w:val="0"/>
                <w:bCs w:val="0"/>
                <w:i w:val="0"/>
                <w:iCs w:val="0"/>
                <w:color w:val="000000"/>
                <w:kern w:val="0"/>
                <w:sz w:val="24"/>
                <w:szCs w:val="24"/>
                <w:u w:val="none"/>
                <w:lang w:val="en-US" w:eastAsia="zh-CN" w:bidi="ar"/>
              </w:rPr>
              <w:t>Bethesda法</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1959FAA1">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lang w:val="en-US" w:eastAsia="zh-CN" w:bidi="ar-SA"/>
              </w:rPr>
            </w:pPr>
            <w:r>
              <w:rPr>
                <w:rFonts w:hint="eastAsia" w:ascii="宋体" w:hAnsi="宋体" w:eastAsia="宋体" w:cs="宋体"/>
                <w:b w:val="0"/>
                <w:bCs w:val="0"/>
                <w:i w:val="0"/>
                <w:iCs w:val="0"/>
                <w:color w:val="000000"/>
                <w:kern w:val="0"/>
                <w:sz w:val="24"/>
                <w:szCs w:val="24"/>
                <w:u w:val="none"/>
                <w:lang w:val="en-US" w:eastAsia="zh-CN" w:bidi="ar"/>
              </w:rPr>
              <w:t>仪器法</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58E722E5">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lang w:val="en-US" w:eastAsia="zh-CN" w:bidi="ar-SA"/>
              </w:rPr>
            </w:pPr>
            <w:r>
              <w:rPr>
                <w:rFonts w:hint="eastAsia" w:ascii="宋体" w:hAnsi="宋体" w:eastAsia="宋体" w:cs="宋体"/>
                <w:b w:val="0"/>
                <w:bCs w:val="0"/>
                <w:i w:val="0"/>
                <w:iCs w:val="0"/>
                <w:color w:val="000000"/>
                <w:kern w:val="0"/>
                <w:sz w:val="24"/>
                <w:szCs w:val="24"/>
                <w:u w:val="none"/>
                <w:lang w:val="en-US" w:eastAsia="zh-CN" w:bidi="ar"/>
              </w:rPr>
              <w:t>1个工作日</w:t>
            </w:r>
          </w:p>
        </w:tc>
      </w:tr>
      <w:tr w14:paraId="42BA3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3" w:hRule="atLeast"/>
          <w:jc w:val="center"/>
        </w:trPr>
        <w:tc>
          <w:tcPr>
            <w:tcW w:w="39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9DD0A0">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lang w:val="en-US" w:eastAsia="zh-CN" w:bidi="ar-SA"/>
              </w:rPr>
            </w:pPr>
            <w:r>
              <w:rPr>
                <w:rFonts w:hint="eastAsia" w:ascii="宋体" w:hAnsi="宋体" w:eastAsia="宋体" w:cs="宋体"/>
                <w:b w:val="0"/>
                <w:bCs w:val="0"/>
                <w:i w:val="0"/>
                <w:iCs w:val="0"/>
                <w:color w:val="000000"/>
                <w:kern w:val="0"/>
                <w:sz w:val="24"/>
                <w:szCs w:val="24"/>
                <w:u w:val="none"/>
                <w:lang w:val="en-US" w:eastAsia="zh-CN" w:bidi="ar"/>
              </w:rPr>
              <w:t>47</w:t>
            </w:r>
          </w:p>
        </w:tc>
        <w:tc>
          <w:tcPr>
            <w:tcW w:w="113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C2C9D5">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lang w:val="en-US" w:eastAsia="zh-CN" w:bidi="ar-SA"/>
              </w:rPr>
            </w:pPr>
            <w:r>
              <w:rPr>
                <w:rFonts w:hint="eastAsia" w:ascii="宋体" w:hAnsi="宋体" w:eastAsia="宋体" w:cs="宋体"/>
                <w:b w:val="0"/>
                <w:bCs w:val="0"/>
                <w:i w:val="0"/>
                <w:iCs w:val="0"/>
                <w:color w:val="000000"/>
                <w:kern w:val="0"/>
                <w:sz w:val="24"/>
                <w:szCs w:val="24"/>
                <w:u w:val="none"/>
                <w:lang w:val="en-US" w:eastAsia="zh-CN" w:bidi="ar"/>
              </w:rPr>
              <w:t>尿免疫固定电泳（IgD、IgE）</w:t>
            </w:r>
          </w:p>
        </w:tc>
        <w:tc>
          <w:tcPr>
            <w:tcW w:w="5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9AFAFB">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lang w:val="en-US" w:eastAsia="zh-CN" w:bidi="ar-SA"/>
              </w:rPr>
            </w:pPr>
            <w:r>
              <w:rPr>
                <w:rFonts w:hint="eastAsia" w:ascii="宋体" w:hAnsi="宋体" w:eastAsia="宋体" w:cs="宋体"/>
                <w:b w:val="0"/>
                <w:bCs w:val="0"/>
                <w:i w:val="0"/>
                <w:iCs w:val="0"/>
                <w:color w:val="000000"/>
                <w:kern w:val="0"/>
                <w:sz w:val="24"/>
                <w:szCs w:val="24"/>
                <w:u w:val="none"/>
                <w:lang w:val="en-US" w:eastAsia="zh-CN" w:bidi="ar"/>
              </w:rPr>
              <w:t>100</w:t>
            </w:r>
          </w:p>
        </w:tc>
        <w:tc>
          <w:tcPr>
            <w:tcW w:w="59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A04115">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lang w:val="en-US" w:eastAsia="zh-CN" w:bidi="ar-SA"/>
              </w:rPr>
            </w:pPr>
            <w:r>
              <w:rPr>
                <w:rFonts w:hint="eastAsia" w:ascii="宋体" w:hAnsi="宋体" w:eastAsia="宋体" w:cs="宋体"/>
                <w:b w:val="0"/>
                <w:bCs w:val="0"/>
                <w:i w:val="0"/>
                <w:iCs w:val="0"/>
                <w:color w:val="000000"/>
                <w:kern w:val="0"/>
                <w:sz w:val="24"/>
                <w:szCs w:val="24"/>
                <w:u w:val="none"/>
                <w:lang w:val="en-US" w:eastAsia="zh-CN" w:bidi="ar"/>
              </w:rPr>
              <w:t>电泳法</w:t>
            </w:r>
          </w:p>
        </w:tc>
        <w:tc>
          <w:tcPr>
            <w:tcW w:w="165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4A74C3">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lang w:val="en-US" w:eastAsia="zh-CN" w:bidi="ar-SA"/>
              </w:rPr>
            </w:pPr>
            <w:r>
              <w:rPr>
                <w:rFonts w:hint="eastAsia" w:ascii="宋体" w:hAnsi="宋体" w:eastAsia="宋体" w:cs="宋体"/>
                <w:b w:val="0"/>
                <w:bCs w:val="0"/>
                <w:i w:val="0"/>
                <w:iCs w:val="0"/>
                <w:color w:val="000000"/>
                <w:kern w:val="0"/>
                <w:sz w:val="24"/>
                <w:szCs w:val="24"/>
                <w:u w:val="none"/>
                <w:lang w:val="en-US" w:eastAsia="zh-CN" w:bidi="ar"/>
              </w:rPr>
              <w:t>用固定电泳方法检测蛋白</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5449DFCE">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lang w:val="en-US" w:eastAsia="zh-CN" w:bidi="ar-SA"/>
              </w:rPr>
            </w:pPr>
            <w:r>
              <w:rPr>
                <w:rFonts w:hint="eastAsia" w:ascii="宋体" w:hAnsi="宋体" w:eastAsia="宋体" w:cs="宋体"/>
                <w:b w:val="0"/>
                <w:bCs w:val="0"/>
                <w:i w:val="0"/>
                <w:iCs w:val="0"/>
                <w:color w:val="000000"/>
                <w:kern w:val="0"/>
                <w:sz w:val="24"/>
                <w:szCs w:val="24"/>
                <w:u w:val="none"/>
                <w:lang w:val="en-US" w:eastAsia="zh-CN" w:bidi="ar"/>
              </w:rPr>
              <w:t>5个工作日</w:t>
            </w:r>
          </w:p>
        </w:tc>
      </w:tr>
      <w:tr w14:paraId="6291B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397" w:type="pct"/>
            <w:vMerge w:val="restart"/>
            <w:tcBorders>
              <w:top w:val="single" w:color="000000" w:sz="4" w:space="0"/>
              <w:left w:val="single" w:color="000000" w:sz="4" w:space="0"/>
              <w:bottom w:val="single" w:color="000000" w:sz="4" w:space="0"/>
              <w:right w:val="single" w:color="000000" w:sz="4" w:space="0"/>
            </w:tcBorders>
            <w:noWrap w:val="0"/>
            <w:vAlign w:val="center"/>
          </w:tcPr>
          <w:p w14:paraId="50BF7D0A">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u w:val="none"/>
                <w:lang w:val="en-US" w:eastAsia="zh-CN"/>
              </w:rPr>
            </w:pPr>
            <w:r>
              <w:rPr>
                <w:rFonts w:hint="eastAsia" w:ascii="宋体" w:hAnsi="宋体" w:eastAsia="宋体" w:cs="宋体"/>
                <w:b w:val="0"/>
                <w:bCs w:val="0"/>
                <w:i w:val="0"/>
                <w:iCs w:val="0"/>
                <w:color w:val="000000"/>
                <w:kern w:val="0"/>
                <w:sz w:val="24"/>
                <w:szCs w:val="24"/>
                <w:u w:val="none"/>
                <w:lang w:val="en-US" w:eastAsia="zh-CN"/>
              </w:rPr>
              <w:t>48</w:t>
            </w:r>
          </w:p>
        </w:tc>
        <w:tc>
          <w:tcPr>
            <w:tcW w:w="1139" w:type="pct"/>
            <w:vMerge w:val="restart"/>
            <w:tcBorders>
              <w:top w:val="single" w:color="000000" w:sz="4" w:space="0"/>
              <w:left w:val="single" w:color="000000" w:sz="4" w:space="0"/>
              <w:bottom w:val="single" w:color="000000" w:sz="4" w:space="0"/>
              <w:right w:val="single" w:color="000000" w:sz="4" w:space="0"/>
            </w:tcBorders>
            <w:noWrap w:val="0"/>
            <w:vAlign w:val="center"/>
          </w:tcPr>
          <w:p w14:paraId="701E2C2A">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溶血检查</w:t>
            </w:r>
          </w:p>
        </w:tc>
        <w:tc>
          <w:tcPr>
            <w:tcW w:w="538" w:type="pct"/>
            <w:vMerge w:val="restart"/>
            <w:tcBorders>
              <w:top w:val="single" w:color="000000" w:sz="4" w:space="0"/>
              <w:left w:val="single" w:color="000000" w:sz="4" w:space="0"/>
              <w:bottom w:val="single" w:color="000000" w:sz="4" w:space="0"/>
              <w:right w:val="single" w:color="000000" w:sz="4" w:space="0"/>
            </w:tcBorders>
            <w:noWrap w:val="0"/>
            <w:vAlign w:val="center"/>
          </w:tcPr>
          <w:p w14:paraId="2BA386AA">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177</w:t>
            </w:r>
          </w:p>
        </w:tc>
        <w:tc>
          <w:tcPr>
            <w:tcW w:w="592" w:type="pct"/>
            <w:vMerge w:val="restart"/>
            <w:tcBorders>
              <w:top w:val="single" w:color="000000" w:sz="4" w:space="0"/>
              <w:left w:val="single" w:color="000000" w:sz="4" w:space="0"/>
              <w:bottom w:val="single" w:color="000000" w:sz="4" w:space="0"/>
              <w:right w:val="single" w:color="000000" w:sz="4" w:space="0"/>
            </w:tcBorders>
            <w:noWrap w:val="0"/>
            <w:vAlign w:val="center"/>
          </w:tcPr>
          <w:p w14:paraId="05818D8A">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手工法、比浊法、凝胶法、仪器法、免疫比浊法、速率法、比值法、卡式法</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23F45877">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标准收费</w:t>
            </w:r>
          </w:p>
        </w:tc>
        <w:tc>
          <w:tcPr>
            <w:tcW w:w="672" w:type="pct"/>
            <w:vMerge w:val="restart"/>
            <w:tcBorders>
              <w:top w:val="single" w:color="000000" w:sz="4" w:space="0"/>
              <w:left w:val="single" w:color="000000" w:sz="4" w:space="0"/>
              <w:bottom w:val="single" w:color="000000" w:sz="4" w:space="0"/>
              <w:right w:val="single" w:color="000000" w:sz="4" w:space="0"/>
            </w:tcBorders>
            <w:noWrap w:val="0"/>
            <w:vAlign w:val="center"/>
          </w:tcPr>
          <w:p w14:paraId="00FAF61E">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2个工作日</w:t>
            </w:r>
          </w:p>
        </w:tc>
      </w:tr>
      <w:tr w14:paraId="7322E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39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BA0CF8">
            <w:pPr>
              <w:spacing w:line="240" w:lineRule="auto"/>
              <w:jc w:val="center"/>
              <w:rPr>
                <w:rFonts w:hint="eastAsia" w:ascii="宋体" w:hAnsi="宋体" w:eastAsia="宋体" w:cs="宋体"/>
                <w:b w:val="0"/>
                <w:bCs w:val="0"/>
                <w:i w:val="0"/>
                <w:iCs w:val="0"/>
                <w:color w:val="000000"/>
                <w:kern w:val="0"/>
                <w:sz w:val="24"/>
                <w:szCs w:val="24"/>
                <w:u w:val="none"/>
              </w:rPr>
            </w:pPr>
          </w:p>
        </w:tc>
        <w:tc>
          <w:tcPr>
            <w:tcW w:w="113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D60D2F">
            <w:pPr>
              <w:spacing w:line="240" w:lineRule="auto"/>
              <w:jc w:val="center"/>
              <w:rPr>
                <w:rFonts w:hint="eastAsia" w:ascii="宋体" w:hAnsi="宋体" w:eastAsia="宋体" w:cs="宋体"/>
                <w:b w:val="0"/>
                <w:bCs w:val="0"/>
                <w:i w:val="0"/>
                <w:iCs w:val="0"/>
                <w:color w:val="000000"/>
                <w:kern w:val="0"/>
                <w:sz w:val="24"/>
                <w:szCs w:val="24"/>
                <w:u w:val="none"/>
              </w:rPr>
            </w:pPr>
          </w:p>
        </w:tc>
        <w:tc>
          <w:tcPr>
            <w:tcW w:w="5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65D6E4">
            <w:pPr>
              <w:spacing w:line="240" w:lineRule="auto"/>
              <w:jc w:val="center"/>
              <w:rPr>
                <w:rFonts w:hint="eastAsia" w:ascii="宋体" w:hAnsi="宋体" w:eastAsia="宋体" w:cs="宋体"/>
                <w:b w:val="0"/>
                <w:bCs w:val="0"/>
                <w:i w:val="0"/>
                <w:iCs w:val="0"/>
                <w:color w:val="000000"/>
                <w:kern w:val="0"/>
                <w:sz w:val="24"/>
                <w:szCs w:val="24"/>
                <w:u w:val="none"/>
              </w:rPr>
            </w:pPr>
          </w:p>
        </w:tc>
        <w:tc>
          <w:tcPr>
            <w:tcW w:w="59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F81B65">
            <w:pPr>
              <w:spacing w:line="240" w:lineRule="auto"/>
              <w:jc w:val="center"/>
              <w:rPr>
                <w:rFonts w:hint="eastAsia" w:ascii="宋体" w:hAnsi="宋体" w:eastAsia="宋体" w:cs="宋体"/>
                <w:b w:val="0"/>
                <w:bCs w:val="0"/>
                <w:i w:val="0"/>
                <w:iCs w:val="0"/>
                <w:color w:val="000000"/>
                <w:kern w:val="0"/>
                <w:sz w:val="24"/>
                <w:szCs w:val="24"/>
                <w:u w:val="none"/>
              </w:rPr>
            </w:pP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4EC223F5">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标准收费</w:t>
            </w:r>
          </w:p>
        </w:tc>
        <w:tc>
          <w:tcPr>
            <w:tcW w:w="67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376997">
            <w:pPr>
              <w:spacing w:line="240" w:lineRule="auto"/>
              <w:jc w:val="center"/>
              <w:rPr>
                <w:rFonts w:hint="eastAsia" w:ascii="宋体" w:hAnsi="宋体" w:eastAsia="宋体" w:cs="宋体"/>
                <w:b w:val="0"/>
                <w:bCs w:val="0"/>
                <w:i w:val="0"/>
                <w:iCs w:val="0"/>
                <w:color w:val="000000"/>
                <w:kern w:val="0"/>
                <w:sz w:val="24"/>
                <w:szCs w:val="24"/>
                <w:u w:val="none"/>
              </w:rPr>
            </w:pPr>
          </w:p>
        </w:tc>
      </w:tr>
      <w:tr w14:paraId="7E9E2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jc w:val="center"/>
        </w:trPr>
        <w:tc>
          <w:tcPr>
            <w:tcW w:w="39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2B8818">
            <w:pPr>
              <w:spacing w:line="240" w:lineRule="auto"/>
              <w:jc w:val="center"/>
              <w:rPr>
                <w:rFonts w:hint="eastAsia" w:ascii="宋体" w:hAnsi="宋体" w:eastAsia="宋体" w:cs="宋体"/>
                <w:b w:val="0"/>
                <w:bCs w:val="0"/>
                <w:i w:val="0"/>
                <w:iCs w:val="0"/>
                <w:color w:val="000000"/>
                <w:kern w:val="0"/>
                <w:sz w:val="24"/>
                <w:szCs w:val="24"/>
                <w:u w:val="none"/>
              </w:rPr>
            </w:pPr>
          </w:p>
        </w:tc>
        <w:tc>
          <w:tcPr>
            <w:tcW w:w="113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A83D6F">
            <w:pPr>
              <w:spacing w:line="240" w:lineRule="auto"/>
              <w:jc w:val="center"/>
              <w:rPr>
                <w:rFonts w:hint="eastAsia" w:ascii="宋体" w:hAnsi="宋体" w:eastAsia="宋体" w:cs="宋体"/>
                <w:b w:val="0"/>
                <w:bCs w:val="0"/>
                <w:i w:val="0"/>
                <w:iCs w:val="0"/>
                <w:color w:val="000000"/>
                <w:kern w:val="0"/>
                <w:sz w:val="24"/>
                <w:szCs w:val="24"/>
                <w:u w:val="none"/>
              </w:rPr>
            </w:pPr>
          </w:p>
        </w:tc>
        <w:tc>
          <w:tcPr>
            <w:tcW w:w="5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801AD3">
            <w:pPr>
              <w:spacing w:line="240" w:lineRule="auto"/>
              <w:jc w:val="center"/>
              <w:rPr>
                <w:rFonts w:hint="eastAsia" w:ascii="宋体" w:hAnsi="宋体" w:eastAsia="宋体" w:cs="宋体"/>
                <w:b w:val="0"/>
                <w:bCs w:val="0"/>
                <w:i w:val="0"/>
                <w:iCs w:val="0"/>
                <w:color w:val="000000"/>
                <w:kern w:val="0"/>
                <w:sz w:val="24"/>
                <w:szCs w:val="24"/>
                <w:u w:val="none"/>
              </w:rPr>
            </w:pPr>
          </w:p>
        </w:tc>
        <w:tc>
          <w:tcPr>
            <w:tcW w:w="59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AF9C84">
            <w:pPr>
              <w:spacing w:line="240" w:lineRule="auto"/>
              <w:jc w:val="center"/>
              <w:rPr>
                <w:rFonts w:hint="eastAsia" w:ascii="宋体" w:hAnsi="宋体" w:eastAsia="宋体" w:cs="宋体"/>
                <w:b w:val="0"/>
                <w:bCs w:val="0"/>
                <w:i w:val="0"/>
                <w:iCs w:val="0"/>
                <w:color w:val="000000"/>
                <w:kern w:val="0"/>
                <w:sz w:val="24"/>
                <w:szCs w:val="24"/>
                <w:u w:val="none"/>
              </w:rPr>
            </w:pP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5462FBCC">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标准收费</w:t>
            </w:r>
          </w:p>
        </w:tc>
        <w:tc>
          <w:tcPr>
            <w:tcW w:w="67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C9C34D">
            <w:pPr>
              <w:spacing w:line="240" w:lineRule="auto"/>
              <w:jc w:val="center"/>
              <w:rPr>
                <w:rFonts w:hint="eastAsia" w:ascii="宋体" w:hAnsi="宋体" w:eastAsia="宋体" w:cs="宋体"/>
                <w:b w:val="0"/>
                <w:bCs w:val="0"/>
                <w:i w:val="0"/>
                <w:iCs w:val="0"/>
                <w:color w:val="000000"/>
                <w:kern w:val="0"/>
                <w:sz w:val="24"/>
                <w:szCs w:val="24"/>
                <w:u w:val="none"/>
              </w:rPr>
            </w:pPr>
          </w:p>
        </w:tc>
      </w:tr>
      <w:tr w14:paraId="0368F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jc w:val="center"/>
        </w:trPr>
        <w:tc>
          <w:tcPr>
            <w:tcW w:w="39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0E08AC">
            <w:pPr>
              <w:spacing w:line="240" w:lineRule="auto"/>
              <w:jc w:val="center"/>
              <w:rPr>
                <w:rFonts w:hint="eastAsia" w:ascii="宋体" w:hAnsi="宋体" w:eastAsia="宋体" w:cs="宋体"/>
                <w:b w:val="0"/>
                <w:bCs w:val="0"/>
                <w:i w:val="0"/>
                <w:iCs w:val="0"/>
                <w:color w:val="000000"/>
                <w:kern w:val="0"/>
                <w:sz w:val="24"/>
                <w:szCs w:val="24"/>
                <w:u w:val="none"/>
              </w:rPr>
            </w:pPr>
          </w:p>
        </w:tc>
        <w:tc>
          <w:tcPr>
            <w:tcW w:w="113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E4D3DF">
            <w:pPr>
              <w:spacing w:line="240" w:lineRule="auto"/>
              <w:jc w:val="center"/>
              <w:rPr>
                <w:rFonts w:hint="eastAsia" w:ascii="宋体" w:hAnsi="宋体" w:eastAsia="宋体" w:cs="宋体"/>
                <w:b w:val="0"/>
                <w:bCs w:val="0"/>
                <w:i w:val="0"/>
                <w:iCs w:val="0"/>
                <w:color w:val="000000"/>
                <w:kern w:val="0"/>
                <w:sz w:val="24"/>
                <w:szCs w:val="24"/>
                <w:u w:val="none"/>
              </w:rPr>
            </w:pPr>
          </w:p>
        </w:tc>
        <w:tc>
          <w:tcPr>
            <w:tcW w:w="5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3FADCA">
            <w:pPr>
              <w:spacing w:line="240" w:lineRule="auto"/>
              <w:jc w:val="center"/>
              <w:rPr>
                <w:rFonts w:hint="eastAsia" w:ascii="宋体" w:hAnsi="宋体" w:eastAsia="宋体" w:cs="宋体"/>
                <w:b w:val="0"/>
                <w:bCs w:val="0"/>
                <w:i w:val="0"/>
                <w:iCs w:val="0"/>
                <w:color w:val="000000"/>
                <w:kern w:val="0"/>
                <w:sz w:val="24"/>
                <w:szCs w:val="24"/>
                <w:u w:val="none"/>
              </w:rPr>
            </w:pPr>
          </w:p>
        </w:tc>
        <w:tc>
          <w:tcPr>
            <w:tcW w:w="59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C72B1D">
            <w:pPr>
              <w:spacing w:line="240" w:lineRule="auto"/>
              <w:jc w:val="center"/>
              <w:rPr>
                <w:rFonts w:hint="eastAsia" w:ascii="宋体" w:hAnsi="宋体" w:eastAsia="宋体" w:cs="宋体"/>
                <w:b w:val="0"/>
                <w:bCs w:val="0"/>
                <w:i w:val="0"/>
                <w:iCs w:val="0"/>
                <w:color w:val="000000"/>
                <w:kern w:val="0"/>
                <w:sz w:val="24"/>
                <w:szCs w:val="24"/>
                <w:u w:val="none"/>
              </w:rPr>
            </w:pP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6F75F3AF">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标准收费</w:t>
            </w:r>
          </w:p>
        </w:tc>
        <w:tc>
          <w:tcPr>
            <w:tcW w:w="67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18903A">
            <w:pPr>
              <w:spacing w:line="240" w:lineRule="auto"/>
              <w:jc w:val="center"/>
              <w:rPr>
                <w:rFonts w:hint="eastAsia" w:ascii="宋体" w:hAnsi="宋体" w:eastAsia="宋体" w:cs="宋体"/>
                <w:b w:val="0"/>
                <w:bCs w:val="0"/>
                <w:i w:val="0"/>
                <w:iCs w:val="0"/>
                <w:color w:val="000000"/>
                <w:kern w:val="0"/>
                <w:sz w:val="24"/>
                <w:szCs w:val="24"/>
                <w:u w:val="none"/>
              </w:rPr>
            </w:pPr>
          </w:p>
        </w:tc>
      </w:tr>
      <w:tr w14:paraId="12AFF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jc w:val="center"/>
        </w:trPr>
        <w:tc>
          <w:tcPr>
            <w:tcW w:w="39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F9C62A">
            <w:pPr>
              <w:spacing w:line="240" w:lineRule="auto"/>
              <w:jc w:val="center"/>
              <w:rPr>
                <w:rFonts w:hint="eastAsia" w:ascii="宋体" w:hAnsi="宋体" w:eastAsia="宋体" w:cs="宋体"/>
                <w:b w:val="0"/>
                <w:bCs w:val="0"/>
                <w:i w:val="0"/>
                <w:iCs w:val="0"/>
                <w:color w:val="000000"/>
                <w:kern w:val="0"/>
                <w:sz w:val="24"/>
                <w:szCs w:val="24"/>
                <w:u w:val="none"/>
              </w:rPr>
            </w:pPr>
          </w:p>
        </w:tc>
        <w:tc>
          <w:tcPr>
            <w:tcW w:w="113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750121">
            <w:pPr>
              <w:spacing w:line="240" w:lineRule="auto"/>
              <w:jc w:val="center"/>
              <w:rPr>
                <w:rFonts w:hint="eastAsia" w:ascii="宋体" w:hAnsi="宋体" w:eastAsia="宋体" w:cs="宋体"/>
                <w:b w:val="0"/>
                <w:bCs w:val="0"/>
                <w:i w:val="0"/>
                <w:iCs w:val="0"/>
                <w:color w:val="000000"/>
                <w:kern w:val="0"/>
                <w:sz w:val="24"/>
                <w:szCs w:val="24"/>
                <w:u w:val="none"/>
              </w:rPr>
            </w:pPr>
          </w:p>
        </w:tc>
        <w:tc>
          <w:tcPr>
            <w:tcW w:w="5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D33701">
            <w:pPr>
              <w:spacing w:line="240" w:lineRule="auto"/>
              <w:jc w:val="center"/>
              <w:rPr>
                <w:rFonts w:hint="eastAsia" w:ascii="宋体" w:hAnsi="宋体" w:eastAsia="宋体" w:cs="宋体"/>
                <w:b w:val="0"/>
                <w:bCs w:val="0"/>
                <w:i w:val="0"/>
                <w:iCs w:val="0"/>
                <w:color w:val="000000"/>
                <w:kern w:val="0"/>
                <w:sz w:val="24"/>
                <w:szCs w:val="24"/>
                <w:u w:val="none"/>
              </w:rPr>
            </w:pPr>
          </w:p>
        </w:tc>
        <w:tc>
          <w:tcPr>
            <w:tcW w:w="59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7073E8">
            <w:pPr>
              <w:spacing w:line="240" w:lineRule="auto"/>
              <w:jc w:val="center"/>
              <w:rPr>
                <w:rFonts w:hint="eastAsia" w:ascii="宋体" w:hAnsi="宋体" w:eastAsia="宋体" w:cs="宋体"/>
                <w:b w:val="0"/>
                <w:bCs w:val="0"/>
                <w:i w:val="0"/>
                <w:iCs w:val="0"/>
                <w:color w:val="000000"/>
                <w:kern w:val="0"/>
                <w:sz w:val="24"/>
                <w:szCs w:val="24"/>
                <w:u w:val="none"/>
              </w:rPr>
            </w:pP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0FA066A4">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标准收费</w:t>
            </w:r>
          </w:p>
        </w:tc>
        <w:tc>
          <w:tcPr>
            <w:tcW w:w="67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E135D9">
            <w:pPr>
              <w:spacing w:line="240" w:lineRule="auto"/>
              <w:jc w:val="center"/>
              <w:rPr>
                <w:rFonts w:hint="eastAsia" w:ascii="宋体" w:hAnsi="宋体" w:eastAsia="宋体" w:cs="宋体"/>
                <w:b w:val="0"/>
                <w:bCs w:val="0"/>
                <w:i w:val="0"/>
                <w:iCs w:val="0"/>
                <w:color w:val="000000"/>
                <w:kern w:val="0"/>
                <w:sz w:val="24"/>
                <w:szCs w:val="24"/>
                <w:u w:val="none"/>
              </w:rPr>
            </w:pPr>
          </w:p>
        </w:tc>
      </w:tr>
      <w:tr w14:paraId="07956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39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5FDE0C">
            <w:pPr>
              <w:spacing w:line="240" w:lineRule="auto"/>
              <w:jc w:val="center"/>
              <w:rPr>
                <w:rFonts w:hint="eastAsia" w:ascii="宋体" w:hAnsi="宋体" w:eastAsia="宋体" w:cs="宋体"/>
                <w:b w:val="0"/>
                <w:bCs w:val="0"/>
                <w:i w:val="0"/>
                <w:iCs w:val="0"/>
                <w:color w:val="000000"/>
                <w:kern w:val="0"/>
                <w:sz w:val="24"/>
                <w:szCs w:val="24"/>
                <w:u w:val="none"/>
              </w:rPr>
            </w:pPr>
          </w:p>
        </w:tc>
        <w:tc>
          <w:tcPr>
            <w:tcW w:w="113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6C0C0E">
            <w:pPr>
              <w:spacing w:line="240" w:lineRule="auto"/>
              <w:jc w:val="center"/>
              <w:rPr>
                <w:rFonts w:hint="eastAsia" w:ascii="宋体" w:hAnsi="宋体" w:eastAsia="宋体" w:cs="宋体"/>
                <w:b w:val="0"/>
                <w:bCs w:val="0"/>
                <w:i w:val="0"/>
                <w:iCs w:val="0"/>
                <w:color w:val="000000"/>
                <w:kern w:val="0"/>
                <w:sz w:val="24"/>
                <w:szCs w:val="24"/>
                <w:u w:val="none"/>
              </w:rPr>
            </w:pPr>
          </w:p>
        </w:tc>
        <w:tc>
          <w:tcPr>
            <w:tcW w:w="5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77D2C6">
            <w:pPr>
              <w:spacing w:line="240" w:lineRule="auto"/>
              <w:jc w:val="center"/>
              <w:rPr>
                <w:rFonts w:hint="eastAsia" w:ascii="宋体" w:hAnsi="宋体" w:eastAsia="宋体" w:cs="宋体"/>
                <w:b w:val="0"/>
                <w:bCs w:val="0"/>
                <w:i w:val="0"/>
                <w:iCs w:val="0"/>
                <w:color w:val="000000"/>
                <w:kern w:val="0"/>
                <w:sz w:val="24"/>
                <w:szCs w:val="24"/>
                <w:u w:val="none"/>
              </w:rPr>
            </w:pPr>
          </w:p>
        </w:tc>
        <w:tc>
          <w:tcPr>
            <w:tcW w:w="59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098FEA">
            <w:pPr>
              <w:spacing w:line="240" w:lineRule="auto"/>
              <w:jc w:val="center"/>
              <w:rPr>
                <w:rFonts w:hint="eastAsia" w:ascii="宋体" w:hAnsi="宋体" w:eastAsia="宋体" w:cs="宋体"/>
                <w:b w:val="0"/>
                <w:bCs w:val="0"/>
                <w:i w:val="0"/>
                <w:iCs w:val="0"/>
                <w:color w:val="000000"/>
                <w:kern w:val="0"/>
                <w:sz w:val="24"/>
                <w:szCs w:val="24"/>
                <w:u w:val="none"/>
              </w:rPr>
            </w:pP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476BCF4A">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标准收费</w:t>
            </w:r>
          </w:p>
        </w:tc>
        <w:tc>
          <w:tcPr>
            <w:tcW w:w="67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F280FB">
            <w:pPr>
              <w:spacing w:line="240" w:lineRule="auto"/>
              <w:jc w:val="center"/>
              <w:rPr>
                <w:rFonts w:hint="eastAsia" w:ascii="宋体" w:hAnsi="宋体" w:eastAsia="宋体" w:cs="宋体"/>
                <w:b w:val="0"/>
                <w:bCs w:val="0"/>
                <w:i w:val="0"/>
                <w:iCs w:val="0"/>
                <w:color w:val="000000"/>
                <w:kern w:val="0"/>
                <w:sz w:val="24"/>
                <w:szCs w:val="24"/>
                <w:u w:val="none"/>
              </w:rPr>
            </w:pPr>
          </w:p>
        </w:tc>
      </w:tr>
      <w:tr w14:paraId="51459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39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98BE5A">
            <w:pPr>
              <w:spacing w:line="240" w:lineRule="auto"/>
              <w:jc w:val="center"/>
              <w:rPr>
                <w:rFonts w:hint="eastAsia" w:ascii="宋体" w:hAnsi="宋体" w:eastAsia="宋体" w:cs="宋体"/>
                <w:b w:val="0"/>
                <w:bCs w:val="0"/>
                <w:i w:val="0"/>
                <w:iCs w:val="0"/>
                <w:color w:val="000000"/>
                <w:kern w:val="0"/>
                <w:sz w:val="24"/>
                <w:szCs w:val="24"/>
                <w:u w:val="none"/>
              </w:rPr>
            </w:pPr>
          </w:p>
        </w:tc>
        <w:tc>
          <w:tcPr>
            <w:tcW w:w="113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621822">
            <w:pPr>
              <w:spacing w:line="240" w:lineRule="auto"/>
              <w:jc w:val="center"/>
              <w:rPr>
                <w:rFonts w:hint="eastAsia" w:ascii="宋体" w:hAnsi="宋体" w:eastAsia="宋体" w:cs="宋体"/>
                <w:b w:val="0"/>
                <w:bCs w:val="0"/>
                <w:i w:val="0"/>
                <w:iCs w:val="0"/>
                <w:color w:val="000000"/>
                <w:kern w:val="0"/>
                <w:sz w:val="24"/>
                <w:szCs w:val="24"/>
                <w:u w:val="none"/>
              </w:rPr>
            </w:pPr>
          </w:p>
        </w:tc>
        <w:tc>
          <w:tcPr>
            <w:tcW w:w="5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CC5B6E">
            <w:pPr>
              <w:spacing w:line="240" w:lineRule="auto"/>
              <w:jc w:val="center"/>
              <w:rPr>
                <w:rFonts w:hint="eastAsia" w:ascii="宋体" w:hAnsi="宋体" w:eastAsia="宋体" w:cs="宋体"/>
                <w:b w:val="0"/>
                <w:bCs w:val="0"/>
                <w:i w:val="0"/>
                <w:iCs w:val="0"/>
                <w:color w:val="000000"/>
                <w:kern w:val="0"/>
                <w:sz w:val="24"/>
                <w:szCs w:val="24"/>
                <w:u w:val="none"/>
              </w:rPr>
            </w:pPr>
          </w:p>
        </w:tc>
        <w:tc>
          <w:tcPr>
            <w:tcW w:w="59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6E06FA">
            <w:pPr>
              <w:spacing w:line="240" w:lineRule="auto"/>
              <w:jc w:val="center"/>
              <w:rPr>
                <w:rFonts w:hint="eastAsia" w:ascii="宋体" w:hAnsi="宋体" w:eastAsia="宋体" w:cs="宋体"/>
                <w:b w:val="0"/>
                <w:bCs w:val="0"/>
                <w:i w:val="0"/>
                <w:iCs w:val="0"/>
                <w:color w:val="000000"/>
                <w:kern w:val="0"/>
                <w:sz w:val="24"/>
                <w:szCs w:val="24"/>
                <w:u w:val="none"/>
              </w:rPr>
            </w:pP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01691E6F">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标准收费</w:t>
            </w:r>
          </w:p>
        </w:tc>
        <w:tc>
          <w:tcPr>
            <w:tcW w:w="67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19BA8D">
            <w:pPr>
              <w:spacing w:line="240" w:lineRule="auto"/>
              <w:jc w:val="center"/>
              <w:rPr>
                <w:rFonts w:hint="eastAsia" w:ascii="宋体" w:hAnsi="宋体" w:eastAsia="宋体" w:cs="宋体"/>
                <w:b w:val="0"/>
                <w:bCs w:val="0"/>
                <w:i w:val="0"/>
                <w:iCs w:val="0"/>
                <w:color w:val="000000"/>
                <w:kern w:val="0"/>
                <w:sz w:val="24"/>
                <w:szCs w:val="24"/>
                <w:u w:val="none"/>
              </w:rPr>
            </w:pPr>
          </w:p>
        </w:tc>
      </w:tr>
      <w:tr w14:paraId="3D0D4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jc w:val="center"/>
        </w:trPr>
        <w:tc>
          <w:tcPr>
            <w:tcW w:w="39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AE7797">
            <w:pPr>
              <w:spacing w:line="240" w:lineRule="auto"/>
              <w:jc w:val="center"/>
              <w:rPr>
                <w:rFonts w:hint="eastAsia" w:ascii="宋体" w:hAnsi="宋体" w:eastAsia="宋体" w:cs="宋体"/>
                <w:b w:val="0"/>
                <w:bCs w:val="0"/>
                <w:i w:val="0"/>
                <w:iCs w:val="0"/>
                <w:color w:val="000000"/>
                <w:kern w:val="0"/>
                <w:sz w:val="24"/>
                <w:szCs w:val="24"/>
                <w:u w:val="none"/>
              </w:rPr>
            </w:pPr>
          </w:p>
        </w:tc>
        <w:tc>
          <w:tcPr>
            <w:tcW w:w="113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936466">
            <w:pPr>
              <w:spacing w:line="240" w:lineRule="auto"/>
              <w:jc w:val="center"/>
              <w:rPr>
                <w:rFonts w:hint="eastAsia" w:ascii="宋体" w:hAnsi="宋体" w:eastAsia="宋体" w:cs="宋体"/>
                <w:b w:val="0"/>
                <w:bCs w:val="0"/>
                <w:i w:val="0"/>
                <w:iCs w:val="0"/>
                <w:color w:val="000000"/>
                <w:kern w:val="0"/>
                <w:sz w:val="24"/>
                <w:szCs w:val="24"/>
                <w:u w:val="none"/>
              </w:rPr>
            </w:pPr>
          </w:p>
        </w:tc>
        <w:tc>
          <w:tcPr>
            <w:tcW w:w="5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2FFA97">
            <w:pPr>
              <w:spacing w:line="240" w:lineRule="auto"/>
              <w:jc w:val="center"/>
              <w:rPr>
                <w:rFonts w:hint="eastAsia" w:ascii="宋体" w:hAnsi="宋体" w:eastAsia="宋体" w:cs="宋体"/>
                <w:b w:val="0"/>
                <w:bCs w:val="0"/>
                <w:i w:val="0"/>
                <w:iCs w:val="0"/>
                <w:color w:val="000000"/>
                <w:kern w:val="0"/>
                <w:sz w:val="24"/>
                <w:szCs w:val="24"/>
                <w:u w:val="none"/>
              </w:rPr>
            </w:pPr>
          </w:p>
        </w:tc>
        <w:tc>
          <w:tcPr>
            <w:tcW w:w="59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5CBEE7">
            <w:pPr>
              <w:spacing w:line="240" w:lineRule="auto"/>
              <w:jc w:val="center"/>
              <w:rPr>
                <w:rFonts w:hint="eastAsia" w:ascii="宋体" w:hAnsi="宋体" w:eastAsia="宋体" w:cs="宋体"/>
                <w:b w:val="0"/>
                <w:bCs w:val="0"/>
                <w:i w:val="0"/>
                <w:iCs w:val="0"/>
                <w:color w:val="000000"/>
                <w:kern w:val="0"/>
                <w:sz w:val="24"/>
                <w:szCs w:val="24"/>
                <w:u w:val="none"/>
              </w:rPr>
            </w:pP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4B4AC21E">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标准收费</w:t>
            </w:r>
          </w:p>
        </w:tc>
        <w:tc>
          <w:tcPr>
            <w:tcW w:w="67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0328DA">
            <w:pPr>
              <w:spacing w:line="240" w:lineRule="auto"/>
              <w:jc w:val="center"/>
              <w:rPr>
                <w:rFonts w:hint="eastAsia" w:ascii="宋体" w:hAnsi="宋体" w:eastAsia="宋体" w:cs="宋体"/>
                <w:b w:val="0"/>
                <w:bCs w:val="0"/>
                <w:i w:val="0"/>
                <w:iCs w:val="0"/>
                <w:color w:val="000000"/>
                <w:kern w:val="0"/>
                <w:sz w:val="24"/>
                <w:szCs w:val="24"/>
                <w:u w:val="none"/>
              </w:rPr>
            </w:pPr>
          </w:p>
        </w:tc>
      </w:tr>
      <w:tr w14:paraId="071D1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39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D62FC2">
            <w:pPr>
              <w:spacing w:line="240" w:lineRule="auto"/>
              <w:jc w:val="center"/>
              <w:rPr>
                <w:rFonts w:hint="eastAsia" w:ascii="宋体" w:hAnsi="宋体" w:eastAsia="宋体" w:cs="宋体"/>
                <w:b w:val="0"/>
                <w:bCs w:val="0"/>
                <w:i w:val="0"/>
                <w:iCs w:val="0"/>
                <w:color w:val="000000"/>
                <w:kern w:val="0"/>
                <w:sz w:val="24"/>
                <w:szCs w:val="24"/>
                <w:u w:val="none"/>
              </w:rPr>
            </w:pPr>
          </w:p>
        </w:tc>
        <w:tc>
          <w:tcPr>
            <w:tcW w:w="113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646D27">
            <w:pPr>
              <w:spacing w:line="240" w:lineRule="auto"/>
              <w:jc w:val="center"/>
              <w:rPr>
                <w:rFonts w:hint="eastAsia" w:ascii="宋体" w:hAnsi="宋体" w:eastAsia="宋体" w:cs="宋体"/>
                <w:b w:val="0"/>
                <w:bCs w:val="0"/>
                <w:i w:val="0"/>
                <w:iCs w:val="0"/>
                <w:color w:val="000000"/>
                <w:kern w:val="0"/>
                <w:sz w:val="24"/>
                <w:szCs w:val="24"/>
                <w:u w:val="none"/>
              </w:rPr>
            </w:pPr>
          </w:p>
        </w:tc>
        <w:tc>
          <w:tcPr>
            <w:tcW w:w="5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619A69">
            <w:pPr>
              <w:spacing w:line="240" w:lineRule="auto"/>
              <w:jc w:val="center"/>
              <w:rPr>
                <w:rFonts w:hint="eastAsia" w:ascii="宋体" w:hAnsi="宋体" w:eastAsia="宋体" w:cs="宋体"/>
                <w:b w:val="0"/>
                <w:bCs w:val="0"/>
                <w:i w:val="0"/>
                <w:iCs w:val="0"/>
                <w:color w:val="000000"/>
                <w:kern w:val="0"/>
                <w:sz w:val="24"/>
                <w:szCs w:val="24"/>
                <w:u w:val="none"/>
              </w:rPr>
            </w:pPr>
          </w:p>
        </w:tc>
        <w:tc>
          <w:tcPr>
            <w:tcW w:w="59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6340F3">
            <w:pPr>
              <w:spacing w:line="240" w:lineRule="auto"/>
              <w:jc w:val="center"/>
              <w:rPr>
                <w:rFonts w:hint="eastAsia" w:ascii="宋体" w:hAnsi="宋体" w:eastAsia="宋体" w:cs="宋体"/>
                <w:b w:val="0"/>
                <w:bCs w:val="0"/>
                <w:i w:val="0"/>
                <w:iCs w:val="0"/>
                <w:color w:val="000000"/>
                <w:kern w:val="0"/>
                <w:sz w:val="24"/>
                <w:szCs w:val="24"/>
                <w:u w:val="none"/>
              </w:rPr>
            </w:pP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55DC1C3D">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标准收费</w:t>
            </w:r>
          </w:p>
        </w:tc>
        <w:tc>
          <w:tcPr>
            <w:tcW w:w="67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9B87F7">
            <w:pPr>
              <w:spacing w:line="240" w:lineRule="auto"/>
              <w:jc w:val="center"/>
              <w:rPr>
                <w:rFonts w:hint="eastAsia" w:ascii="宋体" w:hAnsi="宋体" w:eastAsia="宋体" w:cs="宋体"/>
                <w:b w:val="0"/>
                <w:bCs w:val="0"/>
                <w:i w:val="0"/>
                <w:iCs w:val="0"/>
                <w:color w:val="000000"/>
                <w:kern w:val="0"/>
                <w:sz w:val="24"/>
                <w:szCs w:val="24"/>
                <w:u w:val="none"/>
              </w:rPr>
            </w:pPr>
          </w:p>
        </w:tc>
      </w:tr>
      <w:tr w14:paraId="6808A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39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4C3645">
            <w:pPr>
              <w:spacing w:line="240" w:lineRule="auto"/>
              <w:jc w:val="center"/>
              <w:rPr>
                <w:rFonts w:hint="eastAsia" w:ascii="宋体" w:hAnsi="宋体" w:eastAsia="宋体" w:cs="宋体"/>
                <w:b w:val="0"/>
                <w:bCs w:val="0"/>
                <w:i w:val="0"/>
                <w:iCs w:val="0"/>
                <w:color w:val="000000"/>
                <w:kern w:val="0"/>
                <w:sz w:val="24"/>
                <w:szCs w:val="24"/>
                <w:u w:val="none"/>
              </w:rPr>
            </w:pPr>
          </w:p>
        </w:tc>
        <w:tc>
          <w:tcPr>
            <w:tcW w:w="113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32823C">
            <w:pPr>
              <w:spacing w:line="240" w:lineRule="auto"/>
              <w:jc w:val="center"/>
              <w:rPr>
                <w:rFonts w:hint="eastAsia" w:ascii="宋体" w:hAnsi="宋体" w:eastAsia="宋体" w:cs="宋体"/>
                <w:b w:val="0"/>
                <w:bCs w:val="0"/>
                <w:i w:val="0"/>
                <w:iCs w:val="0"/>
                <w:color w:val="000000"/>
                <w:kern w:val="0"/>
                <w:sz w:val="24"/>
                <w:szCs w:val="24"/>
                <w:u w:val="none"/>
              </w:rPr>
            </w:pPr>
          </w:p>
        </w:tc>
        <w:tc>
          <w:tcPr>
            <w:tcW w:w="5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AA44FF">
            <w:pPr>
              <w:spacing w:line="240" w:lineRule="auto"/>
              <w:jc w:val="center"/>
              <w:rPr>
                <w:rFonts w:hint="eastAsia" w:ascii="宋体" w:hAnsi="宋体" w:eastAsia="宋体" w:cs="宋体"/>
                <w:b w:val="0"/>
                <w:bCs w:val="0"/>
                <w:i w:val="0"/>
                <w:iCs w:val="0"/>
                <w:color w:val="000000"/>
                <w:kern w:val="0"/>
                <w:sz w:val="24"/>
                <w:szCs w:val="24"/>
                <w:u w:val="none"/>
              </w:rPr>
            </w:pPr>
          </w:p>
        </w:tc>
        <w:tc>
          <w:tcPr>
            <w:tcW w:w="59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441CFE">
            <w:pPr>
              <w:spacing w:line="240" w:lineRule="auto"/>
              <w:jc w:val="center"/>
              <w:rPr>
                <w:rFonts w:hint="eastAsia" w:ascii="宋体" w:hAnsi="宋体" w:eastAsia="宋体" w:cs="宋体"/>
                <w:b w:val="0"/>
                <w:bCs w:val="0"/>
                <w:i w:val="0"/>
                <w:iCs w:val="0"/>
                <w:color w:val="000000"/>
                <w:kern w:val="0"/>
                <w:sz w:val="24"/>
                <w:szCs w:val="24"/>
                <w:u w:val="none"/>
              </w:rPr>
            </w:pP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51A0E4B0">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标准收费</w:t>
            </w:r>
          </w:p>
        </w:tc>
        <w:tc>
          <w:tcPr>
            <w:tcW w:w="67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A31910">
            <w:pPr>
              <w:spacing w:line="240" w:lineRule="auto"/>
              <w:jc w:val="center"/>
              <w:rPr>
                <w:rFonts w:hint="eastAsia" w:ascii="宋体" w:hAnsi="宋体" w:eastAsia="宋体" w:cs="宋体"/>
                <w:b w:val="0"/>
                <w:bCs w:val="0"/>
                <w:i w:val="0"/>
                <w:iCs w:val="0"/>
                <w:color w:val="000000"/>
                <w:kern w:val="0"/>
                <w:sz w:val="24"/>
                <w:szCs w:val="24"/>
                <w:u w:val="none"/>
              </w:rPr>
            </w:pPr>
          </w:p>
        </w:tc>
      </w:tr>
      <w:tr w14:paraId="6718F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39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9CDC5E">
            <w:pPr>
              <w:spacing w:line="240" w:lineRule="auto"/>
              <w:jc w:val="center"/>
              <w:rPr>
                <w:rFonts w:hint="eastAsia" w:ascii="宋体" w:hAnsi="宋体" w:eastAsia="宋体" w:cs="宋体"/>
                <w:b w:val="0"/>
                <w:bCs w:val="0"/>
                <w:i w:val="0"/>
                <w:iCs w:val="0"/>
                <w:color w:val="000000"/>
                <w:kern w:val="0"/>
                <w:sz w:val="24"/>
                <w:szCs w:val="24"/>
                <w:u w:val="none"/>
              </w:rPr>
            </w:pPr>
          </w:p>
        </w:tc>
        <w:tc>
          <w:tcPr>
            <w:tcW w:w="113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3FCF81">
            <w:pPr>
              <w:spacing w:line="240" w:lineRule="auto"/>
              <w:jc w:val="center"/>
              <w:rPr>
                <w:rFonts w:hint="eastAsia" w:ascii="宋体" w:hAnsi="宋体" w:eastAsia="宋体" w:cs="宋体"/>
                <w:b w:val="0"/>
                <w:bCs w:val="0"/>
                <w:i w:val="0"/>
                <w:iCs w:val="0"/>
                <w:color w:val="000000"/>
                <w:kern w:val="0"/>
                <w:sz w:val="24"/>
                <w:szCs w:val="24"/>
                <w:u w:val="none"/>
              </w:rPr>
            </w:pPr>
          </w:p>
        </w:tc>
        <w:tc>
          <w:tcPr>
            <w:tcW w:w="5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0C3EC5">
            <w:pPr>
              <w:spacing w:line="240" w:lineRule="auto"/>
              <w:jc w:val="center"/>
              <w:rPr>
                <w:rFonts w:hint="eastAsia" w:ascii="宋体" w:hAnsi="宋体" w:eastAsia="宋体" w:cs="宋体"/>
                <w:b w:val="0"/>
                <w:bCs w:val="0"/>
                <w:i w:val="0"/>
                <w:iCs w:val="0"/>
                <w:color w:val="000000"/>
                <w:kern w:val="0"/>
                <w:sz w:val="24"/>
                <w:szCs w:val="24"/>
                <w:u w:val="none"/>
              </w:rPr>
            </w:pPr>
          </w:p>
        </w:tc>
        <w:tc>
          <w:tcPr>
            <w:tcW w:w="59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CEB0F1">
            <w:pPr>
              <w:spacing w:line="240" w:lineRule="auto"/>
              <w:jc w:val="center"/>
              <w:rPr>
                <w:rFonts w:hint="eastAsia" w:ascii="宋体" w:hAnsi="宋体" w:eastAsia="宋体" w:cs="宋体"/>
                <w:b w:val="0"/>
                <w:bCs w:val="0"/>
                <w:i w:val="0"/>
                <w:iCs w:val="0"/>
                <w:color w:val="000000"/>
                <w:kern w:val="0"/>
                <w:sz w:val="24"/>
                <w:szCs w:val="24"/>
                <w:u w:val="none"/>
              </w:rPr>
            </w:pP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66E9AE62">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标准收费</w:t>
            </w:r>
          </w:p>
        </w:tc>
        <w:tc>
          <w:tcPr>
            <w:tcW w:w="67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28B8A9">
            <w:pPr>
              <w:spacing w:line="240" w:lineRule="auto"/>
              <w:jc w:val="center"/>
              <w:rPr>
                <w:rFonts w:hint="eastAsia" w:ascii="宋体" w:hAnsi="宋体" w:eastAsia="宋体" w:cs="宋体"/>
                <w:b w:val="0"/>
                <w:bCs w:val="0"/>
                <w:i w:val="0"/>
                <w:iCs w:val="0"/>
                <w:color w:val="000000"/>
                <w:kern w:val="0"/>
                <w:sz w:val="24"/>
                <w:szCs w:val="24"/>
                <w:u w:val="none"/>
              </w:rPr>
            </w:pPr>
          </w:p>
        </w:tc>
      </w:tr>
      <w:tr w14:paraId="4AB63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6" w:hRule="atLeast"/>
          <w:jc w:val="center"/>
        </w:trPr>
        <w:tc>
          <w:tcPr>
            <w:tcW w:w="39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CDA350">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lang w:val="en-US" w:eastAsia="zh-CN" w:bidi="ar-SA"/>
              </w:rPr>
            </w:pPr>
          </w:p>
        </w:tc>
        <w:tc>
          <w:tcPr>
            <w:tcW w:w="113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1CC8F1">
            <w:pPr>
              <w:spacing w:line="240" w:lineRule="auto"/>
              <w:jc w:val="center"/>
              <w:rPr>
                <w:rFonts w:hint="eastAsia" w:ascii="宋体" w:hAnsi="宋体" w:eastAsia="宋体" w:cs="宋体"/>
                <w:b w:val="0"/>
                <w:bCs w:val="0"/>
                <w:i w:val="0"/>
                <w:iCs w:val="0"/>
                <w:color w:val="000000"/>
                <w:kern w:val="0"/>
                <w:sz w:val="24"/>
                <w:szCs w:val="24"/>
                <w:u w:val="none"/>
              </w:rPr>
            </w:pPr>
          </w:p>
        </w:tc>
        <w:tc>
          <w:tcPr>
            <w:tcW w:w="5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0C6150">
            <w:pPr>
              <w:spacing w:line="240" w:lineRule="auto"/>
              <w:jc w:val="center"/>
              <w:rPr>
                <w:rFonts w:hint="eastAsia" w:ascii="宋体" w:hAnsi="宋体" w:eastAsia="宋体" w:cs="宋体"/>
                <w:b w:val="0"/>
                <w:bCs w:val="0"/>
                <w:i w:val="0"/>
                <w:iCs w:val="0"/>
                <w:color w:val="000000"/>
                <w:kern w:val="0"/>
                <w:sz w:val="24"/>
                <w:szCs w:val="24"/>
                <w:u w:val="none"/>
              </w:rPr>
            </w:pPr>
          </w:p>
        </w:tc>
        <w:tc>
          <w:tcPr>
            <w:tcW w:w="59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49EF45">
            <w:pPr>
              <w:spacing w:line="240" w:lineRule="auto"/>
              <w:jc w:val="center"/>
              <w:rPr>
                <w:rFonts w:hint="eastAsia" w:ascii="宋体" w:hAnsi="宋体" w:eastAsia="宋体" w:cs="宋体"/>
                <w:b w:val="0"/>
                <w:bCs w:val="0"/>
                <w:i w:val="0"/>
                <w:iCs w:val="0"/>
                <w:color w:val="000000"/>
                <w:kern w:val="0"/>
                <w:sz w:val="24"/>
                <w:szCs w:val="24"/>
                <w:u w:val="none"/>
              </w:rPr>
            </w:pP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6C973337">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标准收费</w:t>
            </w:r>
          </w:p>
        </w:tc>
        <w:tc>
          <w:tcPr>
            <w:tcW w:w="67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6BC02F">
            <w:pPr>
              <w:spacing w:line="240" w:lineRule="auto"/>
              <w:jc w:val="center"/>
              <w:rPr>
                <w:rFonts w:hint="eastAsia" w:ascii="宋体" w:hAnsi="宋体" w:eastAsia="宋体" w:cs="宋体"/>
                <w:b w:val="0"/>
                <w:bCs w:val="0"/>
                <w:i w:val="0"/>
                <w:iCs w:val="0"/>
                <w:color w:val="000000"/>
                <w:kern w:val="0"/>
                <w:sz w:val="24"/>
                <w:szCs w:val="24"/>
                <w:u w:val="none"/>
              </w:rPr>
            </w:pPr>
          </w:p>
        </w:tc>
      </w:tr>
      <w:tr w14:paraId="20E7F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581E059E">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u w:val="none"/>
                <w:lang w:val="en-US" w:eastAsia="zh-CN" w:bidi="ar-SA"/>
              </w:rPr>
            </w:pPr>
            <w:r>
              <w:rPr>
                <w:rFonts w:hint="eastAsia" w:ascii="宋体" w:hAnsi="宋体" w:eastAsia="宋体" w:cs="宋体"/>
                <w:b w:val="0"/>
                <w:bCs w:val="0"/>
                <w:i w:val="0"/>
                <w:iCs w:val="0"/>
                <w:color w:val="000000"/>
                <w:kern w:val="0"/>
                <w:sz w:val="24"/>
                <w:szCs w:val="24"/>
                <w:u w:val="none"/>
                <w:lang w:val="en-US" w:eastAsia="zh-CN" w:bidi="ar"/>
              </w:rPr>
              <w:t>49</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3E6C0BD5">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FISH探针</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76C8294C">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1000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5FEC75FB">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FISH</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3FFBC92D">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标准收费</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5EF182FB">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3个工作日</w:t>
            </w:r>
          </w:p>
        </w:tc>
      </w:tr>
      <w:tr w14:paraId="72A7D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22226747">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50</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51437C8D">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染色体R显带分析</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2298A7AB">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720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7D10AFFB">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短期培养法、R显带分析法</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37DEE592">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重点针对血液疾病中的t（1；19）、t（4；11）、t（6；11）、t（8；14）、t（8；21）、t（9；11）、t（9；22）、t（11；14）、t（14；18）、t（15；17）、inv（16）等染色体异常进行分析，只收取8个异常的费用，辅助血液疾病的诊断、分型及预后分层。</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54A391F3">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5个工作日</w:t>
            </w:r>
          </w:p>
        </w:tc>
      </w:tr>
      <w:tr w14:paraId="4E3B0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13"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64109577">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51</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47C3B878">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92种白血病融合基因及相关基因检测</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00B9746F">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highlight w:val="none"/>
                <w:u w:val="none"/>
                <w:lang w:val="en-US" w:eastAsia="zh-CN"/>
              </w:rPr>
            </w:pPr>
            <w:r>
              <w:rPr>
                <w:rFonts w:hint="eastAsia" w:ascii="宋体" w:hAnsi="宋体" w:eastAsia="宋体" w:cs="宋体"/>
                <w:b w:val="0"/>
                <w:bCs w:val="0"/>
                <w:i w:val="0"/>
                <w:iCs w:val="0"/>
                <w:color w:val="000000"/>
                <w:kern w:val="0"/>
                <w:sz w:val="24"/>
                <w:szCs w:val="24"/>
                <w:highlight w:val="none"/>
                <w:u w:val="none"/>
                <w:lang w:val="en-US" w:eastAsia="zh-CN"/>
              </w:rPr>
              <w:t>1666</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12CA023C">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PCR</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11578303">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NUP98-HOXA11、dup-MLL、HOX11、HOX11L2、PML-RARA、BCR-ABL、CBFβ -MYH11、RUNX1-RUNX1T1、ETV6-ABL1、FIP1L1-RARA、NPM1-ALK这十一个基因为指南明确报道过有临床意义的，其余检测内容为满足临床需求而免费做的指标。</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69305F6F">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5个工作日</w:t>
            </w:r>
          </w:p>
        </w:tc>
      </w:tr>
      <w:tr w14:paraId="46F0E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1" w:hRule="atLeast"/>
          <w:jc w:val="center"/>
        </w:trPr>
        <w:tc>
          <w:tcPr>
            <w:tcW w:w="39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C98D2D">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52</w:t>
            </w:r>
          </w:p>
        </w:tc>
        <w:tc>
          <w:tcPr>
            <w:tcW w:w="113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0E0E4A">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常见白血病融合基因筛查</w:t>
            </w:r>
          </w:p>
        </w:tc>
        <w:tc>
          <w:tcPr>
            <w:tcW w:w="5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ACC622">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highlight w:val="none"/>
                <w:u w:val="none"/>
                <w:lang w:val="en-US"/>
              </w:rPr>
            </w:pPr>
            <w:r>
              <w:rPr>
                <w:rFonts w:hint="eastAsia" w:ascii="宋体" w:hAnsi="宋体" w:eastAsia="宋体" w:cs="宋体"/>
                <w:b w:val="0"/>
                <w:bCs w:val="0"/>
                <w:i w:val="0"/>
                <w:iCs w:val="0"/>
                <w:color w:val="000000"/>
                <w:kern w:val="0"/>
                <w:sz w:val="24"/>
                <w:szCs w:val="24"/>
                <w:highlight w:val="none"/>
                <w:u w:val="none"/>
                <w:lang w:val="en-US" w:eastAsia="zh-CN" w:bidi="ar"/>
              </w:rPr>
              <w:t>1266</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1B8628F7">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PCR</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31873C28">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dup-MLL、HOX11、HOX11L2、PML-RARA、BCR-ABL、CBFβ -MYH11、TCF3-PBX1这7个基因为指南明确报道过有临床意义的，其余检测内容为满足临床需求而免费做的指标。</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12A8E831">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5个工作日</w:t>
            </w:r>
          </w:p>
        </w:tc>
      </w:tr>
      <w:tr w14:paraId="328D7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5"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6332AB0A">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53</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64A6EE90">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急性淋巴细胞白血病相关融合基因筛查</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14A6173B">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highlight w:val="none"/>
                <w:u w:val="none"/>
                <w:lang w:val="en-US"/>
              </w:rPr>
            </w:pPr>
            <w:r>
              <w:rPr>
                <w:rFonts w:hint="eastAsia" w:ascii="宋体" w:hAnsi="宋体" w:eastAsia="宋体" w:cs="宋体"/>
                <w:b w:val="0"/>
                <w:bCs w:val="0"/>
                <w:i w:val="0"/>
                <w:iCs w:val="0"/>
                <w:color w:val="000000"/>
                <w:kern w:val="0"/>
                <w:sz w:val="24"/>
                <w:szCs w:val="24"/>
                <w:highlight w:val="none"/>
                <w:u w:val="none"/>
                <w:lang w:val="en-US" w:eastAsia="zh-CN" w:bidi="ar"/>
              </w:rPr>
              <w:t>1266</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07BD479F">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PCR</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61B6872A">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ETV6-ABL1、CRLF2、ETV6-JAK2、EBF1-JAK2、PAX5-JAK2这五个基因为指南明确报道过有临床意义的，其余检测内容为满足临床需求而免费做的指标。</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70A35986">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5个工作日</w:t>
            </w:r>
          </w:p>
        </w:tc>
      </w:tr>
      <w:tr w14:paraId="3C507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397" w:type="pct"/>
            <w:vMerge w:val="restart"/>
            <w:tcBorders>
              <w:top w:val="single" w:color="000000" w:sz="4" w:space="0"/>
              <w:left w:val="single" w:color="000000" w:sz="4" w:space="0"/>
              <w:bottom w:val="single" w:color="000000" w:sz="4" w:space="0"/>
              <w:right w:val="single" w:color="000000" w:sz="4" w:space="0"/>
            </w:tcBorders>
            <w:noWrap w:val="0"/>
            <w:vAlign w:val="center"/>
          </w:tcPr>
          <w:p w14:paraId="3B974EC4">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highlight w:val="none"/>
                <w:u w:val="none"/>
                <w:lang w:val="en-US"/>
              </w:rPr>
            </w:pPr>
            <w:r>
              <w:rPr>
                <w:rFonts w:hint="eastAsia" w:ascii="宋体" w:hAnsi="宋体" w:eastAsia="宋体" w:cs="宋体"/>
                <w:b w:val="0"/>
                <w:bCs w:val="0"/>
                <w:i w:val="0"/>
                <w:iCs w:val="0"/>
                <w:color w:val="000000"/>
                <w:kern w:val="0"/>
                <w:sz w:val="24"/>
                <w:szCs w:val="24"/>
                <w:highlight w:val="none"/>
                <w:u w:val="none"/>
                <w:lang w:val="en-US" w:eastAsia="zh-CN" w:bidi="ar"/>
              </w:rPr>
              <w:t>54</w:t>
            </w:r>
          </w:p>
        </w:tc>
        <w:tc>
          <w:tcPr>
            <w:tcW w:w="1139" w:type="pct"/>
            <w:vMerge w:val="restart"/>
            <w:tcBorders>
              <w:top w:val="single" w:color="000000" w:sz="4" w:space="0"/>
              <w:left w:val="single" w:color="000000" w:sz="4" w:space="0"/>
              <w:bottom w:val="single" w:color="000000" w:sz="4" w:space="0"/>
              <w:right w:val="single" w:color="000000" w:sz="4" w:space="0"/>
            </w:tcBorders>
            <w:noWrap w:val="0"/>
            <w:vAlign w:val="center"/>
          </w:tcPr>
          <w:p w14:paraId="2BF2715D">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BCR::ABL1定性筛查（适用初诊）</w:t>
            </w:r>
          </w:p>
        </w:tc>
        <w:tc>
          <w:tcPr>
            <w:tcW w:w="538" w:type="pct"/>
            <w:vMerge w:val="restart"/>
            <w:tcBorders>
              <w:top w:val="single" w:color="000000" w:sz="4" w:space="0"/>
              <w:left w:val="single" w:color="000000" w:sz="4" w:space="0"/>
              <w:bottom w:val="single" w:color="000000" w:sz="4" w:space="0"/>
              <w:right w:val="single" w:color="000000" w:sz="4" w:space="0"/>
            </w:tcBorders>
            <w:noWrap w:val="0"/>
            <w:vAlign w:val="center"/>
          </w:tcPr>
          <w:p w14:paraId="720BEC71">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highlight w:val="none"/>
                <w:u w:val="none"/>
                <w:lang w:val="en-US" w:eastAsia="zh-CN"/>
              </w:rPr>
            </w:pPr>
            <w:r>
              <w:rPr>
                <w:rFonts w:hint="eastAsia" w:ascii="宋体" w:hAnsi="宋体" w:eastAsia="宋体" w:cs="宋体"/>
                <w:b w:val="0"/>
                <w:bCs w:val="0"/>
                <w:i w:val="0"/>
                <w:iCs w:val="0"/>
                <w:color w:val="000000"/>
                <w:kern w:val="0"/>
                <w:sz w:val="24"/>
                <w:szCs w:val="24"/>
                <w:highlight w:val="none"/>
                <w:u w:val="none"/>
                <w:lang w:val="en-US" w:eastAsia="zh-CN"/>
              </w:rPr>
              <w:t>580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0F01E930">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PCR</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2D38D6FE">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标准收费，定性判断是否有此融合基因。</w:t>
            </w:r>
          </w:p>
        </w:tc>
        <w:tc>
          <w:tcPr>
            <w:tcW w:w="672" w:type="pct"/>
            <w:vMerge w:val="restart"/>
            <w:tcBorders>
              <w:top w:val="single" w:color="000000" w:sz="4" w:space="0"/>
              <w:left w:val="single" w:color="000000" w:sz="4" w:space="0"/>
              <w:bottom w:val="single" w:color="000000" w:sz="4" w:space="0"/>
              <w:right w:val="single" w:color="000000" w:sz="4" w:space="0"/>
            </w:tcBorders>
            <w:noWrap w:val="0"/>
            <w:vAlign w:val="center"/>
          </w:tcPr>
          <w:p w14:paraId="4612AA18">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5个工作日</w:t>
            </w:r>
          </w:p>
        </w:tc>
      </w:tr>
      <w:tr w14:paraId="12BEE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3" w:hRule="atLeast"/>
          <w:jc w:val="center"/>
        </w:trPr>
        <w:tc>
          <w:tcPr>
            <w:tcW w:w="39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4EFAAA">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lang w:val="en-US" w:eastAsia="zh-CN" w:bidi="ar-SA"/>
              </w:rPr>
            </w:pPr>
          </w:p>
        </w:tc>
        <w:tc>
          <w:tcPr>
            <w:tcW w:w="113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65F36D">
            <w:pPr>
              <w:spacing w:line="240" w:lineRule="auto"/>
              <w:jc w:val="center"/>
              <w:rPr>
                <w:rFonts w:hint="eastAsia" w:ascii="宋体" w:hAnsi="宋体" w:eastAsia="宋体" w:cs="宋体"/>
                <w:b w:val="0"/>
                <w:bCs w:val="0"/>
                <w:i w:val="0"/>
                <w:iCs w:val="0"/>
                <w:color w:val="000000"/>
                <w:kern w:val="0"/>
                <w:sz w:val="24"/>
                <w:szCs w:val="24"/>
                <w:highlight w:val="yellow"/>
                <w:u w:val="none"/>
              </w:rPr>
            </w:pPr>
          </w:p>
        </w:tc>
        <w:tc>
          <w:tcPr>
            <w:tcW w:w="5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A78EFD">
            <w:pPr>
              <w:spacing w:line="240" w:lineRule="auto"/>
              <w:jc w:val="center"/>
              <w:rPr>
                <w:rFonts w:hint="eastAsia" w:ascii="宋体" w:hAnsi="宋体" w:eastAsia="宋体" w:cs="宋体"/>
                <w:b w:val="0"/>
                <w:bCs w:val="0"/>
                <w:i w:val="0"/>
                <w:iCs w:val="0"/>
                <w:color w:val="000000"/>
                <w:kern w:val="0"/>
                <w:sz w:val="24"/>
                <w:szCs w:val="24"/>
                <w:highlight w:val="yellow"/>
                <w:u w:val="none"/>
              </w:rPr>
            </w:pP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2626E768">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测序</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2F2962F2">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标准收费，通过测序确定具体亚型，并于后续监测。</w:t>
            </w:r>
          </w:p>
        </w:tc>
        <w:tc>
          <w:tcPr>
            <w:tcW w:w="67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BD9544">
            <w:pPr>
              <w:spacing w:line="240" w:lineRule="auto"/>
              <w:jc w:val="center"/>
              <w:rPr>
                <w:rFonts w:hint="eastAsia" w:ascii="宋体" w:hAnsi="宋体" w:eastAsia="宋体" w:cs="宋体"/>
                <w:b w:val="0"/>
                <w:bCs w:val="0"/>
                <w:i w:val="0"/>
                <w:iCs w:val="0"/>
                <w:color w:val="000000"/>
                <w:kern w:val="0"/>
                <w:sz w:val="24"/>
                <w:szCs w:val="24"/>
                <w:highlight w:val="yellow"/>
                <w:u w:val="none"/>
              </w:rPr>
            </w:pPr>
          </w:p>
        </w:tc>
      </w:tr>
      <w:tr w14:paraId="4BBC7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5D8CEB80">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55</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0EE943B9">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各种融合基因</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4915D3E2">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highlight w:val="none"/>
                <w:u w:val="none"/>
                <w:lang w:val="en-US" w:eastAsia="zh-CN"/>
              </w:rPr>
            </w:pPr>
            <w:r>
              <w:rPr>
                <w:rFonts w:hint="eastAsia" w:ascii="宋体" w:hAnsi="宋体" w:eastAsia="宋体" w:cs="宋体"/>
                <w:b w:val="0"/>
                <w:bCs w:val="0"/>
                <w:i w:val="0"/>
                <w:iCs w:val="0"/>
                <w:color w:val="000000"/>
                <w:kern w:val="0"/>
                <w:sz w:val="24"/>
                <w:szCs w:val="24"/>
                <w:highlight w:val="none"/>
                <w:u w:val="none"/>
                <w:lang w:val="en-US" w:eastAsia="zh-CN"/>
              </w:rPr>
              <w:t>400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0FD8C84F">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PCR</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281B8EC5">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检测相应融合基因及ABL基因，然后通过这两个结果计算一个值，计算结果不收费。</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45E6F51B">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5个工作日</w:t>
            </w:r>
          </w:p>
        </w:tc>
      </w:tr>
      <w:tr w14:paraId="76E88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7"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38BF1965">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56</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45E15DCC">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BCR::ABL P190融合基因（定量）</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7E192DFC">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highlight w:val="none"/>
                <w:u w:val="none"/>
                <w:lang w:val="en-US" w:eastAsia="zh-CN"/>
              </w:rPr>
            </w:pPr>
            <w:r>
              <w:rPr>
                <w:rFonts w:hint="eastAsia" w:ascii="宋体" w:hAnsi="宋体" w:eastAsia="宋体" w:cs="宋体"/>
                <w:b w:val="0"/>
                <w:bCs w:val="0"/>
                <w:i w:val="0"/>
                <w:iCs w:val="0"/>
                <w:color w:val="000000"/>
                <w:kern w:val="0"/>
                <w:sz w:val="24"/>
                <w:szCs w:val="24"/>
                <w:highlight w:val="none"/>
                <w:u w:val="none"/>
                <w:lang w:val="en-US" w:eastAsia="zh-CN"/>
              </w:rPr>
              <w:t>400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6707E845">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PCR</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006E370E">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检测相应融合基因及ABL基因，然后通过这两个结果计算一个值，计算结果不收费。</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5562B0D0">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5个工作日</w:t>
            </w:r>
          </w:p>
        </w:tc>
      </w:tr>
      <w:tr w14:paraId="03A21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2"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1F4FB055">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57</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0F1E8DEA">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BCR::ABL P210融合基因（定量）</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79F939B5">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highlight w:val="none"/>
                <w:u w:val="none"/>
                <w:lang w:val="en-US" w:eastAsia="zh-CN"/>
              </w:rPr>
            </w:pPr>
            <w:r>
              <w:rPr>
                <w:rFonts w:hint="eastAsia" w:ascii="宋体" w:hAnsi="宋体" w:eastAsia="宋体" w:cs="宋体"/>
                <w:b w:val="0"/>
                <w:bCs w:val="0"/>
                <w:i w:val="0"/>
                <w:iCs w:val="0"/>
                <w:color w:val="000000"/>
                <w:kern w:val="0"/>
                <w:sz w:val="24"/>
                <w:szCs w:val="24"/>
                <w:highlight w:val="none"/>
                <w:u w:val="none"/>
                <w:lang w:val="en-US" w:eastAsia="zh-CN"/>
              </w:rPr>
              <w:t>400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3317ED9F">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PCR</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39DD8E18">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检测相应融合基因及ABL基因，然后通过这两个结果计算一个值，计算结果不收费。</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4CC4BEFE">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5个工作日</w:t>
            </w:r>
          </w:p>
        </w:tc>
      </w:tr>
      <w:tr w14:paraId="4F39D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9"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2CD8467B">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58</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330B4D86">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BCR::ABL P230融合基因（定量）</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59D65B26">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highlight w:val="none"/>
                <w:u w:val="none"/>
                <w:lang w:val="en-US" w:eastAsia="zh-CN"/>
              </w:rPr>
            </w:pPr>
            <w:r>
              <w:rPr>
                <w:rFonts w:hint="eastAsia" w:ascii="宋体" w:hAnsi="宋体" w:eastAsia="宋体" w:cs="宋体"/>
                <w:b w:val="0"/>
                <w:bCs w:val="0"/>
                <w:i w:val="0"/>
                <w:iCs w:val="0"/>
                <w:color w:val="000000"/>
                <w:kern w:val="0"/>
                <w:sz w:val="24"/>
                <w:szCs w:val="24"/>
                <w:highlight w:val="none"/>
                <w:u w:val="none"/>
                <w:lang w:val="en-US" w:eastAsia="zh-CN"/>
              </w:rPr>
              <w:t>400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4315F194">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PCR</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3F7AB238">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检测相应融合基因及ABL基因，然后通过这两个结果计算一个值，计算结果不收费。</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68E06C56">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5个工作日</w:t>
            </w:r>
          </w:p>
        </w:tc>
      </w:tr>
      <w:tr w14:paraId="3A4D4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3"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5E9DC9B8">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59</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3065227D">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PML::RARa分型定量</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4014286C">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highlight w:val="none"/>
                <w:u w:val="none"/>
                <w:lang w:val="en-US" w:eastAsia="zh-CN"/>
              </w:rPr>
            </w:pPr>
            <w:r>
              <w:rPr>
                <w:rFonts w:hint="eastAsia" w:ascii="宋体" w:hAnsi="宋体" w:eastAsia="宋体" w:cs="宋体"/>
                <w:b w:val="0"/>
                <w:bCs w:val="0"/>
                <w:i w:val="0"/>
                <w:iCs w:val="0"/>
                <w:color w:val="000000"/>
                <w:kern w:val="0"/>
                <w:sz w:val="24"/>
                <w:szCs w:val="24"/>
                <w:highlight w:val="none"/>
                <w:u w:val="none"/>
                <w:lang w:val="en-US" w:eastAsia="zh-CN"/>
              </w:rPr>
              <w:t>400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0A81A3AA">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PCR</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0A10D9EB">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检测相应融合基因及ABL基因，然后通过这两个结果计算一个值，计算结果不收费。</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2EEE155D">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5个工作日</w:t>
            </w:r>
          </w:p>
        </w:tc>
      </w:tr>
      <w:tr w14:paraId="41AE0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2CD6BB56">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60</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11F2D8A6">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JAK2V617F基因突变定量</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66AD79E1">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highlight w:val="none"/>
                <w:u w:val="none"/>
                <w:lang w:val="en-US"/>
              </w:rPr>
            </w:pPr>
            <w:r>
              <w:rPr>
                <w:rFonts w:hint="eastAsia" w:ascii="宋体" w:hAnsi="宋体" w:eastAsia="宋体" w:cs="宋体"/>
                <w:b w:val="0"/>
                <w:bCs w:val="0"/>
                <w:i w:val="0"/>
                <w:iCs w:val="0"/>
                <w:color w:val="000000"/>
                <w:kern w:val="0"/>
                <w:sz w:val="24"/>
                <w:szCs w:val="24"/>
                <w:highlight w:val="none"/>
                <w:u w:val="none"/>
                <w:lang w:val="en-US" w:eastAsia="zh-CN" w:bidi="ar"/>
              </w:rPr>
              <w:t>400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7FA8E71F">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PCR</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67DC071F">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检测相应融合基因及ABL基因，然后通过这两个结果计算一个值。</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78866A23">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5个工作日</w:t>
            </w:r>
          </w:p>
        </w:tc>
      </w:tr>
      <w:tr w14:paraId="4DF57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7"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34F98248">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61</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3069C2B6">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MYD88-L265P基因突变定量</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282A138B">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highlight w:val="none"/>
                <w:u w:val="none"/>
                <w:lang w:val="en-US"/>
              </w:rPr>
            </w:pPr>
            <w:r>
              <w:rPr>
                <w:rFonts w:hint="eastAsia" w:ascii="宋体" w:hAnsi="宋体" w:eastAsia="宋体" w:cs="宋体"/>
                <w:b w:val="0"/>
                <w:bCs w:val="0"/>
                <w:i w:val="0"/>
                <w:iCs w:val="0"/>
                <w:color w:val="000000"/>
                <w:kern w:val="0"/>
                <w:sz w:val="24"/>
                <w:szCs w:val="24"/>
                <w:highlight w:val="none"/>
                <w:u w:val="none"/>
                <w:lang w:val="en-US" w:eastAsia="zh-CN" w:bidi="ar"/>
              </w:rPr>
              <w:t>400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244C37AD">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PCR</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293C2BFC">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检测相应融合基因及ABL基因，然后通过这两个结果计算一个值。</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3CDB0C2A">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5个工作日</w:t>
            </w:r>
          </w:p>
        </w:tc>
      </w:tr>
      <w:tr w14:paraId="19BD5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5D45B027">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62</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00BC5A8C">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kit-D816V基因突变定量</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3EB3E691">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highlight w:val="none"/>
                <w:u w:val="none"/>
                <w:lang w:val="en-US"/>
              </w:rPr>
            </w:pPr>
            <w:r>
              <w:rPr>
                <w:rFonts w:hint="eastAsia" w:ascii="宋体" w:hAnsi="宋体" w:eastAsia="宋体" w:cs="宋体"/>
                <w:b w:val="0"/>
                <w:bCs w:val="0"/>
                <w:i w:val="0"/>
                <w:iCs w:val="0"/>
                <w:color w:val="000000"/>
                <w:kern w:val="0"/>
                <w:sz w:val="24"/>
                <w:szCs w:val="24"/>
                <w:highlight w:val="none"/>
                <w:u w:val="none"/>
                <w:lang w:val="en-US" w:eastAsia="zh-CN" w:bidi="ar"/>
              </w:rPr>
              <w:t>400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3E45A51E">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PCR</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7793DFFD">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检测相应融合基因及ABL基因，然后通过这两个结果计算一个值。</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60A4958A">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5个工作日</w:t>
            </w:r>
          </w:p>
        </w:tc>
      </w:tr>
      <w:tr w14:paraId="1B699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8"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2330CF5E">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63</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34FC6886">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IKZF1-IK6基因突变定量</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208657E1">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highlight w:val="none"/>
                <w:u w:val="none"/>
                <w:lang w:val="en-US"/>
              </w:rPr>
            </w:pPr>
            <w:r>
              <w:rPr>
                <w:rFonts w:hint="eastAsia" w:ascii="宋体" w:hAnsi="宋体" w:eastAsia="宋体" w:cs="宋体"/>
                <w:b w:val="0"/>
                <w:bCs w:val="0"/>
                <w:i w:val="0"/>
                <w:iCs w:val="0"/>
                <w:color w:val="000000"/>
                <w:kern w:val="0"/>
                <w:sz w:val="24"/>
                <w:szCs w:val="24"/>
                <w:highlight w:val="none"/>
                <w:u w:val="none"/>
                <w:lang w:val="en-US" w:eastAsia="zh-CN" w:bidi="ar"/>
              </w:rPr>
              <w:t>400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5E7541EC">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PCR</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1266B9D8">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检测相应融合基因及ABL基因，然后通过这两个结果计算一个值。</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56E01DE9">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5个工作日</w:t>
            </w:r>
          </w:p>
        </w:tc>
      </w:tr>
      <w:tr w14:paraId="402C8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5"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00CC5DC9">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u w:val="none"/>
                <w:lang w:val="en-US" w:eastAsia="zh-CN" w:bidi="ar-SA"/>
              </w:rPr>
            </w:pPr>
            <w:r>
              <w:rPr>
                <w:rFonts w:hint="eastAsia" w:ascii="宋体" w:hAnsi="宋体" w:eastAsia="宋体" w:cs="宋体"/>
                <w:b w:val="0"/>
                <w:bCs w:val="0"/>
                <w:i w:val="0"/>
                <w:iCs w:val="0"/>
                <w:color w:val="000000"/>
                <w:kern w:val="0"/>
                <w:sz w:val="24"/>
                <w:szCs w:val="24"/>
                <w:u w:val="none"/>
                <w:lang w:val="en-US" w:eastAsia="zh-CN" w:bidi="ar"/>
              </w:rPr>
              <w:t>64</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3E063AAD">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NPM1基因突变定量</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2BC10D03">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highlight w:val="none"/>
                <w:u w:val="none"/>
                <w:lang w:val="en-US"/>
              </w:rPr>
            </w:pPr>
            <w:r>
              <w:rPr>
                <w:rFonts w:hint="eastAsia" w:ascii="宋体" w:hAnsi="宋体" w:eastAsia="宋体" w:cs="宋体"/>
                <w:b w:val="0"/>
                <w:bCs w:val="0"/>
                <w:i w:val="0"/>
                <w:iCs w:val="0"/>
                <w:color w:val="000000"/>
                <w:kern w:val="0"/>
                <w:sz w:val="24"/>
                <w:szCs w:val="24"/>
                <w:highlight w:val="none"/>
                <w:u w:val="none"/>
                <w:lang w:val="en-US" w:eastAsia="zh-CN" w:bidi="ar"/>
              </w:rPr>
              <w:t>400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57E4D6D9">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PCR</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78CE4E9E">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检测相应融合基因及ABL基因，然后通过这两个结果计算一个值。</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63C85579">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5个工作日</w:t>
            </w:r>
          </w:p>
        </w:tc>
      </w:tr>
      <w:tr w14:paraId="2980F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0" w:hRule="atLeast"/>
          <w:jc w:val="center"/>
        </w:trPr>
        <w:tc>
          <w:tcPr>
            <w:tcW w:w="39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67A759">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u w:val="none"/>
                <w:lang w:val="en-US" w:eastAsia="zh-CN" w:bidi="ar-SA"/>
              </w:rPr>
            </w:pPr>
            <w:r>
              <w:rPr>
                <w:rFonts w:hint="eastAsia" w:ascii="宋体" w:hAnsi="宋体" w:eastAsia="宋体" w:cs="宋体"/>
                <w:b w:val="0"/>
                <w:bCs w:val="0"/>
                <w:i w:val="0"/>
                <w:iCs w:val="0"/>
                <w:color w:val="000000"/>
                <w:kern w:val="0"/>
                <w:sz w:val="24"/>
                <w:szCs w:val="24"/>
                <w:u w:val="none"/>
                <w:lang w:val="en-US" w:eastAsia="zh-CN" w:bidi="ar"/>
              </w:rPr>
              <w:t>65</w:t>
            </w:r>
          </w:p>
        </w:tc>
        <w:tc>
          <w:tcPr>
            <w:tcW w:w="11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316692">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血液系统肿瘤待定免疫分型</w:t>
            </w:r>
          </w:p>
        </w:tc>
        <w:tc>
          <w:tcPr>
            <w:tcW w:w="5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BA9298">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2160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11FFC144">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流式细胞术</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57C93F09">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通过检测骨髓细胞表面如下26个抗原表达情况，对疾病进行诊断和分型，具体指标如下：CD7、CD20、CD13、CD123、CD33、CD117、CD34、CD38、CD10、HLA-DR、CD45、CD14、TRBC1、γδ-TCR、CD64、CD11b、CD8、CD3、CD57、cKAPPA、cLAMBDA、CD5、CD19、CD138、CD81、CD56。如有加做，按照80/项收费。</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52FFEC53">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2个工作日</w:t>
            </w:r>
          </w:p>
        </w:tc>
      </w:tr>
      <w:tr w14:paraId="33856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7"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6A1355FE">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u w:val="none"/>
                <w:lang w:val="en-US" w:eastAsia="zh-CN" w:bidi="ar-SA"/>
              </w:rPr>
            </w:pPr>
            <w:r>
              <w:rPr>
                <w:rFonts w:hint="eastAsia" w:ascii="宋体" w:hAnsi="宋体" w:eastAsia="宋体" w:cs="宋体"/>
                <w:b w:val="0"/>
                <w:bCs w:val="0"/>
                <w:i w:val="0"/>
                <w:iCs w:val="0"/>
                <w:color w:val="000000"/>
                <w:kern w:val="0"/>
                <w:sz w:val="24"/>
                <w:szCs w:val="24"/>
                <w:u w:val="none"/>
                <w:lang w:val="en-US" w:eastAsia="zh-CN" w:bidi="ar"/>
              </w:rPr>
              <w:t>66</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38C9E1BD">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血液系统肿瘤免疫分型大筛查</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42D65440">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2480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49EE6FAE">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流式细胞术</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1F59DCB2">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通过检测骨髓细胞表面如下31个抗原表达情况，对疾病进行诊断和分型，具体指标如下CD7、CD20、CD1 9、CD123、CD33、CD117、CD34、CD38、CD10、HLA-DR、CD45、CD36、CD13、CD64、CD11b、CD56、CD16、CD14、CD15、TRBC1、γδ-TCR、CD4、CD3、CD8、CD57、cKAPPA、cLAMBDA、CD5、CD19、CD138、CD81</w:t>
            </w:r>
            <w:r>
              <w:rPr>
                <w:rFonts w:hint="eastAsia" w:ascii="宋体" w:hAnsi="宋体" w:eastAsia="宋体" w:cs="宋体"/>
                <w:b w:val="0"/>
                <w:bCs w:val="0"/>
                <w:i w:val="0"/>
                <w:iCs w:val="0"/>
                <w:color w:val="000000"/>
                <w:kern w:val="0"/>
                <w:sz w:val="24"/>
                <w:szCs w:val="24"/>
                <w:u w:val="none"/>
                <w:lang w:val="en-US" w:eastAsia="zh-CN" w:bidi="ar"/>
              </w:rPr>
              <w:br w:type="textWrapping"/>
            </w:r>
            <w:r>
              <w:rPr>
                <w:rFonts w:hint="eastAsia" w:ascii="宋体" w:hAnsi="宋体" w:eastAsia="宋体" w:cs="宋体"/>
                <w:b w:val="0"/>
                <w:bCs w:val="0"/>
                <w:i w:val="0"/>
                <w:iCs w:val="0"/>
                <w:color w:val="000000"/>
                <w:kern w:val="0"/>
                <w:sz w:val="24"/>
                <w:szCs w:val="24"/>
                <w:u w:val="none"/>
                <w:lang w:val="en-US" w:eastAsia="zh-CN" w:bidi="ar"/>
              </w:rPr>
              <w:t>。如有加做，按照80/项收费。</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73E907E5">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2个工作日</w:t>
            </w:r>
          </w:p>
        </w:tc>
      </w:tr>
      <w:tr w14:paraId="34796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0" w:hRule="atLeast"/>
          <w:jc w:val="center"/>
        </w:trPr>
        <w:tc>
          <w:tcPr>
            <w:tcW w:w="39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B20AAA">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u w:val="none"/>
                <w:lang w:val="en-US" w:eastAsia="zh-CN" w:bidi="ar-SA"/>
              </w:rPr>
            </w:pPr>
            <w:r>
              <w:rPr>
                <w:rFonts w:hint="eastAsia" w:ascii="宋体" w:hAnsi="宋体" w:eastAsia="宋体" w:cs="宋体"/>
                <w:b w:val="0"/>
                <w:bCs w:val="0"/>
                <w:i w:val="0"/>
                <w:iCs w:val="0"/>
                <w:color w:val="000000"/>
                <w:kern w:val="0"/>
                <w:sz w:val="24"/>
                <w:szCs w:val="24"/>
                <w:u w:val="none"/>
                <w:lang w:val="en-US" w:eastAsia="zh-CN" w:bidi="ar"/>
              </w:rPr>
              <w:t>67</w:t>
            </w:r>
          </w:p>
        </w:tc>
        <w:tc>
          <w:tcPr>
            <w:tcW w:w="11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03F534">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免疫分型-急性白血病</w:t>
            </w:r>
          </w:p>
        </w:tc>
        <w:tc>
          <w:tcPr>
            <w:tcW w:w="5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A28319">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2000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0A268B08">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流式细胞术</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64F3E8D5">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通过检测骨髓细胞表面如下25个抗原表达情况，对疾病进行诊断和分型，具体指标如下：CD7、CD20、CD19、CD123、CD33、CD117、CD34、CD38、CD10、HLA-DR、CD45、CD36、CD13、CD64、CD11B、CD56、CD16、CD14、CD15、TDT、CD22、mCD3、MPO、cCD79a、cCD3，后续需要更精细的分型，需要加做，如加做，按照80/项收费。</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47F98B07">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2个工作日</w:t>
            </w:r>
          </w:p>
        </w:tc>
      </w:tr>
      <w:tr w14:paraId="6304B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7"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5B7F2B69">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u w:val="none"/>
                <w:lang w:val="en-US" w:eastAsia="zh-CN"/>
              </w:rPr>
            </w:pPr>
            <w:r>
              <w:rPr>
                <w:rFonts w:hint="eastAsia" w:ascii="宋体" w:hAnsi="宋体" w:eastAsia="宋体" w:cs="宋体"/>
                <w:b w:val="0"/>
                <w:bCs w:val="0"/>
                <w:i w:val="0"/>
                <w:iCs w:val="0"/>
                <w:color w:val="000000"/>
                <w:kern w:val="0"/>
                <w:sz w:val="24"/>
                <w:szCs w:val="24"/>
                <w:u w:val="none"/>
                <w:lang w:val="en-US" w:eastAsia="zh-CN"/>
              </w:rPr>
              <w:t>68</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673E781B">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免疫分型-慢淋与淋巴瘤</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6529E11E">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1600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027C0306">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流式细胞术</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168C514F">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通过检测骨髓细胞表面如下20个抗原表达情况，对疾病进行诊断和分型，具体指标如下：先做CD4、KAPPA、LAMBDA、CD38、CD5、CD19、CD20、CD56、CD3、CD10、CD57、CD45，然后根据情况加做，如怀疑B细胞肿瘤，继续加抗体：FMC-7、CD22、CD79B、CD23、CD11C、CD200、CD103。如需加做，按照80/项收费。</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6312325B">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2个工作日</w:t>
            </w:r>
          </w:p>
        </w:tc>
      </w:tr>
      <w:tr w14:paraId="57A9B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5"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5D825D94">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u w:val="none"/>
                <w:lang w:val="en-US" w:eastAsia="zh-CN" w:bidi="ar-SA"/>
              </w:rPr>
            </w:pPr>
            <w:r>
              <w:rPr>
                <w:rFonts w:hint="eastAsia" w:ascii="宋体" w:hAnsi="宋体" w:eastAsia="宋体" w:cs="宋体"/>
                <w:b w:val="0"/>
                <w:bCs w:val="0"/>
                <w:i w:val="0"/>
                <w:iCs w:val="0"/>
                <w:color w:val="000000"/>
                <w:kern w:val="0"/>
                <w:sz w:val="24"/>
                <w:szCs w:val="24"/>
                <w:u w:val="none"/>
                <w:lang w:val="en-US" w:eastAsia="zh-CN" w:bidi="ar"/>
              </w:rPr>
              <w:t>69</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7AB774A0">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免疫分型-大颗粒淋巴细胞白血病</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3744FCB2">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800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21742444">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流式细胞术</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3CC24700">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通过检测骨髓细胞表面如下10个抗原表达情况，对疾病进行诊断和分型，具体指标如下：TRBC1/CD7/CD3/CD2/CD56/CD8/CD57/CD45/CD4/CD5，如有加做，按照80/项收费。</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429D31C2">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2个工作日</w:t>
            </w:r>
          </w:p>
        </w:tc>
      </w:tr>
      <w:tr w14:paraId="4A8E6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13"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2D6D0D5D">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u w:val="none"/>
                <w:lang w:val="en-US" w:eastAsia="zh-CN" w:bidi="ar-SA"/>
              </w:rPr>
            </w:pPr>
            <w:r>
              <w:rPr>
                <w:rFonts w:hint="eastAsia" w:ascii="宋体" w:hAnsi="宋体" w:eastAsia="宋体" w:cs="宋体"/>
                <w:b w:val="0"/>
                <w:bCs w:val="0"/>
                <w:i w:val="0"/>
                <w:iCs w:val="0"/>
                <w:color w:val="000000"/>
                <w:kern w:val="0"/>
                <w:sz w:val="24"/>
                <w:szCs w:val="24"/>
                <w:u w:val="none"/>
                <w:lang w:val="en-US" w:eastAsia="zh-CN" w:bidi="ar"/>
              </w:rPr>
              <w:t>70</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616CCF51">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免疫分型-MDS/MPN</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77FA8CBD">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2160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7D330279">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流式细胞术</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5AFC876C">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通过检测骨髓细胞表面如下27个抗原表达情况，对疾病进行诊断和分型：CD7、CD20、CD19、CD123、CD33、CD117、CD34、CD38、CD10、HLA-DR、CD45、CD36、CD13、CD64、CD11B、CD56、CD16、CD14、CD15、CD4、KAPPA、CD8、LAMBA、CD3、CD5、CD57、CD2，，如有加做，按照80/项收费。</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70C14A22">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2个工作日</w:t>
            </w:r>
          </w:p>
        </w:tc>
      </w:tr>
      <w:tr w14:paraId="1F6BC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8"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1B27CB88">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u w:val="none"/>
                <w:lang w:val="en-US" w:eastAsia="zh-CN" w:bidi="ar-SA"/>
              </w:rPr>
            </w:pPr>
            <w:r>
              <w:rPr>
                <w:rFonts w:hint="eastAsia" w:ascii="宋体" w:hAnsi="宋体" w:eastAsia="宋体" w:cs="宋体"/>
                <w:b w:val="0"/>
                <w:bCs w:val="0"/>
                <w:i w:val="0"/>
                <w:iCs w:val="0"/>
                <w:color w:val="000000"/>
                <w:kern w:val="0"/>
                <w:sz w:val="24"/>
                <w:szCs w:val="24"/>
                <w:u w:val="none"/>
                <w:lang w:val="en-US" w:eastAsia="zh-CN" w:bidi="ar"/>
              </w:rPr>
              <w:t>71</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6F0D077D">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免疫分型-MM</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2A22B29B">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800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323A5EA1">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流式细胞术</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4555F080">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通过检测骨髓细胞表面如下10个抗原表达情况，对疾病进行诊断和分型：：Kappa、Lambda、CD19、CD56、CD117、CD138、CD81、CD27、CD38、CD45，如有加做，按照80/项收费。</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214BBB2D">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2个工作日</w:t>
            </w:r>
          </w:p>
        </w:tc>
      </w:tr>
      <w:tr w14:paraId="6EDE2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8"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6A1D4C05">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u w:val="none"/>
                <w:lang w:val="en-US" w:eastAsia="zh-CN" w:bidi="ar-SA"/>
              </w:rPr>
            </w:pPr>
            <w:r>
              <w:rPr>
                <w:rFonts w:hint="eastAsia" w:ascii="宋体" w:hAnsi="宋体" w:eastAsia="宋体" w:cs="宋体"/>
                <w:b w:val="0"/>
                <w:bCs w:val="0"/>
                <w:i w:val="0"/>
                <w:iCs w:val="0"/>
                <w:color w:val="000000"/>
                <w:kern w:val="0"/>
                <w:sz w:val="24"/>
                <w:szCs w:val="24"/>
                <w:u w:val="none"/>
                <w:lang w:val="en-US" w:eastAsia="zh-CN" w:bidi="ar"/>
              </w:rPr>
              <w:t>72</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57763A15">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微小残留病检测MRD</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1CB7784C">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800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6B0B0215">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流式细胞术</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2E70B629">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套餐根据中包含检测抗体10个，如B-ALL：CD123，CD13，CD33，CD22，CD20，CD10，CD38，CD34，CD19，CD45，如有加做，按照80/项收费。</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7B33F39D">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2个工作日</w:t>
            </w:r>
          </w:p>
        </w:tc>
      </w:tr>
      <w:tr w14:paraId="4409A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3"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07DFB1A8">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73</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14794EC6">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阵发性血红蛋白尿(PNH)筛查</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2DC54405">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240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5C60AC02">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流式细胞术</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586B5768">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检测CD59、CD157、CD45、FLAER，收3个抗体费用。</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0EF108E9">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2个工作日</w:t>
            </w:r>
          </w:p>
        </w:tc>
      </w:tr>
      <w:tr w14:paraId="20238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16"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3888A4E1">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u w:val="none"/>
                <w:lang w:val="en-US" w:eastAsia="zh-CN" w:bidi="ar-SA"/>
              </w:rPr>
            </w:pPr>
            <w:r>
              <w:rPr>
                <w:rFonts w:hint="eastAsia" w:ascii="宋体" w:hAnsi="宋体" w:eastAsia="宋体" w:cs="宋体"/>
                <w:b w:val="0"/>
                <w:bCs w:val="0"/>
                <w:i w:val="0"/>
                <w:iCs w:val="0"/>
                <w:color w:val="000000"/>
                <w:kern w:val="0"/>
                <w:sz w:val="24"/>
                <w:szCs w:val="24"/>
                <w:u w:val="none"/>
                <w:lang w:val="en-US" w:eastAsia="zh-CN" w:bidi="ar"/>
              </w:rPr>
              <w:t>74</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02657E10">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再障免疫功能检测</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7686EA99">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highlight w:val="none"/>
                <w:u w:val="none"/>
                <w:lang w:val="en-US"/>
              </w:rPr>
            </w:pPr>
            <w:r>
              <w:rPr>
                <w:rFonts w:hint="eastAsia" w:ascii="宋体" w:hAnsi="宋体" w:eastAsia="宋体" w:cs="宋体"/>
                <w:b w:val="0"/>
                <w:bCs w:val="0"/>
                <w:i w:val="0"/>
                <w:iCs w:val="0"/>
                <w:color w:val="000000"/>
                <w:kern w:val="0"/>
                <w:sz w:val="24"/>
                <w:szCs w:val="24"/>
                <w:highlight w:val="none"/>
                <w:u w:val="none"/>
                <w:lang w:val="en-US" w:eastAsia="zh-CN" w:bidi="ar"/>
              </w:rPr>
              <w:t>390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5E164905">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流式细胞术</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07407FE2">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套餐中包含检测CD3+/CD3+ CD4+/CD3+ CD8+/CD3-CD16+CD56+/CD3+ CD25+/CD3+ CD69+/CD3- CD19+/CD4+ CD127± CD25+,8种淋巴细胞亚群。</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30B7FD99">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2个工作日</w:t>
            </w:r>
          </w:p>
        </w:tc>
      </w:tr>
      <w:tr w14:paraId="263BA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8"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578E762D">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u w:val="none"/>
                <w:lang w:val="en-US"/>
              </w:rPr>
            </w:pPr>
            <w:r>
              <w:rPr>
                <w:rFonts w:hint="eastAsia" w:ascii="宋体" w:hAnsi="宋体" w:eastAsia="宋体" w:cs="宋体"/>
                <w:b w:val="0"/>
                <w:bCs w:val="0"/>
                <w:i w:val="0"/>
                <w:iCs w:val="0"/>
                <w:color w:val="000000"/>
                <w:kern w:val="0"/>
                <w:sz w:val="24"/>
                <w:szCs w:val="24"/>
                <w:u w:val="none"/>
                <w:lang w:val="en-US" w:eastAsia="zh-CN" w:bidi="ar"/>
              </w:rPr>
              <w:t>75</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3248E6A8">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干细胞相对计数</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24B84F6C">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80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6CB1D17E">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流式细胞术</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1DAC0795">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本检测包含：CD45+及CD45+CD34+两群细胞，并计算CD45+CD34+占CD45+细胞比例。</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2E0CAB07">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2个工作日</w:t>
            </w:r>
          </w:p>
        </w:tc>
      </w:tr>
      <w:tr w14:paraId="0C3B2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397" w:type="pct"/>
            <w:vMerge w:val="restart"/>
            <w:tcBorders>
              <w:top w:val="single" w:color="000000" w:sz="4" w:space="0"/>
              <w:left w:val="single" w:color="000000" w:sz="4" w:space="0"/>
              <w:bottom w:val="single" w:color="000000" w:sz="4" w:space="0"/>
              <w:right w:val="single" w:color="000000" w:sz="4" w:space="0"/>
            </w:tcBorders>
            <w:noWrap w:val="0"/>
            <w:vAlign w:val="center"/>
          </w:tcPr>
          <w:p w14:paraId="3E73741A">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u w:val="none"/>
                <w:lang w:val="en-US" w:eastAsia="zh-CN"/>
              </w:rPr>
            </w:pPr>
            <w:r>
              <w:rPr>
                <w:rFonts w:hint="eastAsia" w:ascii="宋体" w:hAnsi="宋体" w:eastAsia="宋体" w:cs="宋体"/>
                <w:b w:val="0"/>
                <w:bCs w:val="0"/>
                <w:i w:val="0"/>
                <w:iCs w:val="0"/>
                <w:color w:val="000000"/>
                <w:kern w:val="0"/>
                <w:sz w:val="24"/>
                <w:szCs w:val="24"/>
                <w:u w:val="none"/>
                <w:lang w:val="en-US" w:eastAsia="zh-CN"/>
              </w:rPr>
              <w:t>76</w:t>
            </w:r>
          </w:p>
        </w:tc>
        <w:tc>
          <w:tcPr>
            <w:tcW w:w="1139" w:type="pct"/>
            <w:vMerge w:val="restart"/>
            <w:tcBorders>
              <w:top w:val="single" w:color="000000" w:sz="4" w:space="0"/>
              <w:left w:val="single" w:color="000000" w:sz="4" w:space="0"/>
              <w:bottom w:val="single" w:color="000000" w:sz="4" w:space="0"/>
              <w:right w:val="single" w:color="000000" w:sz="4" w:space="0"/>
            </w:tcBorders>
            <w:noWrap w:val="0"/>
            <w:vAlign w:val="center"/>
          </w:tcPr>
          <w:p w14:paraId="4C44CA82">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ITP（网织血小板+血小板相关抗体）</w:t>
            </w:r>
          </w:p>
        </w:tc>
        <w:tc>
          <w:tcPr>
            <w:tcW w:w="538" w:type="pct"/>
            <w:vMerge w:val="restart"/>
            <w:tcBorders>
              <w:top w:val="single" w:color="000000" w:sz="4" w:space="0"/>
              <w:left w:val="single" w:color="000000" w:sz="4" w:space="0"/>
              <w:bottom w:val="single" w:color="000000" w:sz="4" w:space="0"/>
              <w:right w:val="single" w:color="000000" w:sz="4" w:space="0"/>
            </w:tcBorders>
            <w:noWrap w:val="0"/>
            <w:vAlign w:val="center"/>
          </w:tcPr>
          <w:p w14:paraId="5C166683">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280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325032DB">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流式细胞术</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1F7F78A6">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报告中PAIgG。</w:t>
            </w:r>
          </w:p>
        </w:tc>
        <w:tc>
          <w:tcPr>
            <w:tcW w:w="672" w:type="pct"/>
            <w:vMerge w:val="restart"/>
            <w:tcBorders>
              <w:top w:val="single" w:color="000000" w:sz="4" w:space="0"/>
              <w:left w:val="single" w:color="000000" w:sz="4" w:space="0"/>
              <w:bottom w:val="single" w:color="000000" w:sz="4" w:space="0"/>
              <w:right w:val="single" w:color="000000" w:sz="4" w:space="0"/>
            </w:tcBorders>
            <w:noWrap w:val="0"/>
            <w:vAlign w:val="center"/>
          </w:tcPr>
          <w:p w14:paraId="413BE5FE">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2个工作日</w:t>
            </w:r>
          </w:p>
        </w:tc>
      </w:tr>
      <w:tr w14:paraId="78BE3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0" w:hRule="atLeast"/>
          <w:jc w:val="center"/>
        </w:trPr>
        <w:tc>
          <w:tcPr>
            <w:tcW w:w="39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635E10">
            <w:pPr>
              <w:spacing w:line="240" w:lineRule="auto"/>
              <w:jc w:val="center"/>
              <w:rPr>
                <w:rFonts w:hint="eastAsia" w:ascii="宋体" w:hAnsi="宋体" w:eastAsia="宋体" w:cs="宋体"/>
                <w:b w:val="0"/>
                <w:bCs w:val="0"/>
                <w:i w:val="0"/>
                <w:iCs w:val="0"/>
                <w:color w:val="000000"/>
                <w:kern w:val="0"/>
                <w:sz w:val="24"/>
                <w:szCs w:val="24"/>
                <w:u w:val="none"/>
              </w:rPr>
            </w:pPr>
          </w:p>
        </w:tc>
        <w:tc>
          <w:tcPr>
            <w:tcW w:w="113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EB93E6">
            <w:pPr>
              <w:spacing w:line="240" w:lineRule="auto"/>
              <w:jc w:val="center"/>
              <w:rPr>
                <w:rFonts w:hint="eastAsia" w:ascii="宋体" w:hAnsi="宋体" w:eastAsia="宋体" w:cs="宋体"/>
                <w:b w:val="0"/>
                <w:bCs w:val="0"/>
                <w:i w:val="0"/>
                <w:iCs w:val="0"/>
                <w:color w:val="000000"/>
                <w:kern w:val="0"/>
                <w:sz w:val="24"/>
                <w:szCs w:val="24"/>
                <w:u w:val="none"/>
              </w:rPr>
            </w:pPr>
          </w:p>
        </w:tc>
        <w:tc>
          <w:tcPr>
            <w:tcW w:w="5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EA3193">
            <w:pPr>
              <w:spacing w:line="240" w:lineRule="auto"/>
              <w:jc w:val="center"/>
              <w:rPr>
                <w:rFonts w:hint="eastAsia" w:ascii="宋体" w:hAnsi="宋体" w:eastAsia="宋体" w:cs="宋体"/>
                <w:b w:val="0"/>
                <w:bCs w:val="0"/>
                <w:i w:val="0"/>
                <w:iCs w:val="0"/>
                <w:color w:val="000000"/>
                <w:kern w:val="0"/>
                <w:sz w:val="24"/>
                <w:szCs w:val="24"/>
                <w:u w:val="none"/>
              </w:rPr>
            </w:pP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0D2B5329">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流式细胞术</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541F6E64">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套餐中包含CD41/CD61/CD42b/GAH4项检测抗体。</w:t>
            </w:r>
          </w:p>
        </w:tc>
        <w:tc>
          <w:tcPr>
            <w:tcW w:w="67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77253A">
            <w:pPr>
              <w:spacing w:line="240" w:lineRule="auto"/>
              <w:jc w:val="center"/>
              <w:rPr>
                <w:rFonts w:hint="eastAsia" w:ascii="宋体" w:hAnsi="宋体" w:eastAsia="宋体" w:cs="宋体"/>
                <w:b w:val="0"/>
                <w:bCs w:val="0"/>
                <w:i w:val="0"/>
                <w:iCs w:val="0"/>
                <w:color w:val="000000"/>
                <w:kern w:val="0"/>
                <w:sz w:val="24"/>
                <w:szCs w:val="24"/>
                <w:u w:val="none"/>
              </w:rPr>
            </w:pPr>
          </w:p>
        </w:tc>
      </w:tr>
      <w:tr w14:paraId="562FC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2" w:hRule="atLeast"/>
          <w:jc w:val="center"/>
        </w:trPr>
        <w:tc>
          <w:tcPr>
            <w:tcW w:w="39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ED8A07">
            <w:pPr>
              <w:spacing w:line="240" w:lineRule="auto"/>
              <w:jc w:val="center"/>
              <w:rPr>
                <w:rFonts w:hint="eastAsia" w:ascii="宋体" w:hAnsi="宋体" w:eastAsia="宋体" w:cs="宋体"/>
                <w:b w:val="0"/>
                <w:bCs w:val="0"/>
                <w:i w:val="0"/>
                <w:iCs w:val="0"/>
                <w:color w:val="000000"/>
                <w:kern w:val="0"/>
                <w:sz w:val="24"/>
                <w:szCs w:val="24"/>
                <w:u w:val="none"/>
              </w:rPr>
            </w:pPr>
          </w:p>
        </w:tc>
        <w:tc>
          <w:tcPr>
            <w:tcW w:w="113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A03270">
            <w:pPr>
              <w:spacing w:line="240" w:lineRule="auto"/>
              <w:jc w:val="center"/>
              <w:rPr>
                <w:rFonts w:hint="eastAsia" w:ascii="宋体" w:hAnsi="宋体" w:eastAsia="宋体" w:cs="宋体"/>
                <w:b w:val="0"/>
                <w:bCs w:val="0"/>
                <w:i w:val="0"/>
                <w:iCs w:val="0"/>
                <w:color w:val="000000"/>
                <w:kern w:val="0"/>
                <w:sz w:val="24"/>
                <w:szCs w:val="24"/>
                <w:u w:val="none"/>
              </w:rPr>
            </w:pPr>
          </w:p>
        </w:tc>
        <w:tc>
          <w:tcPr>
            <w:tcW w:w="5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452C1D">
            <w:pPr>
              <w:spacing w:line="240" w:lineRule="auto"/>
              <w:jc w:val="center"/>
              <w:rPr>
                <w:rFonts w:hint="eastAsia" w:ascii="宋体" w:hAnsi="宋体" w:eastAsia="宋体" w:cs="宋体"/>
                <w:b w:val="0"/>
                <w:bCs w:val="0"/>
                <w:i w:val="0"/>
                <w:iCs w:val="0"/>
                <w:color w:val="000000"/>
                <w:kern w:val="0"/>
                <w:sz w:val="24"/>
                <w:szCs w:val="24"/>
                <w:u w:val="none"/>
              </w:rPr>
            </w:pP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0487C664">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流式细胞术</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2B235268">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套餐中包含GPIX/GPIB/GPIIIA/GMP140/GPIIB  5个自身抗体。</w:t>
            </w:r>
          </w:p>
        </w:tc>
        <w:tc>
          <w:tcPr>
            <w:tcW w:w="67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DEC630">
            <w:pPr>
              <w:spacing w:line="240" w:lineRule="auto"/>
              <w:jc w:val="center"/>
              <w:rPr>
                <w:rFonts w:hint="eastAsia" w:ascii="宋体" w:hAnsi="宋体" w:eastAsia="宋体" w:cs="宋体"/>
                <w:b w:val="0"/>
                <w:bCs w:val="0"/>
                <w:i w:val="0"/>
                <w:iCs w:val="0"/>
                <w:color w:val="000000"/>
                <w:kern w:val="0"/>
                <w:sz w:val="24"/>
                <w:szCs w:val="24"/>
                <w:u w:val="none"/>
              </w:rPr>
            </w:pPr>
          </w:p>
        </w:tc>
      </w:tr>
      <w:tr w14:paraId="0785F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1" w:hRule="atLeast"/>
          <w:jc w:val="center"/>
        </w:trPr>
        <w:tc>
          <w:tcPr>
            <w:tcW w:w="397" w:type="pct"/>
            <w:tcBorders>
              <w:top w:val="single" w:color="000000" w:sz="4" w:space="0"/>
              <w:left w:val="single" w:color="000000" w:sz="4" w:space="0"/>
              <w:bottom w:val="single" w:color="000000" w:sz="4" w:space="0"/>
              <w:right w:val="single" w:color="000000" w:sz="4" w:space="0"/>
            </w:tcBorders>
            <w:noWrap w:val="0"/>
            <w:vAlign w:val="center"/>
          </w:tcPr>
          <w:p w14:paraId="686D35F3">
            <w:pPr>
              <w:keepNext w:val="0"/>
              <w:keepLines w:val="0"/>
              <w:widowControl/>
              <w:suppressLineNumbers w:val="0"/>
              <w:spacing w:line="240" w:lineRule="auto"/>
              <w:jc w:val="center"/>
              <w:rPr>
                <w:rFonts w:hint="default" w:ascii="宋体" w:hAnsi="宋体" w:eastAsia="宋体" w:cs="宋体"/>
                <w:b w:val="0"/>
                <w:bCs w:val="0"/>
                <w:i w:val="0"/>
                <w:iCs w:val="0"/>
                <w:color w:val="000000"/>
                <w:kern w:val="0"/>
                <w:sz w:val="24"/>
                <w:szCs w:val="24"/>
                <w:u w:val="none"/>
                <w:lang w:val="en-US"/>
              </w:rPr>
            </w:pPr>
            <w:r>
              <w:rPr>
                <w:rFonts w:hint="eastAsia" w:ascii="宋体" w:hAnsi="宋体" w:eastAsia="宋体" w:cs="宋体"/>
                <w:b w:val="0"/>
                <w:bCs w:val="0"/>
                <w:i w:val="0"/>
                <w:iCs w:val="0"/>
                <w:color w:val="000000"/>
                <w:kern w:val="0"/>
                <w:sz w:val="24"/>
                <w:szCs w:val="24"/>
                <w:u w:val="none"/>
                <w:lang w:val="en-US" w:eastAsia="zh-CN" w:bidi="ar"/>
              </w:rPr>
              <w:t>77</w:t>
            </w:r>
          </w:p>
        </w:tc>
        <w:tc>
          <w:tcPr>
            <w:tcW w:w="1139" w:type="pct"/>
            <w:tcBorders>
              <w:top w:val="single" w:color="000000" w:sz="4" w:space="0"/>
              <w:left w:val="single" w:color="000000" w:sz="4" w:space="0"/>
              <w:bottom w:val="single" w:color="000000" w:sz="4" w:space="0"/>
              <w:right w:val="single" w:color="000000" w:sz="4" w:space="0"/>
            </w:tcBorders>
            <w:noWrap w:val="0"/>
            <w:vAlign w:val="center"/>
          </w:tcPr>
          <w:p w14:paraId="1D472F28">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血小板膜糖蛋白检测</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6EA82779">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210</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6B95EA43">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流式细胞术</w:t>
            </w:r>
          </w:p>
        </w:tc>
        <w:tc>
          <w:tcPr>
            <w:tcW w:w="1658" w:type="pct"/>
            <w:tcBorders>
              <w:top w:val="single" w:color="000000" w:sz="4" w:space="0"/>
              <w:left w:val="single" w:color="000000" w:sz="4" w:space="0"/>
              <w:bottom w:val="single" w:color="000000" w:sz="4" w:space="0"/>
              <w:right w:val="single" w:color="000000" w:sz="4" w:space="0"/>
            </w:tcBorders>
            <w:noWrap w:val="0"/>
            <w:vAlign w:val="center"/>
          </w:tcPr>
          <w:p w14:paraId="0782AC90">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检测42b、41、61、Ⅰb、Ⅱb、Ⅲa 6种抗原。</w:t>
            </w:r>
          </w:p>
        </w:tc>
        <w:tc>
          <w:tcPr>
            <w:tcW w:w="672" w:type="pct"/>
            <w:tcBorders>
              <w:top w:val="single" w:color="000000" w:sz="4" w:space="0"/>
              <w:left w:val="single" w:color="000000" w:sz="4" w:space="0"/>
              <w:bottom w:val="single" w:color="000000" w:sz="4" w:space="0"/>
              <w:right w:val="single" w:color="000000" w:sz="4" w:space="0"/>
            </w:tcBorders>
            <w:noWrap w:val="0"/>
            <w:vAlign w:val="center"/>
          </w:tcPr>
          <w:p w14:paraId="445AC65F">
            <w:pPr>
              <w:keepNext w:val="0"/>
              <w:keepLines w:val="0"/>
              <w:widowControl/>
              <w:suppressLineNumbers w:val="0"/>
              <w:spacing w:line="240" w:lineRule="auto"/>
              <w:jc w:val="center"/>
              <w:rPr>
                <w:rFonts w:hint="eastAsia" w:ascii="宋体" w:hAnsi="宋体" w:eastAsia="宋体" w:cs="宋体"/>
                <w:b w:val="0"/>
                <w:bCs w:val="0"/>
                <w:i w:val="0"/>
                <w:iCs w:val="0"/>
                <w:color w:val="000000"/>
                <w:kern w:val="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2个工作日</w:t>
            </w:r>
          </w:p>
        </w:tc>
      </w:tr>
    </w:tbl>
    <w:p w14:paraId="5BC52865">
      <w:pPr>
        <w:widowControl w:val="0"/>
        <w:numPr>
          <w:ilvl w:val="0"/>
          <w:numId w:val="0"/>
        </w:numPr>
        <w:spacing w:line="360" w:lineRule="auto"/>
        <w:jc w:val="both"/>
        <w:rPr>
          <w:rFonts w:hint="eastAsia" w:ascii="宋体" w:hAnsi="宋体" w:eastAsia="宋体" w:cs="宋体"/>
          <w:b/>
          <w:bCs w:val="0"/>
          <w:color w:val="auto"/>
          <w:kern w:val="0"/>
          <w:sz w:val="24"/>
          <w:szCs w:val="24"/>
          <w:highlight w:val="none"/>
          <w:lang w:val="en-US" w:eastAsia="zh-CN" w:bidi="ar-SA"/>
        </w:rPr>
      </w:pPr>
    </w:p>
    <w:p w14:paraId="08687282">
      <w:pPr>
        <w:widowControl w:val="0"/>
        <w:numPr>
          <w:ilvl w:val="0"/>
          <w:numId w:val="0"/>
        </w:numPr>
        <w:spacing w:line="360" w:lineRule="auto"/>
        <w:jc w:val="both"/>
        <w:rPr>
          <w:rFonts w:hint="eastAsia" w:ascii="宋体" w:hAnsi="宋体" w:eastAsia="宋体" w:cs="宋体"/>
          <w:b/>
          <w:bCs w:val="0"/>
          <w:color w:val="auto"/>
          <w:kern w:val="0"/>
          <w:sz w:val="24"/>
          <w:szCs w:val="24"/>
          <w:highlight w:val="none"/>
          <w:lang w:val="en-US" w:eastAsia="zh-CN" w:bidi="ar-SA"/>
        </w:rPr>
      </w:pPr>
      <w:r>
        <w:rPr>
          <w:rFonts w:hint="eastAsia" w:ascii="宋体" w:hAnsi="宋体" w:eastAsia="宋体" w:cs="宋体"/>
          <w:b/>
          <w:bCs w:val="0"/>
          <w:color w:val="auto"/>
          <w:kern w:val="0"/>
          <w:sz w:val="24"/>
          <w:szCs w:val="24"/>
          <w:highlight w:val="none"/>
          <w:lang w:val="en-US" w:eastAsia="zh-CN" w:bidi="ar-SA"/>
        </w:rPr>
        <w:t>三、质量要求：</w:t>
      </w:r>
    </w:p>
    <w:p w14:paraId="4B64605E">
      <w:pPr>
        <w:widowControl w:val="0"/>
        <w:numPr>
          <w:ilvl w:val="0"/>
          <w:numId w:val="0"/>
        </w:numPr>
        <w:spacing w:line="360" w:lineRule="auto"/>
        <w:jc w:val="both"/>
        <w:rPr>
          <w:rFonts w:hint="default" w:ascii="宋体" w:hAnsi="宋体" w:eastAsia="宋体" w:cs="宋体"/>
          <w:b/>
          <w:bCs w:val="0"/>
          <w:color w:val="auto"/>
          <w:kern w:val="0"/>
          <w:sz w:val="24"/>
          <w:szCs w:val="24"/>
          <w:highlight w:val="none"/>
          <w:lang w:val="en-US" w:eastAsia="zh-CN" w:bidi="ar-SA"/>
        </w:rPr>
      </w:pPr>
      <w:r>
        <w:rPr>
          <w:rFonts w:hint="eastAsia" w:ascii="宋体" w:hAnsi="宋体" w:eastAsia="宋体" w:cs="宋体"/>
          <w:b/>
          <w:bCs w:val="0"/>
          <w:color w:val="auto"/>
          <w:kern w:val="0"/>
          <w:sz w:val="24"/>
          <w:szCs w:val="24"/>
          <w:highlight w:val="none"/>
          <w:lang w:val="en-US" w:eastAsia="zh-CN" w:bidi="ar-SA"/>
        </w:rPr>
        <w:t>1、检测周期：符合本章“二、检验检测项目清单”中报告时间要求。</w:t>
      </w:r>
    </w:p>
    <w:p w14:paraId="760E9A89">
      <w:pPr>
        <w:widowControl w:val="0"/>
        <w:numPr>
          <w:ilvl w:val="0"/>
          <w:numId w:val="0"/>
        </w:numPr>
        <w:spacing w:line="360" w:lineRule="auto"/>
        <w:jc w:val="both"/>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2、报告方式：检测结果由受委托实验室的中级检验师及以上职称审核后发放检测报告，检测报告分纸质版或电子版两种方式。</w:t>
      </w:r>
    </w:p>
    <w:p w14:paraId="1B7F1AA6">
      <w:pPr>
        <w:widowControl w:val="0"/>
        <w:numPr>
          <w:ilvl w:val="0"/>
          <w:numId w:val="0"/>
        </w:numPr>
        <w:spacing w:line="360" w:lineRule="auto"/>
        <w:jc w:val="both"/>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3、检测准确性：检测结果应符合有关质量控制指标要求。</w:t>
      </w:r>
    </w:p>
    <w:p w14:paraId="127192B8">
      <w:pPr>
        <w:widowControl w:val="0"/>
        <w:numPr>
          <w:ilvl w:val="0"/>
          <w:numId w:val="0"/>
        </w:numPr>
        <w:spacing w:line="360" w:lineRule="auto"/>
        <w:jc w:val="both"/>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4、有效检测数据量：每个样本的有效检测数据量不低于试剂盒要求的最低质控标准，受委托实验室需提供2025年1月1日以来完成的相关检验量，及检测数据量分布情况。</w:t>
      </w:r>
    </w:p>
    <w:p w14:paraId="4163A85B">
      <w:pPr>
        <w:widowControl w:val="0"/>
        <w:numPr>
          <w:ilvl w:val="0"/>
          <w:numId w:val="0"/>
        </w:numPr>
        <w:spacing w:line="360" w:lineRule="auto"/>
        <w:jc w:val="both"/>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5、赔偿责任：提供检测服务的企业，应通过为受检人提供保险等方式，给予出现假阴性和阳性情况的受检人赔偿。</w:t>
      </w:r>
    </w:p>
    <w:p w14:paraId="6DB365A5">
      <w:pPr>
        <w:widowControl w:val="0"/>
        <w:numPr>
          <w:ilvl w:val="0"/>
          <w:numId w:val="0"/>
        </w:numPr>
        <w:spacing w:line="360" w:lineRule="auto"/>
        <w:jc w:val="both"/>
        <w:rPr>
          <w:rFonts w:hint="eastAsia" w:ascii="宋体" w:hAnsi="宋体" w:eastAsia="宋体" w:cs="宋体"/>
          <w:b/>
          <w:bCs w:val="0"/>
          <w:color w:val="auto"/>
          <w:kern w:val="0"/>
          <w:sz w:val="24"/>
          <w:szCs w:val="24"/>
          <w:highlight w:val="none"/>
          <w:lang w:val="en-US" w:eastAsia="zh-CN" w:bidi="ar-SA"/>
        </w:rPr>
      </w:pPr>
      <w:r>
        <w:rPr>
          <w:rFonts w:hint="eastAsia" w:ascii="宋体" w:hAnsi="宋体" w:eastAsia="宋体" w:cs="宋体"/>
          <w:b/>
          <w:bCs w:val="0"/>
          <w:color w:val="auto"/>
          <w:kern w:val="0"/>
          <w:sz w:val="24"/>
          <w:szCs w:val="24"/>
          <w:highlight w:val="none"/>
          <w:lang w:val="en-US" w:eastAsia="zh-CN" w:bidi="ar-SA"/>
        </w:rPr>
        <w:t>6、其他检测质量要求：</w:t>
      </w:r>
    </w:p>
    <w:p w14:paraId="30968C16">
      <w:pPr>
        <w:widowControl w:val="0"/>
        <w:numPr>
          <w:ilvl w:val="0"/>
          <w:numId w:val="0"/>
        </w:numPr>
        <w:spacing w:line="360" w:lineRule="auto"/>
        <w:jc w:val="both"/>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6.1及时性（结果及时，及时率大于99%）。</w:t>
      </w:r>
    </w:p>
    <w:p w14:paraId="6A3F2E37">
      <w:pPr>
        <w:widowControl w:val="0"/>
        <w:numPr>
          <w:ilvl w:val="0"/>
          <w:numId w:val="0"/>
        </w:numPr>
        <w:spacing w:line="360" w:lineRule="auto"/>
        <w:jc w:val="both"/>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6.2误报数（姓名、结果误报，每季度不高于2例）。</w:t>
      </w:r>
    </w:p>
    <w:p w14:paraId="109923DE">
      <w:pPr>
        <w:widowControl w:val="0"/>
        <w:numPr>
          <w:ilvl w:val="0"/>
          <w:numId w:val="0"/>
        </w:numPr>
        <w:spacing w:line="360" w:lineRule="auto"/>
        <w:jc w:val="both"/>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6.3检测标本转运错误（次数累计/季度）：每季度不能高于1例。</w:t>
      </w:r>
    </w:p>
    <w:p w14:paraId="19740103">
      <w:pPr>
        <w:widowControl w:val="0"/>
        <w:numPr>
          <w:ilvl w:val="0"/>
          <w:numId w:val="0"/>
        </w:numPr>
        <w:spacing w:line="360" w:lineRule="auto"/>
        <w:jc w:val="both"/>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6.4危急值报告率和及时率要达到100%。</w:t>
      </w:r>
    </w:p>
    <w:p w14:paraId="1DE0A6A2">
      <w:pPr>
        <w:widowControl w:val="0"/>
        <w:numPr>
          <w:ilvl w:val="0"/>
          <w:numId w:val="0"/>
        </w:numPr>
        <w:spacing w:line="360" w:lineRule="auto"/>
        <w:jc w:val="both"/>
        <w:rPr>
          <w:rFonts w:hint="eastAsia" w:ascii="宋体" w:hAnsi="宋体" w:eastAsia="宋体" w:cs="宋体"/>
          <w:b/>
          <w:bCs w:val="0"/>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6.5如因检测企业未规范开展检测导致检测结果与复测结果不一致，造成法律纠纷或经济损失的，由相应检测企业承担纠纷产生的一切法律责任和经济责任。</w:t>
      </w:r>
    </w:p>
    <w:p w14:paraId="29B331DE">
      <w:pPr>
        <w:widowControl w:val="0"/>
        <w:numPr>
          <w:ilvl w:val="0"/>
          <w:numId w:val="0"/>
        </w:numPr>
        <w:spacing w:line="360" w:lineRule="auto"/>
        <w:jc w:val="both"/>
        <w:rPr>
          <w:rFonts w:hint="eastAsia" w:ascii="宋体" w:hAnsi="宋体" w:eastAsia="宋体" w:cs="宋体"/>
          <w:b/>
          <w:bCs w:val="0"/>
          <w:color w:val="auto"/>
          <w:kern w:val="0"/>
          <w:sz w:val="24"/>
          <w:szCs w:val="24"/>
          <w:highlight w:val="none"/>
          <w:lang w:val="en-US" w:eastAsia="zh-CN" w:bidi="ar-SA"/>
        </w:rPr>
      </w:pPr>
      <w:r>
        <w:rPr>
          <w:rFonts w:hint="eastAsia" w:ascii="宋体" w:hAnsi="宋体" w:eastAsia="宋体" w:cs="宋体"/>
          <w:b/>
          <w:bCs w:val="0"/>
          <w:color w:val="auto"/>
          <w:kern w:val="0"/>
          <w:sz w:val="24"/>
          <w:szCs w:val="24"/>
          <w:highlight w:val="none"/>
          <w:lang w:val="en-US" w:eastAsia="zh-CN" w:bidi="ar-SA"/>
        </w:rPr>
        <w:t>四、技术要求：</w:t>
      </w:r>
    </w:p>
    <w:p w14:paraId="451A2CA6">
      <w:pPr>
        <w:widowControl w:val="0"/>
        <w:numPr>
          <w:ilvl w:val="0"/>
          <w:numId w:val="0"/>
        </w:numPr>
        <w:spacing w:line="360" w:lineRule="auto"/>
        <w:jc w:val="both"/>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1、投标人用于检测服务的基因测序仪、核酸提取试剂（纯化试剂）、检测试剂盒、测序反应通用试剂盒、软件应当符合《医疗器械监督管理条例》和《医疗器械注册管理办法》等相关规定，经过药品监督管理部门批准注册或备案。</w:t>
      </w:r>
      <w:r>
        <w:rPr>
          <w:rFonts w:hint="eastAsia" w:ascii="宋体" w:hAnsi="宋体" w:eastAsia="宋体" w:cs="宋体"/>
          <w:b/>
          <w:bCs w:val="0"/>
          <w:color w:val="auto"/>
          <w:kern w:val="0"/>
          <w:sz w:val="24"/>
          <w:szCs w:val="24"/>
          <w:highlight w:val="none"/>
          <w:lang w:val="en-US" w:eastAsia="zh-CN" w:bidi="ar-SA"/>
        </w:rPr>
        <w:t>（</w:t>
      </w:r>
      <w:r>
        <w:rPr>
          <w:rFonts w:hint="default" w:ascii="宋体" w:hAnsi="宋体" w:eastAsia="宋体" w:cs="宋体"/>
          <w:b/>
          <w:bCs w:val="0"/>
          <w:color w:val="auto"/>
          <w:kern w:val="0"/>
          <w:sz w:val="24"/>
          <w:szCs w:val="24"/>
          <w:highlight w:val="none"/>
          <w:lang w:val="en-US" w:eastAsia="zh-CN" w:bidi="ar-SA"/>
        </w:rPr>
        <w:t>投标文件中需</w:t>
      </w:r>
      <w:r>
        <w:rPr>
          <w:rFonts w:hint="eastAsia" w:ascii="宋体" w:hAnsi="宋体" w:eastAsia="宋体" w:cs="宋体"/>
          <w:b/>
          <w:bCs w:val="0"/>
          <w:color w:val="auto"/>
          <w:kern w:val="0"/>
          <w:sz w:val="24"/>
          <w:szCs w:val="24"/>
          <w:highlight w:val="none"/>
          <w:lang w:val="en-US" w:eastAsia="zh-CN" w:bidi="ar-SA"/>
        </w:rPr>
        <w:t>提供对应产品‌医疗器械注册证/备案凭证</w:t>
      </w:r>
      <w:r>
        <w:rPr>
          <w:rFonts w:hint="default" w:ascii="宋体" w:hAnsi="宋体" w:eastAsia="宋体" w:cs="宋体"/>
          <w:b/>
          <w:bCs w:val="0"/>
          <w:color w:val="auto"/>
          <w:kern w:val="0"/>
          <w:sz w:val="24"/>
          <w:szCs w:val="24"/>
          <w:highlight w:val="none"/>
          <w:lang w:val="en-US" w:eastAsia="zh-CN" w:bidi="ar-SA"/>
        </w:rPr>
        <w:t>的扫描件</w:t>
      </w:r>
      <w:r>
        <w:rPr>
          <w:rFonts w:hint="eastAsia" w:ascii="宋体" w:hAnsi="宋体" w:eastAsia="宋体" w:cs="宋体"/>
          <w:b/>
          <w:bCs w:val="0"/>
          <w:color w:val="auto"/>
          <w:kern w:val="0"/>
          <w:sz w:val="24"/>
          <w:szCs w:val="24"/>
          <w:highlight w:val="none"/>
          <w:lang w:val="en-US" w:eastAsia="zh-CN" w:bidi="ar-SA"/>
        </w:rPr>
        <w:t>）</w:t>
      </w:r>
    </w:p>
    <w:p w14:paraId="5358C35A">
      <w:pPr>
        <w:widowControl w:val="0"/>
        <w:numPr>
          <w:ilvl w:val="0"/>
          <w:numId w:val="0"/>
        </w:numPr>
        <w:spacing w:line="360" w:lineRule="auto"/>
        <w:jc w:val="both"/>
        <w:rPr>
          <w:rFonts w:hint="default" w:ascii="宋体" w:hAnsi="宋体" w:eastAsia="宋体" w:cs="宋体"/>
          <w:b/>
          <w:bCs w:val="0"/>
          <w:color w:val="auto"/>
          <w:kern w:val="0"/>
          <w:sz w:val="24"/>
          <w:szCs w:val="24"/>
          <w:highlight w:val="none"/>
          <w:lang w:val="en-US" w:eastAsia="zh-CN" w:bidi="ar-SA"/>
        </w:rPr>
      </w:pPr>
      <w:r>
        <w:rPr>
          <w:rFonts w:hint="eastAsia" w:ascii="宋体" w:hAnsi="宋体" w:eastAsia="宋体" w:cs="宋体"/>
          <w:b/>
          <w:bCs w:val="0"/>
          <w:color w:val="auto"/>
          <w:kern w:val="0"/>
          <w:sz w:val="24"/>
          <w:szCs w:val="24"/>
          <w:highlight w:val="none"/>
          <w:lang w:val="en-US" w:eastAsia="zh-CN" w:bidi="ar-SA"/>
        </w:rPr>
        <w:t>2、室间质量评价：投标人自2023年1月1日以来参与过国家及省级卫生健康行政部门组织开展的室间质量评价，并合格通过，投标文件中提供室间质评合格证书扫描件及成绩证明材料的扫描件。</w:t>
      </w:r>
    </w:p>
    <w:p w14:paraId="513FC11D">
      <w:pPr>
        <w:widowControl w:val="0"/>
        <w:numPr>
          <w:ilvl w:val="0"/>
          <w:numId w:val="0"/>
        </w:numPr>
        <w:spacing w:line="360" w:lineRule="auto"/>
        <w:jc w:val="both"/>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3、室内质量控制：同批次检测样本有空白对照、阴性对照、阳性对照，并提供完善的室内质控方案，采购期内，至少每半年提交实验室室内质控报告。</w:t>
      </w:r>
    </w:p>
    <w:p w14:paraId="60DA3A79">
      <w:pPr>
        <w:widowControl w:val="0"/>
        <w:numPr>
          <w:ilvl w:val="0"/>
          <w:numId w:val="0"/>
        </w:numPr>
        <w:spacing w:line="360" w:lineRule="auto"/>
        <w:jc w:val="both"/>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4、检测能力：应具备本项目需要的年检测能力。</w:t>
      </w:r>
    </w:p>
    <w:p w14:paraId="35AA633C">
      <w:pPr>
        <w:widowControl w:val="0"/>
        <w:numPr>
          <w:ilvl w:val="0"/>
          <w:numId w:val="0"/>
        </w:numPr>
        <w:spacing w:line="360" w:lineRule="auto"/>
        <w:jc w:val="both"/>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5、投标人须通过卫生健康行政部门组织的临床基因扩增检验技术审核，具备临床基因扩增检验实验室技术验收合格证书或卫生健康行政部门允许开展临床基因扩增检验技术有关证明文件（投标文件中需提供</w:t>
      </w:r>
      <w:r>
        <w:rPr>
          <w:rFonts w:hint="default" w:ascii="宋体" w:hAnsi="宋体" w:eastAsia="宋体" w:cs="宋体"/>
          <w:b w:val="0"/>
          <w:bCs/>
          <w:color w:val="auto"/>
          <w:kern w:val="0"/>
          <w:sz w:val="24"/>
          <w:szCs w:val="24"/>
          <w:highlight w:val="none"/>
          <w:lang w:val="en-US" w:eastAsia="zh-CN" w:bidi="ar-SA"/>
        </w:rPr>
        <w:t>有关证明材料</w:t>
      </w:r>
      <w:r>
        <w:rPr>
          <w:rFonts w:hint="eastAsia" w:ascii="宋体" w:hAnsi="宋体" w:eastAsia="宋体" w:cs="宋体"/>
          <w:b w:val="0"/>
          <w:bCs/>
          <w:color w:val="auto"/>
          <w:kern w:val="0"/>
          <w:sz w:val="24"/>
          <w:szCs w:val="24"/>
          <w:highlight w:val="none"/>
          <w:lang w:val="en-US" w:eastAsia="zh-CN" w:bidi="ar-SA"/>
        </w:rPr>
        <w:t>扫描件）。</w:t>
      </w:r>
    </w:p>
    <w:p w14:paraId="2257A4F7">
      <w:pPr>
        <w:widowControl w:val="0"/>
        <w:numPr>
          <w:ilvl w:val="0"/>
          <w:numId w:val="0"/>
        </w:numPr>
        <w:spacing w:line="360" w:lineRule="auto"/>
        <w:jc w:val="both"/>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6、中标人应配合采购单位完成等级保护备案、信息网络安全保护等工作。</w:t>
      </w:r>
    </w:p>
    <w:p w14:paraId="5C16B2FF">
      <w:pPr>
        <w:widowControl w:val="0"/>
        <w:numPr>
          <w:ilvl w:val="0"/>
          <w:numId w:val="0"/>
        </w:numPr>
        <w:spacing w:line="360" w:lineRule="auto"/>
        <w:jc w:val="both"/>
        <w:rPr>
          <w:rFonts w:hint="eastAsia" w:ascii="宋体" w:hAnsi="宋体" w:eastAsia="宋体" w:cs="宋体"/>
          <w:b/>
          <w:bCs w:val="0"/>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7、</w:t>
      </w:r>
      <w:r>
        <w:rPr>
          <w:rFonts w:hint="default" w:ascii="宋体" w:hAnsi="宋体" w:eastAsia="宋体" w:cs="宋体"/>
          <w:b w:val="0"/>
          <w:bCs/>
          <w:color w:val="auto"/>
          <w:kern w:val="0"/>
          <w:sz w:val="24"/>
          <w:szCs w:val="24"/>
          <w:highlight w:val="none"/>
          <w:lang w:val="en-US" w:eastAsia="zh-CN" w:bidi="ar-SA"/>
        </w:rPr>
        <w:t>投标人</w:t>
      </w:r>
      <w:r>
        <w:rPr>
          <w:rFonts w:hint="eastAsia" w:ascii="宋体" w:hAnsi="宋体" w:eastAsia="宋体" w:cs="宋体"/>
          <w:b w:val="0"/>
          <w:bCs/>
          <w:color w:val="auto"/>
          <w:kern w:val="0"/>
          <w:sz w:val="24"/>
          <w:szCs w:val="24"/>
          <w:highlight w:val="none"/>
          <w:lang w:val="en-US" w:eastAsia="zh-CN" w:bidi="ar-SA"/>
        </w:rPr>
        <w:t>应具有充足相关基因临床检测经验。</w:t>
      </w:r>
    </w:p>
    <w:p w14:paraId="5C17C259">
      <w:pPr>
        <w:widowControl w:val="0"/>
        <w:numPr>
          <w:ilvl w:val="0"/>
          <w:numId w:val="0"/>
        </w:numPr>
        <w:spacing w:line="360" w:lineRule="auto"/>
        <w:jc w:val="both"/>
        <w:rPr>
          <w:rFonts w:hint="eastAsia" w:ascii="宋体" w:hAnsi="宋体" w:eastAsia="宋体" w:cs="宋体"/>
          <w:b/>
          <w:bCs w:val="0"/>
          <w:color w:val="auto"/>
          <w:kern w:val="0"/>
          <w:sz w:val="24"/>
          <w:szCs w:val="24"/>
          <w:highlight w:val="none"/>
          <w:lang w:val="en-US" w:eastAsia="zh-CN" w:bidi="ar-SA"/>
        </w:rPr>
      </w:pPr>
      <w:r>
        <w:rPr>
          <w:rFonts w:hint="eastAsia" w:ascii="宋体" w:hAnsi="宋体" w:eastAsia="宋体" w:cs="宋体"/>
          <w:b/>
          <w:bCs w:val="0"/>
          <w:color w:val="auto"/>
          <w:kern w:val="0"/>
          <w:sz w:val="24"/>
          <w:szCs w:val="24"/>
          <w:highlight w:val="none"/>
          <w:lang w:val="en-US" w:eastAsia="zh-CN" w:bidi="ar-SA"/>
        </w:rPr>
        <w:t>五、实验室及人员要求：</w:t>
      </w:r>
    </w:p>
    <w:p w14:paraId="04C7DF2E">
      <w:pPr>
        <w:widowControl w:val="0"/>
        <w:numPr>
          <w:ilvl w:val="0"/>
          <w:numId w:val="0"/>
        </w:numPr>
        <w:spacing w:line="360" w:lineRule="auto"/>
        <w:jc w:val="both"/>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1、投标人‌实验室应依法设立，能独立、客观、公正地从事检测，并能承担相应的法律责任‌。实验室应建立并有效运行相应的质量体系‌。</w:t>
      </w:r>
    </w:p>
    <w:p w14:paraId="72F51BF1">
      <w:pPr>
        <w:widowControl w:val="0"/>
        <w:numPr>
          <w:ilvl w:val="0"/>
          <w:numId w:val="0"/>
        </w:numPr>
        <w:spacing w:line="360" w:lineRule="auto"/>
        <w:jc w:val="both"/>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2、‌实验室具有与其从事检测活动相适应的专业技术人员和管理人员‌。专业技术人员应具备相关专业职称级上岗证书。</w:t>
      </w:r>
    </w:p>
    <w:p w14:paraId="6C5D6F89">
      <w:pPr>
        <w:widowControl w:val="0"/>
        <w:numPr>
          <w:ilvl w:val="0"/>
          <w:numId w:val="0"/>
        </w:numPr>
        <w:spacing w:line="360" w:lineRule="auto"/>
        <w:jc w:val="both"/>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3、‌实验室须具备固定的工作场所，工作环境应满足检测数据和结果的真实、准确。PCR实验室面积≥150 ㎡，</w:t>
      </w:r>
      <w:r>
        <w:rPr>
          <w:rFonts w:hint="eastAsia" w:ascii="宋体" w:hAnsi="宋体" w:eastAsia="宋体" w:cs="宋体"/>
          <w:b/>
          <w:bCs w:val="0"/>
          <w:color w:val="auto"/>
          <w:kern w:val="0"/>
          <w:sz w:val="24"/>
          <w:szCs w:val="24"/>
          <w:highlight w:val="none"/>
          <w:lang w:val="en-US" w:eastAsia="zh-CN" w:bidi="ar-SA"/>
        </w:rPr>
        <w:t>投标文件中提供证明材料扫描件。</w:t>
      </w:r>
    </w:p>
    <w:p w14:paraId="40238F1E">
      <w:pPr>
        <w:widowControl w:val="0"/>
        <w:numPr>
          <w:ilvl w:val="0"/>
          <w:numId w:val="0"/>
        </w:numPr>
        <w:spacing w:line="360" w:lineRule="auto"/>
        <w:jc w:val="both"/>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4、‌实验室具备正确进行检查活动所需要的固定的和可移动的检测设备设施‌，并能独立调配使用。</w:t>
      </w:r>
    </w:p>
    <w:p w14:paraId="5F64C29A">
      <w:pPr>
        <w:widowControl w:val="0"/>
        <w:numPr>
          <w:ilvl w:val="0"/>
          <w:numId w:val="0"/>
        </w:numPr>
        <w:spacing w:line="360" w:lineRule="auto"/>
        <w:jc w:val="both"/>
        <w:rPr>
          <w:rFonts w:hint="eastAsia" w:ascii="宋体" w:hAnsi="宋体" w:eastAsia="宋体" w:cs="宋体"/>
          <w:b/>
          <w:bCs w:val="0"/>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5、‌满足《实验室资质认定评审准则》的要求‌，包括实验室的质量管理体系、人员培训、设备校准等方面。</w:t>
      </w:r>
    </w:p>
    <w:p w14:paraId="17DF71AB">
      <w:pPr>
        <w:widowControl w:val="0"/>
        <w:numPr>
          <w:ilvl w:val="0"/>
          <w:numId w:val="0"/>
        </w:numPr>
        <w:spacing w:line="360" w:lineRule="auto"/>
        <w:jc w:val="both"/>
        <w:rPr>
          <w:rFonts w:hint="eastAsia" w:ascii="宋体" w:hAnsi="宋体" w:eastAsia="宋体" w:cs="宋体"/>
          <w:b/>
          <w:bCs w:val="0"/>
          <w:color w:val="auto"/>
          <w:kern w:val="0"/>
          <w:sz w:val="24"/>
          <w:szCs w:val="24"/>
          <w:highlight w:val="none"/>
          <w:lang w:val="en-US" w:eastAsia="zh-CN" w:bidi="ar-SA"/>
        </w:rPr>
      </w:pPr>
      <w:r>
        <w:rPr>
          <w:rFonts w:hint="eastAsia" w:ascii="宋体" w:hAnsi="宋体" w:eastAsia="宋体" w:cs="宋体"/>
          <w:b/>
          <w:bCs w:val="0"/>
          <w:color w:val="auto"/>
          <w:kern w:val="0"/>
          <w:sz w:val="24"/>
          <w:szCs w:val="24"/>
          <w:highlight w:val="none"/>
          <w:lang w:val="en-US" w:eastAsia="zh-CN" w:bidi="ar-SA"/>
        </w:rPr>
        <w:t>六、信息安全要求：</w:t>
      </w:r>
    </w:p>
    <w:p w14:paraId="41F7B9BF">
      <w:pPr>
        <w:widowControl w:val="0"/>
        <w:numPr>
          <w:ilvl w:val="0"/>
          <w:numId w:val="0"/>
        </w:numPr>
        <w:spacing w:line="360" w:lineRule="auto"/>
        <w:jc w:val="both"/>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1、受委托医学实验室应具备完备的信息系统以满足委托方访问所需的数据和信息，并制定文件化的程序防止数据篡改、外泄、丢失等，确保患者信息的保密，符合国家或国际有关数据保护的要求。</w:t>
      </w:r>
    </w:p>
    <w:p w14:paraId="6305392D">
      <w:pPr>
        <w:widowControl w:val="0"/>
        <w:numPr>
          <w:ilvl w:val="0"/>
          <w:numId w:val="0"/>
        </w:numPr>
        <w:spacing w:line="360" w:lineRule="auto"/>
        <w:jc w:val="both"/>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2、投标人应建立信息安全日志，记录信息安全事件和网络活动日志。</w:t>
      </w:r>
    </w:p>
    <w:p w14:paraId="68CA2AFC">
      <w:pPr>
        <w:widowControl w:val="0"/>
        <w:numPr>
          <w:ilvl w:val="0"/>
          <w:numId w:val="0"/>
        </w:numPr>
        <w:spacing w:line="360" w:lineRule="auto"/>
        <w:jc w:val="both"/>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3、投标人应定期进行安全漏洞扫描和风险评估，及时发现和修复安全问题。</w:t>
      </w:r>
    </w:p>
    <w:p w14:paraId="268C2887">
      <w:pPr>
        <w:widowControl w:val="0"/>
        <w:numPr>
          <w:ilvl w:val="0"/>
          <w:numId w:val="0"/>
        </w:numPr>
        <w:spacing w:line="360" w:lineRule="auto"/>
        <w:jc w:val="both"/>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4、投标人实验室员工应遵守信息安全规定，不得将未公开的研究成果、数据等信息泄露给无关人员。</w:t>
      </w:r>
    </w:p>
    <w:p w14:paraId="6E3552B1">
      <w:pPr>
        <w:widowControl w:val="0"/>
        <w:numPr>
          <w:ilvl w:val="0"/>
          <w:numId w:val="0"/>
        </w:numPr>
        <w:spacing w:line="360" w:lineRule="auto"/>
        <w:jc w:val="both"/>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5、投标人应对重要数据和资料进行备份，并确保备份数据和资料的安全性。</w:t>
      </w:r>
    </w:p>
    <w:p w14:paraId="146F2F0C">
      <w:pPr>
        <w:widowControl w:val="0"/>
        <w:numPr>
          <w:ilvl w:val="0"/>
          <w:numId w:val="0"/>
        </w:numPr>
        <w:spacing w:line="360" w:lineRule="auto"/>
        <w:jc w:val="both"/>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6、投标人应建立网络安全防护体系，防范网络攻击和病毒传播等安全威胁。</w:t>
      </w:r>
    </w:p>
    <w:p w14:paraId="07A02AE5">
      <w:pPr>
        <w:widowControl w:val="0"/>
        <w:numPr>
          <w:ilvl w:val="0"/>
          <w:numId w:val="0"/>
        </w:numPr>
        <w:spacing w:line="360" w:lineRule="auto"/>
        <w:jc w:val="both"/>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7、实验室员工应安装杀毒软件，并及时更新病毒库。</w:t>
      </w:r>
    </w:p>
    <w:p w14:paraId="04CC79E7">
      <w:pPr>
        <w:widowControl w:val="0"/>
        <w:numPr>
          <w:ilvl w:val="0"/>
          <w:numId w:val="0"/>
        </w:numPr>
        <w:spacing w:line="360" w:lineRule="auto"/>
        <w:jc w:val="both"/>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8、实验室应定期进行网络漏洞扫描和安全评估，及时发现和修复安全问题。</w:t>
      </w:r>
    </w:p>
    <w:p w14:paraId="6BE30AC9">
      <w:pPr>
        <w:widowControl w:val="0"/>
        <w:numPr>
          <w:ilvl w:val="0"/>
          <w:numId w:val="0"/>
        </w:numPr>
        <w:spacing w:line="360" w:lineRule="auto"/>
        <w:jc w:val="both"/>
        <w:rPr>
          <w:rFonts w:hint="eastAsia" w:ascii="宋体" w:hAnsi="宋体" w:eastAsia="宋体" w:cs="宋体"/>
          <w:b/>
          <w:bCs w:val="0"/>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9、实验室应加强边界防护和入侵检测系统管理，确保网络安全。</w:t>
      </w:r>
    </w:p>
    <w:p w14:paraId="16BBD3FA">
      <w:pPr>
        <w:widowControl w:val="0"/>
        <w:numPr>
          <w:ilvl w:val="0"/>
          <w:numId w:val="0"/>
        </w:numPr>
        <w:spacing w:line="360" w:lineRule="auto"/>
        <w:jc w:val="both"/>
        <w:rPr>
          <w:rFonts w:hint="eastAsia" w:ascii="宋体" w:hAnsi="宋体" w:eastAsia="宋体" w:cs="宋体"/>
          <w:b/>
          <w:bCs w:val="0"/>
          <w:color w:val="auto"/>
          <w:kern w:val="0"/>
          <w:sz w:val="24"/>
          <w:szCs w:val="24"/>
          <w:highlight w:val="none"/>
          <w:lang w:val="en-US" w:eastAsia="zh-CN" w:bidi="ar-SA"/>
        </w:rPr>
      </w:pPr>
      <w:r>
        <w:rPr>
          <w:rFonts w:hint="eastAsia" w:ascii="宋体" w:hAnsi="宋体" w:eastAsia="宋体" w:cs="宋体"/>
          <w:b/>
          <w:bCs w:val="0"/>
          <w:color w:val="auto"/>
          <w:kern w:val="0"/>
          <w:sz w:val="24"/>
          <w:szCs w:val="24"/>
          <w:highlight w:val="none"/>
          <w:lang w:val="en-US" w:eastAsia="zh-CN" w:bidi="ar-SA"/>
        </w:rPr>
        <w:t>七、其他增值服务要求，</w:t>
      </w:r>
    </w:p>
    <w:p w14:paraId="4FB55440">
      <w:pPr>
        <w:widowControl w:val="0"/>
        <w:numPr>
          <w:ilvl w:val="0"/>
          <w:numId w:val="0"/>
        </w:numPr>
        <w:spacing w:line="360" w:lineRule="auto"/>
        <w:jc w:val="both"/>
        <w:rPr>
          <w:rFonts w:hint="default" w:ascii="宋体" w:hAnsi="宋体" w:eastAsia="宋体" w:cs="宋体"/>
          <w:b/>
          <w:bCs w:val="0"/>
          <w:color w:val="auto"/>
          <w:kern w:val="0"/>
          <w:sz w:val="24"/>
          <w:szCs w:val="24"/>
          <w:highlight w:val="none"/>
          <w:lang w:val="en-US" w:eastAsia="zh-CN" w:bidi="ar-SA"/>
        </w:rPr>
      </w:pPr>
      <w:r>
        <w:rPr>
          <w:rFonts w:hint="eastAsia" w:ascii="宋体" w:hAnsi="宋体" w:eastAsia="宋体" w:cs="宋体"/>
          <w:b/>
          <w:bCs w:val="0"/>
          <w:color w:val="auto"/>
          <w:kern w:val="0"/>
          <w:sz w:val="24"/>
          <w:szCs w:val="24"/>
          <w:highlight w:val="none"/>
          <w:lang w:val="en-US" w:eastAsia="zh-CN" w:bidi="ar-SA"/>
        </w:rPr>
        <w:t>包含但不限于以下内容：</w:t>
      </w:r>
    </w:p>
    <w:p w14:paraId="3B0992D5">
      <w:pPr>
        <w:widowControl w:val="0"/>
        <w:numPr>
          <w:ilvl w:val="0"/>
          <w:numId w:val="0"/>
        </w:numPr>
        <w:spacing w:line="360" w:lineRule="auto"/>
        <w:jc w:val="both"/>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1、投标人可提供增值服务，支持疑难杂症的诊断，如遇特殊需求可进行其他相关高端特检项目的检测服务。</w:t>
      </w:r>
    </w:p>
    <w:p w14:paraId="7E586B1D">
      <w:pPr>
        <w:widowControl w:val="0"/>
        <w:numPr>
          <w:ilvl w:val="0"/>
          <w:numId w:val="0"/>
        </w:numPr>
        <w:spacing w:line="360" w:lineRule="auto"/>
        <w:jc w:val="both"/>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2、投标人能够提供生物样本库以及科研合作具体实施方案；为临床提供科研支持，促进科室学术发展，协同合作进行血液病相关医学研究，协助申报科研基金。</w:t>
      </w:r>
    </w:p>
    <w:p w14:paraId="10EDA8AA">
      <w:pPr>
        <w:spacing w:line="360" w:lineRule="auto"/>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24"/>
          <w:szCs w:val="24"/>
          <w:lang w:val="en-US" w:eastAsia="zh-CN"/>
        </w:rPr>
        <w:t>八</w:t>
      </w:r>
      <w:r>
        <w:rPr>
          <w:rFonts w:hint="eastAsia" w:ascii="宋体" w:hAnsi="宋体" w:eastAsia="宋体" w:cs="宋体"/>
          <w:b/>
          <w:color w:val="auto"/>
          <w:kern w:val="0"/>
          <w:sz w:val="24"/>
          <w:szCs w:val="24"/>
        </w:rPr>
        <w:t>、其它要求：见招标文件第五章《拟签订的合同文本》。</w:t>
      </w:r>
      <w:bookmarkStart w:id="0" w:name="_GoBack"/>
      <w:bookmarkEnd w:id="0"/>
    </w:p>
    <w:p w14:paraId="72CB01F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6361E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2026-09-23T06:19:05Z</dcterms:created>
  <dc:creator>lenovo</dc:creator>
  <cp:lastModifiedBy>lenovo</cp:lastModifiedBy>
  <dcterms:modified xsi:type="dcterms:W3CDTF">2026-09-23T06:19:53Z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eyJoZGlkIjoiODZiNTQ4OWU1ZmQ2YWQwNGNhMzdiYjU5MWM1ZDdjY2EiLCJ1c2VySWQiOiIxMzYxNDc2MDc5In0=</vt:lpwstr>
  </property>
  <property fmtid="{D5CDD505-2E9C-101B-9397-08002B2CF9AE}" pid="4" name="ICV">
    <vt:lpwstr>FAFCC4C68CDD4494BC34AA21A2F439A1_12</vt:lpwstr>
  </property>
</Properties>
</file>