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pacing w:val="76"/>
          <w:sz w:val="24"/>
          <w:highlight w:val="none"/>
        </w:rPr>
      </w:pPr>
      <w:r/>
      <w:bookmarkStart w:id="106" w:name="_GoBack"/>
      <w:r/>
      <w:r/>
    </w:p>
    <w:p>
      <w:pPr>
        <w:rPr>
          <w:rFonts w:hint="eastAsia" w:ascii="宋体" w:hAnsi="宋体" w:eastAsia="宋体" w:cs="宋体"/>
          <w:b/>
          <w:color w:val="auto"/>
          <w:spacing w:val="76"/>
          <w:sz w:val="24"/>
          <w:highlight w:val="none"/>
        </w:rPr>
      </w:pPr>
      <w:r>
        <w:rPr>
          <w:rFonts w:hint="eastAsia" w:ascii="宋体" w:hAnsi="宋体" w:eastAsia="宋体" w:cs="宋体"/>
          <w:b/>
          <w:color w:val="auto"/>
          <w:spacing w:val="76"/>
          <w:sz w:val="24"/>
          <w:highlight w:val="none"/>
        </w:rPr>
      </w:r>
      <w:r/>
    </w:p>
    <w:p>
      <w:pPr>
        <w:pStyle w:val="7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920" w:lineRule="exact"/>
        <w:rPr>
          <w:rFonts w:hint="eastAsia" w:ascii="宋体" w:hAnsi="宋体" w:eastAsia="宋体" w:cs="宋体"/>
          <w:b/>
          <w:color w:val="auto"/>
          <w:spacing w:val="-20"/>
          <w:sz w:val="84"/>
          <w:szCs w:val="84"/>
          <w:highlight w:val="none"/>
        </w:rPr>
      </w:pPr>
      <w:r>
        <w:rPr>
          <w:rFonts w:hint="eastAsia" w:ascii="宋体" w:hAnsi="宋体" w:eastAsia="宋体" w:cs="宋体"/>
          <w:b/>
          <w:color w:val="auto"/>
          <w:spacing w:val="-20"/>
          <w:sz w:val="84"/>
          <w:szCs w:val="84"/>
          <w:highlight w:val="none"/>
        </w:rPr>
      </w:r>
      <w:r/>
    </w:p>
    <w:p>
      <w:pPr>
        <w:jc w:val="center"/>
        <w:spacing w:line="920" w:lineRule="exact"/>
        <w:rPr>
          <w:rFonts w:hint="eastAsia" w:ascii="宋体" w:hAnsi="宋体" w:eastAsia="宋体" w:cs="宋体"/>
          <w:b/>
          <w:color w:val="auto"/>
          <w:spacing w:val="-20"/>
          <w:sz w:val="84"/>
          <w:szCs w:val="84"/>
          <w:highlight w:val="none"/>
        </w:rPr>
      </w:pPr>
      <w:r>
        <w:rPr>
          <w:rFonts w:hint="eastAsia" w:ascii="宋体" w:hAnsi="宋体" w:eastAsia="宋体" w:cs="宋体"/>
          <w:b/>
          <w:color w:val="auto"/>
          <w:spacing w:val="-20"/>
          <w:sz w:val="84"/>
          <w:szCs w:val="84"/>
          <w:highlight w:val="none"/>
        </w:rPr>
        <w:t xml:space="preserve">招 标 文 件 </w:t>
      </w:r>
      <w:r/>
    </w:p>
    <w:p>
      <w:pPr>
        <w:spacing w:line="440" w:lineRule="exact"/>
        <w:tabs>
          <w:tab w:val="center" w:pos="4273" w:leader="none"/>
        </w:tabs>
        <w:rPr>
          <w:rFonts w:hint="eastAsia" w:ascii="宋体" w:hAnsi="宋体" w:eastAsia="宋体" w:cs="宋体"/>
          <w:color w:val="auto"/>
          <w:sz w:val="32"/>
          <w:highlight w:val="none"/>
        </w:rPr>
      </w:pPr>
      <w:r>
        <w:rPr>
          <w:rFonts w:hint="eastAsia" w:ascii="宋体" w:hAnsi="宋体" w:eastAsia="宋体" w:cs="宋体"/>
          <w:color w:val="auto"/>
          <w:sz w:val="32"/>
          <w:highlight w:val="none"/>
        </w:rPr>
        <w:tab/>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5"/>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80" w:lineRule="auto"/>
        <w:rPr>
          <w:rFonts w:hint="eastAsia" w:ascii="宋体" w:hAnsi="宋体" w:eastAsia="宋体" w:cs="宋体"/>
          <w:b/>
          <w:color w:val="auto"/>
          <w:sz w:val="32"/>
          <w:szCs w:val="32"/>
          <w:highlight w:val="none"/>
        </w:rPr>
      </w:pPr>
      <w:r>
        <w:rPr>
          <w:rFonts w:hint="eastAsia" w:ascii="宋体" w:hAnsi="宋体" w:eastAsia="宋体" w:cs="宋体"/>
          <w:b/>
          <w:color w:val="auto"/>
          <w:spacing w:val="215"/>
          <w:sz w:val="32"/>
          <w:szCs w:val="32"/>
          <w:highlight w:val="none"/>
        </w:rPr>
        <w:t xml:space="preserve">项目名</w:t>
      </w:r>
      <w:r>
        <w:rPr>
          <w:rFonts w:hint="eastAsia" w:ascii="宋体" w:hAnsi="宋体" w:eastAsia="宋体" w:cs="宋体"/>
          <w:b/>
          <w:color w:val="auto"/>
          <w:spacing w:val="1"/>
          <w:sz w:val="32"/>
          <w:szCs w:val="32"/>
          <w:highlight w:val="none"/>
        </w:rPr>
        <w:t xml:space="preserve">称</w:t>
      </w:r>
      <w:r>
        <w:rPr>
          <w:rFonts w:hint="eastAsia" w:ascii="宋体" w:hAnsi="宋体" w:eastAsia="宋体" w:cs="宋体"/>
          <w:b/>
          <w:color w:val="auto"/>
          <w:sz w:val="32"/>
          <w:szCs w:val="32"/>
          <w:highlight w:val="none"/>
        </w:rPr>
        <w:t xml:space="preserve">：2026年度市直管雨、污水管渠维修养护市场化项目</w:t>
      </w:r>
      <w:r/>
    </w:p>
    <w:p>
      <w:pPr>
        <w:spacing w:line="480" w:lineRule="auto"/>
        <w:rPr>
          <w:rFonts w:hint="eastAsia" w:ascii="宋体" w:hAnsi="宋体" w:eastAsia="宋体" w:cs="宋体"/>
          <w:b/>
          <w:color w:val="auto"/>
          <w:sz w:val="32"/>
          <w:szCs w:val="32"/>
          <w:highlight w:val="none"/>
        </w:rPr>
      </w:pPr>
      <w:r>
        <w:rPr>
          <w:rFonts w:hint="eastAsia" w:ascii="宋体" w:hAnsi="宋体" w:eastAsia="宋体" w:cs="宋体"/>
          <w:b/>
          <w:color w:val="auto"/>
          <w:spacing w:val="215"/>
          <w:sz w:val="32"/>
          <w:szCs w:val="32"/>
          <w:highlight w:val="none"/>
        </w:rPr>
        <w:t xml:space="preserve">项目编</w:t>
      </w:r>
      <w:r>
        <w:rPr>
          <w:rFonts w:hint="eastAsia" w:ascii="宋体" w:hAnsi="宋体" w:eastAsia="宋体" w:cs="宋体"/>
          <w:b/>
          <w:color w:val="auto"/>
          <w:spacing w:val="1"/>
          <w:sz w:val="32"/>
          <w:szCs w:val="32"/>
          <w:highlight w:val="none"/>
        </w:rPr>
        <w:t xml:space="preserve">号</w:t>
      </w:r>
      <w:r>
        <w:rPr>
          <w:rFonts w:hint="eastAsia" w:ascii="宋体" w:hAnsi="宋体" w:eastAsia="宋体" w:cs="宋体"/>
          <w:b/>
          <w:color w:val="auto"/>
          <w:sz w:val="32"/>
          <w:szCs w:val="32"/>
          <w:highlight w:val="none"/>
        </w:rPr>
        <w:t xml:space="preserve">：JSZC-320300-XZTY-G2026-0001</w:t>
      </w:r>
      <w:r/>
    </w:p>
    <w:p>
      <w:pPr>
        <w:spacing w:line="480" w:lineRule="auto"/>
        <w:rPr>
          <w:rFonts w:hint="eastAsia" w:ascii="宋体" w:hAnsi="宋体" w:eastAsia="宋体" w:cs="宋体"/>
          <w:b/>
          <w:color w:val="auto"/>
          <w:sz w:val="32"/>
          <w:szCs w:val="32"/>
          <w:highlight w:val="none"/>
        </w:rPr>
      </w:pPr>
      <w:r>
        <w:rPr>
          <w:rFonts w:hint="eastAsia" w:ascii="宋体" w:hAnsi="宋体" w:eastAsia="宋体" w:cs="宋体"/>
          <w:b/>
          <w:color w:val="auto"/>
          <w:spacing w:val="483"/>
          <w:sz w:val="32"/>
          <w:szCs w:val="32"/>
          <w:highlight w:val="none"/>
        </w:rPr>
        <w:t xml:space="preserve">采购</w:t>
      </w:r>
      <w:r>
        <w:rPr>
          <w:rFonts w:hint="eastAsia" w:ascii="宋体" w:hAnsi="宋体" w:eastAsia="宋体" w:cs="宋体"/>
          <w:b/>
          <w:color w:val="auto"/>
          <w:sz w:val="32"/>
          <w:szCs w:val="32"/>
          <w:highlight w:val="none"/>
        </w:rPr>
        <w:t xml:space="preserve">人：徐州市水务局</w:t>
      </w:r>
      <w:r/>
    </w:p>
    <w:p>
      <w:pPr>
        <w:spacing w:line="48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采购代理机构：徐州市通源招标代理有限公司</w:t>
      </w:r>
      <w:r/>
    </w:p>
    <w:p>
      <w:pPr>
        <w:pStyle w:val="79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0"/>
        <w:ind w:firstLine="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二〇二六年八月</w:t>
      </w:r>
      <w:r/>
    </w:p>
    <w:p>
      <w:pPr>
        <w:pStyle w:val="790"/>
        <w:ind w:firstLine="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widowControl/>
        <w:rPr>
          <w:rFonts w:hint="eastAsia" w:ascii="宋体" w:hAnsi="宋体" w:eastAsia="宋体" w:cs="宋体"/>
          <w:b/>
          <w:color w:val="auto"/>
          <w:sz w:val="44"/>
          <w:highlight w:val="none"/>
        </w:rPr>
      </w:pPr>
      <w:r>
        <w:rPr>
          <w:rFonts w:hint="eastAsia" w:ascii="宋体" w:hAnsi="宋体" w:eastAsia="宋体" w:cs="宋体"/>
          <w:b/>
          <w:color w:val="auto"/>
          <w:sz w:val="44"/>
          <w:highlight w:val="none"/>
        </w:rPr>
        <w:br w:type="page" w:clear="all"/>
      </w:r>
      <w:r>
        <w:rPr>
          <w:rFonts w:hint="eastAsia" w:ascii="宋体" w:hAnsi="宋体" w:eastAsia="宋体" w:cs="宋体"/>
          <w:b/>
          <w:color w:val="auto"/>
          <w:sz w:val="44"/>
          <w:highlight w:val="none"/>
        </w:rPr>
        <w:t xml:space="preserve">目 录</w:t>
      </w:r>
      <w:r/>
    </w:p>
    <w:p>
      <w:pPr>
        <w:pStyle w:val="788"/>
        <w:jc w:val="center"/>
        <w:spacing w:line="520" w:lineRule="exact"/>
        <w:rPr>
          <w:rFonts w:hint="eastAsia" w:ascii="宋体" w:hAnsi="宋体" w:eastAsia="宋体" w:cs="宋体"/>
          <w:b/>
          <w:color w:val="auto"/>
          <w:sz w:val="44"/>
          <w:szCs w:val="44"/>
          <w:highlight w:val="none"/>
        </w:rPr>
      </w:pPr>
      <w:r/>
      <w:bookmarkStart w:id="0" w:name="_Toc522790130"/>
      <w:r/>
      <w:r/>
    </w:p>
    <w:p>
      <w:pPr>
        <w:pStyle w:val="844"/>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043"/>
        <w:ind w:firstLine="400"/>
        <w:spacing w:line="520" w:lineRule="exact"/>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"_Toc523404695" \o "#_Toc523404695" </w:instrText>
      </w:r>
      <w:r>
        <w:rPr>
          <w:rFonts w:hint="eastAsia" w:ascii="宋体" w:hAnsi="宋体" w:eastAsia="宋体" w:cs="宋体"/>
          <w:color w:val="auto"/>
          <w:highlight w:val="none"/>
        </w:rPr>
        <w:fldChar w:fldCharType="separate"/>
      </w:r>
      <w:r>
        <w:rPr>
          <w:rStyle w:val="822"/>
          <w:rFonts w:hint="eastAsia" w:ascii="宋体" w:hAnsi="宋体" w:eastAsia="宋体" w:cs="宋体"/>
          <w:color w:val="auto"/>
          <w:sz w:val="30"/>
          <w:szCs w:val="30"/>
          <w:highlight w:val="none"/>
          <w:u w:val="none"/>
        </w:rPr>
        <w:t xml:space="preserve">第一章  投标邀请</w:t>
      </w:r>
      <w:r>
        <w:rPr>
          <w:rStyle w:val="822"/>
          <w:rFonts w:hint="eastAsia" w:ascii="宋体" w:hAnsi="宋体" w:eastAsia="宋体" w:cs="宋体"/>
          <w:color w:val="auto"/>
          <w:sz w:val="30"/>
          <w:szCs w:val="30"/>
          <w:highlight w:val="none"/>
          <w:u w:val="none"/>
        </w:rPr>
        <w:fldChar w:fldCharType="end"/>
      </w:r>
      <w:r/>
    </w:p>
    <w:p>
      <w:pPr>
        <w:pStyle w:val="1043"/>
        <w:ind w:firstLine="400"/>
        <w:spacing w:line="520" w:lineRule="exact"/>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"_Toc523404696" \o "#_Toc523404696" </w:instrText>
      </w:r>
      <w:r>
        <w:rPr>
          <w:rFonts w:hint="eastAsia" w:ascii="宋体" w:hAnsi="宋体" w:eastAsia="宋体" w:cs="宋体"/>
          <w:color w:val="auto"/>
          <w:highlight w:val="none"/>
        </w:rPr>
        <w:fldChar w:fldCharType="separate"/>
      </w:r>
      <w:r>
        <w:rPr>
          <w:rStyle w:val="822"/>
          <w:rFonts w:hint="eastAsia" w:ascii="宋体" w:hAnsi="宋体" w:eastAsia="宋体" w:cs="宋体"/>
          <w:color w:val="auto"/>
          <w:sz w:val="30"/>
          <w:szCs w:val="30"/>
          <w:highlight w:val="none"/>
          <w:u w:val="none"/>
        </w:rPr>
        <w:t xml:space="preserve">第二章  投标人须知</w:t>
      </w:r>
      <w:r>
        <w:rPr>
          <w:rStyle w:val="822"/>
          <w:rFonts w:hint="eastAsia" w:ascii="宋体" w:hAnsi="宋体" w:eastAsia="宋体" w:cs="宋体"/>
          <w:color w:val="auto"/>
          <w:sz w:val="30"/>
          <w:szCs w:val="30"/>
          <w:highlight w:val="none"/>
          <w:u w:val="none"/>
        </w:rPr>
        <w:fldChar w:fldCharType="end"/>
      </w:r>
      <w:r/>
    </w:p>
    <w:p>
      <w:pPr>
        <w:pStyle w:val="1043"/>
        <w:ind w:firstLine="400"/>
        <w:spacing w:line="520" w:lineRule="exact"/>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"_Toc523404697" \o "#_Toc523404697" </w:instrText>
      </w:r>
      <w:r>
        <w:rPr>
          <w:rFonts w:hint="eastAsia" w:ascii="宋体" w:hAnsi="宋体" w:eastAsia="宋体" w:cs="宋体"/>
          <w:color w:val="auto"/>
          <w:highlight w:val="none"/>
        </w:rPr>
        <w:fldChar w:fldCharType="separate"/>
      </w:r>
      <w:r>
        <w:rPr>
          <w:rStyle w:val="822"/>
          <w:rFonts w:hint="eastAsia" w:ascii="宋体" w:hAnsi="宋体" w:eastAsia="宋体" w:cs="宋体"/>
          <w:color w:val="auto"/>
          <w:sz w:val="30"/>
          <w:szCs w:val="30"/>
          <w:highlight w:val="none"/>
          <w:u w:val="none"/>
        </w:rPr>
        <w:t xml:space="preserve">第三章  投标资料表</w:t>
      </w:r>
      <w:r>
        <w:rPr>
          <w:rStyle w:val="822"/>
          <w:rFonts w:hint="eastAsia" w:ascii="宋体" w:hAnsi="宋体" w:eastAsia="宋体" w:cs="宋体"/>
          <w:color w:val="auto"/>
          <w:sz w:val="30"/>
          <w:szCs w:val="30"/>
          <w:highlight w:val="none"/>
          <w:u w:val="none"/>
        </w:rPr>
        <w:fldChar w:fldCharType="end"/>
      </w:r>
      <w:r/>
    </w:p>
    <w:p>
      <w:pPr>
        <w:pStyle w:val="1043"/>
        <w:ind w:firstLine="400"/>
        <w:spacing w:line="520" w:lineRule="exact"/>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"_Toc523404698" \o "#_Toc523404698" </w:instrText>
      </w:r>
      <w:r>
        <w:rPr>
          <w:rFonts w:hint="eastAsia" w:ascii="宋体" w:hAnsi="宋体" w:eastAsia="宋体" w:cs="宋体"/>
          <w:color w:val="auto"/>
          <w:highlight w:val="none"/>
        </w:rPr>
        <w:fldChar w:fldCharType="separate"/>
      </w:r>
      <w:r>
        <w:rPr>
          <w:rStyle w:val="822"/>
          <w:rFonts w:hint="eastAsia" w:ascii="宋体" w:hAnsi="宋体" w:eastAsia="宋体" w:cs="宋体"/>
          <w:color w:val="auto"/>
          <w:sz w:val="30"/>
          <w:szCs w:val="30"/>
          <w:highlight w:val="none"/>
          <w:u w:val="none"/>
        </w:rPr>
        <w:t xml:space="preserve">第四章  评标标准</w:t>
      </w:r>
      <w:r>
        <w:rPr>
          <w:rStyle w:val="822"/>
          <w:rFonts w:hint="eastAsia" w:ascii="宋体" w:hAnsi="宋体" w:eastAsia="宋体" w:cs="宋体"/>
          <w:color w:val="auto"/>
          <w:sz w:val="30"/>
          <w:szCs w:val="30"/>
          <w:highlight w:val="none"/>
          <w:u w:val="none"/>
        </w:rPr>
        <w:fldChar w:fldCharType="end"/>
      </w:r>
      <w:r/>
    </w:p>
    <w:p>
      <w:pPr>
        <w:pStyle w:val="1043"/>
        <w:ind w:firstLine="400"/>
        <w:spacing w:line="520" w:lineRule="exact"/>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"_Toc523404699" \o "#_Toc523404699" </w:instrText>
      </w:r>
      <w:r>
        <w:rPr>
          <w:rFonts w:hint="eastAsia" w:ascii="宋体" w:hAnsi="宋体" w:eastAsia="宋体" w:cs="宋体"/>
          <w:color w:val="auto"/>
          <w:highlight w:val="none"/>
        </w:rPr>
        <w:fldChar w:fldCharType="separate"/>
      </w:r>
      <w:r>
        <w:rPr>
          <w:rStyle w:val="822"/>
          <w:rFonts w:hint="eastAsia" w:ascii="宋体" w:hAnsi="宋体" w:eastAsia="宋体" w:cs="宋体"/>
          <w:color w:val="auto"/>
          <w:sz w:val="30"/>
          <w:szCs w:val="30"/>
          <w:highlight w:val="none"/>
          <w:u w:val="none"/>
        </w:rPr>
        <w:t xml:space="preserve">第五章  拟签订的合同文本</w:t>
      </w:r>
      <w:r>
        <w:rPr>
          <w:rStyle w:val="822"/>
          <w:rFonts w:hint="eastAsia" w:ascii="宋体" w:hAnsi="宋体" w:eastAsia="宋体" w:cs="宋体"/>
          <w:color w:val="auto"/>
          <w:sz w:val="30"/>
          <w:szCs w:val="30"/>
          <w:highlight w:val="none"/>
          <w:u w:val="none"/>
        </w:rPr>
        <w:fldChar w:fldCharType="end"/>
      </w:r>
      <w:r/>
    </w:p>
    <w:p>
      <w:pPr>
        <w:pStyle w:val="1043"/>
        <w:ind w:firstLine="400"/>
        <w:spacing w:line="520" w:lineRule="exact"/>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"_Toc523404700" \o "#_Toc523404700" </w:instrText>
      </w:r>
      <w:r>
        <w:rPr>
          <w:rFonts w:hint="eastAsia" w:ascii="宋体" w:hAnsi="宋体" w:eastAsia="宋体" w:cs="宋体"/>
          <w:color w:val="auto"/>
          <w:highlight w:val="none"/>
        </w:rPr>
        <w:fldChar w:fldCharType="separate"/>
      </w:r>
      <w:r>
        <w:rPr>
          <w:rStyle w:val="822"/>
          <w:rFonts w:hint="eastAsia" w:ascii="宋体" w:hAnsi="宋体" w:eastAsia="宋体" w:cs="宋体"/>
          <w:color w:val="auto"/>
          <w:sz w:val="30"/>
          <w:szCs w:val="30"/>
          <w:highlight w:val="none"/>
          <w:u w:val="none"/>
        </w:rPr>
        <w:t xml:space="preserve">第六章  采购需求</w:t>
      </w:r>
      <w:r>
        <w:rPr>
          <w:rStyle w:val="822"/>
          <w:rFonts w:hint="eastAsia" w:ascii="宋体" w:hAnsi="宋体" w:eastAsia="宋体" w:cs="宋体"/>
          <w:color w:val="auto"/>
          <w:sz w:val="30"/>
          <w:szCs w:val="30"/>
          <w:highlight w:val="none"/>
          <w:u w:val="none"/>
        </w:rPr>
        <w:fldChar w:fldCharType="end"/>
      </w:r>
      <w:r/>
    </w:p>
    <w:p>
      <w:pPr>
        <w:pStyle w:val="788"/>
        <w:ind w:firstLine="420"/>
        <w:spacing w:line="520" w:lineRule="exact"/>
        <w:rPr>
          <w:rStyle w:val="822"/>
          <w:rFonts w:hint="eastAsia" w:ascii="宋体" w:hAnsi="宋体" w:eastAsia="宋体" w:cs="宋体"/>
          <w:color w:val="auto"/>
          <w:sz w:val="30"/>
          <w:szCs w:val="30"/>
          <w:highlight w:val="none"/>
          <w:u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"_Toc523404701" \o "#_Toc523404701" </w:instrText>
      </w:r>
      <w:r>
        <w:rPr>
          <w:rFonts w:hint="eastAsia" w:ascii="宋体" w:hAnsi="宋体" w:eastAsia="宋体" w:cs="宋体"/>
          <w:color w:val="auto"/>
          <w:highlight w:val="none"/>
        </w:rPr>
        <w:fldChar w:fldCharType="separate"/>
      </w:r>
      <w:r>
        <w:rPr>
          <w:rStyle w:val="822"/>
          <w:rFonts w:hint="eastAsia" w:ascii="宋体" w:hAnsi="宋体" w:eastAsia="宋体" w:cs="宋体"/>
          <w:color w:val="auto"/>
          <w:sz w:val="30"/>
          <w:szCs w:val="30"/>
          <w:highlight w:val="none"/>
          <w:u w:val="none"/>
        </w:rPr>
        <w:t xml:space="preserve">第七章  投标文件相关格</w:t>
      </w:r>
      <w:bookmarkStart w:id="1" w:name="_Hlt532911771"/>
      <w:r/>
      <w:bookmarkStart w:id="2" w:name="_Hlt532911772"/>
      <w:r>
        <w:rPr>
          <w:rStyle w:val="822"/>
          <w:rFonts w:hint="eastAsia" w:ascii="宋体" w:hAnsi="宋体" w:eastAsia="宋体" w:cs="宋体"/>
          <w:color w:val="auto"/>
          <w:sz w:val="30"/>
          <w:szCs w:val="30"/>
          <w:highlight w:val="none"/>
          <w:u w:val="none"/>
        </w:rPr>
        <w:t xml:space="preserve">式</w:t>
      </w:r>
      <w:bookmarkEnd w:id="1"/>
      <w:r/>
      <w:bookmarkEnd w:id="2"/>
      <w:r>
        <w:rPr>
          <w:rStyle w:val="822"/>
          <w:rFonts w:hint="eastAsia" w:ascii="宋体" w:hAnsi="宋体" w:eastAsia="宋体" w:cs="宋体"/>
          <w:color w:val="auto"/>
          <w:sz w:val="30"/>
          <w:szCs w:val="30"/>
          <w:highlight w:val="none"/>
          <w:u w:val="none"/>
        </w:rPr>
        <w:fldChar w:fldCharType="end"/>
      </w:r>
      <w:r/>
    </w:p>
    <w:p>
      <w:pPr>
        <w:pStyle w:val="844"/>
        <w:ind w:lef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4"/>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widowControl/>
        <w:rPr>
          <w:rFonts w:hint="eastAsia" w:ascii="宋体" w:hAnsi="宋体" w:eastAsia="宋体" w:cs="宋体"/>
          <w:b/>
          <w:color w:val="auto"/>
          <w:sz w:val="44"/>
          <w:szCs w:val="44"/>
          <w:highlight w:val="none"/>
        </w:rPr>
        <w:sectPr>
          <w:footerReference w:type="default" r:id="rId11"/>
          <w:footnotePr/>
          <w:endnotePr/>
          <w:type w:val="nextPage"/>
          <w:pgSz w:w="11906" w:h="16839" w:orient="portrait"/>
          <w:pgMar w:top="1431" w:right="1133" w:bottom="1156" w:left="1344" w:header="0" w:footer="1031" w:gutter="0"/>
          <w:cols w:num="1" w:sep="0" w:space="1701" w:equalWidth="1"/>
          <w:docGrid w:linePitch="360"/>
        </w:sectPr>
      </w:pPr>
      <w:r>
        <w:rPr>
          <w:rFonts w:hint="eastAsia" w:ascii="宋体" w:hAnsi="宋体" w:eastAsia="宋体" w:cs="宋体"/>
          <w:b/>
          <w:color w:val="auto"/>
          <w:sz w:val="44"/>
          <w:szCs w:val="44"/>
          <w:highlight w:val="none"/>
        </w:rPr>
      </w:r>
      <w:r/>
    </w:p>
    <w:p>
      <w:pPr>
        <w:pStyle w:val="788"/>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徐州市水务局</w:t>
      </w:r>
      <w:r/>
    </w:p>
    <w:p>
      <w:pPr>
        <w:pStyle w:val="788"/>
        <w:jc w:val="center"/>
        <w:spacing w:line="52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《2026年度市直管雨、污水管渠维修养护市场化项目》招标文件</w:t>
      </w:r>
      <w:r/>
    </w:p>
    <w:p>
      <w:pPr>
        <w:pStyle w:val="788"/>
        <w:ind w:firstLine="60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88"/>
        <w:spacing w:line="3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93"/>
        <w:spacing w:line="520" w:lineRule="exact"/>
        <w:rPr>
          <w:rFonts w:hint="eastAsia" w:ascii="宋体" w:hAnsi="宋体" w:eastAsia="宋体" w:cs="宋体"/>
          <w:color w:val="auto"/>
          <w:highlight w:val="none"/>
        </w:rPr>
      </w:pPr>
      <w:r/>
      <w:bookmarkStart w:id="3" w:name="_Toc24257"/>
      <w:r>
        <w:rPr>
          <w:rFonts w:hint="eastAsia" w:ascii="宋体" w:hAnsi="宋体" w:eastAsia="宋体" w:cs="宋体"/>
          <w:color w:val="auto"/>
          <w:highlight w:val="none"/>
        </w:rPr>
        <w:t xml:space="preserve">第一章  投标邀请</w:t>
      </w:r>
      <w:bookmarkEnd w:id="3"/>
      <w:r/>
      <w:r/>
    </w:p>
    <w:p>
      <w:pPr>
        <w:pStyle w:val="788"/>
        <w:jc w:val="center"/>
        <w:spacing w:line="3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88"/>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徐州市通源招标代理有限公司</w:t>
      </w:r>
      <w:r>
        <w:rPr>
          <w:rFonts w:hint="eastAsia" w:ascii="宋体" w:hAnsi="宋体" w:eastAsia="宋体" w:cs="宋体"/>
          <w:color w:val="auto"/>
          <w:sz w:val="24"/>
          <w:highlight w:val="none"/>
        </w:rPr>
        <w:t xml:space="preserve">对</w:t>
      </w:r>
      <w:r>
        <w:rPr>
          <w:rFonts w:hint="eastAsia" w:ascii="宋体" w:hAnsi="宋体" w:eastAsia="宋体" w:cs="宋体"/>
          <w:color w:val="auto"/>
          <w:sz w:val="24"/>
          <w:highlight w:val="none"/>
          <w:u w:val="single"/>
        </w:rPr>
        <w:t xml:space="preserve">徐州市水务局</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2026年度市直管雨、污水管渠维修养护市场化项目</w:t>
      </w:r>
      <w:r>
        <w:rPr>
          <w:rFonts w:hint="eastAsia" w:ascii="宋体" w:hAnsi="宋体" w:eastAsia="宋体" w:cs="宋体"/>
          <w:color w:val="auto"/>
          <w:sz w:val="24"/>
          <w:highlight w:val="none"/>
        </w:rPr>
        <w:t xml:space="preserve">进行公开招标采购，现欢迎符合相关条件的投标人投标。</w:t>
      </w:r>
      <w:r/>
    </w:p>
    <w:p>
      <w:pPr>
        <w:pStyle w:val="788"/>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一、项目名称和项目编号</w:t>
      </w:r>
      <w:r/>
    </w:p>
    <w:p>
      <w:pPr>
        <w:pStyle w:val="788"/>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(一)项目名称：</w:t>
      </w:r>
      <w:bookmarkStart w:id="4" w:name="OLE_LINK68"/>
      <w:r/>
      <w:bookmarkStart w:id="5" w:name="OLE_LINK69"/>
      <w:r>
        <w:rPr>
          <w:rFonts w:hint="eastAsia" w:ascii="宋体" w:hAnsi="宋体" w:eastAsia="宋体" w:cs="宋体"/>
          <w:color w:val="auto"/>
          <w:sz w:val="24"/>
          <w:highlight w:val="none"/>
        </w:rPr>
        <w:t xml:space="preserve">2026年度市直管雨、污水管渠维修养护市场化项目</w:t>
      </w:r>
      <w:bookmarkEnd w:id="4"/>
      <w:r/>
      <w:bookmarkEnd w:id="5"/>
      <w:r/>
      <w:r/>
    </w:p>
    <w:p>
      <w:pPr>
        <w:pStyle w:val="788"/>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(二)项目编号：JSZC-320300-XZTY-G2026-0001</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二、对投标人的资格要求</w:t>
      </w:r>
      <w:r/>
    </w:p>
    <w:p>
      <w:pPr>
        <w:pStyle w:val="788"/>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详见本项目公开招标公告。</w:t>
      </w:r>
      <w:r/>
    </w:p>
    <w:p>
      <w:pPr>
        <w:pStyle w:val="788"/>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三、获取招标文件</w:t>
      </w:r>
      <w:bookmarkEnd w:id="0"/>
      <w:r/>
      <w:r/>
    </w:p>
    <w:p>
      <w:pPr>
        <w:pStyle w:val="788"/>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（1）潜在供应商访问电子招标投标交易平台的网络地址和方法：</w:t>
      </w:r>
      <w:r/>
    </w:p>
    <w:p>
      <w:pPr>
        <w:pStyle w:val="788"/>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88"/>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②潜在供应商访问“苏采云”系统的网络地址和方法：“苏采云”系统的网址：https://jszfcg.jsczt.cn/jszc/login；或进入徐州政府采购网（网址：http://czj.xz.gov.cn/Home/HomeIndex）--业务工作--用户登录，点击“苏采云”进入系统。</w:t>
      </w:r>
      <w:r/>
    </w:p>
    <w:p>
      <w:pPr>
        <w:pStyle w:val="788"/>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③“CA数字证书”的获取：</w:t>
      </w:r>
      <w:r/>
    </w:p>
    <w:p>
      <w:pPr>
        <w:pStyle w:val="788"/>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88"/>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88"/>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（2）采购代理机构将数据电文形式的招标文件加载至电子招标投标交易平台，供潜在供应商下载或者查阅。</w:t>
      </w:r>
      <w:r/>
    </w:p>
    <w:p>
      <w:pPr>
        <w:pStyle w:val="788"/>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（3）苏采云系统使用谷歌浏览器参与不见面开标。</w:t>
      </w:r>
      <w:r/>
    </w:p>
    <w:p>
      <w:pPr>
        <w:pStyle w:val="788"/>
        <w:ind w:firstLine="480"/>
        <w:spacing w:line="44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（4）售价：免费。</w:t>
      </w:r>
      <w:r/>
    </w:p>
    <w:p>
      <w:pPr>
        <w:pStyle w:val="788"/>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特别说明：“招标文件提供期限”后仍可以下载招标文件，“招标文件提供期限”后下载的招标文件，视为非有效方式且不作为供应商权益受到损害的证明材料和依据。</w:t>
      </w:r>
      <w:r/>
    </w:p>
    <w:p>
      <w:pPr>
        <w:pStyle w:val="788"/>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四、提交投标文件截止时间、开标时间和地点</w:t>
      </w:r>
      <w:r/>
    </w:p>
    <w:p>
      <w:pPr>
        <w:pStyle w:val="788"/>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（一）投标截止时间：2026年9月8日北京时间9：30。</w:t>
      </w:r>
      <w:r/>
    </w:p>
    <w:p>
      <w:pPr>
        <w:pStyle w:val="788"/>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（二）开标时间：2026年9月8日北京时间9：30。</w:t>
      </w:r>
      <w:r/>
    </w:p>
    <w:p>
      <w:pPr>
        <w:pStyle w:val="788"/>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（三）开标地点：“苏采云”系统“开标大厅”或进入江苏政府采购网--办事指南--供应商--供应商进入，点击“苏采云”进入系统“开标大厅”。</w:t>
      </w:r>
      <w:r/>
    </w:p>
    <w:p>
      <w:pPr>
        <w:pStyle w:val="788"/>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五、采购人</w:t>
      </w:r>
      <w:r/>
    </w:p>
    <w:p>
      <w:pPr>
        <w:pStyle w:val="788"/>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（一）名称：徐州市水务局</w:t>
      </w:r>
      <w:r/>
    </w:p>
    <w:p>
      <w:pPr>
        <w:pStyle w:val="788"/>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（二）地址：徐州市泉山区凤鸣路23-5附近</w:t>
      </w:r>
      <w:r/>
    </w:p>
    <w:p>
      <w:pPr>
        <w:pStyle w:val="788"/>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（三）联系方法：0516-83685018</w:t>
      </w:r>
      <w:r/>
    </w:p>
    <w:p>
      <w:pPr>
        <w:pStyle w:val="788"/>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（四）采购项目联系人：许津铭</w:t>
      </w:r>
      <w:r/>
    </w:p>
    <w:p>
      <w:pPr>
        <w:pStyle w:val="788"/>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六、采购代理机构</w:t>
      </w:r>
      <w:r/>
    </w:p>
    <w:p>
      <w:pPr>
        <w:pStyle w:val="788"/>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（一）名称：徐州市通源招标代理有限公司</w:t>
      </w:r>
      <w:r/>
    </w:p>
    <w:p>
      <w:pPr>
        <w:pStyle w:val="788"/>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（二）地址：徐州市新城区新安路9号 </w:t>
      </w:r>
      <w:r/>
    </w:p>
    <w:p>
      <w:pPr>
        <w:pStyle w:val="788"/>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（三）联系方法：0516-80802220</w:t>
      </w:r>
      <w:r/>
    </w:p>
    <w:p>
      <w:pPr>
        <w:pStyle w:val="788"/>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（四）采购项目联系人：唐流霞</w:t>
      </w:r>
      <w:r/>
    </w:p>
    <w:p>
      <w:pPr>
        <w:ind w:firstLine="482"/>
        <w:spacing w:line="440" w:lineRule="exact"/>
        <w:rPr>
          <w:rFonts w:hint="eastAsia" w:ascii="宋体" w:hAnsi="宋体" w:eastAsia="宋体" w:cs="宋体"/>
          <w:color w:val="auto"/>
          <w:sz w:val="24"/>
          <w:szCs w:val="24"/>
          <w:highlight w:val="none"/>
        </w:rPr>
      </w:pPr>
      <w:r/>
      <w:bookmarkStart w:id="6" w:name="_Toc522790131"/>
      <w:r/>
      <w:bookmarkStart w:id="7" w:name="_Toc6866"/>
      <w:r>
        <w:rPr>
          <w:rFonts w:hint="eastAsia" w:ascii="宋体" w:hAnsi="宋体" w:eastAsia="宋体" w:cs="宋体"/>
          <w:b/>
          <w:bCs/>
          <w:color w:val="auto"/>
          <w:sz w:val="24"/>
          <w:szCs w:val="24"/>
          <w:highlight w:val="none"/>
        </w:rPr>
        <w:br w:type="page" w:clear="all"/>
      </w:r>
      <w:r/>
    </w:p>
    <w:p>
      <w:pPr>
        <w:pStyle w:val="993"/>
        <w:spacing w:line="520" w:lineRule="exact"/>
        <w:rPr>
          <w:rFonts w:hint="eastAsia" w:ascii="宋体" w:hAnsi="宋体" w:eastAsia="宋体" w:cs="宋体"/>
          <w:color w:val="auto"/>
          <w:highlight w:val="none"/>
        </w:rPr>
      </w:pPr>
      <w:r>
        <w:rPr>
          <w:rFonts w:hint="eastAsia" w:ascii="宋体" w:hAnsi="宋体" w:eastAsia="宋体" w:cs="宋体"/>
          <w:b w:val="0"/>
          <w:bCs w:val="0"/>
          <w:color w:val="auto"/>
          <w:highlight w:val="none"/>
        </w:rPr>
        <w:t xml:space="preserve">第二章  投标人须知</w:t>
      </w:r>
      <w:bookmarkEnd w:id="6"/>
      <w:r/>
      <w:bookmarkEnd w:id="7"/>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一、总则</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（一）采购人。采购人即指依法进行政府采购的国家机关、事业单位和团体组织。</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（二）政府招标采购方式。政府采购货物或服务（以下简称“货物服务”）的招标方式，分为公开招标和邀请招标。</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（五）采购人委托采购代理机构代理招标的，采购代理机构必须在采购人委托的范围内依法开展采购活动。</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（六）投标人的资格条件：</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1.参加“政府采购货物服务投标活动”的投标人（以下简称投标人），应当是能够提供本国货物服务的本国投标人，但法律、行政法规规定的外国投标人可以参加货物服务招标投标活动的除外。</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投标人是指响应招标、参加投标竞争的法人、其他组织或者自然人。</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2.投标人授权代表系指法定代表人或受法人委托的受托人。</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（七）投标费用：投标人应承担所有与准备和参加投标有关的费用。无论投标的结果如何，采购代理机构对上述费用不承担任何责任和义务。</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二、招标</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（八）招标文件应包括以下内容：</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第一章，投标邀请；</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第二章，投标人须知；</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第三章，投标资料表；</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第四章，评标标准；</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第五章，拟签订的合同文本；</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第六章，采购需求；</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第七章，投标文件相关格式。</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（九）招标文件澄清或者修改：</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2.现场考察以本文件第三章《投标资料表》中的要求为准。</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3.开标前答疑会以本文件第三章《投标资料表》中的要求为准。</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三、投标</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（十）投标人应当按照招标文件的要求编制投标文件。投标文件应对招标文件提出的要求和条件作出实质性响应。</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（十一）投标文件的语言。投标文件以及投标人与采购代理机构就有关投标的往来函电均应使用本文件第三章《投标资料表》规定的语言书写，否则无效。</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（十二）投标文件的构成：</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1.投标文件的构成以本文件第三章《投标资料表》中的要求为准。</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2.投标人应当提交的资格、资信证明文件，以本文件第三章《投标资料表》中的所提要求为准。</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（十三）投标函和价格表、商务条件、交货和提供服务的时间：</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1.投标函和价格表的要求见本章（十二）、（十三），格式见本文件第七章《投标文件相关格式》中《投标函》和《开标一览表》。</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2.商务条件以本文件第三章《投标资料表》中的要求为准。</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3.交货和提供服务的时间，以本文件第三章《投标资料表》中所提要求为准。</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（十四）投标报价要求：</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1.投标人应按照招标文件的要求报出分项价格和总价。</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2.投标人应按照招标文件的要求进行报价，如投标人作出偏离，应在《偏离表》中列出。</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3.采购人不支付报价以外的任何费用。</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5.投标人只能提交一个投标价格，投标人提交多个价格的投标文件，在资格性、符合性检查时按照无效投标处理。</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（十五）投标货币。以本文件第三章《投标资料表》中所提要求为准。</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（十六）投标有效期：</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1.投标有效期为开标之日后90天。采购人可以要求对投标有效期延长一次，但该延长期最长不得超过30天。</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3.如果采购人发出要求延长投标有效期的通知，并在投标有效期届满前，没有收到投标人同意的书面通知，则视为该投标人不接受上述延期的要求。</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（十七）投标文件的编制要求和签署要求：</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（1）投标人应由其法定代表人或法定代表人授权代表在规定的网上投标时间，凭CA证书登陆“苏采云”系统在线编制投标文件（电子数据），并在投标截止时间之前上传投标文件。</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（2）投标人应对 CA 证书妥善保管，如被他人盗用投标，因此带来的结果均由投标人自行承担。</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（3）投标人应当对招标文件提出的要求和条件作出实质性响应，并在电子投标系统逐条应答。</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（4）投标人应对要求提供的资格证明文件（如资质证书、资格证书）、技术资料（如白皮书、彩页、手册、检测报告等）扫描上传至投标系统。</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（十八）投标文件的盖章要求</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投标文件的盖章要求以招标文件第三章《投标资料表》中的要求为准。</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（二十一）</w:t>
      </w:r>
      <w:r>
        <w:rPr>
          <w:rFonts w:hint="eastAsia" w:ascii="宋体" w:hAnsi="宋体" w:eastAsia="宋体" w:cs="宋体"/>
          <w:color w:val="auto"/>
          <w:sz w:val="24"/>
          <w:szCs w:val="24"/>
          <w:highlight w:val="none"/>
        </w:rPr>
        <w:t xml:space="preserve">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（二十二）本项目不允许分包。</w:t>
      </w:r>
      <w:r/>
    </w:p>
    <w:p>
      <w:pPr>
        <w:ind w:firstLine="480"/>
        <w:spacing w:line="440" w:lineRule="exact"/>
        <w:shd w:val="clear" w:color="ffffff"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（二十三）投标人应当遵循公平竞争的原则，不得恶意串通，不得妨碍其他投标人的竞争行为，不得损害采购人或者其他投标人的合法权益。</w:t>
      </w:r>
      <w:r/>
    </w:p>
    <w:p>
      <w:pPr>
        <w:ind w:firstLine="480"/>
        <w:spacing w:line="440" w:lineRule="exact"/>
        <w:shd w:val="clear" w:color="ffffff"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在评标过程中发现投标人有上述情形的，评标委员会应当认定其投标无效，并书面报告本级财政部门。</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（二十四）有下列情形之一的，其投标无效。</w:t>
      </w:r>
      <w:r/>
    </w:p>
    <w:p>
      <w:pPr>
        <w:ind w:firstLine="480"/>
        <w:spacing w:line="440" w:lineRule="exact"/>
        <w:shd w:val="clear" w:color="ffffff"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1.不同投标人的投标文件，由同一单位或者个人编制；</w:t>
      </w:r>
      <w:r/>
    </w:p>
    <w:p>
      <w:pPr>
        <w:ind w:firstLine="480"/>
        <w:spacing w:line="440" w:lineRule="exact"/>
        <w:shd w:val="clear" w:color="ffffff"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2.不同投标人委托同一单位或者个人办理投标事宜；</w:t>
      </w:r>
      <w:r/>
    </w:p>
    <w:p>
      <w:pPr>
        <w:ind w:firstLine="480"/>
        <w:spacing w:line="440" w:lineRule="exact"/>
        <w:shd w:val="clear" w:color="ffffff"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3.不同投标人的投标文件中，所载明的项目管理成员或联系人为同一人；</w:t>
      </w:r>
      <w:r/>
    </w:p>
    <w:p>
      <w:pPr>
        <w:ind w:firstLine="480"/>
        <w:spacing w:line="440" w:lineRule="exact"/>
        <w:shd w:val="clear" w:color="ffffff"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4.不同投标人的投标文件，异常一致或者投标报价呈规律性差异；</w:t>
      </w:r>
      <w:r/>
    </w:p>
    <w:p>
      <w:pPr>
        <w:ind w:firstLine="480"/>
        <w:spacing w:line="440" w:lineRule="exact"/>
        <w:shd w:val="clear" w:color="ffffff"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5.不同投标人的投标文件相互混装；</w:t>
      </w:r>
      <w:r/>
    </w:p>
    <w:p>
      <w:pPr>
        <w:ind w:firstLine="480"/>
        <w:spacing w:line="440" w:lineRule="exact"/>
        <w:shd w:val="clear" w:color="ffffff"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spacing w:line="440" w:lineRule="exact"/>
        <w:shd w:val="clear" w:color="ffffff"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7.电子投标文件未按规定期限投标的；</w:t>
      </w:r>
      <w:r/>
    </w:p>
    <w:p>
      <w:pPr>
        <w:ind w:firstLine="480"/>
        <w:spacing w:line="440" w:lineRule="exact"/>
        <w:shd w:val="clear" w:color="ffffff"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8.投标文件未按招标文件要求签署和盖章的；</w:t>
      </w:r>
      <w:r/>
    </w:p>
    <w:p>
      <w:pPr>
        <w:ind w:firstLine="480"/>
        <w:spacing w:line="440" w:lineRule="exact"/>
        <w:shd w:val="clear" w:color="ffffff"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9.投标人未在规定时间内解密电子投标文件的；</w:t>
      </w:r>
      <w:r/>
    </w:p>
    <w:p>
      <w:pPr>
        <w:ind w:firstLine="480"/>
        <w:spacing w:line="440" w:lineRule="exact"/>
        <w:shd w:val="clear" w:color="ffffff"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10.投标文件未按招标文件规定的内容和要求填写的； </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11.不具备招标文件中规定的资格要求的；</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12.报价超过招标文件中规定的预算金额或者最高限价的；</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13.投标文件含有采购人不能接受的附加条件的；</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14.法律、法规和招标文件规定的其他无效情形。</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四、开标</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（二十五）开标：</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1.开标时间及地点。开标应当在招标文件确定的提交投标文件截止时间的同一时间公开进行；开标地点应当为招标文件中预先确定的地点。</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2.由电子招标投标交易平台主持，邀请投标人参加。</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3.所有投标单位凭CA证书在到达开标时间时，解密各自投标文件，由工作人员操作系统进行开标，投标人不足3家的，不得开标。</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五、评标</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（二十六）公开招标采购项目开标结束后，采购人依法对投标人的资格进行审查。合格投标人不足3家的，不得评标。</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1.评标工作由采购代理机构负责组织，并履行下列职责：</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（2）宣布评标纪律；</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（3）公布投标人名单，告知评审专家应当回避的情形；</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（4）组织评标委员会推选评标组长（采购人代表不得担任组长）；</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（5）在评标期间采取必要的通讯管理措施，保证评标活动不受外界干扰；</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（6）根据评标委员会的要求介绍政府采购相关政策法规、招标文件；</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（8）核对评标结果，对有《</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"http://www.caigou2003.com/" \o "http://www.caigou2003.com/" </w:instrText>
      </w:r>
      <w:r>
        <w:rPr>
          <w:rFonts w:hint="eastAsia" w:ascii="宋体" w:hAnsi="宋体" w:eastAsia="宋体" w:cs="宋体"/>
          <w:color w:val="auto"/>
          <w:highlight w:val="none"/>
        </w:rPr>
        <w:fldChar w:fldCharType="separate"/>
      </w:r>
      <w:r>
        <w:rPr>
          <w:rStyle w:val="1028"/>
          <w:rFonts w:hint="eastAsia" w:ascii="宋体" w:hAnsi="宋体" w:eastAsia="宋体" w:cs="宋体"/>
          <w:color w:val="auto"/>
          <w:sz w:val="24"/>
          <w:highlight w:val="none"/>
        </w:rPr>
        <w:t xml:space="preserve">政府采购</w:t>
      </w:r>
      <w:r>
        <w:rPr>
          <w:rStyle w:val="1028"/>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（9）评审工作完成后，按照规定向评审专家支付劳务报酬和异地评审差旅费，不得向评审专家以外的其他人员支付评审劳务报酬； </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（10）处理与评标有关的其他事项。</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2.评标委员会负责具体评标事务，并独立履行下列职责：</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（1）审查、评价投标文件是否符合招标文件的商务、技术等实质性要求；</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（2）要求投标人对投标文件有关事项作出澄清或者说明；</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（3）对投标文件进行比较和评价；</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（4）确定中标候选人名单，以及根据采购人委托直接确定中标人；</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（5）向采购人、采购代理机构或有关部门报告评标中发现的违法行为。</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（二十七）评标方法分为最低评标价法和综合评分法。</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（二十八）评标</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1.评标工作程序：</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（1）投标文件初审。</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①资格性审查。</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②符合性审查。</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（2）澄清有关问题。</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（3）比较与评价。</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（4）推荐中标候选投标人名单。</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（5）编写评审报告（评标报告）。</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spacing w:line="440" w:lineRule="exact"/>
        <w:shd w:val="clear" w:color="ffffff"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3.采用</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"http://lilun.caigou2003.com/recijiedu/2365668.html" \o "http://lilun.caigou2003.com/recijiedu/2365668.html" </w:instrText>
      </w:r>
      <w:r>
        <w:rPr>
          <w:rFonts w:hint="eastAsia" w:ascii="宋体" w:hAnsi="宋体" w:eastAsia="宋体" w:cs="宋体"/>
          <w:color w:val="auto"/>
          <w:highlight w:val="none"/>
        </w:rPr>
        <w:fldChar w:fldCharType="separate"/>
      </w:r>
      <w:r>
        <w:rPr>
          <w:rStyle w:val="1028"/>
          <w:rFonts w:hint="eastAsia" w:ascii="宋体" w:hAnsi="宋体" w:eastAsia="宋体" w:cs="宋体"/>
          <w:color w:val="auto"/>
          <w:sz w:val="24"/>
          <w:highlight w:val="none"/>
        </w:rPr>
        <w:t xml:space="preserve">最低评标价法</w:t>
      </w:r>
      <w:r>
        <w:rPr>
          <w:rStyle w:val="1028"/>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440" w:lineRule="exact"/>
        <w:shd w:val="clear" w:color="ffffff"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采用</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"http://lilun.caigou2003.com/recijiedu/2365667.html" \o "http://lilun.caigou2003.com/recijiedu/2365667.html" </w:instrText>
      </w:r>
      <w:r>
        <w:rPr>
          <w:rFonts w:hint="eastAsia" w:ascii="宋体" w:hAnsi="宋体" w:eastAsia="宋体" w:cs="宋体"/>
          <w:color w:val="auto"/>
          <w:highlight w:val="none"/>
        </w:rPr>
        <w:fldChar w:fldCharType="separate"/>
      </w:r>
      <w:r>
        <w:rPr>
          <w:rStyle w:val="1028"/>
          <w:rFonts w:hint="eastAsia" w:ascii="宋体" w:hAnsi="宋体" w:eastAsia="宋体" w:cs="宋体"/>
          <w:color w:val="auto"/>
          <w:sz w:val="24"/>
          <w:highlight w:val="none"/>
        </w:rPr>
        <w:t xml:space="preserve">综合评分法</w:t>
      </w:r>
      <w:r>
        <w:rPr>
          <w:rStyle w:val="1028"/>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非单一产品采购项目，多家投标人提供的核心产品品牌相同的，按前两款规定处理。</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（二十九）投标文件报价出现前后不一致的，按照下列规定修正：</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1.投标文件中开标一览表（报价表）内容与投标文件中相应内容不一致的，以开标一览表（报价表）为准；</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2.大写金额和小写金额不一致的，以大写金额为准；</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4.总价金额与按单价合计金额不一致的，以单价金额计算结果为准。</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评标中需要投标人对投标文件澄清或者说明的，应当通过“苏采云”系统交换数据电文。在评标期间，请投标人保持在线。</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（三十）实施政府采购异常低价审查的有关要求：</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（一）评审中出现下列情形之一的，评审（评标）委员会应当启动异常低价投标（响应）审查程序：</w:t>
      </w:r>
      <w:r/>
    </w:p>
    <w:p>
      <w:pPr>
        <w:ind w:firstLine="480"/>
        <w:spacing w:line="440" w:lineRule="exac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1.投标（响应）报价低于全部通过符合性审查供应商投标（响应）报价平均值</w:t>
      </w:r>
      <w:r>
        <w:rPr>
          <w:rFonts w:hint="eastAsia" w:ascii="宋体" w:hAnsi="宋体" w:eastAsia="宋体" w:cs="宋体"/>
          <w:b/>
          <w:bCs/>
          <w:color w:val="auto"/>
          <w:sz w:val="24"/>
          <w:highlight w:val="none"/>
        </w:rPr>
        <w:t xml:space="preserve">50%的</w:t>
      </w:r>
      <w:r>
        <w:rPr>
          <w:rFonts w:hint="eastAsia" w:ascii="宋体" w:hAnsi="宋体" w:eastAsia="宋体" w:cs="宋体"/>
          <w:color w:val="auto"/>
          <w:sz w:val="24"/>
          <w:highlight w:val="none"/>
        </w:rPr>
        <w:t xml:space="preserve">，即投标（响应）报价&lt;全部通过符合性审查供应商投标（响应）报价平均值</w:t>
      </w:r>
      <w:r>
        <w:rPr>
          <w:rFonts w:hint="eastAsia" w:ascii="宋体" w:hAnsi="宋体" w:eastAsia="宋体" w:cs="宋体"/>
          <w:b/>
          <w:bCs/>
          <w:color w:val="auto"/>
          <w:sz w:val="24"/>
          <w:highlight w:val="none"/>
        </w:rPr>
        <w:t xml:space="preserve">×50%；</w:t>
      </w:r>
      <w:r/>
    </w:p>
    <w:p>
      <w:pPr>
        <w:ind w:firstLine="480"/>
        <w:spacing w:line="440" w:lineRule="exac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2.投标（响应）报价低于通过符合性审查的次低报价供应商投标（响应）报价</w:t>
      </w:r>
      <w:r>
        <w:rPr>
          <w:rFonts w:hint="eastAsia" w:ascii="宋体" w:hAnsi="宋体" w:eastAsia="宋体" w:cs="宋体"/>
          <w:b/>
          <w:bCs/>
          <w:color w:val="auto"/>
          <w:sz w:val="24"/>
          <w:highlight w:val="none"/>
        </w:rPr>
        <w:t xml:space="preserve">50%的</w:t>
      </w:r>
      <w:r>
        <w:rPr>
          <w:rFonts w:hint="eastAsia" w:ascii="宋体" w:hAnsi="宋体" w:eastAsia="宋体" w:cs="宋体"/>
          <w:color w:val="auto"/>
          <w:sz w:val="24"/>
          <w:highlight w:val="none"/>
        </w:rPr>
        <w:t xml:space="preserve">，即投标（响应）报价&lt;通过符合性审查的次低报价供应商投标（响应）报价</w:t>
      </w:r>
      <w:r>
        <w:rPr>
          <w:rFonts w:hint="eastAsia" w:ascii="宋体" w:hAnsi="宋体" w:eastAsia="宋体" w:cs="宋体"/>
          <w:b/>
          <w:bCs/>
          <w:color w:val="auto"/>
          <w:sz w:val="24"/>
          <w:highlight w:val="none"/>
        </w:rPr>
        <w:t xml:space="preserve">×50%；</w:t>
      </w:r>
      <w:r/>
    </w:p>
    <w:p>
      <w:pPr>
        <w:ind w:firstLine="480"/>
        <w:spacing w:line="440" w:lineRule="exac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3.投标（响应）报价低于采购项目最高限价（未设定最高限价的采购项目，以采购项目预算金额作为最高限价）</w:t>
      </w:r>
      <w:r>
        <w:rPr>
          <w:rFonts w:hint="eastAsia" w:ascii="宋体" w:hAnsi="宋体" w:eastAsia="宋体" w:cs="宋体"/>
          <w:b/>
          <w:bCs/>
          <w:color w:val="auto"/>
          <w:sz w:val="24"/>
          <w:highlight w:val="none"/>
        </w:rPr>
        <w:t xml:space="preserve">45%的，</w:t>
      </w:r>
      <w:r>
        <w:rPr>
          <w:rFonts w:hint="eastAsia" w:ascii="宋体" w:hAnsi="宋体" w:eastAsia="宋体" w:cs="宋体"/>
          <w:color w:val="auto"/>
          <w:sz w:val="24"/>
          <w:highlight w:val="none"/>
        </w:rPr>
        <w:t xml:space="preserve">即投标（响应）报价&lt;采购项目最高限价</w:t>
      </w:r>
      <w:r>
        <w:rPr>
          <w:rFonts w:hint="eastAsia" w:ascii="宋体" w:hAnsi="宋体" w:eastAsia="宋体" w:cs="宋体"/>
          <w:b/>
          <w:bCs/>
          <w:color w:val="auto"/>
          <w:sz w:val="24"/>
          <w:highlight w:val="none"/>
        </w:rPr>
        <w:t xml:space="preserve">×45%；</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4.评审（评标）委员会基于专业判断，认为供应商报价过低，有可能影响产品质量或者不能诚信履约的其他情形。</w:t>
      </w:r>
      <w:bookmarkStart w:id="8" w:name="OLE_LINK46"/>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相关法律法规对供应商报价有规定的，从其规定。</w:t>
      </w:r>
      <w:bookmarkEnd w:id="8"/>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highlight w:val="none"/>
        </w:rPr>
        <w:t xml:space="preserve">其中，属于第3项情形，供应商已随投标（响应）文件一并提交相关书面说明及必要的证明材料的，在评审现场可不再重复提交。</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（三十二）废标条款：</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出现下列情形之一的，应予废标。</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1.符合专业条件的投标人或者对招标文件作实质响应的投标人不足三家的；</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2.出现影响采购公正的违法、违规行为的；</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3.投标人的报价均超过了采购预算，采购人不能支付的；</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4.因重大变故，采购任务取消的。</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六、定标</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（三十三）采购代理机构应当在评标结束后2个工作日内将评标报告送采购人。</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（三十四）采购人应当自收到评标报告之日起5个工作日内，在评标报告确定的中标候选人名单中按顺序确定中标人。</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七、政府采购合同</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（三十六）签订政府采购合同（合同签订方式）：</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采购人不得向中标人提出任何不合理的要求作为签订合同的条件。</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2.中标或者成交供应商拒绝与采购人签订合同的，采购人可以按照评审报告推荐的中标或者成交候选人名单排序，确定下一个候选人为中标人，也可以重新开展政府采购活动。</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（三十八）履约保证金</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1.中标人应当在评审结果公示日起三日内，向采购人提交本文件第三章《投标资料表》中规定金额的履约保证金。</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3.中标人凭采购人出具验收书的复印件及收款收据办理履约保证金退付手续。履约保证金在采购人处存放期间，不计利息。</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（三十九）腐败和欺诈行为：</w:t>
      </w:r>
      <w:r/>
    </w:p>
    <w:p>
      <w:pPr>
        <w:ind w:firstLine="480"/>
        <w:spacing w:line="440" w:lineRule="exact"/>
        <w:shd w:val="clear" w:color="ffffff"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采购代理机构、采购人、投标人等参与招投标的各方，均应在招标、采购、合同执行等过程中保持廉洁和最高的道德水准。</w:t>
      </w:r>
      <w:r/>
    </w:p>
    <w:p>
      <w:pPr>
        <w:ind w:firstLine="480"/>
        <w:spacing w:line="440" w:lineRule="exact"/>
        <w:shd w:val="clear" w:color="ffffff"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（1）腐败和欺诈行为的含义：</w:t>
      </w:r>
      <w:r/>
    </w:p>
    <w:p>
      <w:pPr>
        <w:ind w:firstLine="480"/>
        <w:spacing w:line="440" w:lineRule="exact"/>
        <w:shd w:val="clear" w:color="ffffff"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440" w:lineRule="exact"/>
        <w:shd w:val="clear" w:color="ffffff"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spacing w:line="440" w:lineRule="exact"/>
        <w:shd w:val="clear" w:color="ffffff"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（2）如果被推荐的中标人有腐败和欺诈行为，将取消其中标资格。</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（3）如果投标人在任何时候，被法院及政府有关管理部门认定为有腐败和欺诈行为，采购代理机构有权拒绝其投标、取消其中标资格和撤销其已签署的合同。</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八、询问和质疑</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（四十）询问和质疑</w:t>
      </w:r>
      <w:r/>
    </w:p>
    <w:p>
      <w:pPr>
        <w:ind w:firstLine="480"/>
        <w:spacing w:line="440" w:lineRule="exac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highlight w:val="none"/>
        </w:rPr>
        <w:t xml:space="preserve"> </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九、电子招标投标交易平台</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（四十一）电子招标投标交易平台（即“苏采云”系统，网址：http://jszfcg.jsczt.cn/）相关要求是本招标文件的组成部分。</w:t>
      </w:r>
      <w:r/>
    </w:p>
    <w:p>
      <w:pPr>
        <w:pStyle w:val="788"/>
        <w:ind w:firstLine="602"/>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3"/>
        <w:spacing w:line="520" w:lineRule="exact"/>
        <w:rPr>
          <w:rFonts w:hint="eastAsia" w:ascii="宋体" w:hAnsi="宋体" w:eastAsia="宋体" w:cs="宋体"/>
          <w:color w:val="auto"/>
          <w:highlight w:val="none"/>
        </w:rPr>
      </w:pPr>
      <w:r/>
      <w:bookmarkStart w:id="9" w:name="_Toc522790132"/>
      <w:r>
        <w:rPr>
          <w:rFonts w:hint="eastAsia" w:ascii="宋体" w:hAnsi="宋体" w:eastAsia="宋体" w:cs="宋体"/>
          <w:color w:val="auto"/>
          <w:highlight w:val="none"/>
        </w:rPr>
        <w:br w:type="page" w:clear="all"/>
      </w:r>
      <w:bookmarkStart w:id="10" w:name="_Toc12259"/>
      <w:r>
        <w:rPr>
          <w:rFonts w:hint="eastAsia" w:ascii="宋体" w:hAnsi="宋体" w:eastAsia="宋体" w:cs="宋体"/>
          <w:b w:val="0"/>
          <w:bCs w:val="0"/>
          <w:color w:val="auto"/>
          <w:highlight w:val="none"/>
        </w:rPr>
        <w:t xml:space="preserve">第三章  投标资料表</w:t>
      </w:r>
      <w:bookmarkEnd w:id="9"/>
      <w:r/>
      <w:bookmarkEnd w:id="10"/>
      <w:r/>
      <w:r/>
    </w:p>
    <w:p>
      <w:pPr>
        <w:pStyle w:val="788"/>
        <w:ind w:firstLine="600"/>
        <w:jc w:val="center"/>
        <w:spacing w:line="3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012"/>
        <w:ind w:firstLine="60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785"/>
        <w:tblpPr w:horzAnchor="page" w:tblpX="1681" w:vertAnchor="text" w:tblpY="27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7791"/>
      </w:tblGrid>
      <w:tr>
        <w:trPr/>
        <w:tc>
          <w:tcPr>
            <w:tcW w:w="1560" w:type="dxa"/>
            <w:textDirection w:val="lrTb"/>
            <w:noWrap w:val="false"/>
          </w:tcPr>
          <w:p>
            <w:pPr>
              <w:pStyle w:val="788"/>
              <w:jc w:val="center"/>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条款项号</w:t>
            </w:r>
            <w:r/>
          </w:p>
        </w:tc>
        <w:tc>
          <w:tcPr>
            <w:tcW w:w="7791" w:type="dxa"/>
            <w:textDirection w:val="lrTb"/>
            <w:noWrap w:val="false"/>
          </w:tcPr>
          <w:p>
            <w:pPr>
              <w:pStyle w:val="788"/>
              <w:jc w:val="center"/>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内    容</w:t>
            </w:r>
            <w:r/>
          </w:p>
        </w:tc>
      </w:tr>
      <w:tr>
        <w:trPr/>
        <w:tc>
          <w:tcPr>
            <w:tcW w:w="1560" w:type="dxa"/>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p>
        </w:tc>
        <w:tc>
          <w:tcPr>
            <w:tcW w:w="7791" w:type="dxa"/>
            <w:textDirection w:val="lrTb"/>
            <w:noWrap w:val="false"/>
          </w:tcPr>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总则</w:t>
            </w:r>
            <w:r/>
          </w:p>
        </w:tc>
      </w:tr>
      <w:tr>
        <w:trPr/>
        <w:tc>
          <w:tcPr>
            <w:tcW w:w="1560" w:type="dxa"/>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p>
        </w:tc>
        <w:tc>
          <w:tcPr>
            <w:tcW w:w="7791" w:type="dxa"/>
            <w:textDirection w:val="lrTb"/>
            <w:noWrap w:val="false"/>
          </w:tcPr>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本项目采购人：徐州市水务局</w:t>
            </w:r>
            <w:r/>
          </w:p>
        </w:tc>
      </w:tr>
      <w:tr>
        <w:trPr>
          <w:trHeight w:val="375"/>
        </w:trPr>
        <w:tc>
          <w:tcPr>
            <w:tcW w:w="1560" w:type="dxa"/>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W w:w="7791" w:type="dxa"/>
            <w:textDirection w:val="lrTb"/>
            <w:noWrap w:val="false"/>
          </w:tcPr>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本次采购采用的政府采购方式：公开招标</w:t>
            </w:r>
            <w:r/>
          </w:p>
        </w:tc>
      </w:tr>
      <w:tr>
        <w:trPr/>
        <w:tc>
          <w:tcPr>
            <w:tcW w:w="1560" w:type="dxa"/>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w:t>
            </w:r>
            <w:r/>
          </w:p>
        </w:tc>
        <w:tc>
          <w:tcPr>
            <w:tcW w:w="7791" w:type="dxa"/>
            <w:textDirection w:val="lrTb"/>
            <w:noWrap w:val="false"/>
          </w:tcPr>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采购人确定的采购项目属性：服务</w:t>
            </w:r>
            <w:r/>
          </w:p>
        </w:tc>
      </w:tr>
      <w:tr>
        <w:trPr/>
        <w:tc>
          <w:tcPr>
            <w:tcW w:w="1560" w:type="dxa"/>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w:t>
            </w:r>
            <w:r/>
          </w:p>
        </w:tc>
        <w:tc>
          <w:tcPr>
            <w:tcW w:w="7791" w:type="dxa"/>
            <w:textDirection w:val="lrTb"/>
            <w:noWrap w:val="false"/>
          </w:tcPr>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本项目采购代理机构：徐州市通源招标代理有限公司</w:t>
            </w:r>
            <w:r/>
          </w:p>
        </w:tc>
      </w:tr>
      <w:tr>
        <w:trPr/>
        <w:tc>
          <w:tcPr>
            <w:tcW w:w="1560" w:type="dxa"/>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w:t>
            </w:r>
            <w:r/>
          </w:p>
        </w:tc>
        <w:tc>
          <w:tcPr>
            <w:tcW w:w="7791" w:type="dxa"/>
            <w:textDirection w:val="lrTb"/>
            <w:noWrap w:val="false"/>
          </w:tcPr>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投标人的资格条件：</w:t>
            </w:r>
            <w:r/>
          </w:p>
          <w:p>
            <w:pPr>
              <w:pStyle w:val="788"/>
              <w:numPr>
                <w:ilvl w:val="0"/>
                <w:numId w:val="1"/>
              </w:num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符合《中华人民共和国政府采购法》第二十二条的规定；</w:t>
            </w:r>
            <w:r/>
          </w:p>
          <w:p>
            <w:pPr>
              <w:spacing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bookmarkStart w:id="11" w:name="OLE_LINK43"/>
            <w:r/>
            <w:bookmarkStart w:id="12" w:name="OLE_LINK48"/>
            <w:r>
              <w:rPr>
                <w:rFonts w:hint="eastAsia" w:ascii="宋体" w:hAnsi="宋体" w:eastAsia="宋体" w:cs="宋体"/>
                <w:color w:val="auto"/>
                <w:sz w:val="24"/>
                <w:highlight w:val="none"/>
              </w:rPr>
              <w:t xml:space="preserve">此项目属于专门面向中小微企业采购的项目，投标人应为中小微企业、监狱企业、残疾人福利性单位。</w:t>
            </w:r>
            <w:bookmarkEnd w:id="11"/>
            <w:r/>
            <w:bookmarkEnd w:id="12"/>
            <w:r/>
            <w:r/>
          </w:p>
          <w:p>
            <w:pPr>
              <w:spacing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三、本项目的特定资格要求：采购包1、采购包2的投标人具备</w:t>
            </w:r>
            <w:bookmarkStart w:id="13" w:name="OLE_LINK60"/>
            <w:r/>
            <w:bookmarkStart w:id="14" w:name="OLE_LINK59"/>
            <w:r>
              <w:rPr>
                <w:rFonts w:hint="eastAsia" w:ascii="宋体" w:hAnsi="宋体" w:eastAsia="宋体" w:cs="宋体"/>
                <w:color w:val="auto"/>
                <w:sz w:val="24"/>
                <w:szCs w:val="24"/>
                <w:highlight w:val="none"/>
              </w:rPr>
              <w:t xml:space="preserve">市政公用工程施工总承包贰级（含）及以上资质</w:t>
            </w:r>
            <w:bookmarkEnd w:id="13"/>
            <w:r/>
            <w:bookmarkEnd w:id="14"/>
            <w:r>
              <w:rPr>
                <w:rFonts w:hint="eastAsia" w:ascii="宋体" w:hAnsi="宋体" w:eastAsia="宋体" w:cs="宋体"/>
                <w:color w:val="auto"/>
                <w:sz w:val="24"/>
                <w:highlight w:val="none"/>
              </w:rPr>
              <w:t xml:space="preserve">（须提供相应资质证书原件的扫描件）</w:t>
            </w:r>
            <w:r>
              <w:rPr>
                <w:rFonts w:hint="eastAsia" w:ascii="宋体" w:hAnsi="宋体" w:eastAsia="宋体" w:cs="宋体"/>
                <w:color w:val="auto"/>
                <w:sz w:val="24"/>
                <w:szCs w:val="24"/>
                <w:highlight w:val="none"/>
              </w:rPr>
              <w:t xml:space="preserve">；采购包3的投标人无特定资格要求。</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同时明确相关事项如下：</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1、本项目不接受联合体投标</w:t>
            </w:r>
            <w:r>
              <w:rPr>
                <w:rFonts w:ascii="SimSun" w:hAnsi="SimSun" w:eastAsia="SimSun" w:cs="SimSun"/>
                <w:color w:val="000000"/>
                <w:sz w:val="24"/>
              </w:rPr>
              <w:t xml:space="preserve">，成交后不得转包或分包</w:t>
            </w:r>
            <w:r>
              <w:rPr>
                <w:rFonts w:hint="eastAsia" w:ascii="宋体" w:hAnsi="宋体" w:eastAsia="宋体" w:cs="宋体"/>
                <w:color w:val="auto"/>
                <w:sz w:val="24"/>
                <w:highlight w:val="none"/>
              </w:rPr>
              <w:t xml:space="preserve">。</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2、单位负责人为同一人或者存在直接控股、管理关系的不同投标人，不得参加同一合同项下的政府采购活动。</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3、为本采购项目提供整体设计、规范编制或者项目管理、监理、检测等服务的投标人，不得再参加本采购项目的采购活动。</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4、查询及使用供应商信用记录：</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(1)由采购人查询信用信息。</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(2)查询渠道包括：</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①“信用中国”网（www.creditchina.gov.cn）；</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②中国政府采购网（www.ccgp.gov.cn）；</w:t>
            </w:r>
            <w:r/>
          </w:p>
          <w:p>
            <w:pPr>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③“信用江苏”网（http://credit.jiangsu.gov.cn/）；</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④“信用中国(江苏徐州)”网（http://www.xuzhoucredit.gov.cn）。(3)截止时点（查询环节）：</w:t>
            </w:r>
            <w:bookmarkStart w:id="15" w:name="OLE_LINK5"/>
            <w:r>
              <w:rPr>
                <w:rFonts w:hint="eastAsia" w:ascii="宋体" w:hAnsi="宋体" w:eastAsia="宋体" w:cs="宋体"/>
                <w:color w:val="auto"/>
                <w:sz w:val="24"/>
                <w:highlight w:val="none"/>
              </w:rPr>
              <w:t xml:space="preserve">开标后资格审查结束前</w:t>
            </w:r>
            <w:bookmarkEnd w:id="15"/>
            <w:r>
              <w:rPr>
                <w:rFonts w:hint="eastAsia" w:ascii="宋体" w:hAnsi="宋体" w:eastAsia="宋体" w:cs="宋体"/>
                <w:color w:val="auto"/>
                <w:sz w:val="24"/>
                <w:highlight w:val="none"/>
              </w:rPr>
              <w:t xml:space="preserve">。</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(4)信用信息查询记录和证据留存的具体方式：网页截屏打印，与其他采购文件一并保存。</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(5)信用信息的使用规则：</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60" w:type="dxa"/>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w:t>
            </w:r>
            <w:r/>
          </w:p>
        </w:tc>
        <w:tc>
          <w:tcPr>
            <w:tcW w:w="7791" w:type="dxa"/>
            <w:textDirection w:val="lrTb"/>
            <w:noWrap w:val="false"/>
          </w:tcPr>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招标代理服务费由中标人支付，标准见《招标代理服务收费标准》（见附件）。</w:t>
            </w:r>
            <w:r/>
          </w:p>
        </w:tc>
      </w:tr>
      <w:tr>
        <w:trPr/>
        <w:tc>
          <w:tcPr>
            <w:tcW w:w="1560" w:type="dxa"/>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W w:w="7791" w:type="dxa"/>
            <w:textDirection w:val="lrTb"/>
            <w:noWrap w:val="false"/>
          </w:tcPr>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w:t>
            </w:r>
            <w:r/>
          </w:p>
        </w:tc>
      </w:tr>
      <w:tr>
        <w:trPr/>
        <w:tc>
          <w:tcPr>
            <w:tcW w:w="1560" w:type="dxa"/>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(九)1</w:t>
            </w:r>
            <w:r/>
          </w:p>
        </w:tc>
        <w:tc>
          <w:tcPr>
            <w:tcW w:w="7791" w:type="dxa"/>
            <w:textDirection w:val="lrTb"/>
            <w:noWrap w:val="false"/>
          </w:tcPr>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560" w:type="dxa"/>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(九)2</w:t>
            </w:r>
            <w:r/>
          </w:p>
        </w:tc>
        <w:tc>
          <w:tcPr>
            <w:tcW w:w="7791" w:type="dxa"/>
            <w:textDirection w:val="lrTb"/>
            <w:noWrap w:val="false"/>
          </w:tcPr>
          <w:p>
            <w:pPr>
              <w:pStyle w:val="788"/>
              <w:spacing w:line="440" w:lineRule="exact"/>
              <w:tabs>
                <w:tab w:val="left" w:pos="5760" w:leader="none"/>
              </w:tabs>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不安排现场考察。</w:t>
            </w:r>
            <w:r/>
          </w:p>
        </w:tc>
      </w:tr>
      <w:tr>
        <w:trPr/>
        <w:tc>
          <w:tcPr>
            <w:tcW w:w="1560" w:type="dxa"/>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(九)3</w:t>
            </w:r>
            <w:r/>
          </w:p>
        </w:tc>
        <w:tc>
          <w:tcPr>
            <w:tcW w:w="7791" w:type="dxa"/>
            <w:textDirection w:val="lrTb"/>
            <w:noWrap w:val="false"/>
          </w:tcPr>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不安排开标前答疑会。</w:t>
            </w:r>
            <w:r/>
          </w:p>
        </w:tc>
      </w:tr>
      <w:tr>
        <w:trPr/>
        <w:tc>
          <w:tcPr>
            <w:tcW w:w="1560" w:type="dxa"/>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w:t>
            </w:r>
            <w:r/>
          </w:p>
        </w:tc>
        <w:tc>
          <w:tcPr>
            <w:tcW w:w="7791" w:type="dxa"/>
            <w:textDirection w:val="lrTb"/>
            <w:noWrap w:val="false"/>
          </w:tcPr>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w:t>
            </w:r>
            <w:r/>
          </w:p>
        </w:tc>
      </w:tr>
      <w:tr>
        <w:trPr>
          <w:trHeight w:val="510"/>
        </w:trPr>
        <w:tc>
          <w:tcPr>
            <w:tcW w:w="1560" w:type="dxa"/>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w:t>
            </w:r>
            <w:r/>
          </w:p>
        </w:tc>
        <w:tc>
          <w:tcPr>
            <w:tcW w:w="7791" w:type="dxa"/>
            <w:textDirection w:val="lrTb"/>
            <w:noWrap w:val="false"/>
          </w:tcPr>
          <w:p>
            <w:pPr>
              <w:pStyle w:val="788"/>
              <w:spacing w:line="440" w:lineRule="exact"/>
              <w:tabs>
                <w:tab w:val="left" w:pos="57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投标文件的语言为中文</w:t>
            </w:r>
            <w:r/>
          </w:p>
        </w:tc>
      </w:tr>
      <w:tr>
        <w:trPr>
          <w:trHeight w:val="90"/>
        </w:trPr>
        <w:tc>
          <w:tcPr>
            <w:tcW w:w="1560" w:type="dxa"/>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(十二)1</w:t>
            </w:r>
            <w:r/>
          </w:p>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(十二)2</w:t>
            </w:r>
            <w:r/>
          </w:p>
        </w:tc>
        <w:tc>
          <w:tcPr>
            <w:tcW w:w="7791" w:type="dxa"/>
            <w:textDirection w:val="lrTb"/>
            <w:noWrap w:val="false"/>
          </w:tcPr>
          <w:p>
            <w:pPr>
              <w:pStyle w:val="788"/>
              <w:spacing w:line="44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线上投标文件编制要求：</w:t>
            </w:r>
            <w:r/>
          </w:p>
          <w:p>
            <w:pPr>
              <w:pStyle w:val="788"/>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请按照以下要求（包括但不限于以下要求）制作：</w:t>
            </w:r>
            <w:r/>
          </w:p>
          <w:p>
            <w:pPr>
              <w:pStyle w:val="788"/>
              <w:spacing w:line="44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一、基本目录</w:t>
            </w:r>
            <w:r/>
          </w:p>
          <w:p>
            <w:pPr>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1、《开标一览表》，加盖电子签章，政府采购客户端工具输入报价自动生成，需分采购包编制；</w:t>
            </w:r>
            <w:r/>
          </w:p>
          <w:p>
            <w:pPr>
              <w:pStyle w:val="788"/>
              <w:spacing w:line="44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2、投标人其它证明文件及材料扫描件（如需）。</w:t>
            </w:r>
            <w:r/>
          </w:p>
          <w:p>
            <w:pPr>
              <w:pStyle w:val="788"/>
              <w:spacing w:line="44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二、资格条件（必须提供，否则投标无效）</w:t>
            </w:r>
            <w:r/>
          </w:p>
          <w:p>
            <w:pPr>
              <w:pStyle w:val="788"/>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Start w:id="16" w:name="OLE_LINK7"/>
            <w:r/>
            <w:bookmarkStart w:id="17" w:name="OLE_LINK8"/>
            <w:r>
              <w:rPr>
                <w:rFonts w:hint="eastAsia" w:ascii="宋体" w:hAnsi="宋体" w:eastAsia="宋体" w:cs="宋体"/>
                <w:color w:val="auto"/>
                <w:sz w:val="24"/>
                <w:highlight w:val="none"/>
              </w:rPr>
              <w:t xml:space="preserve">投标人合法有效的法人或者其他组织的营业执照等证明文件扫描件。</w:t>
            </w:r>
            <w:bookmarkEnd w:id="16"/>
            <w:r/>
            <w:bookmarkEnd w:id="17"/>
            <w:r/>
            <w:r/>
          </w:p>
          <w:p>
            <w:pPr>
              <w:pStyle w:val="788"/>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bookmarkStart w:id="18" w:name="OLE_LINK10"/>
            <w:r/>
            <w:bookmarkStart w:id="19" w:name="OLE_LINK9"/>
            <w:r>
              <w:rPr>
                <w:rFonts w:hint="eastAsia" w:ascii="宋体" w:hAnsi="宋体" w:eastAsia="宋体" w:cs="宋体"/>
                <w:color w:val="auto"/>
                <w:sz w:val="24"/>
                <w:highlight w:val="none"/>
              </w:rPr>
              <w:t xml:space="preserve">财务状况报告：即提供投标人的本项目开标时间前6个月内</w:t>
            </w:r>
            <w:bookmarkStart w:id="20" w:name="OLE_LINK33"/>
            <w:r/>
            <w:bookmarkStart w:id="21" w:name="OLE_LINK34"/>
            <w:r>
              <w:rPr>
                <w:rFonts w:hint="eastAsia" w:ascii="宋体" w:hAnsi="宋体" w:eastAsia="宋体" w:cs="宋体"/>
                <w:color w:val="auto"/>
                <w:sz w:val="24"/>
                <w:highlight w:val="none"/>
              </w:rPr>
              <w:t xml:space="preserve">（不含开标当月）</w:t>
            </w:r>
            <w:bookmarkEnd w:id="20"/>
            <w:r/>
            <w:bookmarkEnd w:id="21"/>
            <w:r>
              <w:rPr>
                <w:rFonts w:hint="eastAsia" w:ascii="宋体" w:hAnsi="宋体" w:eastAsia="宋体" w:cs="宋体"/>
                <w:color w:val="auto"/>
                <w:sz w:val="24"/>
                <w:highlight w:val="none"/>
              </w:rPr>
              <w:t xml:space="preserve">任何时间的</w:t>
            </w:r>
            <w:r>
              <w:rPr>
                <w:rFonts w:hint="eastAsia" w:ascii="宋体" w:hAnsi="宋体" w:eastAsia="宋体" w:cs="宋体"/>
                <w:b/>
                <w:color w:val="auto"/>
                <w:sz w:val="24"/>
                <w:highlight w:val="none"/>
              </w:rPr>
              <w:t xml:space="preserve">资产负债表、利润表扫描件各一份</w:t>
            </w:r>
            <w:r>
              <w:rPr>
                <w:rFonts w:hint="eastAsia" w:ascii="宋体" w:hAnsi="宋体" w:eastAsia="宋体" w:cs="宋体"/>
                <w:color w:val="auto"/>
                <w:sz w:val="24"/>
                <w:highlight w:val="none"/>
              </w:rPr>
              <w:t xml:space="preserve">；或提供投标人</w:t>
            </w:r>
            <w:r>
              <w:rPr>
                <w:rFonts w:hint="eastAsia" w:ascii="宋体" w:hAnsi="宋体" w:eastAsia="宋体" w:cs="宋体"/>
                <w:b/>
                <w:color w:val="auto"/>
                <w:sz w:val="24"/>
                <w:highlight w:val="none"/>
              </w:rPr>
              <w:t xml:space="preserve">上年度经审计的财务报告扫描件一份</w:t>
            </w:r>
            <w:r>
              <w:rPr>
                <w:rFonts w:hint="eastAsia" w:ascii="宋体" w:hAnsi="宋体" w:eastAsia="宋体" w:cs="宋体"/>
                <w:color w:val="auto"/>
                <w:sz w:val="24"/>
                <w:highlight w:val="none"/>
              </w:rPr>
              <w:t xml:space="preserve">；或投标人的本项目开标时间前6个月内（不含开标当月）银行出具的</w:t>
            </w:r>
            <w:r>
              <w:rPr>
                <w:rFonts w:hint="eastAsia" w:ascii="宋体" w:hAnsi="宋体" w:eastAsia="宋体" w:cs="宋体"/>
                <w:b/>
                <w:color w:val="auto"/>
                <w:sz w:val="24"/>
                <w:highlight w:val="none"/>
              </w:rPr>
              <w:t xml:space="preserve">资信证明扫描件</w:t>
            </w:r>
            <w:r>
              <w:rPr>
                <w:rFonts w:hint="eastAsia" w:ascii="宋体" w:hAnsi="宋体" w:eastAsia="宋体" w:cs="宋体"/>
                <w:color w:val="auto"/>
                <w:sz w:val="24"/>
                <w:highlight w:val="none"/>
              </w:rPr>
              <w:t xml:space="preserve">一份。</w:t>
            </w:r>
            <w:bookmarkEnd w:id="18"/>
            <w:r/>
            <w:bookmarkEnd w:id="19"/>
            <w:r/>
            <w:r/>
          </w:p>
          <w:p>
            <w:pPr>
              <w:pStyle w:val="788"/>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bookmarkStart w:id="22" w:name="OLE_LINK11"/>
            <w:r/>
            <w:bookmarkStart w:id="23" w:name="OLE_LINK12"/>
            <w:r>
              <w:rPr>
                <w:rFonts w:hint="eastAsia" w:ascii="宋体" w:hAnsi="宋体" w:eastAsia="宋体" w:cs="宋体"/>
                <w:color w:val="auto"/>
                <w:sz w:val="24"/>
                <w:highlight w:val="none"/>
              </w:rPr>
              <w:t xml:space="preserve">投标人的本项目开标时间前6个月内（不含开标当月）任何1个月的</w:t>
            </w:r>
            <w:r>
              <w:rPr>
                <w:rFonts w:hint="eastAsia" w:ascii="宋体" w:hAnsi="宋体" w:eastAsia="宋体" w:cs="宋体"/>
                <w:b/>
                <w:color w:val="auto"/>
                <w:sz w:val="24"/>
                <w:highlight w:val="none"/>
              </w:rPr>
              <w:t xml:space="preserve">依法缴纳税收扫描件和社会保障资金扫描件</w:t>
            </w:r>
            <w:r>
              <w:rPr>
                <w:rFonts w:hint="eastAsia" w:ascii="宋体" w:hAnsi="宋体" w:eastAsia="宋体" w:cs="宋体"/>
                <w:color w:val="auto"/>
                <w:sz w:val="24"/>
                <w:highlight w:val="none"/>
              </w:rPr>
              <w:t xml:space="preserve">的相关材料（依法免税或不需要缴纳社会保障资金的投标人,提供相应文件扫描件证明其依法免税或不需要缴纳社会保障资金)。</w:t>
            </w:r>
            <w:bookmarkEnd w:id="22"/>
            <w:r/>
            <w:bookmarkEnd w:id="23"/>
            <w:r/>
            <w:r/>
          </w:p>
          <w:p>
            <w:pPr>
              <w:pStyle w:val="788"/>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bookmarkStart w:id="24" w:name="OLE_LINK13"/>
            <w:r>
              <w:rPr>
                <w:rFonts w:hint="eastAsia" w:ascii="宋体" w:hAnsi="宋体" w:eastAsia="宋体" w:cs="宋体"/>
                <w:color w:val="auto"/>
                <w:sz w:val="24"/>
                <w:highlight w:val="none"/>
              </w:rPr>
              <w:t xml:space="preserve">具备履行合同所必需的设备和专业技术能力的证明材料，加盖电子签章，格式见本文件第七章《投标文件相关格式》。</w:t>
            </w:r>
            <w:bookmarkEnd w:id="24"/>
            <w:r/>
            <w:r/>
          </w:p>
          <w:p>
            <w:pPr>
              <w:spacing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w:t>
            </w:r>
            <w:bookmarkStart w:id="25" w:name="OLE_LINK15"/>
            <w:r/>
            <w:bookmarkStart w:id="26" w:name="OLE_LINK14"/>
            <w:r>
              <w:rPr>
                <w:rFonts w:hint="eastAsia" w:ascii="宋体" w:hAnsi="宋体" w:eastAsia="宋体" w:cs="宋体"/>
                <w:color w:val="auto"/>
                <w:sz w:val="24"/>
                <w:szCs w:val="24"/>
                <w:highlight w:val="none"/>
              </w:rPr>
              <w:t xml:space="preserve">投标人参加政府采购活动前3年内在经营活动中没有重大违法记录的书面声明，加盖电子签章，格式见本文件第七章《投标文件相关格式》。</w:t>
            </w:r>
            <w:bookmarkEnd w:id="25"/>
            <w:r/>
            <w:bookmarkEnd w:id="26"/>
            <w:r/>
            <w:r/>
          </w:p>
          <w:p>
            <w:pPr>
              <w:ind w:right="28"/>
              <w:spacing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highlight w:val="none"/>
              </w:rPr>
              <w:t xml:space="preserve">本项目专门面向中小微企业，投标人应为中小企业（含中型、小型、微型企业，下同），提供《中小企业声明函》（加盖电子签章，填写完整，格式见本文件第七章《投标文件相关格式》，</w:t>
            </w:r>
            <w:r>
              <w:rPr>
                <w:rFonts w:hint="eastAsia" w:ascii="宋体" w:hAnsi="宋体" w:eastAsia="宋体" w:cs="宋体"/>
                <w:b/>
                <w:color w:val="auto"/>
                <w:sz w:val="24"/>
                <w:highlight w:val="none"/>
              </w:rPr>
              <w:t xml:space="preserve">如不填写完整或未按要求填写的，视为无效</w:t>
            </w:r>
            <w:r>
              <w:rPr>
                <w:rFonts w:hint="eastAsia" w:ascii="宋体" w:hAnsi="宋体" w:eastAsia="宋体" w:cs="宋体"/>
                <w:color w:val="auto"/>
                <w:sz w:val="24"/>
                <w:highlight w:val="none"/>
              </w:rPr>
              <w:t xml:space="preserve">）。《中小企业声明函》查询渠道用微信搜索“中小企业规模类型自测小程序”。</w:t>
            </w:r>
            <w:r/>
          </w:p>
          <w:p>
            <w:pPr>
              <w:ind w:right="28"/>
              <w:spacing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highlight w:val="none"/>
              </w:rPr>
              <w:t xml:space="preserve">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注：监狱企业和残疾人福利性单位等同于小微企业。</w:t>
            </w:r>
            <w:r/>
          </w:p>
          <w:p>
            <w:pPr>
              <w:ind w:right="28"/>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highlight w:val="none"/>
              </w:rPr>
              <w:t xml:space="preserve">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p>
          <w:p>
            <w:pPr>
              <w:ind w:right="28"/>
              <w:spacing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投标人为享受政府采购支持政策的残疾人福利性单位的，提供《残疾人福利性单位声明函》（加盖电子签章，格式见本文件第七章《投标文件相关格式》）。</w:t>
            </w:r>
            <w:r/>
          </w:p>
          <w:p>
            <w:pPr>
              <w:ind w:right="28" w:firstLine="480"/>
              <w:spacing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ind w:right="28"/>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①安置的残疾人占本单位在职职工人数的比例不低于25%（含25%），并且安置的残疾人人数不少于10人（含10人）；</w:t>
            </w:r>
            <w:r/>
          </w:p>
          <w:p>
            <w:pPr>
              <w:ind w:right="28"/>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②依法与安置的每位残疾人签订了一年以上（含一年）的劳动合同或服务协议；</w:t>
            </w:r>
            <w:r/>
          </w:p>
          <w:p>
            <w:pPr>
              <w:ind w:right="28"/>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③为安置的每位残疾人按月足额缴纳了基本养老保险、基本医疗保险、失业保险、工伤保险和生育保险等社会保险费；</w:t>
            </w:r>
            <w:r/>
          </w:p>
          <w:p>
            <w:pPr>
              <w:ind w:right="28"/>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④通过银行等金融机构向安置的每位残疾人，按月支付了不低于单位所在区县适用的经省级人民政府批准的月最低工资标准的工资；</w:t>
            </w:r>
            <w:r/>
          </w:p>
          <w:p>
            <w:pPr>
              <w:ind w:right="28"/>
              <w:spacing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788"/>
              <w:ind w:firstLine="495"/>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具体以《三部门联合发布关于促进残疾人就业政府采购政策的通知》（财库〔2017〕141号）规定为准。</w:t>
            </w:r>
            <w:r/>
          </w:p>
          <w:p>
            <w:pPr>
              <w:pStyle w:val="788"/>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b/>
                <w:color w:val="auto"/>
                <w:sz w:val="24"/>
                <w:highlight w:val="none"/>
              </w:rPr>
              <w:t xml:space="preserve">本项目的特定资格要求：</w:t>
            </w:r>
            <w:r>
              <w:rPr>
                <w:rFonts w:hint="eastAsia" w:ascii="宋体" w:hAnsi="宋体" w:eastAsia="宋体" w:cs="宋体"/>
                <w:color w:val="auto"/>
                <w:sz w:val="24"/>
                <w:highlight w:val="none"/>
              </w:rPr>
              <w:t xml:space="preserve">采购包1、采购包2的投标人具备市政公用工程施工总承包贰级（含）及以上资质</w:t>
            </w:r>
            <w:bookmarkStart w:id="27" w:name="OLE_LINK17"/>
            <w:r/>
            <w:bookmarkStart w:id="28" w:name="OLE_LINK31"/>
            <w:r/>
            <w:bookmarkStart w:id="29" w:name="OLE_LINK16"/>
            <w:r>
              <w:rPr>
                <w:rFonts w:hint="eastAsia" w:ascii="宋体" w:hAnsi="宋体" w:eastAsia="宋体" w:cs="宋体"/>
                <w:color w:val="auto"/>
                <w:sz w:val="24"/>
                <w:highlight w:val="none"/>
              </w:rPr>
              <w:t xml:space="preserve">（须提供相应资质证书原件的扫描件）</w:t>
            </w:r>
            <w:bookmarkEnd w:id="27"/>
            <w:r/>
            <w:bookmarkEnd w:id="28"/>
            <w:r/>
            <w:bookmarkEnd w:id="29"/>
            <w:r>
              <w:rPr>
                <w:rFonts w:hint="eastAsia" w:ascii="宋体" w:hAnsi="宋体" w:eastAsia="宋体" w:cs="宋体"/>
                <w:color w:val="auto"/>
                <w:sz w:val="24"/>
                <w:highlight w:val="none"/>
              </w:rPr>
              <w:t xml:space="preserve">；采购包3的投标人无特定资格要求。</w:t>
            </w:r>
            <w:r/>
          </w:p>
          <w:p>
            <w:pPr>
              <w:pStyle w:val="788"/>
              <w:spacing w:line="44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三、符合条件（必须提供，否则投标无效）</w:t>
            </w:r>
            <w:r/>
          </w:p>
          <w:p>
            <w:pPr>
              <w:pStyle w:val="788"/>
              <w:spacing w:line="44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（一）报价</w:t>
            </w:r>
            <w:r/>
          </w:p>
          <w:p>
            <w:pPr>
              <w:spacing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1、《开标一览表》。加盖电子签章，格式见本文件第七章《投标文件相关格式》，或政府采购客户端工具输入报价自动生成的《开标一览表》均视为满足招标文件要求。</w:t>
            </w:r>
            <w:r/>
          </w:p>
          <w:p>
            <w:pPr>
              <w:pStyle w:val="788"/>
              <w:spacing w:line="44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《分项价格表》。加盖电子签章，格式见本文件第七章《投标文件相关格式》。</w:t>
            </w:r>
            <w:r/>
          </w:p>
          <w:p>
            <w:pPr>
              <w:pStyle w:val="788"/>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b/>
                <w:bCs/>
                <w:color w:val="auto"/>
                <w:sz w:val="24"/>
                <w:highlight w:val="none"/>
              </w:rPr>
              <w:t xml:space="preserve">《报价符合性审查》。</w:t>
            </w:r>
            <w:r>
              <w:rPr>
                <w:rFonts w:hint="eastAsia" w:ascii="宋体" w:hAnsi="宋体" w:eastAsia="宋体" w:cs="宋体"/>
                <w:color w:val="auto"/>
                <w:sz w:val="24"/>
                <w:highlight w:val="none"/>
              </w:rPr>
              <w:t xml:space="preserve">属于投标（响应）报价低于采购项目最高限价45%的，即投标（响应）报价&lt;采购项目最高限价×45%，供应商可随投标（响应）文件一并提交相关书面说明及必要的证明材料。</w:t>
            </w:r>
            <w:r/>
          </w:p>
          <w:p>
            <w:pPr>
              <w:pStyle w:val="788"/>
              <w:spacing w:line="44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（二）商务资信</w:t>
            </w:r>
            <w:r/>
          </w:p>
          <w:p>
            <w:pPr>
              <w:spacing w:line="440" w:lineRule="exact"/>
              <w:rPr>
                <w:rFonts w:hint="eastAsia"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bookmarkStart w:id="30" w:name="OLE_LINK23"/>
            <w:r>
              <w:rPr>
                <w:rFonts w:hint="eastAsia" w:ascii="宋体" w:hAnsi="宋体" w:eastAsia="宋体" w:cs="宋体"/>
                <w:bCs/>
                <w:color w:val="auto"/>
                <w:sz w:val="24"/>
                <w:highlight w:val="none"/>
              </w:rPr>
              <w:t xml:space="preserve">1、《投标函》。加盖电子签章，格式见</w:t>
            </w:r>
            <w:r>
              <w:rPr>
                <w:rFonts w:hint="eastAsia" w:ascii="宋体" w:hAnsi="宋体" w:eastAsia="宋体" w:cs="宋体"/>
                <w:color w:val="auto"/>
                <w:sz w:val="24"/>
                <w:highlight w:val="none"/>
              </w:rPr>
              <w:t xml:space="preserve">本文件</w:t>
            </w:r>
            <w:r>
              <w:rPr>
                <w:rFonts w:hint="eastAsia" w:ascii="宋体" w:hAnsi="宋体" w:eastAsia="宋体" w:cs="宋体"/>
                <w:bCs/>
                <w:color w:val="auto"/>
                <w:sz w:val="24"/>
                <w:highlight w:val="none"/>
              </w:rPr>
              <w:t xml:space="preserve">第七章《投标文件相关格式》。</w:t>
            </w:r>
            <w:r/>
          </w:p>
          <w:p>
            <w:pPr>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w:t>
            </w:r>
            <w:r>
              <w:rPr>
                <w:rFonts w:hint="eastAsia" w:ascii="宋体" w:hAnsi="宋体" w:eastAsia="宋体" w:cs="宋体"/>
                <w:bCs/>
                <w:color w:val="auto"/>
                <w:sz w:val="24"/>
                <w:highlight w:val="none"/>
              </w:rPr>
              <w:t xml:space="preserve">《法定代表人授权书》</w:t>
            </w:r>
            <w:r>
              <w:rPr>
                <w:rFonts w:hint="eastAsia" w:ascii="宋体" w:hAnsi="宋体" w:eastAsia="宋体" w:cs="宋体"/>
                <w:color w:val="auto"/>
                <w:sz w:val="24"/>
                <w:highlight w:val="none"/>
              </w:rPr>
              <w:t xml:space="preserve">，</w:t>
            </w:r>
            <w:bookmarkStart w:id="31" w:name="OLE_LINK24"/>
            <w:r>
              <w:rPr>
                <w:rFonts w:hint="eastAsia" w:ascii="宋体" w:hAnsi="宋体" w:eastAsia="宋体" w:cs="宋体"/>
                <w:color w:val="auto"/>
                <w:sz w:val="24"/>
                <w:highlight w:val="none"/>
              </w:rPr>
              <w:t xml:space="preserve">加盖电子签章，格式见本文件第七章《投标文件相关格式》。</w:t>
            </w:r>
            <w:bookmarkEnd w:id="31"/>
            <w:r>
              <w:rPr>
                <w:rFonts w:hint="eastAsia" w:ascii="宋体" w:hAnsi="宋体" w:eastAsia="宋体" w:cs="宋体"/>
                <w:bCs/>
                <w:color w:val="auto"/>
                <w:sz w:val="24"/>
                <w:highlight w:val="none"/>
              </w:rPr>
              <w:t xml:space="preserve">特别提醒：如公司法定代表人直接参与本项目投标的，提供法定代理人资格证明或声明（格式自拟，加盖电子签章，并附身份证扫描件），可不单独提供《授权委托书》。</w:t>
            </w:r>
            <w:bookmarkEnd w:id="30"/>
            <w:r/>
            <w:r/>
          </w:p>
          <w:p>
            <w:pPr>
              <w:pStyle w:val="788"/>
              <w:spacing w:line="44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（三）技术响应</w:t>
            </w:r>
            <w:r/>
          </w:p>
          <w:p>
            <w:pPr>
              <w:pStyle w:val="788"/>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《偏离表》。加盖电子签章，格式见本文件第七章《投标文件相关格式》。</w:t>
            </w:r>
            <w:r/>
          </w:p>
          <w:p>
            <w:pPr>
              <w:pStyle w:val="788"/>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注：加★为实质性要求，不接受负偏离，如不响应，则投标无效。（要求见本文件第六章《采购需求》）。</w:t>
            </w:r>
            <w:r/>
          </w:p>
          <w:p>
            <w:pPr>
              <w:pStyle w:val="788"/>
              <w:spacing w:line="440" w:lineRule="exac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rPr>
              <w:t xml:space="preserve">四、综合评审评分项</w:t>
            </w:r>
            <w:r/>
          </w:p>
          <w:p>
            <w:pPr>
              <w:pStyle w:val="788"/>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（一）技术部分</w:t>
            </w:r>
            <w:r/>
          </w:p>
          <w:p>
            <w:pPr>
              <w:pStyle w:val="788"/>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采购包1、采购包2：</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1.养护管理实施方案，加盖电子签章，要求见本文件第六章《采购需求》、第</w:t>
            </w:r>
            <w:bookmarkStart w:id="32" w:name="OLE_LINK20"/>
            <w:r>
              <w:rPr>
                <w:rFonts w:hint="eastAsia" w:ascii="宋体" w:hAnsi="宋体" w:eastAsia="宋体" w:cs="宋体"/>
                <w:color w:val="auto"/>
                <w:sz w:val="24"/>
                <w:highlight w:val="none"/>
              </w:rPr>
              <w:t xml:space="preserve">四</w:t>
            </w:r>
            <w:bookmarkEnd w:id="32"/>
            <w:r>
              <w:rPr>
                <w:rFonts w:hint="eastAsia" w:ascii="宋体" w:hAnsi="宋体" w:eastAsia="宋体" w:cs="宋体"/>
                <w:color w:val="auto"/>
                <w:sz w:val="24"/>
                <w:highlight w:val="none"/>
              </w:rPr>
              <w:t xml:space="preserve">章《评标标准》；</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bidi="zh-CN"/>
              </w:rPr>
              <w:t xml:space="preserve">养护管理重点难点方案</w:t>
            </w:r>
            <w:r>
              <w:rPr>
                <w:rFonts w:hint="eastAsia" w:ascii="宋体" w:hAnsi="宋体" w:eastAsia="宋体" w:cs="宋体"/>
                <w:color w:val="auto"/>
                <w:sz w:val="24"/>
                <w:highlight w:val="none"/>
              </w:rPr>
              <w:t xml:space="preserve">，加盖电子签章，要求见本文件第六章《采购需求》、第四章《评标标准》；</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Style w:val="1027"/>
                <w:rFonts w:hint="eastAsia" w:ascii="宋体" w:hAnsi="宋体" w:eastAsia="宋体" w:cs="宋体"/>
                <w:color w:val="auto"/>
                <w:sz w:val="24"/>
                <w:highlight w:val="none"/>
              </w:rPr>
              <w:t xml:space="preserve">作业方案</w:t>
            </w:r>
            <w:r>
              <w:rPr>
                <w:rFonts w:hint="eastAsia" w:ascii="宋体" w:hAnsi="宋体" w:eastAsia="宋体" w:cs="宋体"/>
                <w:color w:val="auto"/>
                <w:sz w:val="24"/>
                <w:highlight w:val="none"/>
              </w:rPr>
              <w:t xml:space="preserve">，加盖电子签章，要求见本文件第六章《采购需求》、第四章《评标标准》；</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4.组织实施程序及养护管理工作流程，加盖电子签章，要求见本文件第六章《采购需求》、第四章《评标标准》；</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Style w:val="1027"/>
                <w:rFonts w:hint="eastAsia" w:ascii="宋体" w:hAnsi="宋体" w:eastAsia="宋体" w:cs="宋体"/>
                <w:color w:val="auto"/>
                <w:sz w:val="24"/>
                <w:highlight w:val="none"/>
              </w:rPr>
              <w:t xml:space="preserve">人员配备方案</w:t>
            </w:r>
            <w:r>
              <w:rPr>
                <w:rFonts w:hint="eastAsia" w:ascii="宋体" w:hAnsi="宋体" w:eastAsia="宋体" w:cs="宋体"/>
                <w:color w:val="auto"/>
                <w:sz w:val="24"/>
                <w:highlight w:val="none"/>
              </w:rPr>
              <w:t xml:space="preserve">，加盖电子签章，要求见本文件第六章《采购需求》、第四章《评标标准》；</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6.应急预案，加盖电子签章，要求见本文件第六章《采购需求》、第四章《评标标准》；</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7.防汛实施方案，加盖电子签章，要求见本文件第六章《采购需求》、第四章《评标标准》；</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rPr>
                <w:rStyle w:val="1027"/>
                <w:rFonts w:hint="eastAsia" w:ascii="宋体" w:hAnsi="宋体" w:eastAsia="宋体" w:cs="宋体"/>
                <w:color w:val="auto"/>
                <w:sz w:val="24"/>
                <w:highlight w:val="none"/>
              </w:rPr>
              <w:t xml:space="preserve">自查考核</w:t>
            </w:r>
            <w:r>
              <w:rPr>
                <w:rFonts w:hint="eastAsia" w:ascii="宋体" w:hAnsi="宋体" w:eastAsia="宋体" w:cs="宋体"/>
                <w:color w:val="auto"/>
                <w:sz w:val="24"/>
                <w:highlight w:val="none"/>
              </w:rPr>
              <w:t xml:space="preserve">，加盖电子签章，要求见本文件第六章《采购需求》、第四章《评标标准》。 </w:t>
            </w:r>
            <w:r/>
          </w:p>
          <w:p>
            <w:pPr>
              <w:pStyle w:val="788"/>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采购包3：</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1.排水系统数据结构规范性，加盖电子签章，要求见本文件第六章《采购需求》、第四章《评标标准》；</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2.管网探测数据录入规范性，加盖电子签章，要求见</w:t>
            </w:r>
            <w:r>
              <w:rPr>
                <w:rFonts w:hint="eastAsia" w:ascii="宋体" w:hAnsi="宋体" w:eastAsia="宋体" w:cs="宋体"/>
                <w:color w:val="auto"/>
                <w:sz w:val="24"/>
                <w:highlight w:val="none"/>
              </w:rPr>
              <w:t xml:space="preserve">本文件第六章《采购需求》、第四章《评标标准》；</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3.管渠检测成果管理方案，加盖电子签章，要求见本文件第六章《采购需求》、第四章《评标标准》；</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4.测绘数据标准化处理方案，加盖电子签章，要求见本文件第六章《采购需求》、第四章《评标标准》；</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5.检测数据标准化处理方案，加盖电子签章，要求见本文件第六章《采购需求》、第四章《评标标准》；</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6.管渠数据质量检查方案，加盖电子签章，要求见本文件第六章《采购需求》、第四章《评标标准》；</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7.日常运营监管服务方案，加盖电子签章，要求见本文件第六章《采购需求》、第四章《评标标准》；</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8.项目实施管理方案，加盖电子签章，要求见本文件第六章《采购需求》、第四章《评标标准》。</w:t>
            </w:r>
            <w:r/>
          </w:p>
          <w:p>
            <w:pPr>
              <w:pStyle w:val="101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（二）商务部分</w:t>
            </w:r>
            <w:r/>
          </w:p>
          <w:p>
            <w:pPr>
              <w:pStyle w:val="1019"/>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采购包1、采购包2：</w:t>
            </w:r>
            <w:r/>
          </w:p>
          <w:p>
            <w:pPr>
              <w:pStyle w:val="101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1、类似项目业绩，</w:t>
            </w:r>
            <w:r>
              <w:rPr>
                <w:rFonts w:hint="eastAsia" w:ascii="宋体" w:hAnsi="宋体" w:eastAsia="宋体" w:cs="宋体"/>
                <w:color w:val="auto"/>
                <w:sz w:val="24"/>
                <w:highlight w:val="none"/>
              </w:rPr>
              <w:t xml:space="preserve">加盖电子签章，</w:t>
            </w:r>
            <w:r>
              <w:rPr>
                <w:rFonts w:hint="eastAsia" w:ascii="宋体" w:hAnsi="宋体" w:eastAsia="宋体" w:cs="宋体"/>
                <w:color w:val="auto"/>
                <w:sz w:val="24"/>
                <w:szCs w:val="24"/>
                <w:highlight w:val="none"/>
              </w:rPr>
              <w:t xml:space="preserve">要求见本文件第四章《评标标准》；</w:t>
            </w:r>
            <w:r/>
          </w:p>
          <w:p>
            <w:pPr>
              <w:pStyle w:val="1019"/>
              <w:spacing w:line="440" w:lineRule="exact"/>
              <w:rPr>
                <w:rFonts w:hint="eastAsia" w:ascii="宋体" w:hAnsi="宋体" w:eastAsia="宋体" w:cs="宋体"/>
                <w:color w:val="auto"/>
                <w:sz w:val="24"/>
                <w:szCs w:val="24"/>
                <w:highlight w:val="none"/>
              </w:rPr>
            </w:pPr>
            <w:r/>
            <w:bookmarkStart w:id="33" w:name="OLE_LINK29"/>
            <w:r/>
            <w:bookmarkStart w:id="34" w:name="OLE_LINK30"/>
            <w:r>
              <w:rPr>
                <w:rFonts w:hint="eastAsia" w:ascii="宋体" w:hAnsi="宋体" w:eastAsia="宋体" w:cs="宋体"/>
                <w:color w:val="auto"/>
                <w:sz w:val="24"/>
                <w:szCs w:val="24"/>
                <w:highlight w:val="none"/>
              </w:rPr>
              <w:t xml:space="preserve">2、机械设备投入，</w:t>
            </w:r>
            <w:r>
              <w:rPr>
                <w:rFonts w:hint="eastAsia" w:ascii="宋体" w:hAnsi="宋体" w:eastAsia="宋体" w:cs="宋体"/>
                <w:color w:val="auto"/>
                <w:sz w:val="24"/>
                <w:highlight w:val="none"/>
              </w:rPr>
              <w:t xml:space="preserve">加盖电子签章，</w:t>
            </w:r>
            <w:r>
              <w:rPr>
                <w:rFonts w:hint="eastAsia" w:ascii="宋体" w:hAnsi="宋体" w:eastAsia="宋体" w:cs="宋体"/>
                <w:color w:val="auto"/>
                <w:sz w:val="24"/>
                <w:szCs w:val="24"/>
                <w:highlight w:val="none"/>
              </w:rPr>
              <w:t xml:space="preserve">要求见本文件第四章《评标标准》。</w:t>
            </w:r>
            <w:bookmarkEnd w:id="33"/>
            <w:r/>
            <w:bookmarkEnd w:id="34"/>
            <w:r/>
            <w:r/>
          </w:p>
          <w:p>
            <w:pPr>
              <w:pStyle w:val="1019"/>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采购包3：</w:t>
            </w:r>
            <w:r/>
          </w:p>
          <w:p>
            <w:pPr>
              <w:pStyle w:val="101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1、类似项目业绩，</w:t>
            </w:r>
            <w:r>
              <w:rPr>
                <w:rFonts w:hint="eastAsia" w:ascii="宋体" w:hAnsi="宋体" w:eastAsia="宋体" w:cs="宋体"/>
                <w:color w:val="auto"/>
                <w:sz w:val="24"/>
                <w:highlight w:val="none"/>
              </w:rPr>
              <w:t xml:space="preserve">加盖电子签章，</w:t>
            </w:r>
            <w:r>
              <w:rPr>
                <w:rFonts w:hint="eastAsia" w:ascii="宋体" w:hAnsi="宋体" w:eastAsia="宋体" w:cs="宋体"/>
                <w:color w:val="auto"/>
                <w:sz w:val="24"/>
                <w:szCs w:val="24"/>
                <w:highlight w:val="none"/>
              </w:rPr>
              <w:t xml:space="preserve">要求见本文件第四章《评标标准》；2、数据维护人员，</w:t>
            </w:r>
            <w:r>
              <w:rPr>
                <w:rFonts w:hint="eastAsia" w:ascii="宋体" w:hAnsi="宋体" w:eastAsia="宋体" w:cs="宋体"/>
                <w:color w:val="auto"/>
                <w:sz w:val="24"/>
                <w:highlight w:val="none"/>
              </w:rPr>
              <w:t xml:space="preserve">加盖电子签章，</w:t>
            </w:r>
            <w:r>
              <w:rPr>
                <w:rFonts w:hint="eastAsia" w:ascii="宋体" w:hAnsi="宋体" w:eastAsia="宋体" w:cs="宋体"/>
                <w:color w:val="auto"/>
                <w:sz w:val="24"/>
                <w:szCs w:val="24"/>
                <w:highlight w:val="none"/>
              </w:rPr>
              <w:t xml:space="preserve">要求见本文件第四章《评标标准》。3、企业证书，</w:t>
            </w:r>
            <w:r>
              <w:rPr>
                <w:rFonts w:hint="eastAsia" w:ascii="宋体" w:hAnsi="宋体" w:eastAsia="宋体" w:cs="宋体"/>
                <w:color w:val="auto"/>
                <w:sz w:val="24"/>
                <w:highlight w:val="none"/>
              </w:rPr>
              <w:t xml:space="preserve">加盖电子签章，</w:t>
            </w:r>
            <w:r>
              <w:rPr>
                <w:rFonts w:hint="eastAsia" w:ascii="宋体" w:hAnsi="宋体" w:eastAsia="宋体" w:cs="宋体"/>
                <w:color w:val="auto"/>
                <w:sz w:val="24"/>
                <w:szCs w:val="24"/>
                <w:highlight w:val="none"/>
              </w:rPr>
              <w:t xml:space="preserve">要求见本文件第四章《评标标准》。</w:t>
            </w:r>
            <w:r/>
          </w:p>
          <w:p>
            <w:pPr>
              <w:pStyle w:val="788"/>
              <w:numPr>
                <w:ilvl w:val="0"/>
                <w:numId w:val="2"/>
              </w:numPr>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价格折扣文件格式：无。</w:t>
            </w:r>
            <w:r/>
          </w:p>
          <w:p>
            <w:pPr>
              <w:ind w:firstLine="135"/>
              <w:spacing w:line="440" w:lineRule="exac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Cs/>
                <w:color w:val="auto"/>
                <w:sz w:val="24"/>
                <w:szCs w:val="24"/>
                <w:highlight w:val="none"/>
              </w:rPr>
              <w:t xml:space="preserve">：</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1.投标人应对以上文件的合法性、真实性负责。</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560" w:type="dxa"/>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(十三)2</w:t>
            </w:r>
            <w:r/>
          </w:p>
        </w:tc>
        <w:tc>
          <w:tcPr>
            <w:tcW w:w="7791" w:type="dxa"/>
            <w:textDirection w:val="lrTb"/>
            <w:noWrap w:val="false"/>
          </w:tcPr>
          <w:p>
            <w:pPr>
              <w:pStyle w:val="788"/>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商务条件见：</w:t>
            </w:r>
            <w:r/>
          </w:p>
          <w:p>
            <w:pPr>
              <w:pStyle w:val="788"/>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一、本文件第四章《评标标准》中《评分细则》。</w:t>
            </w:r>
            <w:r/>
          </w:p>
          <w:p>
            <w:pPr>
              <w:pStyle w:val="788"/>
              <w:spacing w:line="44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二、本文件第三章《投标资料表》中(十二)1和(十二)2。</w:t>
            </w:r>
            <w:r/>
          </w:p>
        </w:tc>
      </w:tr>
      <w:tr>
        <w:trPr/>
        <w:tc>
          <w:tcPr>
            <w:tcW w:w="1560" w:type="dxa"/>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(十三)3</w:t>
            </w:r>
            <w:r/>
          </w:p>
        </w:tc>
        <w:tc>
          <w:tcPr>
            <w:tcW w:w="7791" w:type="dxa"/>
            <w:textDirection w:val="lrTb"/>
            <w:noWrap w:val="false"/>
          </w:tcPr>
          <w:p>
            <w:pPr>
              <w:pStyle w:val="788"/>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交货和提供服务的时间：见本文件第五章 《拟签订的合同文本》及或本文件第六章《采购需求》。</w:t>
            </w:r>
            <w:r/>
          </w:p>
        </w:tc>
      </w:tr>
      <w:tr>
        <w:trPr/>
        <w:tc>
          <w:tcPr>
            <w:tcW w:w="1560" w:type="dxa"/>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(十四)3</w:t>
            </w:r>
            <w:r/>
          </w:p>
        </w:tc>
        <w:tc>
          <w:tcPr>
            <w:tcW w:w="7791" w:type="dxa"/>
            <w:textDirection w:val="lrTb"/>
            <w:noWrap w:val="false"/>
          </w:tcPr>
          <w:p>
            <w:pPr>
              <w:pStyle w:val="788"/>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本项目采购预算金额1358.3万元。其中：</w:t>
            </w:r>
            <w:r/>
          </w:p>
          <w:p>
            <w:pPr>
              <w:pStyle w:val="788"/>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本项目采购包1不接受超过930万元</w:t>
            </w:r>
            <w:bookmarkStart w:id="35" w:name="OLE_LINK74"/>
            <w:r/>
            <w:bookmarkStart w:id="36" w:name="OLE_LINK73"/>
            <w:r>
              <w:rPr>
                <w:rFonts w:hint="eastAsia" w:ascii="宋体" w:hAnsi="宋体" w:eastAsia="宋体" w:cs="宋体"/>
                <w:b/>
                <w:bCs/>
                <w:color w:val="auto"/>
                <w:sz w:val="24"/>
                <w:highlight w:val="none"/>
              </w:rPr>
              <w:t xml:space="preserve">人民币的投标报价</w:t>
            </w:r>
            <w:bookmarkEnd w:id="35"/>
            <w:r/>
            <w:bookmarkEnd w:id="36"/>
            <w:r>
              <w:rPr>
                <w:rFonts w:hint="eastAsia" w:ascii="宋体" w:hAnsi="宋体" w:eastAsia="宋体" w:cs="宋体"/>
                <w:b/>
                <w:bCs/>
                <w:color w:val="auto"/>
                <w:sz w:val="24"/>
                <w:highlight w:val="none"/>
              </w:rPr>
              <w:t xml:space="preserve">；</w:t>
            </w:r>
            <w:r/>
          </w:p>
          <w:p>
            <w:pPr>
              <w:pStyle w:val="788"/>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本项目采购包2不接受超过328.3万元人民币的投标报价；</w:t>
            </w:r>
            <w:r/>
          </w:p>
          <w:p>
            <w:pPr>
              <w:pStyle w:val="788"/>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本项目采购包3不接受超过100万元人民币的投标报价；</w:t>
            </w:r>
            <w:r/>
          </w:p>
          <w:p>
            <w:pPr>
              <w:pStyle w:val="788"/>
              <w:spacing w:line="440" w:lineRule="exact"/>
              <w:rPr>
                <w:rFonts w:hint="eastAsia" w:ascii="宋体" w:hAnsi="宋体" w:eastAsia="宋体" w:cs="宋体"/>
                <w:color w:val="auto"/>
                <w:sz w:val="24"/>
                <w:highlight w:val="none"/>
              </w:rPr>
            </w:pPr>
            <w:r/>
            <w:bookmarkStart w:id="37" w:name="OLE_LINK35"/>
            <w:r/>
            <w:bookmarkStart w:id="38" w:name="OLE_LINK36"/>
            <w:r>
              <w:rPr>
                <w:rFonts w:hint="eastAsia" w:ascii="宋体" w:hAnsi="宋体" w:eastAsia="宋体" w:cs="宋体"/>
                <w:color w:val="auto"/>
                <w:sz w:val="24"/>
                <w:highlight w:val="none"/>
              </w:rPr>
              <w:t xml:space="preserve">报价包括税金、保险、验收、代理服务费、投标人的利润等全部费用。采购人不再支付报价以外的任何费用。</w:t>
            </w:r>
            <w:r/>
          </w:p>
          <w:p>
            <w:pPr>
              <w:pStyle w:val="788"/>
              <w:spacing w:line="44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本项目共分3个采购包,兼投不兼中。每个投标人可以参与多个采购包的评审，但只允许成为一个采购包的中标人。本项目按照采购包1、采购包2、采购包3的顺序进行评审定标。在前一采购包被确定为中标人的，可以参与下一采购包的评审，但不得再次成为中标人，不再作为后续采购包的有效投标人。且各采购包的有效投标人数量不得少于3家，否则该采购包按废标处理。</w:t>
            </w:r>
            <w:bookmarkEnd w:id="37"/>
            <w:r/>
            <w:bookmarkEnd w:id="38"/>
            <w:r/>
            <w:r/>
          </w:p>
        </w:tc>
      </w:tr>
      <w:tr>
        <w:trPr/>
        <w:tc>
          <w:tcPr>
            <w:tcW w:w="1560" w:type="dxa"/>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(十五)</w:t>
            </w:r>
            <w:r/>
          </w:p>
        </w:tc>
        <w:tc>
          <w:tcPr>
            <w:tcW w:w="7791" w:type="dxa"/>
            <w:textDirection w:val="lrTb"/>
            <w:noWrap w:val="false"/>
          </w:tcPr>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以人民币报价。</w:t>
            </w:r>
            <w:r/>
          </w:p>
        </w:tc>
      </w:tr>
      <w:tr>
        <w:trPr/>
        <w:tc>
          <w:tcPr>
            <w:tcW w:w="1560" w:type="dxa"/>
            <w:textDirection w:val="lrTb"/>
            <w:noWrap w:val="false"/>
          </w:tcPr>
          <w:p>
            <w:pPr>
              <w:pStyle w:val="788"/>
              <w:jc w:val="center"/>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（十七）</w:t>
            </w:r>
            <w:r/>
          </w:p>
        </w:tc>
        <w:tc>
          <w:tcPr>
            <w:tcW w:w="7791" w:type="dxa"/>
            <w:textDirection w:val="lrTb"/>
            <w:noWrap w:val="false"/>
          </w:tcPr>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办事指南--资料下载，点击进入《“苏采云”系统政务CA办理材料、操作手册及控件下载》，进行下载。</w:t>
            </w:r>
            <w:r/>
          </w:p>
          <w:p>
            <w:pPr>
              <w:ind w:firstLine="480"/>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投标人应当通过“苏采云”系统提交数据电文形式的投标文件（即电子投标）。</w:t>
            </w:r>
            <w:r/>
          </w:p>
          <w:p>
            <w:pPr>
              <w:ind w:firstLine="482"/>
              <w:spacing w:line="440" w:lineRule="exac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特别说明：通过“苏采云”系统提交政府采购客户端工具导出加密的投标文件（后缀名为zip）。投标文件不得超过150M！</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说明：本项目采用线上投标，即供应商投标文件从政府采购客户端工具制作通过“苏采云”系统提交，未提供线上投标文件的，投标无效。</w:t>
            </w:r>
            <w:r/>
          </w:p>
        </w:tc>
      </w:tr>
      <w:tr>
        <w:trPr/>
        <w:tc>
          <w:tcPr>
            <w:tcW w:w="1560" w:type="dxa"/>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(十八)</w:t>
            </w:r>
            <w:r/>
          </w:p>
        </w:tc>
        <w:tc>
          <w:tcPr>
            <w:tcW w:w="7791" w:type="dxa"/>
            <w:textDirection w:val="lrTb"/>
            <w:noWrap w:val="false"/>
          </w:tcPr>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线上投标文件的密封、签署、盖章要求：</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一、投标文件的密封（加密）要求：</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二、投标文件的签署要求：见招标文件第七章《投标文件相关格式》。</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投标文件的盖章要求：见招标文件第三章《投标资料表》中(十二)1和(十二)2和招标文件第七章《投标文件相关格式》。投标人须通过“苏采云”系统提供的政府采购客户端工具（使用“CA数字证书”）加盖电子签章。</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说明：投标人应在用CA数字证书以及自备的能够登录“苏采云”系统的电脑，在达到开标时间后，使用CA数字证书解密各自投标文件。</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投标人未按规定加密的投标文件，“苏采云”系统应当拒收并提示。</w:t>
            </w:r>
            <w:r/>
          </w:p>
        </w:tc>
      </w:tr>
      <w:tr>
        <w:trPr/>
        <w:tc>
          <w:tcPr>
            <w:tcW w:w="1560" w:type="dxa"/>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(十九)</w:t>
            </w:r>
            <w:r/>
          </w:p>
        </w:tc>
        <w:tc>
          <w:tcPr>
            <w:tcW w:w="7791" w:type="dxa"/>
            <w:textDirection w:val="lrTb"/>
            <w:noWrap w:val="false"/>
          </w:tcPr>
          <w:p>
            <w:pPr>
              <w:pStyle w:val="788"/>
              <w:ind w:left="560" w:hanging="56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投标文投标文件的提交： </w:t>
            </w:r>
            <w:r/>
          </w:p>
          <w:p>
            <w:pPr>
              <w:pStyle w:val="788"/>
              <w:ind w:left="560" w:hanging="56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1.投标文件提交时间：2026年9月8日北京时间9:30前</w:t>
            </w:r>
            <w:r/>
          </w:p>
          <w:p>
            <w:pPr>
              <w:pStyle w:val="788"/>
              <w:ind w:left="560" w:hanging="56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2.投标截止时间：2026年9月8日北京时间9:30</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3.投标文件提交地点：投标人应当通过“苏采云”系统提交数据电文形式的投标文件（即电子投标），“苏采云”系统自动接收。</w:t>
            </w:r>
            <w:r/>
          </w:p>
        </w:tc>
      </w:tr>
      <w:tr>
        <w:trPr/>
        <w:tc>
          <w:tcPr>
            <w:tcW w:w="1560" w:type="dxa"/>
            <w:vMerge w:val="restart"/>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p>
        </w:tc>
        <w:tc>
          <w:tcPr>
            <w:tcW w:w="7791" w:type="dxa"/>
            <w:textDirection w:val="lrTb"/>
            <w:noWrap w:val="false"/>
          </w:tcPr>
          <w:p>
            <w:pPr>
              <w:pStyle w:val="788"/>
              <w:spacing w:line="44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电子投标文件应由其法定代表人或法定代表人授权代表在规定的网上投标时间内，</w:t>
            </w:r>
            <w:r>
              <w:rPr>
                <w:rFonts w:hint="eastAsia" w:ascii="宋体" w:hAnsi="宋体" w:eastAsia="宋体" w:cs="宋体"/>
                <w:b/>
                <w:color w:val="auto"/>
                <w:sz w:val="24"/>
                <w:highlight w:val="none"/>
              </w:rPr>
              <w:t xml:space="preserve">凭 CA 证书登陆“苏采云”系统在线编制投标文件（电子数据），并在投标截止时间之前上传投标文件。</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投标人应在达到开标时间后，使用CA数字证书解密各自投标文件。</w:t>
            </w:r>
            <w:r/>
          </w:p>
        </w:tc>
      </w:tr>
      <w:tr>
        <w:trPr/>
        <w:tc>
          <w:tcPr>
            <w:tcW w:w="1560" w:type="dxa"/>
            <w:vMerge w:val="continue"/>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91" w:type="dxa"/>
            <w:textDirection w:val="lrTb"/>
            <w:noWrap w:val="false"/>
          </w:tcPr>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auto"/>
                <w:sz w:val="24"/>
                <w:highlight w:val="none"/>
              </w:rPr>
              <w:t xml:space="preserve">开标时间后</w:t>
            </w:r>
            <w:r>
              <w:rPr>
                <w:rFonts w:hint="eastAsia" w:ascii="宋体" w:hAnsi="宋体" w:eastAsia="宋体" w:cs="宋体"/>
                <w:color w:val="auto"/>
                <w:sz w:val="24"/>
                <w:highlight w:val="none"/>
              </w:rPr>
              <w:t xml:space="preserve">，通过“苏采云”系统（使用“CA数字证书”）解密。解密时限：进入解密环节后，</w:t>
            </w:r>
            <w:r>
              <w:rPr>
                <w:rFonts w:hint="eastAsia" w:ascii="宋体" w:hAnsi="宋体" w:eastAsia="宋体" w:cs="宋体"/>
                <w:b/>
                <w:bCs/>
                <w:color w:val="auto"/>
                <w:sz w:val="24"/>
                <w:highlight w:val="none"/>
              </w:rPr>
              <w:t xml:space="preserve">30分钟内。</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“苏采云”系统生成开标记录并向社会公众公布，但依法应当保密的除外。</w:t>
            </w:r>
            <w:r/>
          </w:p>
        </w:tc>
      </w:tr>
      <w:tr>
        <w:trPr/>
        <w:tc>
          <w:tcPr>
            <w:tcW w:w="1560" w:type="dxa"/>
            <w:vMerge w:val="continue"/>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91" w:type="dxa"/>
            <w:textDirection w:val="lrTb"/>
            <w:noWrap w:val="false"/>
          </w:tcPr>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“苏采云”系统生成开标记录并</w:t>
            </w:r>
            <w:r>
              <w:rPr>
                <w:rFonts w:hint="eastAsia" w:ascii="宋体" w:hAnsi="宋体" w:eastAsia="宋体" w:cs="宋体"/>
                <w:b/>
                <w:bCs/>
                <w:color w:val="auto"/>
                <w:sz w:val="24"/>
                <w:highlight w:val="none"/>
              </w:rPr>
              <w:t xml:space="preserve">向社会公众公布后5分钟内</w:t>
            </w:r>
            <w:r>
              <w:rPr>
                <w:rFonts w:hint="eastAsia" w:ascii="宋体" w:hAnsi="宋体" w:eastAsia="宋体" w:cs="宋体"/>
                <w:color w:val="auto"/>
                <w:sz w:val="24"/>
                <w:highlight w:val="none"/>
              </w:rPr>
              <w:t xml:space="preserve">，投标人通过“苏采云”系统（使用“CA数字证书”）</w:t>
            </w:r>
            <w:r>
              <w:rPr>
                <w:rFonts w:hint="eastAsia" w:ascii="宋体" w:hAnsi="宋体" w:eastAsia="宋体" w:cs="宋体"/>
                <w:b/>
                <w:bCs/>
                <w:color w:val="auto"/>
                <w:sz w:val="24"/>
                <w:highlight w:val="none"/>
              </w:rPr>
              <w:t xml:space="preserve">确认开标过程</w:t>
            </w:r>
            <w:r>
              <w:rPr>
                <w:rFonts w:hint="eastAsia" w:ascii="宋体" w:hAnsi="宋体" w:eastAsia="宋体" w:cs="宋体"/>
                <w:color w:val="auto"/>
                <w:sz w:val="24"/>
                <w:highlight w:val="none"/>
              </w:rPr>
              <w:t xml:space="preserve">。在以上时间内投标人没有确认的，视同该投标人认可开标结果。</w:t>
            </w:r>
            <w:r/>
          </w:p>
        </w:tc>
      </w:tr>
      <w:tr>
        <w:trPr/>
        <w:tc>
          <w:tcPr>
            <w:tcW w:w="1560" w:type="dxa"/>
            <w:vMerge w:val="continue"/>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91" w:type="dxa"/>
            <w:textDirection w:val="lrTb"/>
            <w:noWrap w:val="false"/>
          </w:tcPr>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W w:w="1560" w:type="dxa"/>
            <w:vMerge w:val="continue"/>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91" w:type="dxa"/>
            <w:textDirection w:val="lrTb"/>
            <w:noWrap w:val="false"/>
          </w:tcPr>
          <w:p>
            <w:pPr>
              <w:pStyle w:val="816"/>
              <w:ind w:firstLine="480"/>
              <w:spacing w:before="0" w:beforeAutospacing="0" w:after="0" w:afterAutospacing="0" w:line="24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投标文件解密失败的补救方案：无。</w:t>
            </w:r>
            <w:r/>
          </w:p>
        </w:tc>
      </w:tr>
      <w:tr>
        <w:trPr/>
        <w:tc>
          <w:tcPr>
            <w:tcW w:w="1560" w:type="dxa"/>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w:t>
            </w:r>
            <w:r/>
          </w:p>
        </w:tc>
        <w:tc>
          <w:tcPr>
            <w:tcW w:w="7791" w:type="dxa"/>
            <w:textDirection w:val="lrTb"/>
            <w:noWrap w:val="false"/>
          </w:tcPr>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w:t>
            </w:r>
            <w:r/>
          </w:p>
        </w:tc>
      </w:tr>
      <w:tr>
        <w:trPr/>
        <w:tc>
          <w:tcPr>
            <w:tcW w:w="1560" w:type="dxa"/>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(二十五)1</w:t>
            </w:r>
            <w:r/>
          </w:p>
        </w:tc>
        <w:tc>
          <w:tcPr>
            <w:tcW w:w="7791" w:type="dxa"/>
            <w:textDirection w:val="lrTb"/>
            <w:noWrap w:val="false"/>
          </w:tcPr>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开标时间及地点：</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1.开标时间：2026年9月8日9:30（北京时间）</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2.开标地点：“苏采云”系统“开标大厅”或进入江苏政府采购网--办事指南--供应商--供应商进入，点击“苏采云”进入系统“开标大厅”。</w:t>
            </w:r>
            <w:r/>
          </w:p>
        </w:tc>
      </w:tr>
      <w:tr>
        <w:trPr/>
        <w:tc>
          <w:tcPr>
            <w:tcW w:w="1560" w:type="dxa"/>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w:t>
            </w:r>
            <w:r/>
          </w:p>
        </w:tc>
        <w:tc>
          <w:tcPr>
            <w:tcW w:w="7791" w:type="dxa"/>
            <w:textDirection w:val="lrTb"/>
            <w:noWrap w:val="false"/>
          </w:tcPr>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w:t>
            </w:r>
            <w:r/>
          </w:p>
        </w:tc>
      </w:tr>
      <w:tr>
        <w:trPr/>
        <w:tc>
          <w:tcPr>
            <w:tcW w:w="1560" w:type="dxa"/>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(二十七)</w:t>
            </w:r>
            <w:r/>
          </w:p>
        </w:tc>
        <w:tc>
          <w:tcPr>
            <w:tcW w:w="7791" w:type="dxa"/>
            <w:textDirection w:val="lrTb"/>
            <w:noWrap w:val="false"/>
          </w:tcPr>
          <w:p>
            <w:pPr>
              <w:pStyle w:val="788"/>
              <w:spacing w:line="44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采用综合评分法。</w:t>
            </w:r>
            <w:r/>
          </w:p>
        </w:tc>
      </w:tr>
      <w:tr>
        <w:trPr/>
        <w:tc>
          <w:tcPr>
            <w:tcW w:w="1560" w:type="dxa"/>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(二十八)1</w:t>
            </w:r>
            <w:r/>
          </w:p>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(二十八)1（4）</w:t>
            </w:r>
            <w:r/>
          </w:p>
        </w:tc>
        <w:tc>
          <w:tcPr>
            <w:tcW w:w="7791" w:type="dxa"/>
            <w:textDirection w:val="lrTb"/>
            <w:noWrap w:val="false"/>
          </w:tcPr>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一、推荐中标候选供应商名单。中标候选供应商数量应当根据采购需要确定，但必须按顺序排列中标候选供应商。</w:t>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二、采用综合评分法的，按评审后得分由高到低顺序排列。得分相同的，按投标报价由低到高顺序排列。得分且投标报价相同的，按技术方案得分顺序排列。</w:t>
            </w:r>
            <w:bookmarkStart w:id="39" w:name="OLE_LINK37"/>
            <w:r/>
            <w:bookmarkStart w:id="40" w:name="OLE_LINK38"/>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三、采购人应当自收到评标报告之日起5个工作日内，在评标报告确定的中标候选人名单中按得分最高顺序确定一名中标人。</w:t>
            </w:r>
            <w:bookmarkEnd w:id="39"/>
            <w:r/>
            <w:bookmarkEnd w:id="40"/>
            <w:r/>
            <w:r/>
          </w:p>
          <w:p>
            <w:pPr>
              <w:pStyle w:val="788"/>
              <w:spacing w:line="440" w:lineRule="exact"/>
              <w:rPr>
                <w:rFonts w:hint="eastAsia" w:ascii="宋体" w:hAnsi="宋体" w:eastAsia="宋体" w:cs="宋体"/>
                <w:color w:val="auto"/>
                <w:sz w:val="24"/>
                <w:highlight w:val="none"/>
              </w:rPr>
            </w:pPr>
            <w:r/>
            <w:bookmarkStart w:id="41" w:name="OLE_LINK52"/>
            <w:r/>
            <w:bookmarkStart w:id="42" w:name="OLE_LINK53"/>
            <w:r>
              <w:rPr>
                <w:rFonts w:hint="eastAsia" w:ascii="宋体" w:hAnsi="宋体" w:eastAsia="宋体" w:cs="宋体"/>
                <w:color w:val="auto"/>
                <w:sz w:val="24"/>
                <w:highlight w:val="none"/>
              </w:rPr>
              <w:t xml:space="preserve">本项目共分3个采购包,兼投不兼中。每个投标人可以参与多个采购包的评审，但只允许成为一个采购包的中标人。本项目按照采购包1、采购包2、采购包3的顺序进行评审定标。在前一采购包被确定为中标人的，可以参与下一采购包的评审，但不得再次成为中标人，不再作为后续采购包的有效投标人。且各采购包的有效投标人数量不得少于3家，否则该采购包按废标处理。</w:t>
            </w:r>
            <w:bookmarkEnd w:id="41"/>
            <w:r/>
            <w:bookmarkEnd w:id="42"/>
            <w:r/>
            <w:r/>
          </w:p>
        </w:tc>
      </w:tr>
      <w:tr>
        <w:trPr/>
        <w:tc>
          <w:tcPr>
            <w:tcW w:w="1560" w:type="dxa"/>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（二十九）</w:t>
            </w:r>
            <w:r/>
          </w:p>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7791" w:type="dxa"/>
            <w:textDirection w:val="lrTb"/>
            <w:noWrap w:val="false"/>
          </w:tcPr>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1.评标中需要投标人对投标文件澄清或者说明的，应当通过“苏采云”系统交换数据电文。在评标期间，请投标人保持在线。</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560" w:type="dxa"/>
            <w:textDirection w:val="lrTb"/>
            <w:noWrap w:val="false"/>
          </w:tcPr>
          <w:p>
            <w:pPr>
              <w:jc w:val="center"/>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（三十）</w:t>
            </w:r>
            <w:r/>
          </w:p>
        </w:tc>
        <w:tc>
          <w:tcPr>
            <w:tcW w:w="7791" w:type="dxa"/>
            <w:textDirection w:val="lrTb"/>
            <w:noWrap w:val="false"/>
          </w:tcPr>
          <w:p>
            <w:pPr>
              <w:spacing w:line="400" w:lineRule="exact"/>
              <w:rPr>
                <w:rFonts w:hint="eastAsia" w:ascii="宋体" w:hAnsi="宋体" w:eastAsia="宋体" w:cs="宋体"/>
                <w:color w:val="auto"/>
                <w:sz w:val="24"/>
                <w:highlight w:val="none"/>
              </w:rPr>
            </w:pPr>
            <w:r/>
            <w:bookmarkStart w:id="43" w:name="OLE_LINK39"/>
            <w:r/>
            <w:bookmarkStart w:id="44" w:name="OLE_LINK40"/>
            <w:r>
              <w:rPr>
                <w:rFonts w:hint="eastAsia" w:ascii="宋体" w:hAnsi="宋体" w:eastAsia="宋体" w:cs="宋体"/>
                <w:color w:val="auto"/>
                <w:sz w:val="24"/>
                <w:highlight w:val="none"/>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auto"/>
                <w:sz w:val="24"/>
                <w:highlight w:val="none"/>
              </w:rPr>
              <w:t xml:space="preserve">项目具体成本测算等与报价合理性相关的书面说明及相关证明材料</w:t>
            </w:r>
            <w:r>
              <w:rPr>
                <w:rFonts w:hint="eastAsia" w:ascii="宋体" w:hAnsi="宋体" w:eastAsia="宋体" w:cs="宋体"/>
                <w:color w:val="auto"/>
                <w:sz w:val="24"/>
                <w:highlight w:val="none"/>
              </w:rPr>
              <w:t xml:space="preserve">，对投标（响应）价格作出解释，由评审委员会</w:t>
            </w:r>
            <w:r>
              <w:rPr>
                <w:rFonts w:hint="eastAsia" w:ascii="宋体" w:hAnsi="宋体" w:eastAsia="宋体" w:cs="宋体"/>
                <w:b/>
                <w:color w:val="auto"/>
                <w:sz w:val="24"/>
                <w:highlight w:val="none"/>
              </w:rPr>
              <w:t xml:space="preserve">结合同类产品在主要电商平台的价格、该行业当地薪资水平等情况</w:t>
            </w:r>
            <w:r>
              <w:rPr>
                <w:rFonts w:hint="eastAsia" w:ascii="宋体" w:hAnsi="宋体" w:eastAsia="宋体" w:cs="宋体"/>
                <w:color w:val="auto"/>
                <w:sz w:val="24"/>
                <w:highlight w:val="none"/>
              </w:rPr>
              <w:t xml:space="preserve">，依据专业经验对供应商报价合理性进行判断。投标（响应）供应商</w:t>
            </w:r>
            <w:r>
              <w:rPr>
                <w:rFonts w:hint="eastAsia" w:ascii="宋体" w:hAnsi="宋体" w:eastAsia="宋体" w:cs="宋体"/>
                <w:b/>
                <w:color w:val="auto"/>
                <w:sz w:val="24"/>
                <w:highlight w:val="none"/>
              </w:rPr>
              <w:t xml:space="preserve">不提供书面说明、证明材料，或者提供的书面说明、证明材料不能证明其报价合理性的，评审委员会应当将其作为无效投标（响应）处理。</w:t>
            </w:r>
            <w:bookmarkEnd w:id="43"/>
            <w:r/>
            <w:bookmarkEnd w:id="44"/>
            <w:r/>
            <w:r/>
          </w:p>
        </w:tc>
      </w:tr>
      <w:tr>
        <w:trPr/>
        <w:tc>
          <w:tcPr>
            <w:tcW w:w="1560" w:type="dxa"/>
            <w:textDirection w:val="lrTb"/>
            <w:noWrap w:val="false"/>
          </w:tcPr>
          <w:p>
            <w:pPr>
              <w:pStyle w:val="788"/>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w:t>
            </w:r>
            <w:r/>
          </w:p>
        </w:tc>
        <w:tc>
          <w:tcPr>
            <w:tcW w:w="7791" w:type="dxa"/>
            <w:textDirection w:val="lrTb"/>
            <w:noWrap w:val="false"/>
          </w:tcPr>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政府采购合同</w:t>
            </w:r>
            <w:r/>
          </w:p>
        </w:tc>
      </w:tr>
      <w:tr>
        <w:trPr/>
        <w:tc>
          <w:tcPr>
            <w:tcW w:w="1560" w:type="dxa"/>
            <w:textDirection w:val="lrTb"/>
            <w:noWrap w:val="false"/>
          </w:tcPr>
          <w:p>
            <w:pPr>
              <w:jc w:val="center"/>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(三十六)1</w:t>
            </w:r>
            <w:r/>
          </w:p>
        </w:tc>
        <w:tc>
          <w:tcPr>
            <w:tcW w:w="7791" w:type="dxa"/>
            <w:vAlign w:val="center"/>
            <w:textDirection w:val="lrTb"/>
            <w:noWrap w:val="false"/>
          </w:tcPr>
          <w:p>
            <w:pPr>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采购人与中标、成交供应商应当在中标、成交通知书发出之日起30日内，按照采购文件确定的事项签订政府采购合同。</w:t>
            </w:r>
            <w:r/>
          </w:p>
        </w:tc>
      </w:tr>
      <w:tr>
        <w:trPr/>
        <w:tc>
          <w:tcPr>
            <w:tcW w:w="1560" w:type="dxa"/>
            <w:textDirection w:val="lrTb"/>
            <w:noWrap w:val="false"/>
          </w:tcPr>
          <w:p>
            <w:pPr>
              <w:jc w:val="center"/>
              <w:spacing w:line="440" w:lineRule="exac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（三十八）</w:t>
            </w:r>
            <w:r/>
          </w:p>
        </w:tc>
        <w:tc>
          <w:tcPr>
            <w:tcW w:w="7791" w:type="dxa"/>
            <w:vAlign w:val="center"/>
            <w:textDirection w:val="lrTb"/>
            <w:noWrap w:val="false"/>
          </w:tcPr>
          <w:p>
            <w:pPr>
              <w:spacing w:line="440" w:lineRule="exac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履约保证金：无。</w:t>
            </w:r>
            <w:r/>
          </w:p>
        </w:tc>
      </w:tr>
      <w:tr>
        <w:trPr>
          <w:trHeight w:val="90"/>
        </w:trPr>
        <w:tc>
          <w:tcPr>
            <w:tcW w:w="1560" w:type="dxa"/>
            <w:textDirection w:val="lrTb"/>
            <w:noWrap w:val="false"/>
          </w:tcPr>
          <w:p>
            <w:pPr>
              <w:jc w:val="center"/>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(四十)</w:t>
            </w:r>
            <w:r/>
          </w:p>
        </w:tc>
        <w:tc>
          <w:tcPr>
            <w:tcW w:w="7791" w:type="dxa"/>
            <w:textDirection w:val="lrTb"/>
            <w:noWrap w:val="false"/>
          </w:tcPr>
          <w:p>
            <w:pPr>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w:t>
            </w:r>
            <w:bookmarkStart w:id="45" w:name="OLE_LINK44"/>
            <w:r/>
            <w:bookmarkStart w:id="46" w:name="OLE_LINK41"/>
            <w:r>
              <w:rPr>
                <w:rFonts w:hint="eastAsia" w:ascii="宋体" w:hAnsi="宋体" w:eastAsia="宋体" w:cs="宋体"/>
                <w:color w:val="auto"/>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bookmarkEnd w:id="45"/>
            <w:r/>
            <w:bookmarkEnd w:id="46"/>
            <w:r/>
            <w:r/>
          </w:p>
          <w:p>
            <w:pPr>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二、投标人在法定质疑期内一次性提出针对同一采购程序环节的质疑。</w:t>
            </w:r>
            <w:r/>
          </w:p>
          <w:p>
            <w:pPr>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质疑接收人：唐流霞    联系电话：0516-80802220</w:t>
            </w:r>
            <w:r/>
          </w:p>
          <w:p>
            <w:pPr>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地址：徐州市新城区新安路9号</w:t>
            </w:r>
            <w:r/>
          </w:p>
        </w:tc>
      </w:tr>
      <w:tr>
        <w:trPr/>
        <w:tc>
          <w:tcPr>
            <w:tcW w:w="1560" w:type="dxa"/>
            <w:textDirection w:val="lrTb"/>
            <w:noWrap w:val="false"/>
          </w:tcPr>
          <w:p>
            <w:pPr>
              <w:jc w:val="center"/>
              <w:spacing w:line="44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附加说明</w:t>
            </w:r>
            <w:r/>
          </w:p>
        </w:tc>
        <w:tc>
          <w:tcPr>
            <w:tcW w:w="7791" w:type="dxa"/>
            <w:textDirection w:val="lrTb"/>
            <w:noWrap w:val="false"/>
          </w:tcPr>
          <w:p>
            <w:pPr>
              <w:ind w:firstLine="48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中标人在收到中标通知书时，须向采购人和采购代理机构提交《开标一览表》和《分项价格表》的数据文件（WORD格式）。</w:t>
            </w:r>
            <w:r/>
          </w:p>
          <w:p>
            <w:pPr>
              <w:ind w:firstLine="48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47" w:name="OLE_LINK45"/>
            <w:r/>
            <w:bookmarkStart w:id="48" w:name="OLE_LINK47"/>
            <w:r>
              <w:rPr>
                <w:rFonts w:hint="eastAsia" w:ascii="宋体" w:hAnsi="宋体" w:eastAsia="宋体" w:cs="宋体"/>
                <w:color w:val="auto"/>
                <w:sz w:val="24"/>
                <w:highlight w:val="none"/>
              </w:rPr>
              <w:t xml:space="preserve">邮箱：ty83700706@126.com</w:t>
            </w:r>
            <w:r/>
          </w:p>
          <w:p>
            <w:pPr>
              <w:ind w:firstLine="48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1、评标中需要投标人对投标文件澄清或者说明的，应当通过“苏采云”系统交换数据电文。在评标期间，请投标人保持在线。</w:t>
            </w:r>
            <w:r/>
          </w:p>
          <w:p>
            <w:pPr>
              <w:ind w:firstLine="48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4、招标文件中如需“授权代表签字或盖章”，供应商可打印成文档。签字或盖章后再扫描上传，最后再电子签章。</w:t>
            </w:r>
            <w:r/>
          </w:p>
          <w:p>
            <w:pPr>
              <w:ind w:firstLine="48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5、中标人在收到中标通知书时，须向采购人和采购代理机构提交完整纸质版的投标文件（需盖投标人公章且胶装成册，1正4副）。</w:t>
            </w:r>
            <w:r/>
          </w:p>
          <w:p>
            <w:pPr>
              <w:ind w:firstLine="48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6、投标人应严格按照要求在投标系统指定位置上传相应文件及材料。因未上传或上传位置有误，导致评标委员会未能检索到相关内容的，由此产生的一切不利后果均由投标人自行承担。</w:t>
            </w:r>
            <w:bookmarkEnd w:id="47"/>
            <w:r/>
            <w:bookmarkEnd w:id="48"/>
            <w:r/>
            <w:r/>
          </w:p>
        </w:tc>
      </w:tr>
    </w:tbl>
    <w:p>
      <w:pPr>
        <w:pStyle w:val="788"/>
        <w:spacing w:line="440" w:lineRule="exact"/>
        <w:widowControl/>
        <w:rPr>
          <w:rFonts w:hint="eastAsia" w:ascii="宋体" w:hAnsi="宋体" w:eastAsia="宋体" w:cs="宋体"/>
          <w:color w:val="auto"/>
          <w:sz w:val="24"/>
          <w:highlight w:val="none"/>
        </w:rPr>
      </w:pPr>
      <w:r/>
      <w:bookmarkStart w:id="49" w:name="_Toc522790133"/>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ind w:firstLine="600"/>
        <w:spacing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本章附件：</w:t>
      </w:r>
      <w:r>
        <w:rPr>
          <w:rFonts w:hint="eastAsia" w:ascii="宋体" w:hAnsi="宋体" w:eastAsia="宋体" w:cs="宋体"/>
          <w:b/>
          <w:color w:val="auto"/>
          <w:sz w:val="24"/>
          <w:szCs w:val="24"/>
          <w:highlight w:val="none"/>
        </w:rPr>
        <w:t xml:space="preserve">招标代理服务收费标准</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78"/>
        <w:gridCol w:w="3552"/>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hint="eastAsia" w:ascii="宋体" w:hAnsi="宋体" w:eastAsia="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8"/>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hint="eastAsia" w:ascii="宋体" w:hAnsi="宋体" w:eastAsia="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8"/>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hint="eastAsia" w:ascii="宋体" w:hAnsi="宋体" w:eastAsia="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8"/>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hint="eastAsia" w:ascii="宋体" w:hAnsi="宋体" w:eastAsia="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8"/>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hint="eastAsia" w:ascii="宋体" w:hAnsi="宋体" w:eastAsia="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8"/>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hint="eastAsia" w:ascii="宋体" w:hAnsi="宋体" w:eastAsia="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8"/>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hint="eastAsia" w:ascii="宋体" w:hAnsi="宋体" w:eastAsia="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8"/>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hint="eastAsia" w:ascii="宋体" w:hAnsi="宋体" w:eastAsia="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8"/>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hint="eastAsia" w:ascii="宋体" w:hAnsi="宋体" w:eastAsia="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8"/>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hint="eastAsia" w:ascii="宋体" w:hAnsi="宋体" w:eastAsia="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8"/>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hint="eastAsia" w:ascii="宋体" w:hAnsi="宋体" w:eastAsia="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8"/>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hint="eastAsia" w:ascii="宋体" w:hAnsi="宋体" w:eastAsia="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8"/>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hint="eastAsia" w:ascii="宋体" w:hAnsi="宋体" w:eastAsia="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8"/>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hint="eastAsia" w:ascii="宋体" w:hAnsi="宋体" w:eastAsia="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8"/>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hint="eastAsia" w:ascii="宋体" w:hAnsi="宋体" w:eastAsia="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8"/>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hint="eastAsia" w:ascii="宋体" w:hAnsi="宋体" w:eastAsia="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8"/>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hint="eastAsia" w:ascii="宋体" w:hAnsi="宋体" w:eastAsia="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8"/>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hint="eastAsia" w:ascii="宋体" w:hAnsi="宋体" w:eastAsia="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8"/>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hint="eastAsia" w:ascii="宋体" w:hAnsi="宋体" w:eastAsia="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8"/>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hint="eastAsia" w:ascii="宋体" w:hAnsi="宋体" w:eastAsia="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8"/>
                <w:highlight w:val="none"/>
              </w:rPr>
              <w:t xml:space="preserve">0.005%</w:t>
            </w:r>
            <w:r/>
          </w:p>
        </w:tc>
      </w:tr>
    </w:tbl>
    <w:p>
      <w:pPr>
        <w:pStyle w:val="1044"/>
        <w:ind w:firstLine="5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1、按上表计算的收费为代理服务全过程的收费金额。各社会代理机构不再收取采购文件制作售卖费用。</w:t>
      </w:r>
      <w:r/>
    </w:p>
    <w:p>
      <w:pPr>
        <w:pStyle w:val="1044"/>
        <w:ind w:firstLine="5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2、代理服务费按差额定率累进法计算。</w:t>
      </w:r>
      <w:r/>
    </w:p>
    <w:p>
      <w:pPr>
        <w:pStyle w:val="1044"/>
        <w:ind w:firstLine="5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3、代理服务费基准金额(按差额定率累进法计算的)=中标金额(按差额定率累进法计算的)*费率(%)</w:t>
      </w:r>
      <w:r/>
    </w:p>
    <w:p>
      <w:pPr>
        <w:pStyle w:val="1044"/>
        <w:ind w:firstLine="5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4、代理服务费应收取金额=代理服务费基准金额(按差额定率累进法计算的)的合计数*90%。代理服务费最低收费金额为5000元，不足5000元的按5000元收取。</w:t>
      </w:r>
      <w:r/>
    </w:p>
    <w:p>
      <w:pPr>
        <w:pStyle w:val="1044"/>
        <w:ind w:firstLine="5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5、定点类等无金额或事先不能计算出价格总额的项目，按中标(成交)金额100万元计算。</w:t>
      </w:r>
      <w:r/>
    </w:p>
    <w:p>
      <w:pPr>
        <w:pStyle w:val="1044"/>
        <w:ind w:firstLine="5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6、有分包(分标段)的按一个项目计算。</w:t>
      </w:r>
      <w:r/>
    </w:p>
    <w:p>
      <w:pPr>
        <w:pStyle w:val="1044"/>
        <w:ind w:firstLine="540"/>
        <w:spacing w:line="360" w:lineRule="auto"/>
        <w:rPr>
          <w:rFonts w:hint="eastAsia" w:ascii="宋体" w:hAnsi="宋体" w:eastAsia="宋体" w:cs="宋体"/>
          <w:color w:val="auto"/>
          <w:highlight w:val="none"/>
        </w:rPr>
      </w:pPr>
      <w:r>
        <w:rPr>
          <w:rFonts w:hint="eastAsia" w:ascii="宋体" w:hAnsi="宋体" w:eastAsia="宋体" w:cs="宋体"/>
          <w:color w:val="auto"/>
          <w:sz w:val="22"/>
          <w:szCs w:val="22"/>
          <w:highlight w:val="none"/>
        </w:rPr>
        <w:t xml:space="preserve">7、上表为自行约定的代理服务费标准。</w:t>
      </w:r>
      <w:r/>
    </w:p>
    <w:p>
      <w:pPr>
        <w:pStyle w:val="1044"/>
        <w:ind w:firstLine="5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8、账户信息：</w:t>
      </w:r>
      <w:r/>
    </w:p>
    <w:p>
      <w:pPr>
        <w:pStyle w:val="1044"/>
        <w:ind w:firstLine="5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开户人：徐州市通源招标代理有限公司</w:t>
      </w:r>
      <w:r/>
    </w:p>
    <w:p>
      <w:pPr>
        <w:pStyle w:val="1044"/>
        <w:ind w:firstLine="5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开户行：交通银行徐州新城支行</w:t>
      </w:r>
      <w:r/>
    </w:p>
    <w:p>
      <w:pPr>
        <w:pStyle w:val="1044"/>
        <w:ind w:firstLine="5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账  号：323600673018010016289</w:t>
      </w:r>
      <w:r/>
    </w:p>
    <w:p>
      <w:pPr>
        <w:pStyle w:val="1044"/>
        <w:ind w:firstLine="5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spacing w:line="400" w:lineRule="exact"/>
        <w:rPr>
          <w:rFonts w:hint="eastAsia" w:ascii="宋体" w:hAnsi="宋体" w:eastAsia="宋体" w:cs="宋体"/>
          <w:b w:val="0"/>
          <w:bCs w:val="0"/>
          <w:color w:val="auto"/>
          <w:highlight w:val="none"/>
        </w:rPr>
      </w:pPr>
      <w:r>
        <w:rPr>
          <w:rFonts w:hint="eastAsia" w:ascii="宋体" w:hAnsi="宋体" w:eastAsia="宋体" w:cs="宋体"/>
          <w:color w:val="auto"/>
          <w:highlight w:val="none"/>
        </w:rPr>
        <w:br w:type="page" w:clear="all"/>
      </w:r>
      <w:bookmarkStart w:id="50" w:name="_Toc9429"/>
      <w:r>
        <w:rPr>
          <w:rFonts w:hint="eastAsia" w:ascii="宋体" w:hAnsi="宋体" w:eastAsia="宋体" w:cs="宋体"/>
          <w:color w:val="auto"/>
          <w:highlight w:val="none"/>
        </w:rPr>
        <w:t xml:space="preserve">第四章 </w:t>
      </w:r>
      <w:r>
        <w:rPr>
          <w:rFonts w:hint="eastAsia" w:ascii="宋体" w:hAnsi="宋体" w:eastAsia="宋体" w:cs="宋体"/>
          <w:b w:val="0"/>
          <w:bCs w:val="0"/>
          <w:color w:val="auto"/>
          <w:highlight w:val="none"/>
        </w:rPr>
        <w:t xml:space="preserve"> 评标标准</w:t>
      </w:r>
      <w:bookmarkEnd w:id="49"/>
      <w:r/>
      <w:bookmarkEnd w:id="50"/>
      <w:r/>
      <w:r/>
    </w:p>
    <w:p>
      <w:pPr>
        <w:pStyle w:val="788"/>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采购包1、采购包2</w:t>
      </w:r>
      <w:r/>
    </w:p>
    <w:tbl>
      <w:tblPr>
        <w:tblStyle w:val="785"/>
        <w:tblpPr w:horzAnchor="margin" w:tblpXSpec="left" w:vertAnchor="text" w:tblpY="263" w:leftFromText="180" w:topFromText="0" w:rightFromText="180" w:bottomFromText="0"/>
        <w:tblW w:w="9493"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635"/>
        <w:gridCol w:w="1507"/>
        <w:gridCol w:w="6351"/>
      </w:tblGrid>
      <w:tr>
        <w:trPr>
          <w:cantSplit/>
          <w:trHeight w:val="553"/>
        </w:trPr>
        <w:tc>
          <w:tcPr>
            <w:tcW w:w="1635" w:type="dxa"/>
            <w:vAlign w:val="center"/>
            <w:textDirection w:val="lrTb"/>
            <w:noWrap w:val="false"/>
          </w:tcPr>
          <w:p>
            <w:pPr>
              <w:pStyle w:val="999"/>
              <w:jc w:val="center"/>
              <w:rPr>
                <w:rStyle w:val="1027"/>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报价（10分）</w:t>
            </w:r>
            <w:r/>
          </w:p>
        </w:tc>
        <w:tc>
          <w:tcPr>
            <w:gridSpan w:val="2"/>
            <w:tcW w:w="7858" w:type="dxa"/>
            <w:textDirection w:val="lrTb"/>
            <w:noWrap w:val="false"/>
          </w:tcPr>
          <w:p>
            <w:pPr>
              <w:pStyle w:val="788"/>
              <w:rPr>
                <w:rStyle w:val="1027"/>
                <w:rFonts w:hint="eastAsia" w:ascii="宋体" w:hAnsi="宋体" w:eastAsia="宋体" w:cs="宋体"/>
                <w:color w:val="auto"/>
                <w:sz w:val="24"/>
                <w:highlight w:val="none"/>
              </w:rPr>
            </w:pPr>
            <w:r/>
            <w:bookmarkStart w:id="51" w:name="OLE_LINK18"/>
            <w:r/>
            <w:bookmarkStart w:id="52" w:name="OLE_LINK19"/>
            <w:r>
              <w:rPr>
                <w:rStyle w:val="1027"/>
                <w:rFonts w:hint="eastAsia" w:ascii="宋体" w:hAnsi="宋体" w:eastAsia="宋体" w:cs="宋体"/>
                <w:color w:val="auto"/>
                <w:sz w:val="24"/>
                <w:highlight w:val="none"/>
              </w:rPr>
              <w:t xml:space="preserve">采用低价优先法计算，即满足招标文件要求且投标人评审价格最低的投标报价为评标基准价，其价格得分为满分。</w:t>
            </w:r>
            <w:r/>
          </w:p>
          <w:p>
            <w:pPr>
              <w:pStyle w:val="788"/>
              <w:rPr>
                <w:rStyle w:val="1027"/>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各投标人价格得分=最低报价（投标人的最低评审价格）÷各投标人评审价格×10。</w:t>
            </w:r>
            <w:bookmarkEnd w:id="51"/>
            <w:r/>
            <w:bookmarkEnd w:id="52"/>
            <w:r/>
            <w:r/>
          </w:p>
          <w:p>
            <w:pPr>
              <w:rPr>
                <w:rFonts w:hint="eastAsia" w:ascii="宋体" w:hAnsi="宋体" w:eastAsia="宋体" w:cs="宋体"/>
                <w:color w:val="auto"/>
                <w:highlight w:val="none"/>
              </w:rPr>
            </w:pPr>
            <w:r>
              <w:rPr>
                <w:rStyle w:val="1027"/>
                <w:rFonts w:hint="eastAsia" w:ascii="宋体" w:hAnsi="宋体" w:eastAsia="宋体" w:cs="宋体"/>
                <w:color w:val="auto"/>
                <w:sz w:val="24"/>
                <w:highlight w:val="none"/>
              </w:rPr>
              <w:t xml:space="preserve">分值计算结果保留两位小数。</w:t>
            </w:r>
            <w:r/>
          </w:p>
        </w:tc>
      </w:tr>
      <w:tr>
        <w:trPr>
          <w:cantSplit/>
          <w:trHeight w:val="553"/>
        </w:trPr>
        <w:tc>
          <w:tcPr>
            <w:tcW w:w="1635" w:type="dxa"/>
            <w:vAlign w:val="center"/>
            <w:textDirection w:val="lrTb"/>
            <w:noWrap w:val="false"/>
          </w:tcPr>
          <w:p>
            <w:pPr>
              <w:pStyle w:val="788"/>
              <w:jc w:val="center"/>
              <w:spacing w:line="320" w:lineRule="exact"/>
              <w:rPr>
                <w:rStyle w:val="1027"/>
                <w:rFonts w:hint="eastAsia" w:ascii="宋体" w:hAnsi="宋体" w:eastAsia="宋体" w:cs="宋体"/>
                <w:color w:val="auto"/>
                <w:sz w:val="24"/>
                <w:highlight w:val="none"/>
              </w:rPr>
            </w:pPr>
            <w:r/>
            <w:bookmarkStart w:id="53" w:name="OLE_LINK25"/>
            <w:r/>
            <w:bookmarkStart w:id="54" w:name="OLE_LINK26"/>
            <w:r>
              <w:rPr>
                <w:rStyle w:val="1027"/>
                <w:rFonts w:hint="eastAsia" w:ascii="宋体" w:hAnsi="宋体" w:eastAsia="宋体" w:cs="宋体"/>
                <w:color w:val="auto"/>
                <w:sz w:val="24"/>
                <w:highlight w:val="none"/>
              </w:rPr>
              <w:t xml:space="preserve">类似项目业绩</w:t>
            </w:r>
            <w:bookmarkEnd w:id="53"/>
            <w:r/>
            <w:bookmarkEnd w:id="54"/>
            <w:r/>
            <w:r/>
          </w:p>
          <w:p>
            <w:pPr>
              <w:pStyle w:val="999"/>
              <w:jc w:val="center"/>
              <w:spacing w:line="320" w:lineRule="exact"/>
              <w:rPr>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（4分）</w:t>
            </w:r>
            <w:r/>
          </w:p>
        </w:tc>
        <w:tc>
          <w:tcPr>
            <w:gridSpan w:val="2"/>
            <w:tcW w:w="7858" w:type="dxa"/>
            <w:vAlign w:val="center"/>
            <w:textDirection w:val="lrTb"/>
            <w:noWrap w:val="false"/>
          </w:tcPr>
          <w:p>
            <w:pPr>
              <w:pStyle w:val="1044"/>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提供2023年8月1日（合同签订日期）以来由投标人实施的类似业绩扫描件，每提供一份得2分。最高得4分。</w:t>
            </w:r>
            <w:r/>
          </w:p>
          <w:p>
            <w:pPr>
              <w:pStyle w:val="1044"/>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注：附中标（成交）通知书、合同协议书扫描件，两者须同时具备，否则不得分。</w:t>
            </w:r>
            <w:r/>
          </w:p>
          <w:p>
            <w:pPr>
              <w:pStyle w:val="1044"/>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类似业绩为市政公共排水管渠维修养护项目。</w:t>
            </w:r>
            <w:r/>
          </w:p>
        </w:tc>
      </w:tr>
      <w:tr>
        <w:trPr>
          <w:cantSplit/>
          <w:trHeight w:val="553"/>
        </w:trPr>
        <w:tc>
          <w:tcPr>
            <w:tcW w:w="16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机械设备投入（8分）</w:t>
            </w:r>
            <w:r/>
          </w:p>
        </w:tc>
        <w:tc>
          <w:tcPr>
            <w:gridSpan w:val="2"/>
            <w:tcW w:w="7858"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在满足每个采购包养护管理机械机具设备配置最低要求基础上，</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每增加1辆抓泥车（抓斗车）得2分，最高得2分；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每增加1套CCTV或QV检测设备得1分，最高得2分；</w:t>
            </w:r>
            <w:r/>
          </w:p>
          <w:p>
            <w:pPr>
              <w:pStyle w:val="788"/>
              <w:rPr>
                <w:rStyle w:val="1027"/>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每增加一台移动泵车得2分，最高得2分；</w:t>
            </w:r>
            <w:r/>
          </w:p>
          <w:p>
            <w:pPr>
              <w:pStyle w:val="792"/>
              <w:ind w:left="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每增加一台巡查车得1分，最高得2分；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本项最高得8分。 </w:t>
            </w:r>
            <w:r/>
          </w:p>
          <w:p>
            <w:pPr>
              <w:pStyle w:val="999"/>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投标文件中提供设备发票扫描件或复印件（购货方为投标人）、有效的车辆行驶证扫描件或复印件（车辆所有人为投标人）。设备租赁的应提供一年以上（含一年）租赁协议扫描件或复印件，并提供设备的购买发票及有效的车辆行驶证扫描件或复印件。</w:t>
            </w:r>
            <w:r/>
          </w:p>
        </w:tc>
      </w:tr>
      <w:tr>
        <w:trPr>
          <w:cantSplit/>
          <w:trHeight w:val="602"/>
        </w:trPr>
        <w:tc>
          <w:tcPr>
            <w:tcW w:w="1635" w:type="dxa"/>
            <w:vAlign w:val="center"/>
            <w:vMerge w:val="restart"/>
            <w:textDirection w:val="lrTb"/>
            <w:noWrap w:val="false"/>
          </w:tcPr>
          <w:p>
            <w:pPr>
              <w:pStyle w:val="788"/>
              <w:jc w:val="center"/>
              <w:spacing w:line="320" w:lineRule="exact"/>
              <w:rPr>
                <w:rStyle w:val="1027"/>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技术</w:t>
            </w:r>
            <w:r/>
          </w:p>
          <w:p>
            <w:pPr>
              <w:pStyle w:val="788"/>
              <w:jc w:val="center"/>
              <w:spacing w:line="320" w:lineRule="exact"/>
              <w:rPr>
                <w:rStyle w:val="1027"/>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方案</w:t>
            </w:r>
            <w:r/>
          </w:p>
          <w:p>
            <w:pPr>
              <w:pStyle w:val="788"/>
              <w:jc w:val="center"/>
              <w:spacing w:line="320" w:lineRule="exact"/>
              <w:rPr>
                <w:rStyle w:val="1027"/>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（78分）</w:t>
            </w:r>
            <w:r/>
          </w:p>
          <w:p>
            <w:pPr>
              <w:pStyle w:val="999"/>
              <w:jc w:val="cente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07" w:type="dxa"/>
            <w:vAlign w:val="center"/>
            <w:textDirection w:val="lrTb"/>
            <w:noWrap w:val="false"/>
          </w:tcPr>
          <w:p>
            <w:pPr>
              <w:pStyle w:val="999"/>
              <w:jc w:val="cente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bidi="zh-CN"/>
              </w:rPr>
              <w:t xml:space="preserve">养护管理实施方案(15分)</w:t>
            </w:r>
            <w:r/>
          </w:p>
        </w:tc>
        <w:tc>
          <w:tcPr>
            <w:tcW w:w="6351" w:type="dxa"/>
            <w:vAlign w:val="center"/>
            <w:textDirection w:val="lrTb"/>
            <w:noWrap w:val="false"/>
          </w:tcPr>
          <w:p>
            <w:pPr>
              <w:pStyle w:val="997"/>
              <w:rPr>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根据投标人投标文件中提供的养护管理方案，评审针对项目建立的管理体系、组织机构及规章制度，结合设备设施日常巡查、检测、疏通清淤、应急抢修、防汛值守等管理措施，以及各项制度执行保障机制，从全面性、可行性、针对性进行打分。</w:t>
            </w:r>
            <w:r/>
          </w:p>
          <w:p>
            <w:pPr>
              <w:pStyle w:val="999"/>
              <w:ind w:firstLine="240"/>
              <w:rPr>
                <w:rStyle w:val="1027"/>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全面性(5分)：</w:t>
            </w:r>
            <w:bookmarkStart w:id="55" w:name="OLE_LINK99"/>
            <w:r>
              <w:rPr>
                <w:rStyle w:val="1027"/>
                <w:rFonts w:hint="eastAsia" w:ascii="宋体" w:hAnsi="宋体" w:eastAsia="宋体" w:cs="宋体"/>
                <w:color w:val="auto"/>
                <w:sz w:val="24"/>
                <w:highlight w:val="none"/>
              </w:rPr>
              <w:t xml:space="preserve">全面详实的得5分，</w:t>
            </w:r>
            <w:bookmarkStart w:id="56" w:name="OLE_LINK98"/>
            <w:r/>
            <w:bookmarkStart w:id="57" w:name="OLE_LINK97"/>
            <w:r>
              <w:rPr>
                <w:rFonts w:hint="eastAsia" w:ascii="宋体" w:hAnsi="宋体" w:eastAsia="宋体" w:cs="宋体"/>
                <w:color w:val="auto"/>
                <w:sz w:val="24"/>
                <w:highlight w:val="none"/>
              </w:rPr>
              <w:t xml:space="preserve">较全面</w:t>
            </w:r>
            <w:r>
              <w:rPr>
                <w:rStyle w:val="1027"/>
                <w:rFonts w:hint="eastAsia" w:ascii="宋体" w:hAnsi="宋体" w:eastAsia="宋体" w:cs="宋体"/>
                <w:color w:val="auto"/>
                <w:sz w:val="24"/>
                <w:highlight w:val="none"/>
              </w:rPr>
              <w:t xml:space="preserve">的</w:t>
            </w:r>
            <w:bookmarkEnd w:id="56"/>
            <w:r/>
            <w:bookmarkEnd w:id="57"/>
            <w:r>
              <w:rPr>
                <w:rStyle w:val="1027"/>
                <w:rFonts w:hint="eastAsia" w:ascii="宋体" w:hAnsi="宋体" w:eastAsia="宋体" w:cs="宋体"/>
                <w:color w:val="auto"/>
                <w:sz w:val="24"/>
                <w:highlight w:val="none"/>
              </w:rPr>
              <w:t xml:space="preserve">得4分，</w:t>
            </w:r>
            <w:r>
              <w:rPr>
                <w:rFonts w:hint="eastAsia" w:ascii="宋体" w:hAnsi="宋体" w:eastAsia="宋体" w:cs="宋体"/>
                <w:color w:val="auto"/>
                <w:sz w:val="24"/>
                <w:highlight w:val="none"/>
              </w:rPr>
              <w:t xml:space="preserve">不太全面</w:t>
            </w:r>
            <w:r>
              <w:rPr>
                <w:rStyle w:val="1027"/>
                <w:rFonts w:hint="eastAsia" w:ascii="宋体" w:hAnsi="宋体" w:eastAsia="宋体" w:cs="宋体"/>
                <w:color w:val="auto"/>
                <w:sz w:val="24"/>
                <w:highlight w:val="none"/>
              </w:rPr>
              <w:t xml:space="preserve">的得3分，不全面的得2分；</w:t>
            </w:r>
            <w:bookmarkEnd w:id="55"/>
            <w:r/>
            <w:r/>
          </w:p>
          <w:p>
            <w:pPr>
              <w:pStyle w:val="999"/>
              <w:ind w:firstLine="240"/>
              <w:rPr>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可行性(5分)：</w:t>
            </w:r>
            <w:r>
              <w:rPr>
                <w:rFonts w:hint="eastAsia" w:ascii="宋体" w:hAnsi="宋体" w:eastAsia="宋体" w:cs="宋体"/>
                <w:color w:val="auto"/>
                <w:sz w:val="24"/>
                <w:highlight w:val="none"/>
              </w:rPr>
              <w:t xml:space="preserve">符合实际切实可行的得5分，较切实可行的得4分，可行性一般的得3分，可行性欠缺的得2分；</w:t>
            </w:r>
            <w:r/>
          </w:p>
          <w:p>
            <w:pPr>
              <w:pStyle w:val="999"/>
              <w:ind w:firstLine="240"/>
              <w:rPr>
                <w:rStyle w:val="1027"/>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针对性(5分)：针对性强的得5分，较有针对性的得4分，针对性一般的得3分，针对性不强的得</w:t>
            </w:r>
            <w:r>
              <w:rPr>
                <w:rStyle w:val="1027"/>
                <w:rFonts w:hint="eastAsia" w:ascii="宋体" w:hAnsi="宋体" w:eastAsia="宋体" w:cs="宋体"/>
                <w:color w:val="auto"/>
                <w:sz w:val="24"/>
                <w:highlight w:val="none"/>
                <w:lang w:val="en-US"/>
              </w:rPr>
              <w:t xml:space="preserve">2</w:t>
            </w:r>
            <w:r>
              <w:rPr>
                <w:rStyle w:val="1027"/>
                <w:rFonts w:hint="eastAsia" w:ascii="宋体" w:hAnsi="宋体" w:eastAsia="宋体" w:cs="宋体"/>
                <w:color w:val="auto"/>
                <w:sz w:val="24"/>
                <w:highlight w:val="none"/>
              </w:rPr>
              <w:t xml:space="preserve">分；</w:t>
            </w:r>
            <w:r/>
          </w:p>
          <w:p>
            <w:pPr>
              <w:pStyle w:val="999"/>
              <w:ind w:firstLine="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未提供的得0分，本条最高得15分，最低得0分。</w:t>
            </w:r>
            <w:r/>
          </w:p>
        </w:tc>
      </w:tr>
      <w:tr>
        <w:trPr>
          <w:cantSplit/>
          <w:trHeight w:val="602"/>
        </w:trPr>
        <w:tc>
          <w:tcPr>
            <w:tcW w:w="1635" w:type="dxa"/>
            <w:vAlign w:val="center"/>
            <w:vMerge w:val="continue"/>
            <w:textDirection w:val="lrTb"/>
            <w:noWrap w:val="false"/>
          </w:tcPr>
          <w:p>
            <w:pPr>
              <w:pStyle w:val="788"/>
              <w:jc w:val="center"/>
              <w:spacing w:line="320" w:lineRule="exact"/>
              <w:rPr>
                <w:rStyle w:val="1027"/>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07" w:type="dxa"/>
            <w:vAlign w:val="center"/>
            <w:textDirection w:val="lrTb"/>
            <w:noWrap w:val="false"/>
          </w:tcPr>
          <w:p>
            <w:pPr>
              <w:pStyle w:val="999"/>
              <w:jc w:val="center"/>
              <w:spacing w:line="320" w:lineRule="exact"/>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养护管理重点难点方案(6分)</w:t>
            </w:r>
            <w:r/>
          </w:p>
        </w:tc>
        <w:tc>
          <w:tcPr>
            <w:tcW w:w="6351" w:type="dxa"/>
            <w:vAlign w:val="center"/>
            <w:textDirection w:val="lrTb"/>
            <w:noWrap w:val="false"/>
          </w:tcPr>
          <w:p>
            <w:pPr>
              <w:rPr>
                <w:rFonts w:hint="eastAsia" w:ascii="宋体" w:hAnsi="宋体" w:eastAsia="宋体" w:cs="宋体"/>
                <w:color w:val="auto"/>
                <w:sz w:val="24"/>
                <w:highlight w:val="none"/>
                <w:lang w:bidi="zh-CN"/>
              </w:rPr>
            </w:pPr>
            <w:r>
              <w:rPr>
                <w:rStyle w:val="1027"/>
                <w:rFonts w:hint="eastAsia" w:ascii="宋体" w:hAnsi="宋体" w:eastAsia="宋体" w:cs="宋体"/>
                <w:color w:val="auto"/>
                <w:sz w:val="24"/>
                <w:highlight w:val="none"/>
              </w:rPr>
              <w:t xml:space="preserve">根据投标人投标文件中提供的</w:t>
            </w:r>
            <w:r>
              <w:rPr>
                <w:rFonts w:hint="eastAsia" w:ascii="宋体" w:hAnsi="宋体" w:eastAsia="宋体" w:cs="宋体"/>
                <w:color w:val="auto"/>
                <w:sz w:val="24"/>
                <w:highlight w:val="none"/>
                <w:lang w:bidi="zh-CN"/>
              </w:rPr>
              <w:t xml:space="preserve">养护管理重点难点方案，</w:t>
            </w:r>
            <w:r>
              <w:rPr>
                <w:rStyle w:val="1027"/>
                <w:rFonts w:hint="eastAsia" w:ascii="宋体" w:hAnsi="宋体" w:eastAsia="宋体" w:cs="宋体"/>
                <w:color w:val="auto"/>
                <w:sz w:val="24"/>
                <w:highlight w:val="none"/>
              </w:rPr>
              <w:t xml:space="preserve">评审针对本项目维修</w:t>
            </w:r>
            <w:r>
              <w:rPr>
                <w:rFonts w:hint="eastAsia" w:ascii="宋体" w:hAnsi="宋体" w:eastAsia="宋体" w:cs="宋体"/>
                <w:color w:val="auto"/>
                <w:sz w:val="24"/>
                <w:highlight w:val="none"/>
                <w:lang w:bidi="zh-CN"/>
              </w:rPr>
              <w:t xml:space="preserve">养护的重点难点，是否符合本项目实际情况，提出的解决措施、应对方案，是否具有实操性。</w:t>
            </w:r>
            <w:r/>
          </w:p>
          <w:p>
            <w:pP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概述详细，切合实际，能真实体现项目工作重点及存在的难点，并提出有针对性的解决方案得</w:t>
            </w:r>
            <w:r>
              <w:rPr>
                <w:rFonts w:hint="eastAsia" w:ascii="宋体" w:hAnsi="宋体" w:eastAsia="宋体" w:cs="宋体"/>
                <w:color w:val="auto"/>
                <w:sz w:val="24"/>
                <w:highlight w:val="none"/>
                <w:lang w:val="en-US" w:bidi="zh-CN"/>
              </w:rPr>
              <w:t xml:space="preserve">6</w:t>
            </w:r>
            <w:r>
              <w:rPr>
                <w:rFonts w:hint="eastAsia" w:ascii="宋体" w:hAnsi="宋体" w:eastAsia="宋体" w:cs="宋体"/>
                <w:color w:val="auto"/>
                <w:sz w:val="24"/>
                <w:highlight w:val="none"/>
                <w:lang w:bidi="zh-CN"/>
              </w:rPr>
              <w:t xml:space="preserve">分；</w:t>
            </w:r>
            <w:r/>
          </w:p>
          <w:p>
            <w:pP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概述较为详细，考虑到实际，能较好体现项目工作重点及存在的难点，解决方案一般的，得</w:t>
            </w:r>
            <w:r>
              <w:rPr>
                <w:rFonts w:hint="eastAsia" w:ascii="宋体" w:hAnsi="宋体" w:eastAsia="宋体" w:cs="宋体"/>
                <w:color w:val="auto"/>
                <w:sz w:val="24"/>
                <w:highlight w:val="none"/>
                <w:lang w:val="en-US" w:bidi="zh-CN"/>
              </w:rPr>
              <w:t xml:space="preserve">5</w:t>
            </w:r>
            <w:r>
              <w:rPr>
                <w:rFonts w:hint="eastAsia" w:ascii="宋体" w:hAnsi="宋体" w:eastAsia="宋体" w:cs="宋体"/>
                <w:color w:val="auto"/>
                <w:sz w:val="24"/>
                <w:highlight w:val="none"/>
                <w:lang w:bidi="zh-CN"/>
              </w:rPr>
              <w:t xml:space="preserve">分；</w:t>
            </w:r>
            <w:r/>
          </w:p>
          <w:p>
            <w:pP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方案简单，能基本体现本项目工作重点及存在的难点等的得</w:t>
            </w:r>
            <w:r>
              <w:rPr>
                <w:rFonts w:hint="eastAsia" w:ascii="宋体" w:hAnsi="宋体" w:eastAsia="宋体" w:cs="宋体"/>
                <w:color w:val="auto"/>
                <w:sz w:val="24"/>
                <w:highlight w:val="none"/>
                <w:lang w:val="en-US" w:bidi="zh-CN"/>
              </w:rPr>
              <w:t xml:space="preserve">3</w:t>
            </w:r>
            <w:r>
              <w:rPr>
                <w:rFonts w:hint="eastAsia" w:ascii="宋体" w:hAnsi="宋体" w:eastAsia="宋体" w:cs="宋体"/>
                <w:color w:val="auto"/>
                <w:sz w:val="24"/>
                <w:highlight w:val="none"/>
                <w:lang w:bidi="zh-CN"/>
              </w:rPr>
              <w:t xml:space="preserve">分。</w:t>
            </w:r>
            <w:r/>
          </w:p>
          <w:p>
            <w:pPr>
              <w:pStyle w:val="997"/>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rPr>
              <w:t xml:space="preserve">未提供的得0分，本条最高得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分，最低得0分。</w:t>
            </w:r>
            <w:r/>
          </w:p>
        </w:tc>
      </w:tr>
      <w:tr>
        <w:trPr>
          <w:cantSplit/>
          <w:trHeight w:val="602"/>
        </w:trPr>
        <w:tc>
          <w:tcPr>
            <w:tcW w:w="1635" w:type="dxa"/>
            <w:vAlign w:val="center"/>
            <w:vMerge w:val="continue"/>
            <w:textDirection w:val="lrTb"/>
            <w:noWrap w:val="false"/>
          </w:tcPr>
          <w:p>
            <w:pPr>
              <w:pStyle w:val="788"/>
              <w:jc w:val="center"/>
              <w:spacing w:line="320" w:lineRule="exact"/>
              <w:rPr>
                <w:rStyle w:val="1027"/>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W w:w="1507" w:type="dxa"/>
            <w:vAlign w:val="center"/>
            <w:textDirection w:val="lrTb"/>
            <w:noWrap w:val="false"/>
          </w:tcPr>
          <w:p>
            <w:pPr>
              <w:pStyle w:val="788"/>
              <w:jc w:val="center"/>
              <w:rPr>
                <w:rStyle w:val="1027"/>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作业方案</w:t>
            </w:r>
            <w:r/>
          </w:p>
          <w:p>
            <w:pPr>
              <w:pStyle w:val="788"/>
              <w:jc w:val="center"/>
              <w:rPr>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（15分）</w:t>
            </w:r>
            <w:r/>
          </w:p>
        </w:tc>
        <w:tc>
          <w:tcPr>
            <w:shd w:val="clear" w:color="auto" w:fill="auto"/>
            <w:tcW w:w="6351" w:type="dxa"/>
            <w:vAlign w:val="center"/>
            <w:textDirection w:val="lrTb"/>
            <w:noWrap w:val="false"/>
          </w:tcPr>
          <w:p>
            <w:pPr>
              <w:pStyle w:val="999"/>
              <w:rPr>
                <w:rStyle w:val="1027"/>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依据投标人投标文件中提供的作业方案，评审采购需求中要求投标人完成的养护任务的具体作业安排、作业过程中的质量管理、安全管理、时间进度控制、安全文明施工、环境保护等内容，</w:t>
            </w:r>
            <w:r>
              <w:rPr>
                <w:rFonts w:hint="eastAsia" w:ascii="宋体" w:hAnsi="宋体" w:eastAsia="宋体" w:cs="宋体"/>
                <w:b/>
                <w:color w:val="auto"/>
                <w:sz w:val="24"/>
                <w:highlight w:val="none"/>
              </w:rPr>
              <w:t xml:space="preserve">从全面性、可行性、针对性进行打分</w:t>
            </w:r>
            <w:r>
              <w:rPr>
                <w:rStyle w:val="1027"/>
                <w:rFonts w:hint="eastAsia" w:ascii="宋体" w:hAnsi="宋体" w:eastAsia="宋体" w:cs="宋体"/>
                <w:b/>
                <w:color w:val="auto"/>
                <w:sz w:val="24"/>
                <w:highlight w:val="none"/>
              </w:rPr>
              <w:t xml:space="preserve">。</w:t>
            </w:r>
            <w:r/>
          </w:p>
          <w:p>
            <w:pPr>
              <w:pStyle w:val="999"/>
              <w:ind w:firstLine="240"/>
              <w:rPr>
                <w:rStyle w:val="1027"/>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全面性(5分)：全面详实的得5分，</w:t>
            </w:r>
            <w:r>
              <w:rPr>
                <w:rFonts w:hint="eastAsia" w:ascii="宋体" w:hAnsi="宋体" w:eastAsia="宋体" w:cs="宋体"/>
                <w:color w:val="auto"/>
                <w:sz w:val="24"/>
                <w:highlight w:val="none"/>
              </w:rPr>
              <w:t xml:space="preserve">较全面</w:t>
            </w:r>
            <w:r>
              <w:rPr>
                <w:rStyle w:val="1027"/>
                <w:rFonts w:hint="eastAsia" w:ascii="宋体" w:hAnsi="宋体" w:eastAsia="宋体" w:cs="宋体"/>
                <w:color w:val="auto"/>
                <w:sz w:val="24"/>
                <w:highlight w:val="none"/>
              </w:rPr>
              <w:t xml:space="preserve">的得4分，</w:t>
            </w:r>
            <w:r>
              <w:rPr>
                <w:rFonts w:hint="eastAsia" w:ascii="宋体" w:hAnsi="宋体" w:eastAsia="宋体" w:cs="宋体"/>
                <w:color w:val="auto"/>
                <w:sz w:val="24"/>
                <w:highlight w:val="none"/>
              </w:rPr>
              <w:t xml:space="preserve">不太全面</w:t>
            </w:r>
            <w:r>
              <w:rPr>
                <w:rStyle w:val="1027"/>
                <w:rFonts w:hint="eastAsia" w:ascii="宋体" w:hAnsi="宋体" w:eastAsia="宋体" w:cs="宋体"/>
                <w:color w:val="auto"/>
                <w:sz w:val="24"/>
                <w:highlight w:val="none"/>
              </w:rPr>
              <w:t xml:space="preserve">的得3分，不全面的得2分；</w:t>
            </w:r>
            <w:r/>
          </w:p>
          <w:p>
            <w:pPr>
              <w:pStyle w:val="999"/>
              <w:ind w:firstLine="240"/>
              <w:rPr>
                <w:rStyle w:val="1027"/>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可行性(5分)：</w:t>
            </w:r>
            <w:r>
              <w:rPr>
                <w:rFonts w:hint="eastAsia" w:ascii="宋体" w:hAnsi="宋体" w:eastAsia="宋体" w:cs="宋体"/>
                <w:color w:val="auto"/>
                <w:sz w:val="24"/>
                <w:highlight w:val="none"/>
              </w:rPr>
              <w:t xml:space="preserve">符合实际切实可行的得5分，较切实可行的得4分，可行性一般的得3分，可行性欠缺的得2分；</w:t>
            </w:r>
            <w:r/>
          </w:p>
          <w:p>
            <w:pPr>
              <w:pStyle w:val="999"/>
              <w:ind w:firstLine="240"/>
              <w:rPr>
                <w:rStyle w:val="1027"/>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针对性(5分)：针对性强的得5分，较有针对性的得4分，针对性一般的得3分，针对性不强的得</w:t>
            </w:r>
            <w:r>
              <w:rPr>
                <w:rStyle w:val="1027"/>
                <w:rFonts w:hint="eastAsia" w:ascii="宋体" w:hAnsi="宋体" w:eastAsia="宋体" w:cs="宋体"/>
                <w:color w:val="auto"/>
                <w:sz w:val="24"/>
                <w:highlight w:val="none"/>
                <w:lang w:val="en-US"/>
              </w:rPr>
              <w:t xml:space="preserve">2</w:t>
            </w:r>
            <w:r>
              <w:rPr>
                <w:rStyle w:val="1027"/>
                <w:rFonts w:hint="eastAsia" w:ascii="宋体" w:hAnsi="宋体" w:eastAsia="宋体" w:cs="宋体"/>
                <w:color w:val="auto"/>
                <w:sz w:val="24"/>
                <w:highlight w:val="none"/>
              </w:rPr>
              <w:t xml:space="preserve">分；</w:t>
            </w:r>
            <w:r/>
          </w:p>
          <w:p>
            <w:pPr>
              <w:pStyle w:val="788"/>
              <w:ind w:firstLine="240"/>
              <w:rPr>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未提供的得0分，本条最高得15分，最低得0分。</w:t>
            </w:r>
            <w:r/>
          </w:p>
        </w:tc>
      </w:tr>
      <w:tr>
        <w:trPr>
          <w:cantSplit/>
          <w:trHeight w:val="1314"/>
        </w:trPr>
        <w:tc>
          <w:tcPr>
            <w:tcW w:w="1635" w:type="dxa"/>
            <w:vAlign w:val="center"/>
            <w:vMerge w:val="continue"/>
            <w:textDirection w:val="lrTb"/>
            <w:noWrap w:val="false"/>
          </w:tcPr>
          <w:p>
            <w:pPr>
              <w:pStyle w:val="999"/>
              <w:jc w:val="cente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0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组织实施程序及养护管理工作流程</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（9分）</w:t>
            </w:r>
            <w:r/>
          </w:p>
        </w:tc>
        <w:tc>
          <w:tcPr>
            <w:tcW w:w="6351" w:type="dxa"/>
            <w:vAlign w:val="center"/>
            <w:textDirection w:val="lrTb"/>
            <w:noWrap w:val="false"/>
          </w:tcPr>
          <w:p>
            <w:pP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根据投标人投标文件中提供的组织实施程序及养护管理工作流程，评审投标人对本项目实施程序的统筹部署、阶段管控、人员机械调度安排等，养护管理流程的巡查处置、作业施工、验收整改闭环机制等，</w:t>
            </w:r>
            <w:r>
              <w:rPr>
                <w:rFonts w:hint="eastAsia" w:ascii="宋体" w:hAnsi="宋体" w:eastAsia="宋体" w:cs="宋体"/>
                <w:color w:val="auto"/>
                <w:sz w:val="24"/>
                <w:szCs w:val="24"/>
                <w:highlight w:val="none"/>
              </w:rPr>
              <w:t xml:space="preserve">从全面性、可行性、针对性进行打分</w:t>
            </w:r>
            <w:r>
              <w:rPr>
                <w:rStyle w:val="1027"/>
                <w:rFonts w:hint="eastAsia" w:ascii="宋体" w:hAnsi="宋体" w:eastAsia="宋体" w:cs="宋体"/>
                <w:color w:val="auto"/>
                <w:sz w:val="24"/>
                <w:szCs w:val="24"/>
                <w:highlight w:val="none"/>
              </w:rPr>
              <w:t xml:space="preserve">。</w:t>
            </w:r>
            <w:r/>
          </w:p>
          <w:p>
            <w:pPr>
              <w:pStyle w:val="999"/>
              <w:ind w:firstLine="240"/>
              <w:rPr>
                <w:rStyle w:val="1027"/>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全面性(3分)：全面详实的得3分，</w:t>
            </w:r>
            <w:r>
              <w:rPr>
                <w:rFonts w:hint="eastAsia" w:ascii="宋体" w:hAnsi="宋体" w:eastAsia="宋体" w:cs="宋体"/>
                <w:color w:val="auto"/>
                <w:sz w:val="24"/>
                <w:highlight w:val="none"/>
              </w:rPr>
              <w:t xml:space="preserve">较全面</w:t>
            </w:r>
            <w:r>
              <w:rPr>
                <w:rStyle w:val="1027"/>
                <w:rFonts w:hint="eastAsia" w:ascii="宋体" w:hAnsi="宋体" w:eastAsia="宋体" w:cs="宋体"/>
                <w:color w:val="auto"/>
                <w:sz w:val="24"/>
                <w:highlight w:val="none"/>
              </w:rPr>
              <w:t xml:space="preserve">的得2分，</w:t>
            </w:r>
            <w:r>
              <w:rPr>
                <w:rFonts w:hint="eastAsia" w:ascii="宋体" w:hAnsi="宋体" w:eastAsia="宋体" w:cs="宋体"/>
                <w:color w:val="auto"/>
                <w:sz w:val="24"/>
                <w:highlight w:val="none"/>
              </w:rPr>
              <w:t xml:space="preserve">不太全面</w:t>
            </w:r>
            <w:r>
              <w:rPr>
                <w:rStyle w:val="1027"/>
                <w:rFonts w:hint="eastAsia" w:ascii="宋体" w:hAnsi="宋体" w:eastAsia="宋体" w:cs="宋体"/>
                <w:color w:val="auto"/>
                <w:sz w:val="24"/>
                <w:highlight w:val="none"/>
              </w:rPr>
              <w:t xml:space="preserve">的得1分；</w:t>
            </w:r>
            <w:r/>
          </w:p>
          <w:p>
            <w:pPr>
              <w:pStyle w:val="999"/>
              <w:ind w:firstLine="240"/>
              <w:rPr>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可行性(3分)：</w:t>
            </w:r>
            <w:r>
              <w:rPr>
                <w:rFonts w:hint="eastAsia" w:ascii="宋体" w:hAnsi="宋体" w:eastAsia="宋体" w:cs="宋体"/>
                <w:color w:val="auto"/>
                <w:sz w:val="24"/>
                <w:highlight w:val="none"/>
              </w:rPr>
              <w:t xml:space="preserve">符合实际切实可行的得3分，较切实可行的得2分，可行性一般的得1分；</w:t>
            </w:r>
            <w:r/>
          </w:p>
          <w:p>
            <w:pPr>
              <w:pStyle w:val="999"/>
              <w:ind w:firstLine="240"/>
              <w:rPr>
                <w:rStyle w:val="1027"/>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针对性(3分)：针对性强的得3分，较有针对性的得2分，针对性一般的得1分；</w:t>
            </w:r>
            <w:r/>
          </w:p>
          <w:p>
            <w:pPr>
              <w:rPr>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未提供的得0分，本条最高得9分，最低得0分。</w:t>
            </w:r>
            <w:r/>
          </w:p>
        </w:tc>
      </w:tr>
      <w:tr>
        <w:trPr>
          <w:cantSplit/>
          <w:trHeight w:val="405"/>
        </w:trPr>
        <w:tc>
          <w:tcPr>
            <w:tcW w:w="1635" w:type="dxa"/>
            <w:vAlign w:val="center"/>
            <w:vMerge w:val="continue"/>
            <w:textDirection w:val="lrTb"/>
            <w:noWrap w:val="false"/>
          </w:tcPr>
          <w:p>
            <w:pPr>
              <w:pStyle w:val="999"/>
              <w:jc w:val="cente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W w:w="1507" w:type="dxa"/>
            <w:vAlign w:val="center"/>
            <w:textDirection w:val="lrTb"/>
            <w:noWrap w:val="false"/>
          </w:tcPr>
          <w:p>
            <w:pPr>
              <w:pStyle w:val="999"/>
              <w:jc w:val="center"/>
              <w:spacing w:line="320" w:lineRule="exact"/>
              <w:rPr>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人员配备方案（14分）</w:t>
            </w:r>
            <w:r/>
          </w:p>
        </w:tc>
        <w:tc>
          <w:tcPr>
            <w:shd w:val="clear" w:color="auto" w:fill="auto"/>
            <w:tcW w:w="6351" w:type="dxa"/>
            <w:vAlign w:val="center"/>
            <w:textDirection w:val="lrTb"/>
            <w:noWrap w:val="false"/>
          </w:tcPr>
          <w:p>
            <w:pPr>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根据投标人投标文件中提供的人员配备方案（配备管理人员及工作人员数量、相关上岗证书、文化程度、主要资历、工作经验等），从全面性、可行性、针对性进行打分。</w:t>
            </w:r>
            <w:r/>
          </w:p>
          <w:p>
            <w:pPr>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全面性（4分）：</w:t>
            </w:r>
            <w:r>
              <w:rPr>
                <w:rStyle w:val="1027"/>
                <w:rFonts w:hint="eastAsia" w:ascii="宋体" w:hAnsi="宋体" w:eastAsia="宋体" w:cs="宋体"/>
                <w:color w:val="auto"/>
                <w:sz w:val="24"/>
                <w:highlight w:val="none"/>
              </w:rPr>
              <w:t xml:space="preserve">全面详实的得4分，</w:t>
            </w:r>
            <w:r>
              <w:rPr>
                <w:rFonts w:hint="eastAsia" w:ascii="宋体" w:hAnsi="宋体" w:eastAsia="宋体" w:cs="宋体"/>
                <w:color w:val="auto"/>
                <w:sz w:val="24"/>
                <w:highlight w:val="none"/>
              </w:rPr>
              <w:t xml:space="preserve">较全面</w:t>
            </w:r>
            <w:r>
              <w:rPr>
                <w:rStyle w:val="1027"/>
                <w:rFonts w:hint="eastAsia" w:ascii="宋体" w:hAnsi="宋体" w:eastAsia="宋体" w:cs="宋体"/>
                <w:color w:val="auto"/>
                <w:sz w:val="24"/>
                <w:highlight w:val="none"/>
              </w:rPr>
              <w:t xml:space="preserve">的得3分，</w:t>
            </w:r>
            <w:r>
              <w:rPr>
                <w:rFonts w:hint="eastAsia" w:ascii="宋体" w:hAnsi="宋体" w:eastAsia="宋体" w:cs="宋体"/>
                <w:color w:val="auto"/>
                <w:sz w:val="24"/>
                <w:highlight w:val="none"/>
              </w:rPr>
              <w:t xml:space="preserve">不太全面</w:t>
            </w:r>
            <w:r>
              <w:rPr>
                <w:rStyle w:val="1027"/>
                <w:rFonts w:hint="eastAsia" w:ascii="宋体" w:hAnsi="宋体" w:eastAsia="宋体" w:cs="宋体"/>
                <w:color w:val="auto"/>
                <w:sz w:val="24"/>
                <w:highlight w:val="none"/>
              </w:rPr>
              <w:t xml:space="preserve">的得2分，不全面的得1分；</w:t>
            </w:r>
            <w:r/>
          </w:p>
          <w:p>
            <w:pPr>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可行性（5分）：符合实际切实可行的得5分，较切实可行的得4分，可行性一般的得3分，可行性欠缺的得2分；</w:t>
            </w:r>
            <w:r/>
          </w:p>
          <w:p>
            <w:pPr>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针对性（5分）</w:t>
            </w:r>
            <w:r>
              <w:rPr>
                <w:rStyle w:val="1027"/>
                <w:rFonts w:hint="eastAsia" w:ascii="宋体" w:hAnsi="宋体" w:eastAsia="宋体" w:cs="宋体"/>
                <w:color w:val="auto"/>
                <w:sz w:val="24"/>
                <w:highlight w:val="none"/>
              </w:rPr>
              <w:t xml:space="preserve">针对性强的得5分，较有针对性的得4分，针对性一般的得3分，针对性不强的得</w:t>
            </w:r>
            <w:r>
              <w:rPr>
                <w:rStyle w:val="1027"/>
                <w:rFonts w:hint="eastAsia" w:ascii="宋体" w:hAnsi="宋体" w:eastAsia="宋体" w:cs="宋体"/>
                <w:color w:val="auto"/>
                <w:sz w:val="24"/>
                <w:highlight w:val="none"/>
                <w:lang w:val="en-US"/>
              </w:rPr>
              <w:t xml:space="preserve">2</w:t>
            </w:r>
            <w:r>
              <w:rPr>
                <w:rStyle w:val="1027"/>
                <w:rFonts w:hint="eastAsia" w:ascii="宋体" w:hAnsi="宋体" w:eastAsia="宋体" w:cs="宋体"/>
                <w:color w:val="auto"/>
                <w:sz w:val="24"/>
                <w:highlight w:val="none"/>
              </w:rPr>
              <w:t xml:space="preserve">分；</w:t>
            </w:r>
            <w:r/>
          </w:p>
          <w:p>
            <w:pPr>
              <w:pStyle w:val="999"/>
              <w:jc w:val="left"/>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未提供的不得分。本项最高得</w:t>
            </w:r>
            <w:r>
              <w:rPr>
                <w:rFonts w:hint="eastAsia" w:ascii="宋体" w:hAnsi="宋体" w:eastAsia="宋体" w:cs="宋体"/>
                <w:color w:val="auto"/>
                <w:sz w:val="24"/>
                <w:highlight w:val="none"/>
                <w:lang w:val="en-US" w:eastAsia="zh-CN"/>
              </w:rPr>
              <w:t xml:space="preserve">14</w:t>
            </w:r>
            <w:r>
              <w:rPr>
                <w:rFonts w:hint="eastAsia" w:ascii="宋体" w:hAnsi="宋体" w:eastAsia="宋体" w:cs="宋体"/>
                <w:color w:val="auto"/>
                <w:sz w:val="24"/>
                <w:highlight w:val="none"/>
              </w:rPr>
              <w:t xml:space="preserve">分，最低得0分。</w:t>
            </w:r>
            <w:r/>
          </w:p>
        </w:tc>
      </w:tr>
      <w:tr>
        <w:trPr>
          <w:cantSplit/>
          <w:trHeight w:val="182"/>
        </w:trPr>
        <w:tc>
          <w:tcPr>
            <w:tcW w:w="1635" w:type="dxa"/>
            <w:vAlign w:val="center"/>
            <w:vMerge w:val="continue"/>
            <w:textDirection w:val="lrTb"/>
            <w:noWrap w:val="false"/>
          </w:tcPr>
          <w:p>
            <w:pPr>
              <w:pStyle w:val="999"/>
              <w:jc w:val="cente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0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应急预案</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（9分）</w:t>
            </w:r>
            <w:r/>
          </w:p>
        </w:tc>
        <w:tc>
          <w:tcPr>
            <w:tcW w:w="6351" w:type="dxa"/>
            <w:vAlign w:val="center"/>
            <w:textDirection w:val="lrTb"/>
            <w:noWrap w:val="false"/>
          </w:tcPr>
          <w:p>
            <w:pPr>
              <w:pStyle w:val="999"/>
              <w:rPr>
                <w:rStyle w:val="1027"/>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依据投标人投标文件中提供的应急</w:t>
            </w:r>
            <w:r>
              <w:rPr>
                <w:rFonts w:hint="eastAsia" w:ascii="宋体" w:hAnsi="宋体" w:eastAsia="宋体" w:cs="宋体"/>
                <w:color w:val="auto"/>
                <w:sz w:val="24"/>
                <w:highlight w:val="none"/>
              </w:rPr>
              <w:t xml:space="preserve">预案</w:t>
            </w:r>
            <w:r>
              <w:rPr>
                <w:rStyle w:val="1027"/>
                <w:rFonts w:hint="eastAsia" w:ascii="宋体" w:hAnsi="宋体" w:eastAsia="宋体" w:cs="宋体"/>
                <w:color w:val="auto"/>
                <w:sz w:val="24"/>
                <w:highlight w:val="none"/>
              </w:rPr>
              <w:t xml:space="preserve">，评审与本项目实施相关的预案，如《有限空间作业专项预案》、《</w:t>
            </w:r>
            <w:r>
              <w:rPr>
                <w:rFonts w:hint="eastAsia" w:ascii="宋体" w:hAnsi="宋体" w:eastAsia="宋体" w:cs="宋体"/>
                <w:color w:val="auto"/>
                <w:sz w:val="24"/>
                <w:highlight w:val="none"/>
              </w:rPr>
              <w:t xml:space="preserve">坍塌、触电、中毒窒息专项预案》</w:t>
            </w:r>
            <w:r>
              <w:rPr>
                <w:rStyle w:val="1027"/>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rPr>
              <w:t xml:space="preserve">从全面性、可行性、针对性进行打分</w:t>
            </w:r>
            <w:r>
              <w:rPr>
                <w:rStyle w:val="1027"/>
                <w:rFonts w:hint="eastAsia" w:ascii="宋体" w:hAnsi="宋体" w:eastAsia="宋体" w:cs="宋体"/>
                <w:color w:val="auto"/>
                <w:sz w:val="24"/>
                <w:highlight w:val="none"/>
              </w:rPr>
              <w:t xml:space="preserve">。</w:t>
            </w:r>
            <w:r/>
          </w:p>
          <w:p>
            <w:pPr>
              <w:pStyle w:val="999"/>
              <w:ind w:firstLine="240"/>
              <w:rPr>
                <w:rStyle w:val="1027"/>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全面性(3分)：全面详实的得3分，</w:t>
            </w:r>
            <w:r>
              <w:rPr>
                <w:rFonts w:hint="eastAsia" w:ascii="宋体" w:hAnsi="宋体" w:eastAsia="宋体" w:cs="宋体"/>
                <w:color w:val="auto"/>
                <w:sz w:val="24"/>
                <w:highlight w:val="none"/>
              </w:rPr>
              <w:t xml:space="preserve">较全面</w:t>
            </w:r>
            <w:r>
              <w:rPr>
                <w:rStyle w:val="1027"/>
                <w:rFonts w:hint="eastAsia" w:ascii="宋体" w:hAnsi="宋体" w:eastAsia="宋体" w:cs="宋体"/>
                <w:color w:val="auto"/>
                <w:sz w:val="24"/>
                <w:highlight w:val="none"/>
              </w:rPr>
              <w:t xml:space="preserve">的得2分，</w:t>
            </w:r>
            <w:r>
              <w:rPr>
                <w:rFonts w:hint="eastAsia" w:ascii="宋体" w:hAnsi="宋体" w:eastAsia="宋体" w:cs="宋体"/>
                <w:color w:val="auto"/>
                <w:sz w:val="24"/>
                <w:highlight w:val="none"/>
              </w:rPr>
              <w:t xml:space="preserve">不太全面</w:t>
            </w:r>
            <w:r>
              <w:rPr>
                <w:rStyle w:val="1027"/>
                <w:rFonts w:hint="eastAsia" w:ascii="宋体" w:hAnsi="宋体" w:eastAsia="宋体" w:cs="宋体"/>
                <w:color w:val="auto"/>
                <w:sz w:val="24"/>
                <w:highlight w:val="none"/>
              </w:rPr>
              <w:t xml:space="preserve">的得1分；</w:t>
            </w:r>
            <w:r/>
          </w:p>
          <w:p>
            <w:pPr>
              <w:pStyle w:val="999"/>
              <w:ind w:firstLine="240"/>
              <w:rPr>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可行性(3分)：</w:t>
            </w:r>
            <w:r>
              <w:rPr>
                <w:rFonts w:hint="eastAsia" w:ascii="宋体" w:hAnsi="宋体" w:eastAsia="宋体" w:cs="宋体"/>
                <w:color w:val="auto"/>
                <w:sz w:val="24"/>
                <w:highlight w:val="none"/>
              </w:rPr>
              <w:t xml:space="preserve">符合实际切实可行的得3分，较切实可行的得2分，可行性一般的得1分；</w:t>
            </w:r>
            <w:r/>
          </w:p>
          <w:p>
            <w:pPr>
              <w:pStyle w:val="999"/>
              <w:ind w:firstLine="240"/>
              <w:rPr>
                <w:rStyle w:val="1027"/>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针对性(3分)：针对性强的得3分，较有针对性的得2分，针对性一般的得1分；</w:t>
            </w:r>
            <w:r/>
          </w:p>
          <w:p>
            <w:pPr>
              <w:rPr>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未提供的得0分，本条最高得9分，最低得0分。</w:t>
            </w:r>
            <w:r/>
          </w:p>
        </w:tc>
      </w:tr>
      <w:tr>
        <w:trPr>
          <w:cantSplit/>
          <w:trHeight w:val="182"/>
        </w:trPr>
        <w:tc>
          <w:tcPr>
            <w:tcW w:w="1635" w:type="dxa"/>
            <w:vAlign w:val="center"/>
            <w:vMerge w:val="continue"/>
            <w:textDirection w:val="lrTb"/>
            <w:noWrap w:val="false"/>
          </w:tcPr>
          <w:p>
            <w:pPr>
              <w:pStyle w:val="999"/>
              <w:jc w:val="cente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0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防汛实施方案</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（6分）</w:t>
            </w:r>
            <w:r/>
          </w:p>
        </w:tc>
        <w:tc>
          <w:tcPr>
            <w:tcW w:w="6351" w:type="dxa"/>
            <w:vAlign w:val="center"/>
            <w:textDirection w:val="lrTb"/>
            <w:noWrap w:val="false"/>
          </w:tcPr>
          <w:p>
            <w:pPr>
              <w:rPr>
                <w:rStyle w:val="1027"/>
                <w:rFonts w:hint="eastAsia" w:ascii="宋体" w:hAnsi="宋体" w:eastAsia="宋体" w:cs="宋体"/>
                <w:color w:val="auto"/>
                <w:sz w:val="24"/>
                <w:szCs w:val="24"/>
                <w:highlight w:val="none"/>
              </w:rPr>
            </w:pPr>
            <w:r>
              <w:rPr>
                <w:rStyle w:val="1027"/>
                <w:rFonts w:hint="eastAsia" w:ascii="宋体" w:hAnsi="宋体" w:eastAsia="宋体" w:cs="宋体"/>
                <w:color w:val="auto"/>
                <w:sz w:val="24"/>
                <w:highlight w:val="none"/>
              </w:rPr>
              <w:t xml:space="preserve">依据投标人投标文件中的</w:t>
            </w:r>
            <w:r>
              <w:rPr>
                <w:rFonts w:hint="eastAsia" w:ascii="宋体" w:hAnsi="宋体" w:eastAsia="宋体" w:cs="宋体"/>
                <w:color w:val="auto"/>
                <w:sz w:val="24"/>
                <w:highlight w:val="none"/>
              </w:rPr>
              <w:t xml:space="preserve">防汛实施方案</w:t>
            </w:r>
            <w:r>
              <w:rPr>
                <w:rStyle w:val="1027"/>
                <w:rFonts w:hint="eastAsia" w:ascii="宋体" w:hAnsi="宋体" w:eastAsia="宋体" w:cs="宋体"/>
                <w:color w:val="auto"/>
                <w:sz w:val="24"/>
                <w:highlight w:val="none"/>
              </w:rPr>
              <w:t xml:space="preserve">，评审针对汛期人员、设备、物资投入情况，工作流程，抢险队伍的响应时效、与防汛等部门的联动协调能力等，</w:t>
            </w:r>
            <w:r>
              <w:rPr>
                <w:rFonts w:hint="eastAsia" w:ascii="宋体" w:hAnsi="宋体" w:eastAsia="宋体" w:cs="宋体"/>
                <w:color w:val="auto"/>
                <w:sz w:val="24"/>
                <w:szCs w:val="24"/>
                <w:highlight w:val="none"/>
              </w:rPr>
              <w:t xml:space="preserve">从全面性、可行性、针对性进行打分</w:t>
            </w:r>
            <w:r>
              <w:rPr>
                <w:rStyle w:val="1027"/>
                <w:rFonts w:hint="eastAsia" w:ascii="宋体" w:hAnsi="宋体" w:eastAsia="宋体" w:cs="宋体"/>
                <w:color w:val="auto"/>
                <w:sz w:val="24"/>
                <w:szCs w:val="24"/>
                <w:highlight w:val="none"/>
              </w:rPr>
              <w:t xml:space="preserve">。</w:t>
            </w:r>
            <w:r/>
          </w:p>
          <w:p>
            <w:pPr>
              <w:pStyle w:val="999"/>
              <w:ind w:firstLine="240"/>
              <w:rPr>
                <w:rStyle w:val="1027"/>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全面性(2分)：全面详实的得2分，</w:t>
            </w:r>
            <w:r>
              <w:rPr>
                <w:rFonts w:hint="eastAsia" w:ascii="宋体" w:hAnsi="宋体" w:eastAsia="宋体" w:cs="宋体"/>
                <w:color w:val="auto"/>
                <w:sz w:val="24"/>
                <w:highlight w:val="none"/>
              </w:rPr>
              <w:t xml:space="preserve">较全面</w:t>
            </w:r>
            <w:r>
              <w:rPr>
                <w:rStyle w:val="1027"/>
                <w:rFonts w:hint="eastAsia" w:ascii="宋体" w:hAnsi="宋体" w:eastAsia="宋体" w:cs="宋体"/>
                <w:color w:val="auto"/>
                <w:sz w:val="24"/>
                <w:highlight w:val="none"/>
              </w:rPr>
              <w:t xml:space="preserve">的得1.5分，</w:t>
            </w:r>
            <w:r>
              <w:rPr>
                <w:rFonts w:hint="eastAsia" w:ascii="宋体" w:hAnsi="宋体" w:eastAsia="宋体" w:cs="宋体"/>
                <w:color w:val="auto"/>
                <w:sz w:val="24"/>
                <w:highlight w:val="none"/>
              </w:rPr>
              <w:t xml:space="preserve">不太全面</w:t>
            </w:r>
            <w:r>
              <w:rPr>
                <w:rStyle w:val="1027"/>
                <w:rFonts w:hint="eastAsia" w:ascii="宋体" w:hAnsi="宋体" w:eastAsia="宋体" w:cs="宋体"/>
                <w:color w:val="auto"/>
                <w:sz w:val="24"/>
                <w:highlight w:val="none"/>
              </w:rPr>
              <w:t xml:space="preserve">的得1分；</w:t>
            </w:r>
            <w:r/>
          </w:p>
          <w:p>
            <w:pPr>
              <w:pStyle w:val="999"/>
              <w:ind w:firstLine="240"/>
              <w:rPr>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可行性(2分)：</w:t>
            </w:r>
            <w:r>
              <w:rPr>
                <w:rFonts w:hint="eastAsia" w:ascii="宋体" w:hAnsi="宋体" w:eastAsia="宋体" w:cs="宋体"/>
                <w:color w:val="auto"/>
                <w:sz w:val="24"/>
                <w:highlight w:val="none"/>
              </w:rPr>
              <w:t xml:space="preserve">符合实际切实可行的得2分，较切实可行的得1.5分，可行性一般的得1分；</w:t>
            </w:r>
            <w:r/>
          </w:p>
          <w:p>
            <w:pPr>
              <w:pStyle w:val="999"/>
              <w:ind w:firstLine="240"/>
              <w:rPr>
                <w:rStyle w:val="1027"/>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针对性(2分)：针对性强的得2分，较有针对性的得1.5分，针对性一般的得1分；</w:t>
            </w:r>
            <w:r/>
          </w:p>
          <w:p>
            <w:pPr>
              <w:ind w:firstLine="240"/>
              <w:rPr>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未提供的得0分，本条最高得</w:t>
            </w:r>
            <w:r>
              <w:rPr>
                <w:rStyle w:val="1027"/>
                <w:rFonts w:hint="eastAsia" w:ascii="宋体" w:hAnsi="宋体" w:eastAsia="宋体" w:cs="宋体"/>
                <w:color w:val="auto"/>
                <w:sz w:val="24"/>
                <w:highlight w:val="none"/>
                <w:lang w:val="en-US"/>
              </w:rPr>
              <w:t xml:space="preserve">6</w:t>
            </w:r>
            <w:r>
              <w:rPr>
                <w:rStyle w:val="1027"/>
                <w:rFonts w:hint="eastAsia" w:ascii="宋体" w:hAnsi="宋体" w:eastAsia="宋体" w:cs="宋体"/>
                <w:color w:val="auto"/>
                <w:sz w:val="24"/>
                <w:highlight w:val="none"/>
              </w:rPr>
              <w:t xml:space="preserve">分，最低得0分。</w:t>
            </w:r>
            <w:r/>
          </w:p>
        </w:tc>
      </w:tr>
      <w:tr>
        <w:trPr>
          <w:cantSplit/>
          <w:trHeight w:val="182"/>
        </w:trPr>
        <w:tc>
          <w:tcPr>
            <w:tcW w:w="1635" w:type="dxa"/>
            <w:vAlign w:val="center"/>
            <w:vMerge w:val="continue"/>
            <w:textDirection w:val="lrTb"/>
            <w:noWrap w:val="false"/>
          </w:tcPr>
          <w:p>
            <w:pPr>
              <w:pStyle w:val="999"/>
              <w:jc w:val="cente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W w:w="1507" w:type="dxa"/>
            <w:vAlign w:val="center"/>
            <w:textDirection w:val="lrTb"/>
            <w:noWrap w:val="false"/>
          </w:tcPr>
          <w:p>
            <w:pPr>
              <w:pStyle w:val="788"/>
              <w:jc w:val="center"/>
              <w:rPr>
                <w:rStyle w:val="1027"/>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自查考核</w:t>
            </w:r>
            <w:r/>
          </w:p>
          <w:p>
            <w:pPr>
              <w:pStyle w:val="788"/>
              <w:jc w:val="center"/>
              <w:rPr>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（4分）</w:t>
            </w:r>
            <w:r/>
          </w:p>
        </w:tc>
        <w:tc>
          <w:tcPr>
            <w:shd w:val="clear" w:color="auto" w:fill="auto"/>
            <w:tcW w:w="6351" w:type="dxa"/>
            <w:vAlign w:val="center"/>
            <w:textDirection w:val="lrTb"/>
            <w:noWrap w:val="false"/>
          </w:tcPr>
          <w:p>
            <w:pPr>
              <w:pStyle w:val="999"/>
              <w:rPr>
                <w:rStyle w:val="1027"/>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依据投标人投标文件中提供的</w:t>
            </w:r>
            <w:r>
              <w:rPr>
                <w:rStyle w:val="1027"/>
                <w:rFonts w:hint="eastAsia" w:ascii="宋体" w:hAnsi="宋体" w:eastAsia="宋体" w:cs="宋体"/>
                <w:b/>
                <w:color w:val="auto"/>
                <w:sz w:val="24"/>
                <w:highlight w:val="none"/>
              </w:rPr>
              <w:t xml:space="preserve">自查考核办法情况，评审基于台账资料与设备健康档案等内容的自查机制，重点考察隐患排查、整改闭环管理及奖惩措施落实等情况。</w:t>
            </w:r>
            <w:r/>
          </w:p>
          <w:p>
            <w:pPr>
              <w:pStyle w:val="999"/>
              <w:ind w:firstLine="240"/>
              <w:rPr>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细致完整可行、针对性强的得4分；基本完整可行、针对性较强的得3分；完整性可行性一般，针对性一般的得2分；不完整、针对性不强的得1分；未提供的得0分，本条最高得</w:t>
            </w:r>
            <w:r>
              <w:rPr>
                <w:rStyle w:val="1027"/>
                <w:rFonts w:hint="eastAsia" w:ascii="宋体" w:hAnsi="宋体" w:eastAsia="宋体" w:cs="宋体"/>
                <w:color w:val="auto"/>
                <w:sz w:val="24"/>
                <w:highlight w:val="none"/>
                <w:lang w:val="en-US"/>
              </w:rPr>
              <w:t xml:space="preserve">4</w:t>
            </w:r>
            <w:r>
              <w:rPr>
                <w:rStyle w:val="1027"/>
                <w:rFonts w:hint="eastAsia" w:ascii="宋体" w:hAnsi="宋体" w:eastAsia="宋体" w:cs="宋体"/>
                <w:color w:val="auto"/>
                <w:sz w:val="24"/>
                <w:highlight w:val="none"/>
              </w:rPr>
              <w:t xml:space="preserve">分，最低得0分。</w:t>
            </w:r>
            <w:r/>
          </w:p>
        </w:tc>
      </w:tr>
    </w:tbl>
    <w:p>
      <w:pPr>
        <w:pStyle w:val="78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本章说明：本项目采用综合评分法。</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rPr>
          <w:rStyle w:val="1004"/>
          <w:rFonts w:hint="eastAsia" w:ascii="宋体" w:hAnsi="宋体" w:eastAsia="宋体" w:cs="宋体"/>
          <w:color w:val="auto"/>
          <w:highlight w:val="none"/>
        </w:rPr>
      </w:pPr>
      <w:r>
        <w:rPr>
          <w:rFonts w:hint="eastAsia" w:ascii="宋体" w:hAnsi="宋体" w:eastAsia="宋体" w:cs="宋体"/>
          <w:color w:val="auto"/>
          <w:highlight w:val="none"/>
        </w:rPr>
      </w:r>
      <w:r/>
    </w:p>
    <w:p>
      <w:pPr>
        <w:pStyle w:val="84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br w:type="page" w:clear="all"/>
      </w:r>
      <w:r/>
    </w:p>
    <w:p>
      <w:pPr>
        <w:pStyle w:val="788"/>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采购包3</w:t>
      </w:r>
      <w:r/>
    </w:p>
    <w:tbl>
      <w:tblPr>
        <w:tblStyle w:val="785"/>
        <w:tblpPr w:horzAnchor="margin" w:tblpXSpec="left" w:vertAnchor="text" w:tblpY="263" w:leftFromText="180" w:topFromText="0" w:rightFromText="180" w:bottomFromText="0"/>
        <w:tblW w:w="9493"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635"/>
        <w:gridCol w:w="1507"/>
        <w:gridCol w:w="6351"/>
      </w:tblGrid>
      <w:tr>
        <w:trPr>
          <w:cantSplit/>
          <w:trHeight w:val="553"/>
        </w:trPr>
        <w:tc>
          <w:tcPr>
            <w:tcW w:w="1635" w:type="dxa"/>
            <w:vAlign w:val="center"/>
            <w:textDirection w:val="lrTb"/>
            <w:noWrap w:val="false"/>
          </w:tcPr>
          <w:p>
            <w:pPr>
              <w:pStyle w:val="999"/>
              <w:jc w:val="center"/>
              <w:rPr>
                <w:rStyle w:val="1027"/>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报价（10分）</w:t>
            </w:r>
            <w:r/>
          </w:p>
        </w:tc>
        <w:tc>
          <w:tcPr>
            <w:gridSpan w:val="2"/>
            <w:tcW w:w="7858" w:type="dxa"/>
            <w:textDirection w:val="lrTb"/>
            <w:noWrap w:val="false"/>
          </w:tcPr>
          <w:p>
            <w:pPr>
              <w:pStyle w:val="788"/>
              <w:rPr>
                <w:rStyle w:val="1027"/>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采用低价优先法计算，即满足招标文件要求且投标人评审价格最低的投标报价为评标基准价，其价格得分为满分。</w:t>
            </w:r>
            <w:r/>
          </w:p>
          <w:p>
            <w:pPr>
              <w:pStyle w:val="788"/>
              <w:rPr>
                <w:rStyle w:val="1027"/>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各投标人价格得分=最低报价（投标人的最低评审价格）÷各投标人评审价格×10。</w:t>
            </w:r>
            <w:r/>
          </w:p>
          <w:p>
            <w:pPr>
              <w:rPr>
                <w:rFonts w:hint="eastAsia" w:ascii="宋体" w:hAnsi="宋体" w:eastAsia="宋体" w:cs="宋体"/>
                <w:color w:val="auto"/>
                <w:highlight w:val="none"/>
              </w:rPr>
            </w:pPr>
            <w:r>
              <w:rPr>
                <w:rStyle w:val="1027"/>
                <w:rFonts w:hint="eastAsia" w:ascii="宋体" w:hAnsi="宋体" w:eastAsia="宋体" w:cs="宋体"/>
                <w:color w:val="auto"/>
                <w:sz w:val="24"/>
                <w:highlight w:val="none"/>
              </w:rPr>
              <w:t xml:space="preserve">分值计算结果保留两位小数。</w:t>
            </w:r>
            <w:r/>
          </w:p>
        </w:tc>
      </w:tr>
      <w:tr>
        <w:trPr>
          <w:cantSplit/>
          <w:trHeight w:val="553"/>
        </w:trPr>
        <w:tc>
          <w:tcPr>
            <w:tcW w:w="1635" w:type="dxa"/>
            <w:vAlign w:val="center"/>
            <w:textDirection w:val="lrTb"/>
            <w:noWrap w:val="false"/>
          </w:tcPr>
          <w:p>
            <w:pPr>
              <w:pStyle w:val="788"/>
              <w:jc w:val="center"/>
              <w:spacing w:line="320" w:lineRule="exact"/>
              <w:rPr>
                <w:rStyle w:val="1027"/>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类似项目业绩</w:t>
            </w:r>
            <w:r/>
          </w:p>
          <w:p>
            <w:pPr>
              <w:pStyle w:val="999"/>
              <w:jc w:val="center"/>
              <w:spacing w:line="320" w:lineRule="exact"/>
              <w:rPr>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（4分）</w:t>
            </w:r>
            <w:r/>
          </w:p>
        </w:tc>
        <w:tc>
          <w:tcPr>
            <w:gridSpan w:val="2"/>
            <w:tcW w:w="7858" w:type="dxa"/>
            <w:vAlign w:val="center"/>
            <w:textDirection w:val="lrTb"/>
            <w:noWrap w:val="false"/>
          </w:tcPr>
          <w:p>
            <w:pPr>
              <w:pStyle w:val="1044"/>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提供2023年8月1日（合同签订日期）以来由投标人实施的类似业绩扫描件，每提供一份得2分。最高得4分。</w:t>
            </w:r>
            <w:r/>
          </w:p>
          <w:p>
            <w:pPr>
              <w:pStyle w:val="1044"/>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注：附中标（成交）通知书、合同协议书扫描件，两者须同时具备，否则不得分。</w:t>
            </w:r>
            <w:r/>
          </w:p>
          <w:p>
            <w:pPr>
              <w:pStyle w:val="1044"/>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类似业绩为养护监管服务或相关项目。</w:t>
            </w:r>
            <w:r/>
          </w:p>
        </w:tc>
      </w:tr>
      <w:tr>
        <w:trPr>
          <w:cantSplit/>
          <w:trHeight w:val="990"/>
        </w:trPr>
        <w:tc>
          <w:tcPr>
            <w:tcW w:w="1635" w:type="dxa"/>
            <w:vAlign w:val="center"/>
            <w:textDirection w:val="lrTb"/>
            <w:noWrap w:val="false"/>
          </w:tcPr>
          <w:p>
            <w:pPr>
              <w:jc w:val="center"/>
              <w:rPr>
                <w:rFonts w:hint="eastAsia" w:ascii="宋体" w:hAnsi="宋体" w:eastAsia="宋体" w:cs="宋体"/>
                <w:color w:val="auto"/>
                <w:sz w:val="24"/>
                <w:szCs w:val="24"/>
                <w:highlight w:val="none"/>
              </w:rPr>
            </w:pPr>
            <w:r/>
            <w:bookmarkStart w:id="58" w:name="OLE_LINK49"/>
            <w:r/>
            <w:bookmarkStart w:id="59" w:name="OLE_LINK50"/>
            <w:r>
              <w:rPr>
                <w:rFonts w:hint="eastAsia" w:ascii="宋体" w:hAnsi="宋体" w:eastAsia="宋体" w:cs="宋体"/>
                <w:color w:val="auto"/>
                <w:sz w:val="24"/>
                <w:szCs w:val="24"/>
                <w:highlight w:val="none"/>
              </w:rPr>
              <w:t xml:space="preserve">数据</w:t>
            </w:r>
            <w:bookmarkStart w:id="60" w:name="OLE_LINK28"/>
            <w:r/>
            <w:bookmarkStart w:id="61" w:name="OLE_LINK27"/>
            <w:r>
              <w:rPr>
                <w:rFonts w:hint="eastAsia" w:ascii="宋体" w:hAnsi="宋体" w:eastAsia="宋体" w:cs="宋体"/>
                <w:color w:val="auto"/>
                <w:sz w:val="24"/>
                <w:szCs w:val="24"/>
                <w:highlight w:val="none"/>
              </w:rPr>
              <w:t xml:space="preserve">维护</w:t>
            </w:r>
            <w:bookmarkEnd w:id="60"/>
            <w:r/>
            <w:bookmarkEnd w:id="61"/>
            <w:r>
              <w:rPr>
                <w:rFonts w:hint="eastAsia" w:ascii="宋体" w:hAnsi="宋体" w:eastAsia="宋体" w:cs="宋体"/>
                <w:color w:val="auto"/>
                <w:sz w:val="24"/>
                <w:szCs w:val="24"/>
                <w:highlight w:val="none"/>
              </w:rPr>
              <w:t xml:space="preserve">人员</w:t>
            </w:r>
            <w:bookmarkEnd w:id="58"/>
            <w:r/>
            <w:bookmarkEnd w:id="59"/>
            <w:r/>
            <w:r/>
          </w:p>
          <w:p>
            <w:pPr>
              <w:jc w:val="center"/>
              <w:rPr>
                <w:rFonts w:hint="eastAsia" w:ascii="宋体" w:hAnsi="宋体" w:eastAsia="宋体" w:cs="宋体"/>
                <w:color w:val="auto"/>
                <w:sz w:val="24"/>
                <w:szCs w:val="24"/>
                <w:highlight w:val="none"/>
              </w:rPr>
            </w:pPr>
            <w:r>
              <w:rPr>
                <w:rStyle w:val="1027"/>
                <w:rFonts w:hint="eastAsia" w:ascii="宋体" w:hAnsi="宋体" w:eastAsia="宋体" w:cs="宋体"/>
                <w:color w:val="auto"/>
                <w:sz w:val="24"/>
                <w:highlight w:val="none"/>
              </w:rPr>
              <w:t xml:space="preserve">（4分）</w:t>
            </w:r>
            <w:r/>
          </w:p>
        </w:tc>
        <w:tc>
          <w:tcPr>
            <w:gridSpan w:val="2"/>
            <w:tcW w:w="7858" w:type="dxa"/>
            <w:vAlign w:val="center"/>
            <w:textDirection w:val="lrTb"/>
            <w:noWrap w:val="false"/>
          </w:tcPr>
          <w:p>
            <w:pPr>
              <w:pStyle w:val="999"/>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本项目数据维护人员具有信息系统项目管理工程师的得2分，同时具有高级及以上专业技术职称证书的，再得2分。</w:t>
            </w:r>
            <w:r/>
          </w:p>
          <w:p>
            <w:pPr>
              <w:pStyle w:val="999"/>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本项最高得4分，最低得0分。附相关证明材料扫描件，否则不得分。</w:t>
            </w:r>
            <w:r/>
          </w:p>
        </w:tc>
      </w:tr>
      <w:tr>
        <w:trPr>
          <w:cantSplit/>
          <w:trHeight w:val="1812"/>
        </w:trPr>
        <w:tc>
          <w:tcPr>
            <w:tcW w:w="16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企业证书</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w:t>
            </w:r>
            <w:r/>
          </w:p>
        </w:tc>
        <w:tc>
          <w:tcPr>
            <w:gridSpan w:val="2"/>
            <w:tcW w:w="7858" w:type="dxa"/>
            <w:vAlign w:val="center"/>
            <w:textDirection w:val="lrTb"/>
            <w:noWrap w:val="false"/>
          </w:tcPr>
          <w:p>
            <w:pPr>
              <w:pStyle w:val="999"/>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具备ISO认证的质量管理体系认证、环境管理体系认证、职业健康安全管理体系认证、信息安全管理体系认证、信息技术服务管理体系认证，每提供一项证书得1分。</w:t>
            </w:r>
            <w:r/>
          </w:p>
          <w:p>
            <w:pPr>
              <w:pStyle w:val="999"/>
              <w:jc w:val="lef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本项最高得5分，最低得0分。附相关证明材料扫描件，且所有证书都要求在有效期内，否则不得分。</w:t>
            </w:r>
            <w:r/>
          </w:p>
        </w:tc>
      </w:tr>
      <w:tr>
        <w:trPr>
          <w:cantSplit/>
          <w:trHeight w:val="602"/>
        </w:trPr>
        <w:tc>
          <w:tcPr>
            <w:tcW w:w="1635" w:type="dxa"/>
            <w:vAlign w:val="center"/>
            <w:vMerge w:val="restart"/>
            <w:textDirection w:val="lrTb"/>
            <w:noWrap w:val="false"/>
          </w:tcPr>
          <w:p>
            <w:pPr>
              <w:pStyle w:val="788"/>
              <w:jc w:val="center"/>
              <w:spacing w:line="320" w:lineRule="exact"/>
              <w:rPr>
                <w:rStyle w:val="1027"/>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技术方案</w:t>
            </w:r>
            <w:r/>
          </w:p>
          <w:p>
            <w:pPr>
              <w:pStyle w:val="788"/>
              <w:jc w:val="center"/>
              <w:spacing w:line="320" w:lineRule="exact"/>
              <w:rPr>
                <w:rStyle w:val="1027"/>
                <w:rFonts w:hint="eastAsia" w:ascii="宋体" w:hAnsi="宋体" w:eastAsia="宋体" w:cs="宋体"/>
                <w:color w:val="auto"/>
                <w:sz w:val="24"/>
                <w:highlight w:val="none"/>
              </w:rPr>
            </w:pPr>
            <w:r>
              <w:rPr>
                <w:rStyle w:val="1027"/>
                <w:rFonts w:hint="eastAsia" w:ascii="宋体" w:hAnsi="宋体" w:eastAsia="宋体" w:cs="宋体"/>
                <w:color w:val="auto"/>
                <w:sz w:val="24"/>
                <w:highlight w:val="none"/>
              </w:rPr>
              <w:t xml:space="preserve">（77分）</w:t>
            </w:r>
            <w:r/>
          </w:p>
          <w:p>
            <w:pPr>
              <w:pStyle w:val="999"/>
              <w:jc w:val="cente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排水系统数据结构规范性</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（8分）</w:t>
            </w:r>
            <w:r/>
          </w:p>
        </w:tc>
        <w:tc>
          <w:tcPr>
            <w:tcW w:w="63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提供类似项目的排水系统数据结构表，包括总的图层分类表和图层属性表（属性表至少包含排水管网、排水设施、排水构筑物三大类图层）的表结构说明。</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1.内容全面，表格齐全，结构规范，针对性强的，得8分；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2.内容一般，表格齐全，结构规范性一般，针对性一般的，得6分；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3.内容较差，表格不全，缺乏针对性的，得3分；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4.无具体内容的，该项得0分。</w:t>
            </w:r>
            <w:r/>
          </w:p>
        </w:tc>
      </w:tr>
      <w:tr>
        <w:trPr>
          <w:cantSplit/>
          <w:trHeight w:val="1314"/>
        </w:trPr>
        <w:tc>
          <w:tcPr>
            <w:tcW w:w="1635" w:type="dxa"/>
            <w:vAlign w:val="center"/>
            <w:vMerge w:val="continue"/>
            <w:textDirection w:val="lrTb"/>
            <w:noWrap w:val="false"/>
          </w:tcPr>
          <w:p>
            <w:pPr>
              <w:pStyle w:val="999"/>
              <w:jc w:val="cente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管网探测数据录入规范性</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（9分）</w:t>
            </w:r>
            <w:r/>
          </w:p>
        </w:tc>
        <w:tc>
          <w:tcPr>
            <w:tcW w:w="63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提供类似项目的排水管网探测数据录入规范的描述，包括探测成果表结构说明和探测成果表填写规范说明的描述。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1.内容全面，措施到位，描述规范，符合项目特点，针对性强的，得9分；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2.内容一般，措施不完全到位，描述规范性一般，针对性一般的，得7分；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3.内容较差，描述不规范，缺乏针对性的，得4分；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4.无具体内容的，该项得0分。</w:t>
            </w:r>
            <w:r/>
          </w:p>
        </w:tc>
      </w:tr>
      <w:tr>
        <w:trPr>
          <w:cantSplit/>
          <w:trHeight w:val="405"/>
        </w:trPr>
        <w:tc>
          <w:tcPr>
            <w:tcW w:w="1635" w:type="dxa"/>
            <w:vAlign w:val="center"/>
            <w:vMerge w:val="continue"/>
            <w:textDirection w:val="lrTb"/>
            <w:noWrap w:val="false"/>
          </w:tcPr>
          <w:p>
            <w:pPr>
              <w:pStyle w:val="999"/>
              <w:jc w:val="cente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管渠检测成果管理方案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W w:w="63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提供管道检测成果管理方案，包括检测成果文件命名规范、检测视频文件格式规范、检测成果提交表单规范的描述。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1.内容全面，措施到位，描述规范，符合项目特点，针对性强的，得10分；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2.内容较全面，措施较可行，描述较规范，有较强针对性的，得8分；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3.内容一般，措施不完全到位 描述规范性一般，针对性一般的，得6分；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4.内容较差，描述不规范，缺乏针对性的，得3分；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5.无具体内容的，该项得0分。</w:t>
            </w:r>
            <w:r/>
          </w:p>
        </w:tc>
      </w:tr>
      <w:tr>
        <w:trPr>
          <w:cantSplit/>
          <w:trHeight w:val="182"/>
        </w:trPr>
        <w:tc>
          <w:tcPr>
            <w:tcW w:w="1635" w:type="dxa"/>
            <w:vAlign w:val="center"/>
            <w:vMerge w:val="continue"/>
            <w:textDirection w:val="lrTb"/>
            <w:noWrap w:val="false"/>
          </w:tcPr>
          <w:p>
            <w:pPr>
              <w:pStyle w:val="999"/>
              <w:jc w:val="cente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测绘数据标准化处理方案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（8分）</w:t>
            </w:r>
            <w:r/>
          </w:p>
        </w:tc>
        <w:tc>
          <w:tcPr>
            <w:tcW w:w="63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提供排水管渠测绘数据标准化处理的详细工作内容和数据处理服务的流程图。</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1.内容全面，措施到位，符合项目特点，针对性强的，得8分；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2.内容一般，措施不完全到位 描述较规范，针对性一般的，得6分；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3.内容较差，描述不规范，缺乏针对性的，得3分；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4.无具体内容的，该项得0分。</w:t>
            </w:r>
            <w:r/>
          </w:p>
        </w:tc>
      </w:tr>
      <w:tr>
        <w:trPr>
          <w:cantSplit/>
          <w:trHeight w:val="182"/>
        </w:trPr>
        <w:tc>
          <w:tcPr>
            <w:tcW w:w="1635" w:type="dxa"/>
            <w:vAlign w:val="center"/>
            <w:vMerge w:val="continue"/>
            <w:textDirection w:val="lrTb"/>
            <w:noWrap w:val="false"/>
          </w:tcPr>
          <w:p>
            <w:pPr>
              <w:pStyle w:val="999"/>
              <w:jc w:val="cente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检测数据标准化处理方案（8分）</w:t>
            </w:r>
            <w:r/>
          </w:p>
        </w:tc>
        <w:tc>
          <w:tcPr>
            <w:tcW w:w="63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提供排水管网检测数据标准化处理服务的详细工作内容和数据处理服务的流程图。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1.内容全面，措施到位，符合项目特点，针对性强的，得8分；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2.内容一般，措施不完全到位 描述较规范，针对性一般的，得6分；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3.内容较差，描述不规范，缺乏针对性的，得3分；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4.无具体内容的，该项得0分。</w:t>
            </w:r>
            <w:r/>
          </w:p>
        </w:tc>
      </w:tr>
      <w:tr>
        <w:trPr>
          <w:cantSplit/>
          <w:trHeight w:val="182"/>
        </w:trPr>
        <w:tc>
          <w:tcPr>
            <w:tcW w:w="1635" w:type="dxa"/>
            <w:vAlign w:val="center"/>
            <w:vMerge w:val="continue"/>
            <w:textDirection w:val="lrTb"/>
            <w:noWrap w:val="false"/>
          </w:tcPr>
          <w:p>
            <w:pPr>
              <w:pStyle w:val="999"/>
              <w:jc w:val="cente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管渠数据质量检查方案</w:t>
            </w:r>
            <w:r/>
          </w:p>
          <w:p>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（8分）</w:t>
            </w:r>
            <w:r/>
          </w:p>
        </w:tc>
        <w:tc>
          <w:tcPr>
            <w:tcW w:w="63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根据投标人提交的本项目的管网数据质量检查方案，需能够识别排水管网中存在的孤立线、断头管、大管接小管、管道逆坡等异常情况。</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1.内容全面，措施到位，符合项目特点，针对性强的，得8分；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2.内容一般，措施不完全到位 描述较规范，针对性一般的，得6分；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3.内容较差，描述不规范，缺乏针对性的，得3分；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4.无具体内容的，该项得0分。</w:t>
            </w:r>
            <w:r/>
          </w:p>
        </w:tc>
      </w:tr>
      <w:tr>
        <w:trPr>
          <w:cantSplit/>
          <w:trHeight w:val="182"/>
        </w:trPr>
        <w:tc>
          <w:tcPr>
            <w:tcW w:w="1635" w:type="dxa"/>
            <w:vAlign w:val="center"/>
            <w:vMerge w:val="continue"/>
            <w:textDirection w:val="lrTb"/>
            <w:noWrap w:val="false"/>
          </w:tcPr>
          <w:p>
            <w:pPr>
              <w:pStyle w:val="999"/>
              <w:jc w:val="cente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日常运营监管服务方案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（16分）</w:t>
            </w:r>
            <w:r/>
          </w:p>
        </w:tc>
        <w:tc>
          <w:tcPr>
            <w:tcW w:w="63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针对本项目的日常养护监管服务，提供</w:t>
            </w:r>
            <w:r/>
          </w:p>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（1）人员岗位职责规划</w:t>
            </w:r>
            <w:r>
              <w:rPr>
                <w:rFonts w:hint="eastAsia" w:ascii="宋体" w:hAnsi="宋体" w:eastAsia="宋体" w:cs="宋体"/>
                <w:color w:val="auto"/>
                <w:sz w:val="24"/>
                <w:szCs w:val="24"/>
                <w:highlight w:val="none"/>
              </w:rPr>
              <w:t xml:space="preserve">：内容全面，切实可行，针对性强的，可得3分；内容较全面，较可行，针对性较强的，可得2分；内容不全，可行性不强，针对性不强的，得1分；未提供的，不得分。</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（2）监管设备（不限于</w:t>
            </w:r>
            <w:r>
              <w:rPr>
                <w:rFonts w:hint="eastAsia" w:ascii="宋体" w:hAnsi="宋体" w:eastAsia="宋体" w:cs="宋体"/>
                <w:color w:val="auto"/>
                <w:sz w:val="24"/>
                <w:highlight w:val="none"/>
              </w:rPr>
              <w:t xml:space="preserve">车辆、潜望镜</w:t>
            </w:r>
            <w:r>
              <w:rPr>
                <w:rFonts w:hint="eastAsia" w:ascii="宋体" w:hAnsi="宋体" w:eastAsia="宋体" w:cs="宋体"/>
                <w:b/>
                <w:color w:val="auto"/>
                <w:sz w:val="24"/>
                <w:szCs w:val="24"/>
                <w:highlight w:val="none"/>
              </w:rPr>
              <w:t xml:space="preserve">）配置方案</w:t>
            </w:r>
            <w:r>
              <w:rPr>
                <w:rFonts w:hint="eastAsia" w:ascii="宋体" w:hAnsi="宋体" w:eastAsia="宋体" w:cs="宋体"/>
                <w:color w:val="auto"/>
                <w:sz w:val="24"/>
                <w:szCs w:val="24"/>
                <w:highlight w:val="none"/>
              </w:rPr>
              <w:t xml:space="preserve">：内容全面，切实可行，针对性强的，可得3分；内容较全面，较可行，针对性较强的，可得2分；内容不全，可行性不强，针对性不强的，得1分；未提供的，不得分。</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（3）智慧化监管方案</w:t>
            </w:r>
            <w:r>
              <w:rPr>
                <w:rFonts w:hint="eastAsia" w:ascii="宋体" w:hAnsi="宋体" w:eastAsia="宋体" w:cs="宋体"/>
                <w:color w:val="auto"/>
                <w:sz w:val="24"/>
                <w:szCs w:val="24"/>
                <w:highlight w:val="none"/>
              </w:rPr>
              <w:t xml:space="preserve">：内容全面，切实可行，针对性强的，可得4分；内容较全面，较可行，针对性较强的，可得2分；内容不全，可行性不强，针对性不强的，得1分；未提供的，不得分。</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（4）养护监管方案（方案需满足业务主管部门监管雨污管网、泵站、闸门养护管理考核要求）</w:t>
            </w:r>
            <w:r>
              <w:rPr>
                <w:rFonts w:hint="eastAsia" w:ascii="宋体" w:hAnsi="宋体" w:eastAsia="宋体" w:cs="宋体"/>
                <w:color w:val="auto"/>
                <w:sz w:val="24"/>
                <w:szCs w:val="24"/>
                <w:highlight w:val="none"/>
              </w:rPr>
              <w:t xml:space="preserve">：内容全面，切实可行，针对性强的，可得3分；内容较全面，较可行，针对性较强的，可得2分；内容不全，可行性不强，针对性不强的，得1分；未提供的，不得分。</w:t>
            </w:r>
            <w:r/>
          </w:p>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（5）突发事件处理方案等服务的描述</w:t>
            </w:r>
            <w:r>
              <w:rPr>
                <w:rFonts w:hint="eastAsia" w:ascii="宋体" w:hAnsi="宋体" w:eastAsia="宋体" w:cs="宋体"/>
                <w:color w:val="auto"/>
                <w:sz w:val="24"/>
                <w:szCs w:val="24"/>
                <w:highlight w:val="none"/>
              </w:rPr>
              <w:t xml:space="preserve">：内容全面，切实可行，针对性强的，可得3分；内容较全面，较可行，针对性较强的，可得2分；内容不全，可行性不强，针对性不强的，得1分；未提供的，不得分。</w:t>
            </w:r>
            <w:r/>
          </w:p>
        </w:tc>
      </w:tr>
      <w:tr>
        <w:trPr>
          <w:cantSplit/>
          <w:trHeight w:val="182"/>
        </w:trPr>
        <w:tc>
          <w:tcPr>
            <w:tcW w:w="1635" w:type="dxa"/>
            <w:vAlign w:val="center"/>
            <w:vMerge w:val="continue"/>
            <w:textDirection w:val="lrTb"/>
            <w:noWrap w:val="false"/>
          </w:tcPr>
          <w:p>
            <w:pPr>
              <w:pStyle w:val="999"/>
              <w:jc w:val="cente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0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项目实施管理方案（10分）</w:t>
            </w:r>
            <w:r/>
          </w:p>
        </w:tc>
        <w:tc>
          <w:tcPr>
            <w:tcW w:w="63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针对本项目的实施管理方案，提供</w:t>
            </w:r>
            <w:r/>
          </w:p>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（1）项目实施重点</w:t>
            </w:r>
            <w:r>
              <w:rPr>
                <w:rFonts w:hint="eastAsia" w:ascii="宋体" w:hAnsi="宋体" w:eastAsia="宋体" w:cs="宋体"/>
                <w:color w:val="auto"/>
                <w:sz w:val="24"/>
                <w:szCs w:val="24"/>
                <w:highlight w:val="none"/>
              </w:rPr>
              <w:t xml:space="preserve">：内容全面，切实可行，针对性强的，可得2分；内容较全面，较可行，针对性较强的，可得1.5分；内容不全，可行性不强，针对性不强的，得1分；未提供的，不得分。</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（2）质量管理体系</w:t>
            </w:r>
            <w:r>
              <w:rPr>
                <w:rFonts w:hint="eastAsia" w:ascii="宋体" w:hAnsi="宋体" w:eastAsia="宋体" w:cs="宋体"/>
                <w:color w:val="auto"/>
                <w:sz w:val="24"/>
                <w:szCs w:val="24"/>
                <w:highlight w:val="none"/>
              </w:rPr>
              <w:t xml:space="preserve">：内容全面，切实可行，针对性强的，可得2分；内容较全面，较可行，针对性较强的，可得1.5分；内容不全，可行性不强，针对性不强的，得1分；未提供的，不得分。</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（3）项目文档管理</w:t>
            </w:r>
            <w:r>
              <w:rPr>
                <w:rFonts w:hint="eastAsia" w:ascii="宋体" w:hAnsi="宋体" w:eastAsia="宋体" w:cs="宋体"/>
                <w:color w:val="auto"/>
                <w:sz w:val="24"/>
                <w:szCs w:val="24"/>
                <w:highlight w:val="none"/>
              </w:rPr>
              <w:t xml:space="preserve">：内容全面，切实可行，针对性强的，可得2分；内容较全面，较可行，针对性较强的，可得1.5分；内容不全，可行性不强，针对性不强的，得1分；未提供的，不得分。</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（4）项目进度管理</w:t>
            </w:r>
            <w:r>
              <w:rPr>
                <w:rFonts w:hint="eastAsia" w:ascii="宋体" w:hAnsi="宋体" w:eastAsia="宋体" w:cs="宋体"/>
                <w:color w:val="auto"/>
                <w:sz w:val="24"/>
                <w:szCs w:val="24"/>
                <w:highlight w:val="none"/>
              </w:rPr>
              <w:t xml:space="preserve">：内容全面，切实可行，针对性强的，可得2分；内容较全面，较可行，针对性较强的，可得1.5分；内容不全，可行性不强，针对性不强的，得1分；未提供的，不得分。</w:t>
            </w:r>
            <w:r/>
          </w:p>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（5）项目培训管理</w:t>
            </w:r>
            <w:r>
              <w:rPr>
                <w:rFonts w:hint="eastAsia" w:ascii="宋体" w:hAnsi="宋体" w:eastAsia="宋体" w:cs="宋体"/>
                <w:color w:val="auto"/>
                <w:sz w:val="24"/>
                <w:szCs w:val="24"/>
                <w:highlight w:val="none"/>
              </w:rPr>
              <w:t xml:space="preserve">：内容全面，切实可行，针对性强的，可得2分；内容较全面，较可行，针对性较强的，可得1.5分；内容不全，可行性不强，针对性不强的，得1分；未提供的，不得分。</w:t>
            </w:r>
            <w:r/>
          </w:p>
        </w:tc>
      </w:tr>
    </w:tbl>
    <w:p>
      <w:pPr>
        <w:pStyle w:val="788"/>
        <w:rPr>
          <w:rStyle w:val="1004"/>
          <w:rFonts w:hint="eastAsia" w:ascii="宋体" w:hAnsi="宋体" w:eastAsia="宋体" w:cs="宋体"/>
          <w:color w:val="auto"/>
          <w:highlight w:val="none"/>
        </w:rPr>
      </w:pPr>
      <w:r/>
      <w:bookmarkStart w:id="62" w:name="OLE_LINK55"/>
      <w:r/>
      <w:bookmarkStart w:id="63" w:name="OLE_LINK54"/>
      <w:r/>
      <w:bookmarkStart w:id="64" w:name="OLE_LINK66"/>
      <w:r>
        <w:rPr>
          <w:rFonts w:hint="eastAsia" w:ascii="宋体" w:hAnsi="宋体" w:eastAsia="宋体" w:cs="宋体"/>
          <w:color w:val="auto"/>
          <w:sz w:val="28"/>
          <w:szCs w:val="28"/>
          <w:highlight w:val="none"/>
        </w:rPr>
        <w:t xml:space="preserve">本章说明：本项目采用综合评分法。</w:t>
      </w:r>
      <w:bookmarkEnd w:id="62"/>
      <w:r/>
      <w:bookmarkEnd w:id="63"/>
      <w:r/>
      <w:bookmarkEnd w:id="64"/>
      <w:r/>
      <w:r/>
    </w:p>
    <w:p>
      <w:pPr>
        <w:rPr>
          <w:rFonts w:hint="eastAsia" w:ascii="宋体" w:hAnsi="宋体" w:eastAsia="宋体" w:cs="宋体"/>
          <w:b/>
          <w:bCs/>
          <w:color w:val="auto"/>
          <w:sz w:val="30"/>
          <w:szCs w:val="44"/>
          <w:highlight w:val="none"/>
        </w:rPr>
      </w:pPr>
      <w:r/>
      <w:bookmarkStart w:id="65" w:name="_Toc14780"/>
      <w:r/>
      <w:bookmarkStart w:id="66" w:name="_Toc522790134"/>
      <w:r/>
      <w:bookmarkStart w:id="67" w:name="_Toc522790135"/>
      <w:r/>
      <w:bookmarkStart w:id="68" w:name="_Toc12097"/>
      <w:r>
        <w:rPr>
          <w:rFonts w:hint="eastAsia" w:ascii="宋体" w:hAnsi="宋体" w:eastAsia="宋体" w:cs="宋体"/>
          <w:color w:val="auto"/>
          <w:highlight w:val="none"/>
        </w:rPr>
        <w:br w:type="page" w:clear="all"/>
      </w:r>
      <w:r/>
    </w:p>
    <w:p>
      <w:pPr>
        <w:pStyle w:val="993"/>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第五章  拟签订的合同文本</w:t>
      </w:r>
      <w:bookmarkEnd w:id="65"/>
      <w:r/>
      <w:bookmarkEnd w:id="66"/>
      <w:r/>
      <w:r/>
    </w:p>
    <w:p>
      <w:pPr>
        <w:pStyle w:val="101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01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采购包1、采购包2：</w:t>
      </w:r>
      <w:r/>
    </w:p>
    <w:p>
      <w:pPr>
        <w:pStyle w:val="1010"/>
        <w:spacing w:after="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p>
      <w:pPr>
        <w:pStyle w:val="1010"/>
        <w:spacing w:after="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p>
      <w:pPr>
        <w:pStyle w:val="1010"/>
        <w:jc w:val="center"/>
        <w:spacing w:after="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0"/>
        <w:jc w:val="center"/>
        <w:spacing w:after="0" w:line="360" w:lineRule="auto"/>
        <w:rPr>
          <w:rFonts w:hint="eastAsia" w:ascii="宋体" w:hAnsi="宋体" w:eastAsia="宋体" w:cs="宋体"/>
          <w:color w:val="auto"/>
          <w:sz w:val="52"/>
          <w:highlight w:val="none"/>
        </w:rPr>
      </w:pPr>
      <w:r>
        <w:rPr>
          <w:rFonts w:hint="eastAsia" w:ascii="宋体" w:hAnsi="宋体" w:eastAsia="宋体" w:cs="宋体"/>
          <w:color w:val="auto"/>
          <w:sz w:val="52"/>
          <w:highlight w:val="none"/>
        </w:rPr>
        <w:t xml:space="preserve">政</w:t>
      </w:r>
      <w:r/>
    </w:p>
    <w:p>
      <w:pPr>
        <w:pStyle w:val="1010"/>
        <w:jc w:val="center"/>
        <w:spacing w:after="0" w:line="360" w:lineRule="auto"/>
        <w:rPr>
          <w:rFonts w:hint="eastAsia" w:ascii="宋体" w:hAnsi="宋体" w:eastAsia="宋体" w:cs="宋体"/>
          <w:color w:val="auto"/>
          <w:sz w:val="52"/>
          <w:highlight w:val="none"/>
        </w:rPr>
      </w:pPr>
      <w:r>
        <w:rPr>
          <w:rFonts w:hint="eastAsia" w:ascii="宋体" w:hAnsi="宋体" w:eastAsia="宋体" w:cs="宋体"/>
          <w:color w:val="auto"/>
          <w:sz w:val="52"/>
          <w:highlight w:val="none"/>
        </w:rPr>
        <w:t xml:space="preserve">府</w:t>
      </w:r>
      <w:r/>
    </w:p>
    <w:p>
      <w:pPr>
        <w:pStyle w:val="1010"/>
        <w:jc w:val="center"/>
        <w:spacing w:after="0" w:line="360" w:lineRule="auto"/>
        <w:rPr>
          <w:rFonts w:hint="eastAsia" w:ascii="宋体" w:hAnsi="宋体" w:eastAsia="宋体" w:cs="宋体"/>
          <w:color w:val="auto"/>
          <w:sz w:val="52"/>
          <w:highlight w:val="none"/>
        </w:rPr>
      </w:pPr>
      <w:r>
        <w:rPr>
          <w:rFonts w:hint="eastAsia" w:ascii="宋体" w:hAnsi="宋体" w:eastAsia="宋体" w:cs="宋体"/>
          <w:color w:val="auto"/>
          <w:sz w:val="52"/>
          <w:highlight w:val="none"/>
        </w:rPr>
        <w:t xml:space="preserve">采</w:t>
      </w:r>
      <w:r/>
    </w:p>
    <w:p>
      <w:pPr>
        <w:pStyle w:val="1010"/>
        <w:jc w:val="center"/>
        <w:spacing w:after="0" w:line="360" w:lineRule="auto"/>
        <w:rPr>
          <w:rFonts w:hint="eastAsia" w:ascii="宋体" w:hAnsi="宋体" w:eastAsia="宋体" w:cs="宋体"/>
          <w:color w:val="auto"/>
          <w:sz w:val="52"/>
          <w:highlight w:val="none"/>
        </w:rPr>
      </w:pPr>
      <w:r>
        <w:rPr>
          <w:rFonts w:hint="eastAsia" w:ascii="宋体" w:hAnsi="宋体" w:eastAsia="宋体" w:cs="宋体"/>
          <w:color w:val="auto"/>
          <w:sz w:val="52"/>
          <w:highlight w:val="none"/>
        </w:rPr>
        <w:t xml:space="preserve">购</w:t>
      </w:r>
      <w:r/>
    </w:p>
    <w:p>
      <w:pPr>
        <w:pStyle w:val="1010"/>
        <w:jc w:val="center"/>
        <w:spacing w:after="0" w:line="360" w:lineRule="auto"/>
        <w:rPr>
          <w:rFonts w:hint="eastAsia" w:ascii="宋体" w:hAnsi="宋体" w:eastAsia="宋体" w:cs="宋体"/>
          <w:color w:val="auto"/>
          <w:sz w:val="52"/>
          <w:highlight w:val="none"/>
        </w:rPr>
      </w:pPr>
      <w:r>
        <w:rPr>
          <w:rFonts w:hint="eastAsia" w:ascii="宋体" w:hAnsi="宋体" w:eastAsia="宋体" w:cs="宋体"/>
          <w:color w:val="auto"/>
          <w:sz w:val="52"/>
          <w:highlight w:val="none"/>
        </w:rPr>
        <w:t xml:space="preserve">合</w:t>
      </w:r>
      <w:r/>
    </w:p>
    <w:p>
      <w:pPr>
        <w:pStyle w:val="1010"/>
        <w:jc w:val="center"/>
        <w:spacing w:after="0" w:line="360" w:lineRule="auto"/>
        <w:rPr>
          <w:rFonts w:hint="eastAsia" w:ascii="宋体" w:hAnsi="宋体" w:eastAsia="宋体" w:cs="宋体"/>
          <w:color w:val="auto"/>
          <w:sz w:val="52"/>
          <w:highlight w:val="none"/>
        </w:rPr>
      </w:pPr>
      <w:r>
        <w:rPr>
          <w:rFonts w:hint="eastAsia" w:ascii="宋体" w:hAnsi="宋体" w:eastAsia="宋体" w:cs="宋体"/>
          <w:color w:val="auto"/>
          <w:sz w:val="52"/>
          <w:highlight w:val="none"/>
        </w:rPr>
        <w:t xml:space="preserve">同</w:t>
      </w:r>
      <w:r/>
    </w:p>
    <w:p>
      <w:pPr>
        <w:pStyle w:val="1010"/>
        <w:spacing w:after="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0"/>
        <w:spacing w:after="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   购  人：</w:t>
      </w:r>
      <w:r/>
    </w:p>
    <w:p>
      <w:pPr>
        <w:pStyle w:val="1010"/>
        <w:spacing w:after="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 标 人：</w:t>
      </w:r>
      <w:r/>
    </w:p>
    <w:p>
      <w:pPr>
        <w:pStyle w:val="1010"/>
        <w:spacing w:after="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 年  月  日</w:t>
      </w:r>
      <w:r/>
    </w:p>
    <w:p>
      <w:pPr>
        <w:pStyle w:val="1010"/>
        <w:spacing w:after="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0"/>
        <w:spacing w:after="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友情提醒：采购人与中标、成交供应商应当在中标、成交通知书发出之日起三十日内，按照采购文件确定的事项签订政府采购合同。</w:t>
      </w:r>
      <w:r/>
    </w:p>
    <w:p>
      <w:pPr>
        <w:pStyle w:val="1010"/>
        <w:spacing w:after="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48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采购方（甲方）：</w:t>
      </w:r>
      <w:r/>
    </w:p>
    <w:p>
      <w:pPr>
        <w:ind w:firstLine="48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承包方（乙方）：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及国家有关法律、法规的规定，甲、乙双方在平等、自愿、等价有偿、公平、诚信的基础上，经友好协商，就甲方委托乙方进行闸站运行合同达成一致意见，特签订本合同，以资信守。</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一、项目情况</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 购 包：</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项目内容：详见招标文件及中标人投标文件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养护合同期：自合同签订之日起一年</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二、作业内容</w:t>
      </w:r>
      <w:r/>
    </w:p>
    <w:p>
      <w:pPr>
        <w:ind w:firstLine="480"/>
        <w:spacing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排水管渠的运行与养护内容主要包括：排水管渠的巡查；维修养护；防汛；应急抢修；污泥运输与处置；检查与评估等。</w:t>
      </w:r>
      <w:r/>
    </w:p>
    <w:p>
      <w:pPr>
        <w:ind w:firstLine="48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1.排水管渠的巡查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（1）排水管渠沿线检查井井盖、雨水蓖缺失、破损、溢水等；井盖的标识与管道的属性是否一致等。</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（2）排水管渠、泄水孔、溢流堰、出水口发现有堵塞、溢水、破损、渗水等。</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（3）排水管渠坍塌，井身结构崩坏等；对发现损毁排水管渠及时报修处置。</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（4）排水管渠保护范围内建设施工、违章占压、违章排放、私自接管以及影响或危害排水管渠功能等。</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（5）对破坏排水管渠等违法行为及时发现并制止；配合管理部门做好其他相关排水管渠管理工作。</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（6）其它影响排水内容。</w:t>
      </w:r>
      <w:r/>
    </w:p>
    <w:p>
      <w:pPr>
        <w:ind w:firstLine="48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2.维修养护</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（1）排水管渠的检查、清淤、疏通，排水管渠养护采用机械化率应≧55%。</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（2）排水检查井、雨水口清挖、清捞、洗刷，连接管疏通。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（3）更换检查井、雨水口盖座及防坠板（网），修理检查井及雨水口。</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（4）小型管道局部维修，开挖路面及人行道恢复。</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（5）污泥、弃渣处运与处置。</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（6）清理沟渠出口污泥，维修八字墙、出口基础、护坡等。</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（7）管理单位安排的其它维修养护工作。</w:t>
      </w:r>
      <w:r/>
    </w:p>
    <w:p>
      <w:pPr>
        <w:ind w:firstLine="48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3.防汛</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（1）按照管理单位要求制定防汛预案，包括：人员、物资、设备、队伍、应急措施、响应时间等。</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（2）做好汛前安全排查及降雨后复盘工作，针对发现或存在问题制定相应措施。</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（3）做好汛期安全巡查工作，加强人员值班值守、应急处置等相关管理工作。</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预报降雨前，应加密排水设施的巡查，完成设备前置，对低洼易积水路段提前打开井盖、放置安全警示标识；降雨时巡查及防汛人员应及时清理检查井、雨水口堵塞物，排除路面积水，并及时上报相关情况，待积水消退、隐患排除后方可离开；降雨后应及时加强排水设施的巡查，及时统计排水设施损毁情况，清除检查井、雨水口堵塞物，对于雨后管网淤堵、积水问题及时上报处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（5）因降雨造成道路或低洼地区积水、路面塌陷等安全隐患，应及时设置安全警示，确保安全。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（6）加强雨前、雨中、雨后的安全巡查，及时处置安全隐患，并上报相关情况；巡查及防汛人员实行半小时内到达现场的叫应机制。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（7）做好管理单位安排的其它防汛工作。</w:t>
      </w:r>
      <w:r/>
    </w:p>
    <w:p>
      <w:pPr>
        <w:ind w:firstLine="48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4.应急抢修</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（1）排水管渠检查井井盖、雨水蓖维修补盖及更换，质量标准须满足现行相关要求。</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（2）排水管渠存在安全隐患的，及时做好安全围挡。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（3）排水管渠应急疏通。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（4）排水管渠坍塌、破损的修复；检查井、雨水口结构崩坏、周边破损沉降的修复，质量标准须满足现行相关要求。</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（5）管理单位安排的其它应急抢修工作。</w:t>
      </w:r>
      <w:r/>
    </w:p>
    <w:p>
      <w:pPr>
        <w:ind w:firstLine="48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5.污泥运输与处置</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（1）污泥运输车辆须保持密闭状态，应按要求运输和卸倒。</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（2）及时做好污泥的运输、计量、处置等记录工作。</w:t>
      </w:r>
      <w:r/>
    </w:p>
    <w:p>
      <w:pPr>
        <w:ind w:firstLine="48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6.检查与评估</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中标单位应依据行业标准《城镇排水管道检测与评估技术规程》CJ]181的有关规定检查、检测周期；采用 CCTV 检测、声呐检测、量泥斗检测、潜水检查、反光镜检查、水力坡降检查、染色检查和烟雾检查等方法对管渠检查及评估。</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（1）排水管渠清挖疏浚检测： 应用CCTV、QV、声纳等，开展管道功能性检查和结构性检查。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（2）中标单位应在年度内对排水管渠设施发生的应急事故检查和专项检查或其他工程影响排水管渠运行等检查检测。</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（3）新增排水管渠由建设单位提供新建工程排水管渠交付检查、检测的资料；中标单位应配合管理单位组织的新增排水管渠检查、检测复查工作：应用 CCTV、QV、声纳等，开展管道功能性检查和结构性检查。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（4）中标单位应在年度内对排水管渠设施检查、检测率≥10%以上，应提供相应的管渠检查、检测影像资料及评估报告和支持性依据。</w:t>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w:t>
      </w:r>
      <w:r>
        <w:rPr>
          <w:rFonts w:hint="eastAsia" w:ascii="宋体" w:hAnsi="宋体" w:eastAsia="宋体" w:cs="宋体"/>
          <w:b/>
          <w:color w:val="auto"/>
          <w:sz w:val="24"/>
          <w:szCs w:val="24"/>
          <w:highlight w:val="none"/>
        </w:rPr>
        <w:t xml:space="preserve">质量标准</w:t>
      </w:r>
      <w:r/>
    </w:p>
    <w:p>
      <w:pPr>
        <w:ind w:firstLine="60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1.管渠、检查井、雨水口养护周期频率</w:t>
      </w:r>
      <w:r/>
    </w:p>
    <w:tbl>
      <w:tblPr>
        <w:tblStyle w:val="785"/>
        <w:tblW w:w="9569" w:type="dxa"/>
        <w:tblInd w:w="-12" w:type="dxa"/>
        <w:tblLayout w:type="fixed"/>
        <w:tblCellMar>
          <w:left w:w="108" w:type="dxa"/>
          <w:top w:w="0" w:type="dxa"/>
          <w:right w:w="108" w:type="dxa"/>
          <w:bottom w:w="0" w:type="dxa"/>
        </w:tblCellMar>
        <w:tblLook w:val="04A0" w:firstRow="1" w:lastRow="0" w:firstColumn="1" w:lastColumn="0" w:noHBand="0" w:noVBand="1"/>
      </w:tblPr>
      <w:tblGrid>
        <w:gridCol w:w="1957"/>
        <w:gridCol w:w="1174"/>
        <w:gridCol w:w="1396"/>
        <w:gridCol w:w="1396"/>
        <w:gridCol w:w="1396"/>
        <w:gridCol w:w="1079"/>
        <w:gridCol w:w="1171"/>
      </w:tblGrid>
      <w:tr>
        <w:trPr>
          <w:trHeight w:val="256"/>
        </w:trPr>
        <w:tc>
          <w:tcPr>
            <w:tcBorders>
              <w:top w:val="single" w:color="000000" w:sz="4" w:space="0"/>
              <w:left w:val="single" w:color="000000" w:sz="4" w:space="0"/>
              <w:bottom w:val="single" w:color="000000" w:sz="4" w:space="0"/>
              <w:right w:val="single" w:color="000000" w:sz="4" w:space="0"/>
            </w:tcBorders>
            <w:tcW w:w="1957"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管渠性质</w:t>
            </w:r>
            <w:r/>
          </w:p>
        </w:tc>
        <w:tc>
          <w:tcPr>
            <w:gridSpan w:val="6"/>
            <w:tcBorders>
              <w:top w:val="single" w:color="000000" w:sz="4" w:space="0"/>
              <w:left w:val="none" w:color="000000" w:sz="4" w:space="0"/>
              <w:bottom w:val="single" w:color="000000" w:sz="4" w:space="0"/>
              <w:right w:val="single" w:color="000000" w:sz="4" w:space="0"/>
            </w:tcBorders>
            <w:tcW w:w="7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管渠划分</w:t>
            </w:r>
            <w:r/>
          </w:p>
        </w:tc>
      </w:tr>
      <w:tr>
        <w:trPr>
          <w:trHeight w:val="256"/>
        </w:trPr>
        <w:tc>
          <w:tcPr>
            <w:tcBorders>
              <w:top w:val="single" w:color="000000" w:sz="4" w:space="0"/>
              <w:left w:val="single" w:color="000000" w:sz="4" w:space="0"/>
              <w:bottom w:val="single" w:color="000000" w:sz="4" w:space="0"/>
              <w:right w:val="single" w:color="000000" w:sz="4" w:space="0"/>
            </w:tcBorders>
            <w:tcW w:w="1957"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小型</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中型</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大型</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特大型</w:t>
            </w:r>
            <w:r/>
          </w:p>
        </w:tc>
        <w:tc>
          <w:tcPr>
            <w:tcBorders>
              <w:top w:val="non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检查井</w:t>
            </w:r>
            <w:r/>
          </w:p>
        </w:tc>
        <w:tc>
          <w:tcPr>
            <w:tcBorders>
              <w:top w:val="none" w:color="000000" w:sz="4" w:space="0"/>
              <w:left w:val="single" w:color="000000" w:sz="4" w:space="0"/>
              <w:bottom w:val="single" w:color="000000" w:sz="4" w:space="0"/>
              <w:right w:val="single" w:color="000000" w:sz="4" w:space="0"/>
            </w:tcBorders>
            <w:tcW w:w="1168"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雨水口</w:t>
            </w:r>
            <w:r/>
          </w:p>
        </w:tc>
      </w:tr>
      <w:tr>
        <w:trPr>
          <w:trHeight w:val="212"/>
        </w:trPr>
        <w:tc>
          <w:tcPr>
            <w:tcBorders>
              <w:top w:val="single" w:color="000000" w:sz="4" w:space="0"/>
              <w:left w:val="single" w:color="000000" w:sz="4" w:space="0"/>
              <w:bottom w:val="single" w:color="000000" w:sz="4" w:space="0"/>
              <w:right w:val="single" w:color="000000" w:sz="4" w:space="0"/>
            </w:tcBorders>
            <w:tcW w:w="1957"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小于600mm</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600mm-1000mm</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1000mm-1500mm</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1500mm以上</w:t>
            </w:r>
            <w:r/>
          </w:p>
        </w:tc>
        <w:tc>
          <w:tcPr>
            <w:tcBorders>
              <w:top w:val="non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1168"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05"/>
        </w:trPr>
        <w:tc>
          <w:tcPr>
            <w:tcBorders>
              <w:top w:val="none" w:color="000000" w:sz="4" w:space="0"/>
              <w:left w:val="single" w:color="000000" w:sz="4" w:space="0"/>
              <w:bottom w:val="single" w:color="000000" w:sz="4" w:space="0"/>
              <w:right w:val="single" w:color="000000" w:sz="4" w:space="0"/>
            </w:tcBorders>
            <w:tcW w:w="19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雨水/合流管渠（次／年）</w:t>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0.3</w:t>
            </w:r>
            <w:r/>
          </w:p>
        </w:tc>
        <w:tc>
          <w:tcPr>
            <w:tcBorders>
              <w:top w:val="none" w:color="000000" w:sz="4" w:space="0"/>
              <w:left w:val="none" w:color="000000" w:sz="4" w:space="0"/>
              <w:bottom w:val="single" w:color="000000" w:sz="4" w:space="0"/>
              <w:right w:val="single" w:color="000000" w:sz="4" w:space="0"/>
            </w:tcBorders>
            <w:tcW w:w="107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116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trHeight w:val="548"/>
        </w:trPr>
        <w:tc>
          <w:tcPr>
            <w:tcBorders>
              <w:top w:val="none" w:color="000000" w:sz="4" w:space="0"/>
              <w:left w:val="single" w:color="000000" w:sz="4" w:space="0"/>
              <w:bottom w:val="single" w:color="000000" w:sz="4" w:space="0"/>
              <w:right w:val="single" w:color="000000" w:sz="4" w:space="0"/>
            </w:tcBorders>
            <w:tcW w:w="195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污水（次／年）</w:t>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0.3</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w:t>
            </w:r>
            <w:r/>
          </w:p>
        </w:tc>
        <w:tc>
          <w:tcPr>
            <w:tcBorders>
              <w:top w:val="none" w:color="000000" w:sz="4" w:space="0"/>
              <w:left w:val="none" w:color="000000" w:sz="4" w:space="0"/>
              <w:bottom w:val="single" w:color="000000" w:sz="4" w:space="0"/>
              <w:right w:val="single" w:color="000000" w:sz="4" w:space="0"/>
            </w:tcBorders>
            <w:tcW w:w="107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116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bl>
    <w:p>
      <w:pPr>
        <w:ind w:firstLine="60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2.管渠、检查井、雨水口养护最大淤积深度</w:t>
      </w:r>
      <w:r/>
    </w:p>
    <w:tbl>
      <w:tblPr>
        <w:tblStyle w:val="785"/>
        <w:tblW w:w="0" w:type="auto"/>
        <w:tblInd w:w="-12" w:type="dxa"/>
        <w:tblLayout w:type="fixed"/>
        <w:tblCellMar>
          <w:left w:w="108" w:type="dxa"/>
          <w:top w:w="0" w:type="dxa"/>
          <w:right w:w="108" w:type="dxa"/>
          <w:bottom w:w="0" w:type="dxa"/>
        </w:tblCellMar>
        <w:tblLook w:val="04A0" w:firstRow="1" w:lastRow="0" w:firstColumn="1" w:lastColumn="0" w:noHBand="0" w:noVBand="1"/>
      </w:tblPr>
      <w:tblGrid>
        <w:gridCol w:w="3020"/>
        <w:gridCol w:w="3020"/>
        <w:gridCol w:w="3020"/>
      </w:tblGrid>
      <w:tr>
        <w:trPr>
          <w:trHeight w:val="348"/>
        </w:trPr>
        <w:tc>
          <w:tcPr>
            <w:gridSpan w:val="2"/>
            <w:tcBorders>
              <w:top w:val="single" w:color="000000" w:sz="4" w:space="0"/>
              <w:left w:val="single" w:color="000000" w:sz="4" w:space="0"/>
              <w:bottom w:val="single" w:color="000000" w:sz="4" w:space="0"/>
              <w:right w:val="single" w:color="000000" w:sz="4" w:space="0"/>
            </w:tcBorders>
            <w:tcW w:w="604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设施类别</w:t>
            </w:r>
            <w:r/>
          </w:p>
        </w:tc>
        <w:tc>
          <w:tcPr>
            <w:tcBorders>
              <w:top w:val="single" w:color="000000" w:sz="4" w:space="0"/>
              <w:left w:val="none" w:color="000000" w:sz="4" w:space="0"/>
              <w:bottom w:val="single" w:color="000000" w:sz="4" w:space="0"/>
              <w:right w:val="single" w:color="000000" w:sz="4" w:space="0"/>
            </w:tcBorders>
            <w:tcW w:w="302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允许积泥深度</w:t>
            </w:r>
            <w:r/>
          </w:p>
        </w:tc>
      </w:tr>
      <w:tr>
        <w:trPr>
          <w:trHeight w:val="429"/>
        </w:trPr>
        <w:tc>
          <w:tcPr>
            <w:tcBorders>
              <w:top w:val="none" w:color="000000" w:sz="4" w:space="0"/>
              <w:left w:val="single" w:color="000000" w:sz="4" w:space="0"/>
              <w:bottom w:val="single" w:color="000000" w:sz="4" w:space="0"/>
              <w:right w:val="single" w:color="000000" w:sz="4" w:space="0"/>
            </w:tcBorders>
            <w:tcW w:w="3020" w:type="dxa"/>
            <w:vAlign w:val="center"/>
            <w:vMerge w:val="restar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管渠</w:t>
            </w:r>
            <w:r/>
          </w:p>
        </w:tc>
        <w:tc>
          <w:tcPr>
            <w:tcBorders>
              <w:top w:val="none" w:color="000000" w:sz="4" w:space="0"/>
              <w:left w:val="single" w:color="000000" w:sz="4" w:space="0"/>
              <w:bottom w:val="single" w:color="000000" w:sz="4" w:space="0"/>
              <w:right w:val="single" w:color="000000" w:sz="4" w:space="0"/>
            </w:tcBorders>
            <w:tcW w:w="3020" w:type="dxa"/>
            <w:vAlign w:val="center"/>
            <w:vMerge w:val="restar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4" w:space="0"/>
              <w:bottom w:val="single" w:color="000000" w:sz="4" w:space="0"/>
              <w:right w:val="single" w:color="000000" w:sz="4" w:space="0"/>
            </w:tcBorders>
            <w:tcW w:w="3020" w:type="dxa"/>
            <w:vAlign w:val="center"/>
            <w:vMerge w:val="restar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管内径或渠净高度的 1/5</w:t>
            </w:r>
            <w:r/>
          </w:p>
        </w:tc>
      </w:tr>
      <w:tr>
        <w:trPr>
          <w:trHeight w:val="396"/>
        </w:trPr>
        <w:tc>
          <w:tcPr>
            <w:tcBorders>
              <w:top w:val="none" w:color="000000" w:sz="4" w:space="0"/>
              <w:left w:val="single" w:color="000000" w:sz="4" w:space="0"/>
              <w:bottom w:val="single" w:color="000000" w:sz="4" w:space="0"/>
              <w:right w:val="single" w:color="000000" w:sz="4" w:space="0"/>
            </w:tcBorders>
            <w:tcW w:w="3020" w:type="dxa"/>
            <w:vAlign w:val="center"/>
            <w:vMerge w:val="restar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雨水口</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无沉泥槽</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管径的 1/5</w:t>
            </w:r>
            <w:r/>
          </w:p>
        </w:tc>
      </w:tr>
      <w:tr>
        <w:trPr>
          <w:trHeight w:val="427"/>
        </w:trPr>
        <w:tc>
          <w:tcPr>
            <w:tcBorders>
              <w:top w:val="none" w:color="000000" w:sz="4" w:space="0"/>
              <w:left w:val="single" w:color="000000" w:sz="4" w:space="0"/>
              <w:bottom w:val="single" w:color="000000" w:sz="4" w:space="0"/>
              <w:right w:val="single" w:color="000000" w:sz="4" w:space="0"/>
            </w:tcBorders>
            <w:tcW w:w="3020" w:type="dxa"/>
            <w:vAlign w:val="center"/>
            <w:vMerge w:val="continue"/>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有沉泥槽</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管底以下 50mm</w:t>
            </w:r>
            <w:r/>
          </w:p>
        </w:tc>
      </w:tr>
      <w:tr>
        <w:trPr>
          <w:trHeight w:val="396"/>
        </w:trPr>
        <w:tc>
          <w:tcPr>
            <w:tcBorders>
              <w:top w:val="none" w:color="000000" w:sz="4" w:space="0"/>
              <w:left w:val="single" w:color="000000" w:sz="4" w:space="0"/>
              <w:bottom w:val="single" w:color="000000" w:sz="4" w:space="0"/>
              <w:right w:val="single" w:color="000000" w:sz="4" w:space="0"/>
            </w:tcBorders>
            <w:tcW w:w="3020" w:type="dxa"/>
            <w:vAlign w:val="center"/>
            <w:vMerge w:val="continue"/>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无沉泥槽</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管底以上50mm</w:t>
            </w:r>
            <w:r/>
          </w:p>
        </w:tc>
      </w:tr>
    </w:tbl>
    <w:p>
      <w:pPr>
        <w:ind w:firstLine="60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3、管渠疏通清挖维护质量标准</w:t>
      </w:r>
      <w:r/>
    </w:p>
    <w:tbl>
      <w:tblPr>
        <w:tblStyle w:val="785"/>
        <w:tblW w:w="0" w:type="auto"/>
        <w:tblInd w:w="-12" w:type="dxa"/>
        <w:tblLayout w:type="fixed"/>
        <w:tblCellMar>
          <w:left w:w="108" w:type="dxa"/>
          <w:top w:w="0" w:type="dxa"/>
          <w:right w:w="108" w:type="dxa"/>
          <w:bottom w:w="0" w:type="dxa"/>
        </w:tblCellMar>
        <w:tblLook w:val="04A0" w:firstRow="1" w:lastRow="0" w:firstColumn="1" w:lastColumn="0" w:noHBand="0" w:noVBand="1"/>
      </w:tblPr>
      <w:tblGrid>
        <w:gridCol w:w="1660"/>
        <w:gridCol w:w="1740"/>
        <w:gridCol w:w="5684"/>
      </w:tblGrid>
      <w:tr>
        <w:trPr>
          <w:trHeight w:val="456"/>
        </w:trPr>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检查项目</w:t>
            </w:r>
            <w:r/>
          </w:p>
        </w:tc>
        <w:tc>
          <w:tcPr>
            <w:tcBorders>
              <w:top w:val="singl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检查方法</w:t>
            </w:r>
            <w:r/>
          </w:p>
        </w:tc>
        <w:tc>
          <w:tcPr>
            <w:tcBorders>
              <w:top w:val="single" w:color="000000" w:sz="4" w:space="0"/>
              <w:left w:val="none" w:color="000000" w:sz="4" w:space="0"/>
              <w:bottom w:val="single" w:color="000000" w:sz="4" w:space="0"/>
              <w:right w:val="single" w:color="000000" w:sz="4" w:space="0"/>
            </w:tcBorders>
            <w:tcW w:w="56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质量要求</w:t>
            </w:r>
            <w:r/>
          </w:p>
        </w:tc>
      </w:tr>
      <w:tr>
        <w:trPr>
          <w:trHeight w:val="1080"/>
        </w:trPr>
        <w:tc>
          <w:tcPr>
            <w:tcBorders>
              <w:top w:val="none" w:color="000000" w:sz="4" w:space="0"/>
              <w:left w:val="single" w:color="000000" w:sz="4" w:space="0"/>
              <w:bottom w:val="single" w:color="000000" w:sz="4" w:space="0"/>
              <w:right w:val="single" w:color="000000" w:sz="4" w:space="0"/>
            </w:tcBorders>
            <w:tcW w:w="1660"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残余污泥</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绞车检查</w:t>
            </w:r>
            <w:r/>
          </w:p>
        </w:tc>
        <w:tc>
          <w:tcPr>
            <w:tcBorders>
              <w:top w:val="none" w:color="000000" w:sz="4" w:space="0"/>
              <w:left w:val="none" w:color="000000" w:sz="4" w:space="0"/>
              <w:bottom w:val="single" w:color="000000" w:sz="4" w:space="0"/>
              <w:right w:val="single" w:color="000000" w:sz="4" w:space="0"/>
            </w:tcBorders>
            <w:tcW w:w="568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第一遍绞车检查，铁牛内厚泥不应超过铁牛直径的 1/2;管道长度按40m计，超过或不足40m允许积泥按比例增减。</w:t>
            </w:r>
            <w:r/>
          </w:p>
        </w:tc>
      </w:tr>
      <w:tr>
        <w:trPr>
          <w:trHeight w:val="723"/>
        </w:trPr>
        <w:tc>
          <w:tcPr>
            <w:tcBorders>
              <w:top w:val="none" w:color="000000" w:sz="4" w:space="0"/>
              <w:left w:val="single" w:color="000000" w:sz="4" w:space="0"/>
              <w:bottom w:val="single" w:color="000000" w:sz="4" w:space="0"/>
              <w:right w:val="single" w:color="000000" w:sz="4" w:space="0"/>
            </w:tcBorders>
            <w:tcW w:w="1660"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电视检测</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声呐检测</w:t>
            </w:r>
            <w:r/>
          </w:p>
        </w:tc>
        <w:tc>
          <w:tcPr>
            <w:tcBorders>
              <w:top w:val="none" w:color="000000" w:sz="4" w:space="0"/>
              <w:left w:val="none" w:color="000000" w:sz="4" w:space="0"/>
              <w:bottom w:val="single" w:color="000000" w:sz="4" w:space="0"/>
              <w:right w:val="single" w:color="000000" w:sz="4" w:space="0"/>
            </w:tcBorders>
            <w:tcW w:w="568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疏通后积泥深度不应超过管径或渠净高的 1/8 ；疏通后积泥深度不应超过管径或渠净高的 1/8。</w:t>
            </w:r>
            <w:r/>
          </w:p>
        </w:tc>
      </w:tr>
      <w:tr>
        <w:trPr>
          <w:trHeight w:val="360"/>
        </w:trPr>
        <w:tc>
          <w:tcPr>
            <w:tcBorders>
              <w:top w:val="none" w:color="000000" w:sz="4" w:space="0"/>
              <w:left w:val="single" w:color="000000" w:sz="4" w:space="0"/>
              <w:bottom w:val="single" w:color="000000" w:sz="4" w:space="0"/>
              <w:right w:val="single" w:color="000000" w:sz="4" w:space="0"/>
            </w:tcBorders>
            <w:tcW w:w="1660"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检查井</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目视、花杆</w:t>
            </w:r>
            <w:r/>
          </w:p>
        </w:tc>
        <w:tc>
          <w:tcPr>
            <w:tcBorders>
              <w:top w:val="none" w:color="000000" w:sz="4" w:space="0"/>
              <w:left w:val="none" w:color="000000" w:sz="4" w:space="0"/>
              <w:bottom w:val="single" w:color="000000" w:sz="4" w:space="0"/>
              <w:right w:val="single" w:color="000000" w:sz="4" w:space="0"/>
            </w:tcBorders>
            <w:tcW w:w="568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井壁清洁元结垢；井底不应有硬块。</w:t>
            </w:r>
            <w:r/>
          </w:p>
        </w:tc>
      </w:tr>
      <w:tr>
        <w:trPr>
          <w:trHeight w:val="396"/>
        </w:trPr>
        <w:tc>
          <w:tcPr>
            <w:tcBorders>
              <w:top w:val="none" w:color="000000" w:sz="4" w:space="0"/>
              <w:left w:val="single" w:color="000000" w:sz="4" w:space="0"/>
              <w:bottom w:val="single" w:color="000000" w:sz="4" w:space="0"/>
              <w:right w:val="single" w:color="000000" w:sz="4" w:space="0"/>
            </w:tcBorders>
            <w:tcW w:w="1660"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量泥斗检查</w:t>
            </w:r>
            <w:r/>
          </w:p>
        </w:tc>
        <w:tc>
          <w:tcPr>
            <w:tcBorders>
              <w:top w:val="none" w:color="000000" w:sz="4" w:space="0"/>
              <w:left w:val="none" w:color="000000" w:sz="4" w:space="0"/>
              <w:bottom w:val="single" w:color="000000" w:sz="4" w:space="0"/>
              <w:right w:val="single" w:color="000000" w:sz="4" w:space="0"/>
            </w:tcBorders>
            <w:tcW w:w="568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不得有积泥</w:t>
            </w:r>
            <w:r/>
          </w:p>
        </w:tc>
      </w:tr>
      <w:tr>
        <w:trPr>
          <w:trHeight w:val="361"/>
        </w:trPr>
        <w:tc>
          <w:tcPr>
            <w:tcBorders>
              <w:top w:val="non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工作现场</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目视检查</w:t>
            </w:r>
            <w:r/>
          </w:p>
        </w:tc>
        <w:tc>
          <w:tcPr>
            <w:tcBorders>
              <w:top w:val="none" w:color="000000" w:sz="4" w:space="0"/>
              <w:left w:val="none" w:color="000000" w:sz="4" w:space="0"/>
              <w:bottom w:val="single" w:color="000000" w:sz="4" w:space="0"/>
              <w:right w:val="single" w:color="000000" w:sz="4" w:space="0"/>
            </w:tcBorders>
            <w:tcW w:w="568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工作现场污泥、硬块不落地；作业面冲洗干净。</w:t>
            </w:r>
            <w:r/>
          </w:p>
        </w:tc>
      </w:tr>
    </w:tbl>
    <w:p>
      <w:pPr>
        <w:ind w:firstLine="60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4.井盖及雨水算（盖框）养护调整允许高低差</w:t>
      </w:r>
      <w:r/>
    </w:p>
    <w:tbl>
      <w:tblPr>
        <w:tblStyle w:val="785"/>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534"/>
        <w:gridCol w:w="1710"/>
        <w:gridCol w:w="2708"/>
        <w:gridCol w:w="3279"/>
      </w:tblGrid>
      <w:tr>
        <w:trPr>
          <w:trHeight w:val="432"/>
        </w:trPr>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设施种类</w:t>
            </w:r>
            <w:r/>
          </w:p>
        </w:tc>
        <w:tc>
          <w:tcPr>
            <w:tcBorders>
              <w:top w:val="single" w:color="000000" w:sz="4" w:space="0"/>
              <w:left w:val="none" w:color="000000" w:sz="4" w:space="0"/>
              <w:bottom w:val="single" w:color="000000" w:sz="4" w:space="0"/>
              <w:right w:val="single" w:color="000000" w:sz="4" w:space="0"/>
            </w:tcBorders>
            <w:tcW w:w="17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盖框间隙 </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(mm)</w:t>
            </w:r>
            <w:r/>
          </w:p>
        </w:tc>
        <w:tc>
          <w:tcPr>
            <w:tcBorders>
              <w:top w:val="single" w:color="000000" w:sz="4" w:space="0"/>
              <w:left w:val="none" w:color="000000" w:sz="4" w:space="0"/>
              <w:bottom w:val="single" w:color="000000" w:sz="4" w:space="0"/>
              <w:right w:val="single" w:color="000000" w:sz="4" w:space="0"/>
            </w:tcBorders>
            <w:tcW w:w="2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井盖与井框高低差</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(mm)</w:t>
            </w:r>
            <w:r/>
          </w:p>
        </w:tc>
        <w:tc>
          <w:tcPr>
            <w:tcBorders>
              <w:top w:val="single" w:color="000000" w:sz="4" w:space="0"/>
              <w:left w:val="none" w:color="000000" w:sz="4" w:space="0"/>
              <w:bottom w:val="single" w:color="000000" w:sz="4" w:space="0"/>
              <w:right w:val="single" w:color="000000" w:sz="4" w:space="0"/>
            </w:tcBorders>
            <w:tcW w:w="327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井框与路面高低差</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(mm)</w:t>
            </w:r>
            <w:r/>
          </w:p>
        </w:tc>
      </w:tr>
      <w:tr>
        <w:trPr>
          <w:trHeight w:val="432"/>
        </w:trPr>
        <w:tc>
          <w:tcPr>
            <w:tcBorders>
              <w:top w:val="non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检查井</w:t>
            </w:r>
            <w:r/>
          </w:p>
        </w:tc>
        <w:tc>
          <w:tcPr>
            <w:tcBorders>
              <w:top w:val="none" w:color="000000" w:sz="4" w:space="0"/>
              <w:left w:val="none" w:color="000000" w:sz="4" w:space="0"/>
              <w:bottom w:val="single" w:color="000000" w:sz="4" w:space="0"/>
              <w:right w:val="single" w:color="000000" w:sz="4" w:space="0"/>
            </w:tcBorders>
            <w:tcW w:w="17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&lt;8</w:t>
            </w:r>
            <w:r/>
          </w:p>
        </w:tc>
        <w:tc>
          <w:tcPr>
            <w:tcBorders>
              <w:top w:val="none" w:color="000000" w:sz="4" w:space="0"/>
              <w:left w:val="none" w:color="000000" w:sz="4" w:space="0"/>
              <w:bottom w:val="single" w:color="000000" w:sz="4" w:space="0"/>
              <w:right w:val="single" w:color="000000" w:sz="4" w:space="0"/>
            </w:tcBorders>
            <w:tcW w:w="2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≤+5</w:t>
            </w:r>
            <w:r/>
          </w:p>
        </w:tc>
        <w:tc>
          <w:tcPr>
            <w:tcBorders>
              <w:top w:val="none" w:color="000000" w:sz="4" w:space="0"/>
              <w:left w:val="none" w:color="000000" w:sz="4" w:space="0"/>
              <w:bottom w:val="single" w:color="000000" w:sz="4" w:space="0"/>
              <w:right w:val="single" w:color="000000" w:sz="4" w:space="0"/>
            </w:tcBorders>
            <w:tcW w:w="327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≤+5</w:t>
            </w:r>
            <w:r/>
          </w:p>
        </w:tc>
      </w:tr>
      <w:tr>
        <w:trPr>
          <w:trHeight w:val="432"/>
        </w:trPr>
        <w:tc>
          <w:tcPr>
            <w:tcBorders>
              <w:top w:val="non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雨水口</w:t>
            </w:r>
            <w:r/>
          </w:p>
        </w:tc>
        <w:tc>
          <w:tcPr>
            <w:tcBorders>
              <w:top w:val="none" w:color="000000" w:sz="4" w:space="0"/>
              <w:left w:val="none" w:color="000000" w:sz="4" w:space="0"/>
              <w:bottom w:val="single" w:color="000000" w:sz="4" w:space="0"/>
              <w:right w:val="single" w:color="000000" w:sz="4" w:space="0"/>
            </w:tcBorders>
            <w:tcW w:w="17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&lt;8</w:t>
            </w:r>
            <w:r/>
          </w:p>
        </w:tc>
        <w:tc>
          <w:tcPr>
            <w:tcBorders>
              <w:top w:val="none" w:color="000000" w:sz="4" w:space="0"/>
              <w:left w:val="none" w:color="000000" w:sz="4" w:space="0"/>
              <w:bottom w:val="single" w:color="000000" w:sz="4" w:space="0"/>
              <w:right w:val="single" w:color="000000" w:sz="4" w:space="0"/>
            </w:tcBorders>
            <w:tcW w:w="2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≤0</w:t>
            </w:r>
            <w:r/>
          </w:p>
        </w:tc>
        <w:tc>
          <w:tcPr>
            <w:tcBorders>
              <w:top w:val="none" w:color="000000" w:sz="4" w:space="0"/>
              <w:left w:val="none" w:color="000000" w:sz="4" w:space="0"/>
              <w:bottom w:val="single" w:color="000000" w:sz="4" w:space="0"/>
              <w:right w:val="single" w:color="000000" w:sz="4" w:space="0"/>
            </w:tcBorders>
            <w:tcW w:w="327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≤0</w:t>
            </w:r>
            <w:r/>
          </w:p>
        </w:tc>
      </w:tr>
    </w:tbl>
    <w:p>
      <w:pPr>
        <w:numPr>
          <w:ilvl w:val="0"/>
          <w:numId w:val="3"/>
        </w:numPr>
        <w:ind w:firstLine="482"/>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巡查频率</w:t>
      </w:r>
      <w:r/>
    </w:p>
    <w:p>
      <w:pPr>
        <w:ind w:firstLine="480"/>
        <w:spacing w:line="440" w:lineRule="exact"/>
        <w:tabs>
          <w:tab w:val="left" w:pos="312"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实施差异化巡查，对于关键路段（主要干道）和重要区域（如学校、医院、商业中心周边等）原则上每天1次，对于一般区域，在非汛期巡查频率，原则上每周不少于1次。如遇汛期或降雨、排水管渠管理范围内地铁、开发、道路大修等施工的实行不间断巡查，特别是雨前、雨中、雨后的加密巡查，对于巡查中发现排水管渠损坏、淤堵、积水等问题及时处理或上报。</w:t>
      </w:r>
      <w:r/>
    </w:p>
    <w:p>
      <w:pPr>
        <w:numPr>
          <w:ilvl w:val="0"/>
          <w:numId w:val="3"/>
        </w:numPr>
        <w:ind w:firstLine="482"/>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应急处置时效</w:t>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当巡视人员在巡视中发现井盖和雨水篦缺失或损坏后， 应立即设置警示标志，并在6h 内修补恢复；当相关排水管理单位接报井盖和雨水篦缺失或损坏信息后，留人看管、必须在2h 内安放护栏和警示标志，并应在6h 内修补恢复；对排水管渠如检查井、收水井及井盖补盖更换等应及时保障日常维修。</w:t>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四、人员及机械设备要求</w:t>
      </w:r>
      <w:r/>
    </w:p>
    <w:p>
      <w:pPr>
        <w:ind w:firstLine="480"/>
        <w:spacing w:line="44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对本合同项目实施养护管理所用的一切劳动力、材料设备和服务由乙方自行组织，由此产生的一切费用由乙方承担。</w:t>
      </w:r>
      <w:r/>
    </w:p>
    <w:p>
      <w:pPr>
        <w:numPr>
          <w:ilvl w:val="0"/>
          <w:numId w:val="4"/>
        </w:num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人员要求：</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（1）项目经理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         身份证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建造师执业等级：</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安全生产考核合格证证书号：</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（2）排水管渠项目负责人</w:t>
      </w:r>
      <w:bookmarkStart w:id="69" w:name="OLE_LINK91"/>
      <w:r/>
      <w:bookmarkStart w:id="70" w:name="OLE_LINK90"/>
      <w:r>
        <w:rPr>
          <w:rFonts w:hint="eastAsia" w:ascii="宋体" w:hAnsi="宋体" w:eastAsia="宋体" w:cs="宋体"/>
          <w:color w:val="auto"/>
          <w:sz w:val="24"/>
          <w:szCs w:val="24"/>
          <w:highlight w:val="none"/>
          <w:u w:val="single"/>
        </w:rPr>
        <w:t xml:space="preserve">  </w:t>
      </w:r>
      <w:bookmarkEnd w:id="69"/>
      <w:r/>
      <w:bookmarkEnd w:id="70"/>
      <w:r>
        <w:rPr>
          <w:rFonts w:hint="eastAsia" w:ascii="宋体" w:hAnsi="宋体" w:eastAsia="宋体" w:cs="宋体"/>
          <w:color w:val="auto"/>
          <w:sz w:val="24"/>
          <w:szCs w:val="24"/>
          <w:highlight w:val="none"/>
        </w:rPr>
        <w:t xml:space="preserve">人，技术负责人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人，安全员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人，质量员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人，资料员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人，现场工作人员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2.机械设备要求：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联合疏通车（具备疏通与吸污两项功能）或高压疏通车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辆、吸污车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辆、污泥运输车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台、工具车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台、挖斗式清淤车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台、移动泵车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辆（流量不小于300m3/h）。安全检测设备（潜望镜</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台、GPS测量仪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台、cctv检测机器人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台、气体检测仪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台、长管呼吸器（含防毒面罩）</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五、考核标准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考核职责：徐州市供排水管理中心（以下简称中心）职能科室按照《市管排水管渠运行与养护管理标准及考核办法》、《徐州市市管排水管渠巡查方案》及《排水管渠巡查管理制度》具体负责对管理范围内的排水管渠运行与养护进行检查考核（详见附件1,2），做好相关资料的统计、记录及汇总，建立完善考核机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2、考核对象：中标单位。</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3、考核范围：排水管渠运行与养护（详见附件3）。</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4、考核方式：考核实行百分制，采取定期考核与日常考核相结合，由职能科室实施。每月5日前职能科室对上月工作情况进行综合打分汇总并计算出月得分。</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六、合同价（承包费）与支付</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（一）本合同总金额为人民币大写金额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元），经双方协商一致，选择以下第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种付款方式：</w:t>
      </w:r>
      <w:r/>
    </w:p>
    <w:p>
      <w:pPr>
        <w:ind w:firstLine="480"/>
        <w:spacing w:line="440" w:lineRule="exact"/>
        <w:rPr>
          <w:rFonts w:hint="eastAsia" w:ascii="宋体" w:hAnsi="宋体" w:eastAsia="宋体" w:cs="宋体"/>
          <w:color w:val="auto"/>
          <w:sz w:val="24"/>
          <w:szCs w:val="24"/>
          <w:highlight w:val="none"/>
        </w:rPr>
      </w:pPr>
      <w:r/>
      <w:bookmarkStart w:id="71" w:name="OLE_LINK102"/>
      <w:r/>
      <w:bookmarkStart w:id="72" w:name="OLE_LINK103"/>
      <w:r>
        <w:rPr>
          <w:rFonts w:hint="eastAsia" w:ascii="宋体" w:hAnsi="宋体" w:eastAsia="宋体" w:cs="宋体"/>
          <w:color w:val="auto"/>
          <w:sz w:val="24"/>
          <w:szCs w:val="24"/>
          <w:highlight w:val="none"/>
        </w:rPr>
        <w:t xml:space="preserve">1.付款方式（提交预付款保函的）</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签订合同后15日内并提交合同总价的20%银行保函后，预付合同总价的20%，</w:t>
      </w:r>
      <w:r>
        <w:rPr>
          <w:rFonts w:hint="eastAsia" w:ascii="宋体" w:hAnsi="宋体" w:eastAsia="宋体" w:cs="宋体"/>
          <w:color w:val="auto"/>
          <w:sz w:val="24"/>
          <w:szCs w:val="24"/>
          <w:highlight w:val="none"/>
          <w:u w:val="single"/>
        </w:rPr>
        <w:t xml:space="preserve">即￥          大写：人民币            </w:t>
      </w:r>
      <w:r>
        <w:rPr>
          <w:rFonts w:hint="eastAsia" w:ascii="宋体" w:hAnsi="宋体" w:eastAsia="宋体" w:cs="宋体"/>
          <w:color w:val="auto"/>
          <w:sz w:val="24"/>
          <w:szCs w:val="24"/>
          <w:highlight w:val="none"/>
        </w:rPr>
        <w:t xml:space="preserve">；每月养护管理费用为</w:t>
      </w:r>
      <w:r>
        <w:rPr>
          <w:rFonts w:hint="eastAsia" w:ascii="宋体" w:hAnsi="宋体" w:eastAsia="宋体" w:cs="宋体"/>
          <w:color w:val="auto"/>
          <w:sz w:val="24"/>
          <w:highlight w:val="none"/>
        </w:rPr>
        <w:t xml:space="preserve">合同剩余价款（即合同总价*80%）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12</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2.付款方式（不提交预付款保函的）</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签订合同后15日内甲方向乙方支付合同总价的百分之十（10%）</w:t>
      </w:r>
      <w:r>
        <w:rPr>
          <w:rFonts w:hint="eastAsia" w:ascii="宋体" w:hAnsi="宋体" w:eastAsia="宋体" w:cs="宋体"/>
          <w:color w:val="auto"/>
          <w:sz w:val="24"/>
          <w:szCs w:val="24"/>
          <w:highlight w:val="none"/>
          <w:u w:val="single"/>
        </w:rPr>
        <w:t xml:space="preserve">即￥          大写：人民币            </w:t>
      </w:r>
      <w:r>
        <w:rPr>
          <w:rFonts w:hint="eastAsia" w:ascii="宋体" w:hAnsi="宋体" w:eastAsia="宋体" w:cs="宋体"/>
          <w:color w:val="auto"/>
          <w:sz w:val="24"/>
          <w:szCs w:val="24"/>
          <w:highlight w:val="none"/>
        </w:rPr>
        <w:t xml:space="preserve">；每月养护费用为</w:t>
      </w:r>
      <w:r>
        <w:rPr>
          <w:rFonts w:hint="eastAsia" w:ascii="宋体" w:hAnsi="宋体" w:eastAsia="宋体" w:cs="宋体"/>
          <w:color w:val="auto"/>
          <w:sz w:val="24"/>
          <w:highlight w:val="none"/>
        </w:rPr>
        <w:t xml:space="preserve">合同剩余价款（即合同总价*90%）/12</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p>
    <w:p>
      <w:pPr>
        <w:ind w:firstLine="480"/>
        <w:spacing w:line="440" w:lineRule="exact"/>
        <w:rPr>
          <w:rFonts w:hint="eastAsia" w:ascii="宋体" w:hAnsi="宋体" w:eastAsia="宋体" w:cs="宋体"/>
          <w:color w:val="auto"/>
          <w:sz w:val="24"/>
          <w:szCs w:val="24"/>
          <w:highlight w:val="none"/>
        </w:rPr>
      </w:pPr>
      <w:r/>
      <w:bookmarkStart w:id="73" w:name="OLE_LINK4"/>
      <w:r/>
      <w:bookmarkStart w:id="74" w:name="OLE_LINK6"/>
      <w:r>
        <w:rPr>
          <w:rFonts w:hint="eastAsia" w:ascii="宋体" w:hAnsi="宋体" w:eastAsia="宋体" w:cs="宋体"/>
          <w:color w:val="auto"/>
          <w:sz w:val="24"/>
          <w:szCs w:val="24"/>
          <w:highlight w:val="none"/>
        </w:rPr>
        <w:t xml:space="preserve">在签订合同时，如乙方明确表示无需预付款的，经单位考核后，按考核标准付款。 每月养护费用</w:t>
      </w:r>
      <w:r>
        <w:rPr>
          <w:rFonts w:hint="eastAsia" w:ascii="宋体" w:hAnsi="宋体" w:eastAsia="宋体" w:cs="宋体"/>
          <w:color w:val="auto"/>
          <w:sz w:val="24"/>
          <w:highlight w:val="none"/>
        </w:rPr>
        <w:t xml:space="preserve">=合同总价/12。</w:t>
      </w:r>
      <w:r>
        <w:rPr>
          <w:rFonts w:hint="eastAsia" w:ascii="宋体" w:hAnsi="宋体" w:eastAsia="宋体" w:cs="宋体"/>
          <w:color w:val="auto"/>
          <w:sz w:val="24"/>
          <w:szCs w:val="24"/>
          <w:highlight w:val="none"/>
        </w:rPr>
        <w:t xml:space="preserve">(注:此条符合苏财购(2020)52号文件要求)</w:t>
      </w:r>
      <w:bookmarkEnd w:id="73"/>
      <w:r/>
      <w:bookmarkEnd w:id="74"/>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（二）合同价款的支付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按月考核,根据考核结果，</w:t>
      </w:r>
      <w:r>
        <w:rPr>
          <w:rFonts w:hint="eastAsia" w:ascii="宋体" w:hAnsi="宋体" w:eastAsia="宋体" w:cs="宋体"/>
          <w:color w:val="auto"/>
          <w:sz w:val="24"/>
          <w:highlight w:val="none"/>
        </w:rPr>
        <w:t xml:space="preserve">每两月付款。</w:t>
      </w:r>
      <w:r>
        <w:rPr>
          <w:rFonts w:hint="eastAsia" w:ascii="宋体" w:hAnsi="宋体" w:eastAsia="宋体" w:cs="宋体"/>
          <w:color w:val="auto"/>
          <w:sz w:val="24"/>
          <w:szCs w:val="24"/>
          <w:highlight w:val="none"/>
        </w:rPr>
        <w:t xml:space="preserve">甲方每月月底前对当月养护情况进行考核汇总，按照考核结果据实支付。考核成绩在95分以上（含95分）全额支付；考核成绩在95—90分（含90分）之间的，按[（100-实际得分）/100]*养护费用，扣除后支付；90—80分（含80分）之间的，按[2*（100-实际得分）/100]*养护费用扣除后支付；80分以下为不合格，直接扣除承包费。</w:t>
      </w:r>
      <w:bookmarkEnd w:id="71"/>
      <w:r/>
      <w:bookmarkEnd w:id="72"/>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七、甲方的权利和义务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（一）甲方的权利</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1.甲方对乙方管护项目有实施检查、考核、管理的权利，按照附件及附表中的考核内容和标准开展。</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2.甲方有权对乙方在履约时不符合合同约定的事项提出整改要求，并向乙方发出《整改通知书》，整改相关事项以《整改通知书》为准，整改完成后，报由甲方验收。整改费用由乙方承担。</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服务期内，发生重大质量、生产安全事故，或乙方擅自停工，或乙方作业过程造成重大环境污染，或其他重大、紧急可能危急公共安全或社会公共利益行为的，由甲方指派他人临时接管乙方的承包项目。乙方必须赔偿因自己的责任所造成的经济损失。事故处理后是否恢复履行合同由甲方决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4.甲方有权对乙方用工情况进行检查，有权要求乙方按要求保障作业人员的福利待遇。甲方不承担任何由于乙方与其员工之间因劳动关系纠纷而产生的任何责任。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5.如遇重大活动或检查，甲方有权要求乙方无条件保质保量按活动或检查要求完成工作任务。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6.为保证排水管渠能及时维修并保证维修后的质量，甲方为乙方提供维修主要材料。</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（二）甲方的义务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1.甲方需确保乙方承包费支付到位。</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2.甲方检查人员必须公平、公开、公正地进行检查考核。</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八、乙方的权利和义务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（一）乙方的权利</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乙方有权对甲方人员在检查考评乙方作业质量过程中的违规行为向甲方行政主管部门举报。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（二）乙方的义务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1.乙方必须依照附件及附表中的考核内容和标准开展本合同规定的作业形式、作业质量标准及行业有关作业规范、按时、保质、保量履行合同。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2.乙方应自觉接受甲方及辅助监管的检查、考核、指导和监督。</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3.乙方应严格遵守国家的法律、法规的规定，如果乙方违反法律、法规和相关规定，所造成的后果自行负责，与甲方无关。</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4.服务期间内，乙方所需要的作业、管理、机具停放等用房、用地由乙方自行解决。</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5.乙方有义务参加甲方通知的相关作业会议，通报作业情况，完善作业措施，提高作业水平。</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6.乙方要加强工作人员的安全教育，完善相关安全技术措施，服务期内如遇人身伤亡事故，均由乙方负责，与甲方无关。</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运行与养护等工作，须按照辅助监管管理软件（APP）操作要求进行真实填写上传，接受甲方及辅助监管人员的监管；乙方本项目使用的污泥车辆、疏通车辆等特种车辆须按要求安装GPS定位以及摄像头监控设备，并接入监管平台。</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8、乙方须配备专业的法律顾问。</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九、违约责任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1.乙方须指定专人分区分片负责运行管理，如因运行与养护原因造成损失的，由乙方承担全部损失，并按合同规定的事项接受处罚。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2.在服务期内，如乙方连续10日不进行排水管渠养护、巡查、抢修及防汛的，甲方有权终止合同，并指派其它养护队伍进场养护。</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某些需紧急处置的情况，在接到甲方通知后，乙方应无条件在规定时间内完成。乙方如处置不及时，甲方有权指派其它队伍进场，所发生的费用在乙方服务费用中扣除，对乙方累计三次未在规定时间内完成甲方交办任务的，甲方有权终止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4.上级部门考核评比等活动中一旦出现严重失分，甲方有权终止合同，并扣除当月的服务费用。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5.乙方不得转包、分包，否则甲方有权终止合同。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6.服务期满后，甲乙双方共同清点市政设施，对照接收时的清单若发生设施被盗或损坏，按清点当月市场价赔偿，在服务费用中扣除，或恢复原状。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7.乙方如连续两次整改不合格或全年两次考核不合格，甲方有权终止乙方承包合同。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8.乙方用工必须符合《劳动法》的要求，否则，由此发生的纠纷由乙方自行承担责任。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9.因管护措施不当，全年累计受到上级领导点名批评3次或市级及以上新闻媒体曝光3次的，甲方有权终止合同。</w:t>
      </w:r>
      <w:r/>
    </w:p>
    <w:p>
      <w:pPr>
        <w:pStyle w:val="810"/>
        <w:ind w:firstLine="480"/>
        <w:spacing w:after="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10.发现窨井盖缺失5处以上，下水道堵塞不畅造成路面积水5处以上，以上任何一种情况乙方在甲方要求的整改期限内没有完成整改任务，甲方有权终止合同，并指派其他施工队伍作业，乙方应无条件配合。</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合同期内，本合同项目内容发生减少及毁损的，乙方应及时补齐或修复，并自行承担所需费用。合同期限届满时，乙方应保证本合同项目内容完好无损。不完好的，由乙方负责补齐或修复。届时，未补齐或修复的，甲方可扣除相应的承包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12.由于乙方自身的原因，未能保持原有企业资信等级，本合同即自动终止，乙方应赔偿甲方由此产生的经济损失。</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13.乙方在作业生产过程中产生的任何安全事故由乙方自己承担，与甲方无关。养护管理期限内因市政排水管渠功能缺失或其他原因而带来一切伤亡事故，由乙方承担全部责任。</w:t>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十、其他</w:t>
      </w:r>
      <w:r/>
    </w:p>
    <w:p>
      <w:pPr>
        <w:pStyle w:val="810"/>
        <w:ind w:firstLine="480"/>
        <w:spacing w:after="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排水管渠养护、巡查、抢修及防汛</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1.如因窨井盖、收水井蓖的缺失、破损，造成人员伤亡及一切财物损失由乙方承担全部经济与法律责任，与甲方无涉。</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2.日常管理工作中，所有乙方工作人员，如出现人身伤亡事故，由乙方承担全部经济与法律责任，与甲方无涉。</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highlight w:val="none"/>
        </w:rPr>
        <w:t xml:space="preserve">中标公示期满后，</w:t>
      </w:r>
      <w:r>
        <w:rPr>
          <w:rFonts w:hint="eastAsia" w:ascii="宋体" w:hAnsi="宋体" w:eastAsia="宋体" w:cs="宋体"/>
          <w:color w:val="auto"/>
          <w:sz w:val="24"/>
          <w:szCs w:val="24"/>
          <w:highlight w:val="none"/>
        </w:rPr>
        <w:t xml:space="preserve">甲、乙双方应及时清点养护范围内的市政设施，经双方书面确认后一式两份，双方各执一份，服务期满后，乙方应保证市政设施数量和正常市政设施功能状态不变。</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4.合同执行过程中，如国家、省、市等有关部门对养护管理标准和要求等作出重大调整的，按调整后的标准和要求执行。</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十一、下列文件为本合同不可分割部分：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①招标文件及其附件；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②乙方的投标文件；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③乙方在招投标过程中所作的其它承诺、声明、书面澄清等；</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④中标通知书；</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⑤合同附件。</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十二、本合同一式陆份，甲方肆份，乙方贰份。</w:t>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十三、合同生效</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合同订立时间：          年      月      日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合同订立地点：                          　</w:t>
      </w:r>
      <w:r/>
    </w:p>
    <w:p>
      <w:pPr>
        <w:ind w:firstLine="96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甲方：（公章）              乙方：（公章）</w:t>
      </w:r>
      <w:r/>
    </w:p>
    <w:p>
      <w:pPr>
        <w:ind w:firstLine="96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住所：                      住所：</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　　　　　　　　法定代表人：</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委托代表人：　　　　　　　  委托代表人：</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电话：                      电话：</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传真：                      传真：</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开户银行：　　　　　　　　　开户银行：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账号：　　　　　　　　　　　账号：</w:t>
      </w:r>
      <w:r/>
    </w:p>
    <w:p>
      <w:pPr>
        <w:ind w:firstLine="96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　　　            邮政编码：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30"/>
          <w:szCs w:val="44"/>
          <w:highlight w:val="none"/>
        </w:rPr>
      </w:pPr>
      <w:r>
        <w:rPr>
          <w:rFonts w:hint="eastAsia" w:ascii="宋体" w:hAnsi="宋体" w:eastAsia="宋体" w:cs="宋体"/>
          <w:color w:val="auto"/>
          <w:highlight w:val="none"/>
        </w:rPr>
        <w:br w:type="page" w:clear="all"/>
      </w:r>
      <w:r/>
    </w:p>
    <w:p>
      <w:pPr>
        <w:pStyle w:val="993"/>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拟签订的合同文本</w:t>
      </w:r>
      <w:r/>
    </w:p>
    <w:p>
      <w:pPr>
        <w:pStyle w:val="101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采购包3：</w:t>
      </w:r>
      <w:r/>
    </w:p>
    <w:p>
      <w:pPr>
        <w:pStyle w:val="1010"/>
        <w:spacing w:after="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p>
      <w:pPr>
        <w:pStyle w:val="1010"/>
        <w:spacing w:after="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p>
      <w:pPr>
        <w:pStyle w:val="1010"/>
        <w:jc w:val="center"/>
        <w:spacing w:after="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0"/>
        <w:jc w:val="center"/>
        <w:spacing w:after="0" w:line="360" w:lineRule="auto"/>
        <w:rPr>
          <w:rFonts w:hint="eastAsia" w:ascii="宋体" w:hAnsi="宋体" w:eastAsia="宋体" w:cs="宋体"/>
          <w:color w:val="auto"/>
          <w:sz w:val="52"/>
          <w:highlight w:val="none"/>
        </w:rPr>
      </w:pPr>
      <w:r>
        <w:rPr>
          <w:rFonts w:hint="eastAsia" w:ascii="宋体" w:hAnsi="宋体" w:eastAsia="宋体" w:cs="宋体"/>
          <w:color w:val="auto"/>
          <w:sz w:val="52"/>
          <w:highlight w:val="none"/>
        </w:rPr>
        <w:t xml:space="preserve">政</w:t>
      </w:r>
      <w:r/>
    </w:p>
    <w:p>
      <w:pPr>
        <w:pStyle w:val="1010"/>
        <w:jc w:val="center"/>
        <w:spacing w:after="0" w:line="360" w:lineRule="auto"/>
        <w:rPr>
          <w:rFonts w:hint="eastAsia" w:ascii="宋体" w:hAnsi="宋体" w:eastAsia="宋体" w:cs="宋体"/>
          <w:color w:val="auto"/>
          <w:sz w:val="52"/>
          <w:highlight w:val="none"/>
        </w:rPr>
      </w:pPr>
      <w:r>
        <w:rPr>
          <w:rFonts w:hint="eastAsia" w:ascii="宋体" w:hAnsi="宋体" w:eastAsia="宋体" w:cs="宋体"/>
          <w:color w:val="auto"/>
          <w:sz w:val="52"/>
          <w:highlight w:val="none"/>
        </w:rPr>
        <w:t xml:space="preserve">府</w:t>
      </w:r>
      <w:r/>
    </w:p>
    <w:p>
      <w:pPr>
        <w:pStyle w:val="1010"/>
        <w:jc w:val="center"/>
        <w:spacing w:after="0" w:line="360" w:lineRule="auto"/>
        <w:rPr>
          <w:rFonts w:hint="eastAsia" w:ascii="宋体" w:hAnsi="宋体" w:eastAsia="宋体" w:cs="宋体"/>
          <w:color w:val="auto"/>
          <w:sz w:val="52"/>
          <w:highlight w:val="none"/>
        </w:rPr>
      </w:pPr>
      <w:r>
        <w:rPr>
          <w:rFonts w:hint="eastAsia" w:ascii="宋体" w:hAnsi="宋体" w:eastAsia="宋体" w:cs="宋体"/>
          <w:color w:val="auto"/>
          <w:sz w:val="52"/>
          <w:highlight w:val="none"/>
        </w:rPr>
        <w:t xml:space="preserve">采</w:t>
      </w:r>
      <w:r/>
    </w:p>
    <w:p>
      <w:pPr>
        <w:pStyle w:val="1010"/>
        <w:jc w:val="center"/>
        <w:spacing w:after="0" w:line="360" w:lineRule="auto"/>
        <w:rPr>
          <w:rFonts w:hint="eastAsia" w:ascii="宋体" w:hAnsi="宋体" w:eastAsia="宋体" w:cs="宋体"/>
          <w:color w:val="auto"/>
          <w:sz w:val="52"/>
          <w:highlight w:val="none"/>
        </w:rPr>
      </w:pPr>
      <w:r>
        <w:rPr>
          <w:rFonts w:hint="eastAsia" w:ascii="宋体" w:hAnsi="宋体" w:eastAsia="宋体" w:cs="宋体"/>
          <w:color w:val="auto"/>
          <w:sz w:val="52"/>
          <w:highlight w:val="none"/>
        </w:rPr>
        <w:t xml:space="preserve">购</w:t>
      </w:r>
      <w:r/>
    </w:p>
    <w:p>
      <w:pPr>
        <w:pStyle w:val="1010"/>
        <w:jc w:val="center"/>
        <w:spacing w:after="0" w:line="360" w:lineRule="auto"/>
        <w:rPr>
          <w:rFonts w:hint="eastAsia" w:ascii="宋体" w:hAnsi="宋体" w:eastAsia="宋体" w:cs="宋体"/>
          <w:color w:val="auto"/>
          <w:sz w:val="52"/>
          <w:highlight w:val="none"/>
        </w:rPr>
      </w:pPr>
      <w:r>
        <w:rPr>
          <w:rFonts w:hint="eastAsia" w:ascii="宋体" w:hAnsi="宋体" w:eastAsia="宋体" w:cs="宋体"/>
          <w:color w:val="auto"/>
          <w:sz w:val="52"/>
          <w:highlight w:val="none"/>
        </w:rPr>
        <w:t xml:space="preserve">合</w:t>
      </w:r>
      <w:r/>
    </w:p>
    <w:p>
      <w:pPr>
        <w:pStyle w:val="1010"/>
        <w:jc w:val="center"/>
        <w:spacing w:after="0" w:line="360" w:lineRule="auto"/>
        <w:rPr>
          <w:rFonts w:hint="eastAsia" w:ascii="宋体" w:hAnsi="宋体" w:eastAsia="宋体" w:cs="宋体"/>
          <w:color w:val="auto"/>
          <w:sz w:val="52"/>
          <w:highlight w:val="none"/>
        </w:rPr>
      </w:pPr>
      <w:r>
        <w:rPr>
          <w:rFonts w:hint="eastAsia" w:ascii="宋体" w:hAnsi="宋体" w:eastAsia="宋体" w:cs="宋体"/>
          <w:color w:val="auto"/>
          <w:sz w:val="52"/>
          <w:highlight w:val="none"/>
        </w:rPr>
        <w:t xml:space="preserve">同</w:t>
      </w:r>
      <w:r/>
    </w:p>
    <w:p>
      <w:pPr>
        <w:pStyle w:val="1010"/>
        <w:spacing w:after="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0"/>
        <w:spacing w:after="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   购  人：</w:t>
      </w:r>
      <w:r/>
    </w:p>
    <w:p>
      <w:pPr>
        <w:pStyle w:val="1010"/>
        <w:spacing w:after="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 标 人：</w:t>
      </w:r>
      <w:r/>
    </w:p>
    <w:p>
      <w:pPr>
        <w:pStyle w:val="1010"/>
        <w:spacing w:after="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 年  月  日</w:t>
      </w:r>
      <w:r/>
    </w:p>
    <w:p>
      <w:pPr>
        <w:pStyle w:val="1010"/>
        <w:spacing w:after="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8"/>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0"/>
        <w:spacing w:after="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友情提醒：采购人与中标、成交供应商应当在中标、成交通知书发出之日起三十日内，按照采购文件确定的事项签订政府采购合同。</w:t>
      </w:r>
      <w:r/>
    </w:p>
    <w:p>
      <w:pPr>
        <w:pStyle w:val="1010"/>
        <w:spacing w:after="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480"/>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采购方（甲方）：</w:t>
      </w:r>
      <w:r/>
    </w:p>
    <w:p>
      <w:pPr>
        <w:ind w:firstLine="480"/>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承包方（乙方）：</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及国家有关法律、法规的规定，甲、乙双方在平等、自愿、等价有偿、公平、诚信的基础上，经友好协商，就甲方委托乙方进行闸站运行合同达成一致意见，特签订本合同，以资信守。</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一、项目情况</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 购 包：</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项目内容：详见招标文件及中标人投标文件 </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养护合同期：自合同签订之日起一年</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二、作业内容</w:t>
      </w:r>
      <w:r/>
    </w:p>
    <w:p>
      <w:pPr>
        <w:ind w:firstLine="480"/>
        <w:spacing w:line="400" w:lineRule="exact"/>
        <w:rPr>
          <w:rFonts w:hint="eastAsia" w:ascii="宋体" w:hAnsi="宋体" w:eastAsia="宋体" w:cs="宋体"/>
          <w:color w:val="auto"/>
          <w:highlight w:val="none"/>
        </w:rPr>
      </w:pPr>
      <w:r/>
      <w:bookmarkStart w:id="75" w:name="OLE_LINK96"/>
      <w:r>
        <w:rPr>
          <w:rFonts w:hint="eastAsia" w:ascii="宋体" w:hAnsi="宋体" w:eastAsia="宋体" w:cs="宋体"/>
          <w:color w:val="auto"/>
          <w:sz w:val="24"/>
          <w:szCs w:val="24"/>
          <w:highlight w:val="none"/>
          <w:u w:val="single"/>
        </w:rPr>
        <w:t xml:space="preserve">对全市现状1375km排水管网及附属设施</w:t>
      </w:r>
      <w:bookmarkEnd w:id="75"/>
      <w:r>
        <w:rPr>
          <w:rFonts w:hint="eastAsia" w:ascii="宋体" w:hAnsi="宋体" w:eastAsia="宋体" w:cs="宋体"/>
          <w:color w:val="auto"/>
          <w:sz w:val="24"/>
          <w:szCs w:val="24"/>
          <w:highlight w:val="none"/>
          <w:u w:val="single"/>
        </w:rPr>
        <w:t xml:space="preserve">（泵站、闸门等）的养护情况开展第三方监管辅助服务。通过对排水管网及附属设施（泵站、闸门等）养护情况的监管、监测预警等，实现对全区排水管网及附属设施的精细化管理，进一步提升排水设施运行效能。</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w:t>
      </w:r>
      <w:r>
        <w:rPr>
          <w:rFonts w:hint="eastAsia" w:ascii="宋体" w:hAnsi="宋体" w:eastAsia="宋体" w:cs="宋体"/>
          <w:b/>
          <w:color w:val="auto"/>
          <w:sz w:val="24"/>
          <w:szCs w:val="24"/>
          <w:highlight w:val="none"/>
        </w:rPr>
        <w:t xml:space="preserve">质量标准</w:t>
      </w:r>
      <w:r/>
    </w:p>
    <w:tbl>
      <w:tblPr>
        <w:tblStyle w:val="785"/>
        <w:tblW w:w="9049" w:type="dxa"/>
        <w:jc w:val="center"/>
        <w:tblLayout w:type="fixed"/>
        <w:tblCellMar>
          <w:left w:w="108" w:type="dxa"/>
          <w:top w:w="0" w:type="dxa"/>
          <w:right w:w="108" w:type="dxa"/>
          <w:bottom w:w="0" w:type="dxa"/>
        </w:tblCellMar>
        <w:tblLook w:val="04A0" w:firstRow="1" w:lastRow="0" w:firstColumn="1" w:lastColumn="0" w:noHBand="0" w:noVBand="1"/>
      </w:tblPr>
      <w:tblGrid>
        <w:gridCol w:w="846"/>
        <w:gridCol w:w="1559"/>
        <w:gridCol w:w="5954"/>
        <w:gridCol w:w="690"/>
      </w:tblGrid>
      <w:tr>
        <w:trPr>
          <w:jc w:val="center"/>
          <w:trHeight w:val="624"/>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类别</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568"/>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数据标准化</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处理服务</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制定一套底层数据结构标准并辅助发布实施</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对全市现状</w:t>
            </w:r>
            <w:r>
              <w:rPr>
                <w:rFonts w:hint="eastAsia" w:ascii="宋体" w:hAnsi="宋体" w:eastAsia="宋体" w:cs="宋体"/>
                <w:color w:val="auto"/>
                <w:sz w:val="24"/>
                <w:szCs w:val="24"/>
                <w:highlight w:val="none"/>
              </w:rPr>
              <w:t xml:space="preserve">1375</w:t>
            </w:r>
            <w:r>
              <w:rPr>
                <w:rFonts w:hint="eastAsia" w:ascii="宋体" w:hAnsi="宋体" w:eastAsia="宋体" w:cs="宋体"/>
                <w:color w:val="auto"/>
                <w:sz w:val="24"/>
                <w:szCs w:val="24"/>
                <w:highlight w:val="none"/>
                <w:lang w:val="zh-CN"/>
              </w:rPr>
              <w:t xml:space="preserve">km排水管网及附属设施的</w:t>
            </w:r>
            <w:r>
              <w:rPr>
                <w:rFonts w:hint="eastAsia" w:ascii="宋体" w:hAnsi="宋体" w:eastAsia="宋体" w:cs="宋体"/>
                <w:color w:val="auto"/>
                <w:sz w:val="24"/>
                <w:szCs w:val="24"/>
                <w:highlight w:val="none"/>
              </w:rPr>
              <w:t xml:space="preserve">数据进行</w:t>
            </w:r>
            <w:r>
              <w:rPr>
                <w:rFonts w:hint="eastAsia" w:ascii="宋体" w:hAnsi="宋体" w:eastAsia="宋体" w:cs="宋体"/>
                <w:color w:val="auto"/>
                <w:sz w:val="24"/>
                <w:szCs w:val="24"/>
                <w:highlight w:val="none"/>
                <w:lang w:val="zh-CN"/>
              </w:rPr>
              <w:t xml:space="preserve">标准化</w:t>
            </w:r>
            <w:r>
              <w:rPr>
                <w:rFonts w:hint="eastAsia" w:ascii="宋体" w:hAnsi="宋体" w:eastAsia="宋体" w:cs="宋体"/>
                <w:color w:val="auto"/>
                <w:sz w:val="24"/>
                <w:szCs w:val="24"/>
                <w:highlight w:val="none"/>
              </w:rPr>
              <w:t xml:space="preserve">管理，形成当年全市排水管网一张图。</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完成全市7个污水厂、市直管79个雨污水泵站、114孔闸门、管网液位、流量监测点等外部数据对接。</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right w:val="single" w:color="000000" w:sz="4" w:space="0"/>
            </w:tcBorders>
            <w:tcW w:w="1559"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日常运营</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监管服务</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协助完成全市排水管网最新测绘、检测及修复成果的数据标准化审核，并补充完善排水管网一张图。</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left w:val="single" w:color="000000" w:sz="4" w:space="0"/>
              <w:right w:val="single" w:color="000000" w:sz="4" w:space="0"/>
            </w:tcBorders>
            <w:tcW w:w="1559"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制定监管范围内排水管网的养护及巡查管理方案，收集巡查养护作业的全过程资料，实现对巡查养护工作的可追溯管理，形成巡查养护报表数据，并统一上报甲方上级管理部门。</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left w:val="single" w:color="000000" w:sz="4" w:space="0"/>
              <w:right w:val="single" w:color="000000" w:sz="4" w:space="0"/>
            </w:tcBorders>
            <w:tcW w:w="1559"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2"/>
                <w:highlight w:val="none"/>
              </w:rPr>
              <w:t xml:space="preserve">结合排水管网数据的整理及更新，对排水业务数据进行关联分析，协助甲方实现对市管排水户、管网、泵站、污水厂、河道及排口的一张图动态管理，提供可视化展示，为管理科学决策提供准确的数据支撑。</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left w:val="single" w:color="000000" w:sz="4" w:space="0"/>
              <w:right w:val="single" w:color="000000" w:sz="4" w:space="0"/>
            </w:tcBorders>
            <w:tcW w:w="1559"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提供现场作业人员的位置和作业内容的实时可视化展示，完成巡查养护工作数量和质量双复核监管。</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left w:val="single" w:color="000000" w:sz="4" w:space="0"/>
              <w:right w:val="single" w:color="000000" w:sz="4" w:space="0"/>
            </w:tcBorders>
            <w:tcW w:w="1559"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完成管网液位、流量监测点物联感知设备的实时数据采集，结合管网情况对监测数据进行分析，实时监测管网的运行状态，提供管网突发事件的有效预警。</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对管网、闸站养护单位及污泥运输状况进行辅助管理。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四、人员及机械设备要求</w:t>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对本合同项目实施养护管理所用的一切劳动力、材料设备和服务由乙方自行组织，由此产生的一切费用由乙方承担。</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1.人员要求：</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（1）项目经理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 ：                 身份证 ：        </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信息系统项目管理师证书编号：</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p>
    <w:p>
      <w:pPr>
        <w:pStyle w:val="786"/>
        <w:numPr>
          <w:ilvl w:val="0"/>
          <w:numId w:val="5"/>
        </w:numPr>
        <w:ind w:left="0" w:firstLine="480"/>
        <w:spacing w:after="0" w:line="4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排水管渠监管辅助服务项目负责人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人，数据维护人员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人，现场监管人员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人，要求常驻现场，提供技术支持服务和现场运营监管服务。其中1人应熟悉供排水相关业务流程和规范。</w:t>
      </w:r>
      <w:r/>
    </w:p>
    <w:p>
      <w:pPr>
        <w:numPr>
          <w:ilvl w:val="0"/>
          <w:numId w:val="4"/>
        </w:num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机械设备要求</w:t>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现场巡查车辆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台，</w:t>
      </w:r>
      <w:r>
        <w:rPr>
          <w:rFonts w:hint="eastAsia" w:ascii="宋体" w:hAnsi="宋体" w:eastAsia="宋体" w:cs="宋体"/>
          <w:color w:val="auto"/>
          <w:sz w:val="24"/>
          <w:highlight w:val="none"/>
        </w:rPr>
        <w:t xml:space="preserve">潜望镜</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台</w:t>
      </w:r>
      <w:r>
        <w:rPr>
          <w:rFonts w:hint="eastAsia" w:ascii="宋体" w:hAnsi="宋体" w:eastAsia="宋体" w:cs="宋体"/>
          <w:color w:val="auto"/>
          <w:sz w:val="24"/>
          <w:szCs w:val="24"/>
          <w:highlight w:val="none"/>
        </w:rPr>
        <w:t xml:space="preserve">，能根据甲方要求配备（租赁）相关监管辅助设备</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五、考核标准</w:t>
      </w:r>
      <w:r/>
    </w:p>
    <w:p>
      <w:pPr>
        <w:ind w:firstLine="480"/>
        <w:spacing w:line="400" w:lineRule="exact"/>
        <w:rPr>
          <w:rFonts w:hint="eastAsia" w:ascii="宋体" w:hAnsi="宋体" w:eastAsia="宋体" w:cs="宋体"/>
          <w:color w:val="auto"/>
          <w:sz w:val="24"/>
          <w:szCs w:val="24"/>
          <w:highlight w:val="none"/>
        </w:rPr>
      </w:pPr>
      <w:r/>
      <w:bookmarkStart w:id="76" w:name="OLE_LINK2"/>
      <w:r/>
      <w:bookmarkStart w:id="77" w:name="OLE_LINK1"/>
      <w:r>
        <w:rPr>
          <w:rFonts w:hint="eastAsia" w:ascii="宋体" w:hAnsi="宋体" w:eastAsia="宋体" w:cs="宋体"/>
          <w:color w:val="auto"/>
          <w:sz w:val="24"/>
          <w:szCs w:val="24"/>
          <w:highlight w:val="none"/>
        </w:rPr>
        <w:t xml:space="preserve">1、考核职责：徐州市供排水管理中心（以下简称中心），按照《市管排水管渠运行与养护管理标准及考核办法》、《徐州市市管排水管渠巡查方案》及《排水管渠巡查管理制度》相关内容（详见附件1,2）具体负责对管理范围内的排水管渠、泵站、闸门运行与养护监管辅助服务进行检查考核，建立完善考核机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2、考核对象：中标单位。</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3、考核范围：对全市现状1375km排水管网及附属设施、泵站、闸门的养护情况的监管辅助（详见附件3，4）。</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4、考核方式：</w:t>
      </w:r>
      <w:bookmarkEnd w:id="76"/>
      <w:r/>
      <w:bookmarkEnd w:id="77"/>
      <w:r>
        <w:rPr>
          <w:rFonts w:hint="eastAsia" w:ascii="宋体" w:hAnsi="宋体" w:eastAsia="宋体" w:cs="宋体"/>
          <w:color w:val="auto"/>
          <w:sz w:val="24"/>
          <w:szCs w:val="24"/>
          <w:highlight w:val="none"/>
        </w:rPr>
        <w:t xml:space="preserve">考核实行百分制，采取定期考核与日常考核相结合，由职能科室实施。每月5日前职能科室对上月工作情况进行综合打分汇总并计算出月得分。</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六、合同价（承包费）与支付</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（一）本合同总金额为人民币大写金额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元），经双方协商一致，选择以下第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种付款方式：</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1.付款方式（提交预付款保函的）</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签订合同后15日内并提交合同总价的20%银行保函后，预付合同总价的20%，</w:t>
      </w:r>
      <w:r>
        <w:rPr>
          <w:rFonts w:hint="eastAsia" w:ascii="宋体" w:hAnsi="宋体" w:eastAsia="宋体" w:cs="宋体"/>
          <w:color w:val="auto"/>
          <w:sz w:val="24"/>
          <w:szCs w:val="24"/>
          <w:highlight w:val="none"/>
          <w:u w:val="single"/>
        </w:rPr>
        <w:t xml:space="preserve">即￥          大写：人民币            </w:t>
      </w:r>
      <w:r>
        <w:rPr>
          <w:rFonts w:hint="eastAsia" w:ascii="宋体" w:hAnsi="宋体" w:eastAsia="宋体" w:cs="宋体"/>
          <w:color w:val="auto"/>
          <w:sz w:val="24"/>
          <w:szCs w:val="24"/>
          <w:highlight w:val="none"/>
        </w:rPr>
        <w:t xml:space="preserve">；每月养护管理费用为</w:t>
      </w:r>
      <w:r>
        <w:rPr>
          <w:rFonts w:hint="eastAsia" w:ascii="宋体" w:hAnsi="宋体" w:eastAsia="宋体" w:cs="宋体"/>
          <w:color w:val="auto"/>
          <w:sz w:val="24"/>
          <w:highlight w:val="none"/>
        </w:rPr>
        <w:t xml:space="preserve">合同剩余价款（即合同总价*80%）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12</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2.付款方式（不提交预付款保函的）</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签订合同后15日内甲方向乙方支付合同总价的百分之十（10%）</w:t>
      </w:r>
      <w:r>
        <w:rPr>
          <w:rFonts w:hint="eastAsia" w:ascii="宋体" w:hAnsi="宋体" w:eastAsia="宋体" w:cs="宋体"/>
          <w:color w:val="auto"/>
          <w:sz w:val="24"/>
          <w:szCs w:val="24"/>
          <w:highlight w:val="none"/>
          <w:u w:val="single"/>
        </w:rPr>
        <w:t xml:space="preserve">即￥          大写：人民币            </w:t>
      </w:r>
      <w:r>
        <w:rPr>
          <w:rFonts w:hint="eastAsia" w:ascii="宋体" w:hAnsi="宋体" w:eastAsia="宋体" w:cs="宋体"/>
          <w:color w:val="auto"/>
          <w:sz w:val="24"/>
          <w:szCs w:val="24"/>
          <w:highlight w:val="none"/>
        </w:rPr>
        <w:t xml:space="preserve">；每月养护费用为</w:t>
      </w:r>
      <w:r>
        <w:rPr>
          <w:rFonts w:hint="eastAsia" w:ascii="宋体" w:hAnsi="宋体" w:eastAsia="宋体" w:cs="宋体"/>
          <w:color w:val="auto"/>
          <w:sz w:val="24"/>
          <w:highlight w:val="none"/>
        </w:rPr>
        <w:t xml:space="preserve">合同剩余价款（即合同总价*90%）/12</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在签订合同时，如乙方明确表示无需预付款的，经单位考核后，按考核标准付款。 每月养护费用</w:t>
      </w:r>
      <w:r>
        <w:rPr>
          <w:rFonts w:hint="eastAsia" w:ascii="宋体" w:hAnsi="宋体" w:eastAsia="宋体" w:cs="宋体"/>
          <w:color w:val="auto"/>
          <w:sz w:val="24"/>
          <w:highlight w:val="none"/>
        </w:rPr>
        <w:t xml:space="preserve">=合同总价/12。</w:t>
      </w:r>
      <w:r>
        <w:rPr>
          <w:rFonts w:hint="eastAsia" w:ascii="宋体" w:hAnsi="宋体" w:eastAsia="宋体" w:cs="宋体"/>
          <w:color w:val="auto"/>
          <w:sz w:val="24"/>
          <w:szCs w:val="24"/>
          <w:highlight w:val="none"/>
        </w:rPr>
        <w:t xml:space="preserve">(注:此条符合苏财购(2020)52号文件要求)</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（二）合同价款的支付  </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按月考核,根据考核结果，</w:t>
      </w:r>
      <w:r>
        <w:rPr>
          <w:rFonts w:hint="eastAsia" w:ascii="宋体" w:hAnsi="宋体" w:eastAsia="宋体" w:cs="宋体"/>
          <w:color w:val="auto"/>
          <w:sz w:val="24"/>
          <w:highlight w:val="none"/>
        </w:rPr>
        <w:t xml:space="preserve">每两月付款。</w:t>
      </w:r>
      <w:r>
        <w:rPr>
          <w:rFonts w:hint="eastAsia" w:ascii="宋体" w:hAnsi="宋体" w:eastAsia="宋体" w:cs="宋体"/>
          <w:color w:val="auto"/>
          <w:sz w:val="24"/>
          <w:szCs w:val="24"/>
          <w:highlight w:val="none"/>
        </w:rPr>
        <w:t xml:space="preserve">甲方每月月底前对当月养护情况进行考核汇总，按照考核结果据实支付。考核成绩在95分以上（含95分）全额支付；考核成绩在95—90分（含90分）之间的，按[（100-实际得分）/100]*养护费用，扣除后支付；90—80分（含80分）之间的，按[2*（100-实际得分）/100]*养护费用扣除后支付；80分以下为不合格，直接扣除承包费。</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七、甲方的权利和义务</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（一）甲方的权利</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w:t>
      </w:r>
      <w:bookmarkStart w:id="78" w:name="OLE_LINK71"/>
      <w:r/>
      <w:bookmarkStart w:id="79" w:name="OLE_LINK70"/>
      <w:r>
        <w:rPr>
          <w:rFonts w:hint="eastAsia" w:ascii="宋体" w:hAnsi="宋体" w:eastAsia="宋体" w:cs="宋体"/>
          <w:color w:val="auto"/>
          <w:sz w:val="24"/>
          <w:szCs w:val="24"/>
          <w:highlight w:val="none"/>
        </w:rPr>
        <w:t xml:space="preserve">附件及附表</w:t>
      </w:r>
      <w:bookmarkEnd w:id="78"/>
      <w:r/>
      <w:bookmarkEnd w:id="79"/>
      <w:r>
        <w:rPr>
          <w:rFonts w:hint="eastAsia" w:ascii="宋体" w:hAnsi="宋体" w:eastAsia="宋体" w:cs="宋体"/>
          <w:color w:val="auto"/>
          <w:sz w:val="24"/>
          <w:szCs w:val="24"/>
          <w:highlight w:val="none"/>
        </w:rPr>
        <w:t xml:space="preserve">中的养护内容和考核标准开展，甲方对乙方服务项目有实施检查、考核、管理的权利。</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2.甲方有权对乙方在履约时不符合合同约定的事项提出整改要求，并向乙方发出《整改通知书》，整改相关事项以《整改通知书》为准，整改完成后，报由甲方验收。整改费用由乙方承担。</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服务期内，发生重大质量、生产安全事故，或乙方擅自停工，或乙方作业过程造成其他重大、紧急可能危急公共安全或社会公共利益行为的，由甲方指派他人临时接管乙方的承包项目。乙方必须赔偿因自己的责任所造成的经济损失。事故处理后是否恢复履行合同由甲方决定。</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4.甲方有权对乙方用工情况进行检查，有权要求乙方按要求保障作业人员的福利待遇。甲方不承担任何由于乙方与其员工之间因劳动关系纠纷而产生的任何责任。</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5.如遇重大活动或检查，甲方有权要求乙方无条件保质保量按活动或检查要求完成工作任务。</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（二）甲方的义务</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1.甲方需确保乙方承包费按时支付到位。</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2.甲方检查人员必须公平、公开、公正地进行检查考核。</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八、乙方的权利与义务</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（一）乙方的权利</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1.乙方有权对甲方人员在检查考评乙方作业质量过程中的违规行为向甲方行政主管部门举报。</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（二）乙方的义务</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1.乙方必须依照附件及附表中的考核内容和标准开展本合同规定的作业形式、作业质量标准及行业有关作业规范、按时、保质、保量履行合同。</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2.乙方应自觉接受甲方检查、考核、指导和监督。</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3.乙方及其雇用的员工应严格遵守国家的法律、法规的规定，如果乙方及其所雇用的工人违反法律、法规和相关规定，所造成的后果自行负责，与甲方无关。</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4.服务期间内，乙方所需要的作业、管理、机具停放等用房、用地由乙方自行解决。</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5.乙方有义务参加甲方通知的相关作业会议，通报作业情况，完善作业措施，提高作业水平。</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6.乙方要加强工作人员的安全教育，完善相关安全技术措施，服务期内如遇人身伤亡事故，均由乙方负责，与甲方无关。</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7、乙方运行与养护监管辅助工作，须按照辅助监管管理软件（APP）操作要求进行真实填写上传，接受甲方的监管。</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九、违约责任</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1.因乙方养护监管原因造成损失的，由乙方承担全部损失，并按合同规定的事项接受处罚。</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2.在服务期内，如乙方连续10日不进行服务的，甲方有权终止合同。</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某些需紧急处置的情况，在接到甲方通知后，乙方应无条件在规定时间内完成。乙方如处置不及时，甲方有权指派其它队伍进场，所发生的费用在乙方服务费用中扣除，对乙方累计三次未在规定时间内完成甲方交办任务的，甲方有权终止合同。</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4.上级部门考核评比等活动中一旦出现严重失分，甲方有权终止合同，并扣除当月的服务费用。</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5.乙方未经甲方书面同意擅自转包、分包，甲方有权终止合同。</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6.乙方如连续两次整改不合格或全年两次考核不合格，甲方有权终止乙方承包合同。</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7.乙方用工必须符合《劳动法》的要求，否则，由此发生的纠纷由乙方自行承担责任。</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8.因监管辅助工作不力，相关养护单位全年累计受到上级领导点名批评3次或市级及以上新闻媒体曝光3次的，甲方有权终止合同。</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合同期内，本合同项目内容发生减少及毁损的，乙方应及时补齐或修复，并自行承担所需费用。合同期限届满时，乙方应保证本合同项目内容完好无损。不完好的，由乙方负责补齐或修复。届时，未补齐或修复的，甲方可扣除相应的承包费。</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11.由于乙方自身的原因，未能保持原有企业资信等级，本合同即自动终止，乙方应赔偿甲方由此产生的经济损失。</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12.乙方在作业生产过程中产生的任何安全事故由乙方自己承担，与甲方无关。</w:t>
      </w:r>
      <w:r/>
    </w:p>
    <w:p>
      <w:pPr>
        <w:ind w:firstLine="482"/>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十、其他</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1.日常管理工作中，所有乙方工作人员，如出现人身伤亡事故，由乙方承担全部经济与法律责任，与甲方无关。</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2.合同执行过程中，如国家、省、市等有关部门对养护管理标准和要求等作出重大调整的，按调整后的标准和要求执行。</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3.如果甲方或乙方提供的内容属于保密的，应签订保密协议，甲乙双方均有保密义务。</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十一、下列文件为本合同不可分割部分：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①招标文件及其附件；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②乙方的投标文件；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③乙方在招投标过程中所作的其它承诺、声明、书面澄清等；</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④中标通知书；</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⑤合同附件。</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十二、本合同一式陆份，甲方肆份，乙方贰份。</w:t>
      </w:r>
      <w:r/>
    </w:p>
    <w:p>
      <w:pPr>
        <w:ind w:firstLine="482"/>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十三、合同生效</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合同订立时间：          年      月      日　　</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同订立地点：                          　</w:t>
      </w:r>
      <w:r/>
    </w:p>
    <w:p>
      <w:pPr>
        <w:ind w:firstLine="9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甲方：（公章）              乙方：（公章）</w:t>
      </w:r>
      <w:r/>
    </w:p>
    <w:p>
      <w:pPr>
        <w:ind w:firstLine="9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住所：                      住所：</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　　　　　　　　法定代表人：</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委托代表人：　　　　　　　  委托代表人：</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电话：                      电话：</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传真：                      传真：</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开户银行：　　　　　　　　　开户银行：</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账号：　　　　　　　　　　　账号：</w:t>
      </w:r>
      <w:r/>
    </w:p>
    <w:p>
      <w:pPr>
        <w:ind w:firstLine="9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　　　            邮政编码：　　　　</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600"/>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  市管排水管渠运行与养护管理标准及考核办法</w:t>
      </w:r>
      <w:r/>
    </w:p>
    <w:p>
      <w:pPr>
        <w:ind w:left="1560" w:hanging="9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  关于印发《徐州市市管排水管渠巡查方案》及《排水管渠巡查管理制度》的通知</w:t>
      </w:r>
      <w:r/>
    </w:p>
    <w:p>
      <w:pPr>
        <w:ind w:left="1560" w:hanging="9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  徐州市供排水中心管网设施表</w:t>
      </w:r>
      <w:r/>
    </w:p>
    <w:p>
      <w:pPr>
        <w:ind w:left="1560" w:hanging="9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  徐州市供排水中心泵站、闸门设施表</w:t>
      </w:r>
      <w:r/>
    </w:p>
    <w:p>
      <w:pPr>
        <w:ind w:left="1560" w:hanging="9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77"/>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附件1：市管排水管渠运行与养护管理标准及考核办法</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一、指导思想</w:t>
      </w:r>
      <w:r/>
    </w:p>
    <w:p>
      <w:pPr>
        <w:ind w:firstLine="480"/>
        <w:spacing w:line="4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为切实保障市管排水管渠的完好和正常运行，进一步规范市管排水管渠市场化运行与养护常态化管理，建立健全排水管渠运行与养护长效机制，全面提升排水管渠运行与养护水平，做到科学、规范、精细化管理，结合市管排水管渠实际，制定本办法。</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二、工作目标</w:t>
      </w:r>
      <w:r/>
    </w:p>
    <w:p>
      <w:pPr>
        <w:ind w:firstLine="480"/>
        <w:spacing w:line="4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根据排水管渠运行与养护内容及标准，通过推行市管排水管渠市场化运行与养护监督考核，逐步建立公开透明、开放有序的城市排水运行与养护体系，促进养护企业间的公平竞争，不断提高我市排水管渠运行与养护公共服务水平。</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三、本办法适用范围</w:t>
      </w:r>
      <w:r/>
    </w:p>
    <w:p>
      <w:pPr>
        <w:ind w:firstLine="480"/>
        <w:spacing w:line="4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徐州市市管排水管渠的运行与养护。</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四、排水管渠运行与养护内容及标准</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（一）排水管渠的运行与养护内容</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排水管渠的运行与养护内容主要包括：排水管渠的巡查；维修养护；防汛；应急抢修；污泥运输与处置；检查与评估等。</w:t>
      </w:r>
      <w:r/>
    </w:p>
    <w:p>
      <w:pPr>
        <w:ind w:firstLine="482"/>
        <w:spacing w:line="4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1.排水管渠的巡查</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（1）排水管渠沿线检查井井盖、雨水蓖缺失、破损、溢水等；井盖的标识与管道的属性是否一致等。</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（2）排水管渠、泄水孔、溢流堰、出水口发现有堵塞、溢水、破损、渗水等。</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（3）排水管渠坍塌，井身结构崩坏等；对发现损毁排水管渠及时报修处置。</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（4）排水管渠保护范围内建设施工、违章占压、违章排放、私自接管以及影响或危害排水管渠功能等。</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（5）对破坏排水管渠等违法行为及时发现并制止；配合管理部门做好其他相关排水管渠管理工作。</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（6）其它影响排水内容。</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2.维修养护</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（1）排水管渠的检查、清淤、疏通，排水管渠养护采用机械化率应≧55%。</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（2）排水检查井、雨水口清挖、清捞、洗刷，连接管疏通。</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（3）更换检查井、雨水口盖座及防坠板（网），修理检查井及雨水口。</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（4）小型管道局部维修，开挖路面及人行道恢复。</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（5）污泥、弃渣处运与处置。</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（6）清理沟渠出口污泥，维修八字墙、出口基础、护坡等。</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（7）管理单位安排的其它维修养护工作。</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3.防汛</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（1）按照管理单位要求制定防汛预案，包括：人员、物资、设备、队伍、应急措施、响应时间等。</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（2）做好汛前安全排查及降雨后复盘工作，针对发现或存在问题制定相应措施。</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（3）做好汛期安全巡查工作，加强人员值班值守、应急处置等相关管理工作。</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预报降雨前，应加密排水设施的巡查，完成设备前置，对低洼易积水路段提前打开井盖、放置安全警示标识；降雨时巡查及防汛人员应及时清理检查井、雨水口堵塞物，排除路面积水，并及时上报相关情况，待积水消退、隐患排除后方可离开；降雨后应及时加强排水设施的巡查，及时统计排水设施损毁情况，清除检查井、雨水口堵塞物，对于雨后管网淤堵、积水问题及时上报处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（5）因降雨造成道路或低洼地区积水、路面塌陷等安全隐患，应及时设置安全警示，确保安全。</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（6）加强雨前、雨中、雨后的安全巡查，及时处置安全隐患，并上报相关情况；巡查及防汛人员实行半小时内到达现场的叫应机制。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（7）做好管理单位安排的其它防汛工作。</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4.应急抢修</w:t>
      </w:r>
      <w:r/>
    </w:p>
    <w:p>
      <w:pPr>
        <w:ind w:firstLine="480"/>
        <w:spacing w:line="4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（1）排水管渠检查井井盖、雨水蓖维修补盖及更换，质量标准须满足现行相关要求。</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（2）排水管渠存在安全隐患的，及时做好安全围挡。</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（3）排水管渠应急疏通。</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（4）排水管渠坍塌、破损的修复；检查井、雨水口结构崩坏、周边破损沉降的修复，质量标准须满足现行相关要求。</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（5）管理单位安排的其它应急抢修工作。</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5.污泥运输与处置</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（1）污泥运输车辆须保持密闭状态，应按要求运输和卸倒。</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（2）及时做好污泥的运输、计量、处置等记录工作。</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6.检查与评估</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中标单位应依据行业标准《城镇排水管道检测与评估技术规程》CJ]181的有关规定检查、检测周期；采用 CCTV 检测、声呐检测、量泥斗检测、潜水检查、反光镜检查、水力坡降检查、染色检查和烟雾检查等方法对管渠检查及评估。</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（1）排水管渠清挖疏浚检测： 应用CCTV、QV、声纳等，开展管道功能性检查和结构性检查。</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（2）中标单位应在年度内对排水管渠设施发生的应急事故检查和专项检查或其他工程影响排水管渠运行等检查检测。</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（3）新增排水管渠由建设单位提供新建工程排水管渠交付检查、检测的资料；中标单位应配合管理单位组织的新增排水管渠检查、检测复查工作：应用 CCTV、QV、声纳等，开展管道功能性检查和结构性检查。</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（4）中标单位应在年度内对排水管渠设施检查、检测率≥10%以上，应提供相应的管渠检查、检测影像资料及评估报告和支持性依据。</w:t>
      </w:r>
      <w:r/>
    </w:p>
    <w:p>
      <w:pPr>
        <w:ind w:firstLine="60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（二）排水管渠的运行与养护标准</w:t>
      </w:r>
      <w:r/>
    </w:p>
    <w:p>
      <w:pPr>
        <w:ind w:firstLine="60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1.管渠、检查井、雨水口养护周期频率</w:t>
      </w:r>
      <w:r/>
    </w:p>
    <w:tbl>
      <w:tblPr>
        <w:tblStyle w:val="785"/>
        <w:tblW w:w="9569" w:type="dxa"/>
        <w:tblInd w:w="-12" w:type="dxa"/>
        <w:tblLayout w:type="fixed"/>
        <w:tblCellMar>
          <w:left w:w="108" w:type="dxa"/>
          <w:top w:w="0" w:type="dxa"/>
          <w:right w:w="108" w:type="dxa"/>
          <w:bottom w:w="0" w:type="dxa"/>
        </w:tblCellMar>
        <w:tblLook w:val="04A0" w:firstRow="1" w:lastRow="0" w:firstColumn="1" w:lastColumn="0" w:noHBand="0" w:noVBand="1"/>
      </w:tblPr>
      <w:tblGrid>
        <w:gridCol w:w="1957"/>
        <w:gridCol w:w="1174"/>
        <w:gridCol w:w="1396"/>
        <w:gridCol w:w="1396"/>
        <w:gridCol w:w="1396"/>
        <w:gridCol w:w="1079"/>
        <w:gridCol w:w="1171"/>
      </w:tblGrid>
      <w:tr>
        <w:trPr>
          <w:trHeight w:val="256"/>
        </w:trPr>
        <w:tc>
          <w:tcPr>
            <w:tcBorders>
              <w:top w:val="single" w:color="000000" w:sz="4" w:space="0"/>
              <w:left w:val="single" w:color="000000" w:sz="4" w:space="0"/>
              <w:bottom w:val="single" w:color="000000" w:sz="4" w:space="0"/>
              <w:right w:val="single" w:color="000000" w:sz="4" w:space="0"/>
            </w:tcBorders>
            <w:tcW w:w="1957" w:type="dxa"/>
            <w:vAlign w:val="center"/>
            <w:vMerge w:val="restar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管渠性质</w:t>
            </w:r>
            <w:r/>
          </w:p>
        </w:tc>
        <w:tc>
          <w:tcPr>
            <w:gridSpan w:val="6"/>
            <w:tcBorders>
              <w:top w:val="single" w:color="000000" w:sz="4" w:space="0"/>
              <w:left w:val="none" w:color="000000" w:sz="4" w:space="0"/>
              <w:bottom w:val="single" w:color="000000" w:sz="4" w:space="0"/>
              <w:right w:val="single" w:color="000000" w:sz="4" w:space="0"/>
            </w:tcBorders>
            <w:tcW w:w="761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管渠划分</w:t>
            </w:r>
            <w:r/>
          </w:p>
        </w:tc>
      </w:tr>
      <w:tr>
        <w:trPr>
          <w:trHeight w:val="256"/>
        </w:trPr>
        <w:tc>
          <w:tcPr>
            <w:tcBorders>
              <w:top w:val="single" w:color="000000" w:sz="4" w:space="0"/>
              <w:left w:val="single" w:color="000000" w:sz="4" w:space="0"/>
              <w:bottom w:val="single" w:color="000000" w:sz="4" w:space="0"/>
              <w:right w:val="single" w:color="000000" w:sz="4" w:space="0"/>
            </w:tcBorders>
            <w:tcW w:w="1957" w:type="dxa"/>
            <w:vAlign w:val="center"/>
            <w:vMerge w:val="continue"/>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小型</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中型</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大型</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特大型</w:t>
            </w:r>
            <w:r/>
          </w:p>
        </w:tc>
        <w:tc>
          <w:tcPr>
            <w:tcBorders>
              <w:top w:val="non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检查井</w:t>
            </w:r>
            <w:r/>
          </w:p>
        </w:tc>
        <w:tc>
          <w:tcPr>
            <w:tcBorders>
              <w:top w:val="none" w:color="000000" w:sz="4" w:space="0"/>
              <w:left w:val="single" w:color="000000" w:sz="4" w:space="0"/>
              <w:bottom w:val="single" w:color="000000" w:sz="4" w:space="0"/>
              <w:right w:val="single" w:color="000000" w:sz="4" w:space="0"/>
            </w:tcBorders>
            <w:tcW w:w="1168" w:type="dxa"/>
            <w:vAlign w:val="center"/>
            <w:vMerge w:val="restar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雨水口</w:t>
            </w:r>
            <w:r/>
          </w:p>
        </w:tc>
      </w:tr>
      <w:tr>
        <w:trPr>
          <w:trHeight w:val="212"/>
        </w:trPr>
        <w:tc>
          <w:tcPr>
            <w:tcBorders>
              <w:top w:val="single" w:color="000000" w:sz="4" w:space="0"/>
              <w:left w:val="single" w:color="000000" w:sz="4" w:space="0"/>
              <w:bottom w:val="single" w:color="000000" w:sz="4" w:space="0"/>
              <w:right w:val="single" w:color="000000" w:sz="4" w:space="0"/>
            </w:tcBorders>
            <w:tcW w:w="1957" w:type="dxa"/>
            <w:vAlign w:val="center"/>
            <w:vMerge w:val="continue"/>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小于600mm</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600mm-1000mm</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1000mm-1500mm</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1500mm以上</w:t>
            </w:r>
            <w:r/>
          </w:p>
        </w:tc>
        <w:tc>
          <w:tcPr>
            <w:tcBorders>
              <w:top w:val="non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1168" w:type="dxa"/>
            <w:vAlign w:val="center"/>
            <w:vMerge w:val="continue"/>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05"/>
        </w:trPr>
        <w:tc>
          <w:tcPr>
            <w:tcBorders>
              <w:top w:val="none" w:color="000000" w:sz="4" w:space="0"/>
              <w:left w:val="single" w:color="000000" w:sz="4" w:space="0"/>
              <w:bottom w:val="single" w:color="000000" w:sz="4" w:space="0"/>
              <w:right w:val="single" w:color="000000" w:sz="4" w:space="0"/>
            </w:tcBorders>
            <w:tcW w:w="1957"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雨水/合流管渠（次／年）</w:t>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0.3</w:t>
            </w:r>
            <w:r/>
          </w:p>
        </w:tc>
        <w:tc>
          <w:tcPr>
            <w:tcBorders>
              <w:top w:val="none" w:color="000000" w:sz="4" w:space="0"/>
              <w:left w:val="none" w:color="000000" w:sz="4" w:space="0"/>
              <w:bottom w:val="single" w:color="000000" w:sz="4" w:space="0"/>
              <w:right w:val="single" w:color="000000" w:sz="4" w:space="0"/>
            </w:tcBorders>
            <w:tcW w:w="10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116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trHeight w:val="548"/>
        </w:trPr>
        <w:tc>
          <w:tcPr>
            <w:tcBorders>
              <w:top w:val="none" w:color="000000" w:sz="4" w:space="0"/>
              <w:left w:val="single" w:color="000000" w:sz="4" w:space="0"/>
              <w:bottom w:val="single" w:color="000000" w:sz="4" w:space="0"/>
              <w:right w:val="single" w:color="000000" w:sz="4" w:space="0"/>
            </w:tcBorders>
            <w:tcW w:w="195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污水（次／年）</w:t>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0.3</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w:t>
            </w:r>
            <w:r/>
          </w:p>
        </w:tc>
        <w:tc>
          <w:tcPr>
            <w:tcBorders>
              <w:top w:val="none" w:color="000000" w:sz="4" w:space="0"/>
              <w:left w:val="none" w:color="000000" w:sz="4" w:space="0"/>
              <w:bottom w:val="single" w:color="000000" w:sz="4" w:space="0"/>
              <w:right w:val="single" w:color="000000" w:sz="4" w:space="0"/>
            </w:tcBorders>
            <w:tcW w:w="10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116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bl>
    <w:p>
      <w:pPr>
        <w:ind w:firstLine="60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2.管渠、检查井、雨水口养护最大淤积深度</w:t>
      </w:r>
      <w:r/>
    </w:p>
    <w:tbl>
      <w:tblPr>
        <w:tblStyle w:val="785"/>
        <w:tblW w:w="0" w:type="auto"/>
        <w:tblInd w:w="-12" w:type="dxa"/>
        <w:tblLayout w:type="fixed"/>
        <w:tblCellMar>
          <w:left w:w="108" w:type="dxa"/>
          <w:top w:w="0" w:type="dxa"/>
          <w:right w:w="108" w:type="dxa"/>
          <w:bottom w:w="0" w:type="dxa"/>
        </w:tblCellMar>
        <w:tblLook w:val="04A0" w:firstRow="1" w:lastRow="0" w:firstColumn="1" w:lastColumn="0" w:noHBand="0" w:noVBand="1"/>
      </w:tblPr>
      <w:tblGrid>
        <w:gridCol w:w="3020"/>
        <w:gridCol w:w="3020"/>
        <w:gridCol w:w="3020"/>
      </w:tblGrid>
      <w:tr>
        <w:trPr>
          <w:trHeight w:val="348"/>
        </w:trPr>
        <w:tc>
          <w:tcPr>
            <w:gridSpan w:val="2"/>
            <w:tcBorders>
              <w:top w:val="single" w:color="000000" w:sz="4" w:space="0"/>
              <w:left w:val="single" w:color="000000" w:sz="4" w:space="0"/>
              <w:bottom w:val="single" w:color="000000" w:sz="4" w:space="0"/>
              <w:right w:val="single" w:color="000000" w:sz="4" w:space="0"/>
            </w:tcBorders>
            <w:tcW w:w="604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设施类别</w:t>
            </w:r>
            <w:r/>
          </w:p>
        </w:tc>
        <w:tc>
          <w:tcPr>
            <w:tcBorders>
              <w:top w:val="single" w:color="000000" w:sz="4" w:space="0"/>
              <w:left w:val="none" w:color="000000" w:sz="4" w:space="0"/>
              <w:bottom w:val="single" w:color="000000" w:sz="4" w:space="0"/>
              <w:right w:val="single" w:color="000000" w:sz="4" w:space="0"/>
            </w:tcBorders>
            <w:tcW w:w="302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允许积泥深度</w:t>
            </w:r>
            <w:r/>
          </w:p>
        </w:tc>
      </w:tr>
      <w:tr>
        <w:trPr>
          <w:trHeight w:val="429"/>
        </w:trPr>
        <w:tc>
          <w:tcPr>
            <w:tcBorders>
              <w:top w:val="none" w:color="000000" w:sz="4" w:space="0"/>
              <w:left w:val="single" w:color="000000" w:sz="4" w:space="0"/>
              <w:bottom w:val="single" w:color="000000" w:sz="4" w:space="0"/>
              <w:right w:val="single" w:color="000000" w:sz="4" w:space="0"/>
            </w:tcBorders>
            <w:tcW w:w="3020" w:type="dxa"/>
            <w:vAlign w:val="center"/>
            <w:vMerge w:val="restar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管渠</w:t>
            </w:r>
            <w:r/>
          </w:p>
        </w:tc>
        <w:tc>
          <w:tcPr>
            <w:tcBorders>
              <w:top w:val="none" w:color="000000" w:sz="4" w:space="0"/>
              <w:left w:val="single" w:color="000000" w:sz="4" w:space="0"/>
              <w:bottom w:val="single" w:color="000000" w:sz="4" w:space="0"/>
              <w:right w:val="single" w:color="000000" w:sz="4" w:space="0"/>
            </w:tcBorders>
            <w:tcW w:w="3020" w:type="dxa"/>
            <w:vAlign w:val="center"/>
            <w:vMerge w:val="restar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4" w:space="0"/>
              <w:bottom w:val="single" w:color="000000" w:sz="4" w:space="0"/>
              <w:right w:val="single" w:color="000000" w:sz="4" w:space="0"/>
            </w:tcBorders>
            <w:tcW w:w="3020" w:type="dxa"/>
            <w:vAlign w:val="center"/>
            <w:vMerge w:val="restar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管内径或渠净高度的 1/5</w:t>
            </w:r>
            <w:r/>
          </w:p>
        </w:tc>
      </w:tr>
      <w:tr>
        <w:trPr>
          <w:trHeight w:val="396"/>
        </w:trPr>
        <w:tc>
          <w:tcPr>
            <w:tcBorders>
              <w:top w:val="none" w:color="000000" w:sz="4" w:space="0"/>
              <w:left w:val="single" w:color="000000" w:sz="4" w:space="0"/>
              <w:bottom w:val="single" w:color="000000" w:sz="4" w:space="0"/>
              <w:right w:val="single" w:color="000000" w:sz="4" w:space="0"/>
            </w:tcBorders>
            <w:tcW w:w="3020" w:type="dxa"/>
            <w:vAlign w:val="center"/>
            <w:vMerge w:val="restar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雨水口</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无沉泥槽</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管径的 1/5</w:t>
            </w:r>
            <w:r/>
          </w:p>
        </w:tc>
      </w:tr>
      <w:tr>
        <w:trPr>
          <w:trHeight w:val="427"/>
        </w:trPr>
        <w:tc>
          <w:tcPr>
            <w:tcBorders>
              <w:top w:val="none" w:color="000000" w:sz="4" w:space="0"/>
              <w:left w:val="single" w:color="000000" w:sz="4" w:space="0"/>
              <w:bottom w:val="single" w:color="000000" w:sz="4" w:space="0"/>
              <w:right w:val="single" w:color="000000" w:sz="4" w:space="0"/>
            </w:tcBorders>
            <w:tcW w:w="3020" w:type="dxa"/>
            <w:vAlign w:val="center"/>
            <w:vMerge w:val="continue"/>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有沉泥槽</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管底以下 50mm</w:t>
            </w:r>
            <w:r/>
          </w:p>
        </w:tc>
      </w:tr>
      <w:tr>
        <w:trPr>
          <w:trHeight w:val="396"/>
        </w:trPr>
        <w:tc>
          <w:tcPr>
            <w:tcBorders>
              <w:top w:val="none" w:color="000000" w:sz="4" w:space="0"/>
              <w:left w:val="single" w:color="000000" w:sz="4" w:space="0"/>
              <w:bottom w:val="single" w:color="000000" w:sz="4" w:space="0"/>
              <w:right w:val="single" w:color="000000" w:sz="4" w:space="0"/>
            </w:tcBorders>
            <w:tcW w:w="3020" w:type="dxa"/>
            <w:vAlign w:val="center"/>
            <w:vMerge w:val="continue"/>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无沉泥槽</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管底以上50mm</w:t>
            </w:r>
            <w:r/>
          </w:p>
        </w:tc>
      </w:tr>
    </w:tbl>
    <w:p>
      <w:pPr>
        <w:ind w:firstLine="60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3、管渠疏通清挖维护质量标准</w:t>
      </w:r>
      <w:r/>
    </w:p>
    <w:tbl>
      <w:tblPr>
        <w:tblStyle w:val="785"/>
        <w:tblW w:w="0" w:type="auto"/>
        <w:tblInd w:w="-12" w:type="dxa"/>
        <w:tblLayout w:type="fixed"/>
        <w:tblCellMar>
          <w:left w:w="108" w:type="dxa"/>
          <w:top w:w="0" w:type="dxa"/>
          <w:right w:w="108" w:type="dxa"/>
          <w:bottom w:w="0" w:type="dxa"/>
        </w:tblCellMar>
        <w:tblLook w:val="04A0" w:firstRow="1" w:lastRow="0" w:firstColumn="1" w:lastColumn="0" w:noHBand="0" w:noVBand="1"/>
      </w:tblPr>
      <w:tblGrid>
        <w:gridCol w:w="1660"/>
        <w:gridCol w:w="1740"/>
        <w:gridCol w:w="5684"/>
      </w:tblGrid>
      <w:tr>
        <w:trPr>
          <w:trHeight w:val="456"/>
        </w:trPr>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检查项目</w:t>
            </w:r>
            <w:r/>
          </w:p>
        </w:tc>
        <w:tc>
          <w:tcPr>
            <w:tcBorders>
              <w:top w:val="singl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检查方法</w:t>
            </w:r>
            <w:r/>
          </w:p>
        </w:tc>
        <w:tc>
          <w:tcPr>
            <w:tcBorders>
              <w:top w:val="single" w:color="000000" w:sz="4" w:space="0"/>
              <w:left w:val="none" w:color="000000" w:sz="4" w:space="0"/>
              <w:bottom w:val="single" w:color="000000" w:sz="4" w:space="0"/>
              <w:right w:val="single" w:color="000000" w:sz="4" w:space="0"/>
            </w:tcBorders>
            <w:tcW w:w="568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质量要求</w:t>
            </w:r>
            <w:r/>
          </w:p>
        </w:tc>
      </w:tr>
      <w:tr>
        <w:trPr>
          <w:trHeight w:val="1080"/>
        </w:trPr>
        <w:tc>
          <w:tcPr>
            <w:tcBorders>
              <w:top w:val="none" w:color="000000" w:sz="4" w:space="0"/>
              <w:left w:val="single" w:color="000000" w:sz="4" w:space="0"/>
              <w:bottom w:val="single" w:color="000000" w:sz="4" w:space="0"/>
              <w:right w:val="single" w:color="000000" w:sz="4" w:space="0"/>
            </w:tcBorders>
            <w:tcW w:w="1660" w:type="dxa"/>
            <w:vAlign w:val="center"/>
            <w:vMerge w:val="restar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残余污泥</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绞车检查</w:t>
            </w:r>
            <w:r/>
          </w:p>
        </w:tc>
        <w:tc>
          <w:tcPr>
            <w:tcBorders>
              <w:top w:val="none" w:color="000000" w:sz="4" w:space="0"/>
              <w:left w:val="none" w:color="000000" w:sz="4" w:space="0"/>
              <w:bottom w:val="single" w:color="000000" w:sz="4" w:space="0"/>
              <w:right w:val="single" w:color="000000" w:sz="4" w:space="0"/>
            </w:tcBorders>
            <w:tcW w:w="5684"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第一遍绞车检查，铁牛内厚泥不应超过铁牛直径的 1/2;管道长度按40m计，超过或不足40m允许积泥按比例增减。</w:t>
            </w:r>
            <w:r/>
          </w:p>
        </w:tc>
      </w:tr>
      <w:tr>
        <w:trPr>
          <w:trHeight w:val="723"/>
        </w:trPr>
        <w:tc>
          <w:tcPr>
            <w:tcBorders>
              <w:top w:val="none" w:color="000000" w:sz="4" w:space="0"/>
              <w:left w:val="single" w:color="000000" w:sz="4" w:space="0"/>
              <w:bottom w:val="single" w:color="000000" w:sz="4" w:space="0"/>
              <w:right w:val="single" w:color="000000" w:sz="4" w:space="0"/>
            </w:tcBorders>
            <w:tcW w:w="1660" w:type="dxa"/>
            <w:vAlign w:val="center"/>
            <w:vMerge w:val="continue"/>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电视检测</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声呐检测</w:t>
            </w:r>
            <w:r/>
          </w:p>
        </w:tc>
        <w:tc>
          <w:tcPr>
            <w:tcBorders>
              <w:top w:val="none" w:color="000000" w:sz="4" w:space="0"/>
              <w:left w:val="none" w:color="000000" w:sz="4" w:space="0"/>
              <w:bottom w:val="single" w:color="000000" w:sz="4" w:space="0"/>
              <w:right w:val="single" w:color="000000" w:sz="4" w:space="0"/>
            </w:tcBorders>
            <w:tcW w:w="5684"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疏通后积泥深度不应超过管径或渠净高的 1/8 ；疏通后积泥深度不应超过管径或渠净高的 1/8。</w:t>
            </w:r>
            <w:r/>
          </w:p>
        </w:tc>
      </w:tr>
      <w:tr>
        <w:trPr>
          <w:trHeight w:val="360"/>
        </w:trPr>
        <w:tc>
          <w:tcPr>
            <w:tcBorders>
              <w:top w:val="none" w:color="000000" w:sz="4" w:space="0"/>
              <w:left w:val="single" w:color="000000" w:sz="4" w:space="0"/>
              <w:bottom w:val="single" w:color="000000" w:sz="4" w:space="0"/>
              <w:right w:val="single" w:color="000000" w:sz="4" w:space="0"/>
            </w:tcBorders>
            <w:tcW w:w="1660" w:type="dxa"/>
            <w:vAlign w:val="center"/>
            <w:vMerge w:val="restar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检查井</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目视、花杆</w:t>
            </w:r>
            <w:r/>
          </w:p>
        </w:tc>
        <w:tc>
          <w:tcPr>
            <w:tcBorders>
              <w:top w:val="none" w:color="000000" w:sz="4" w:space="0"/>
              <w:left w:val="none" w:color="000000" w:sz="4" w:space="0"/>
              <w:bottom w:val="single" w:color="000000" w:sz="4" w:space="0"/>
              <w:right w:val="single" w:color="000000" w:sz="4" w:space="0"/>
            </w:tcBorders>
            <w:tcW w:w="5684"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井壁清洁元结垢；井底不应有硬块。</w:t>
            </w:r>
            <w:r/>
          </w:p>
        </w:tc>
      </w:tr>
      <w:tr>
        <w:trPr>
          <w:trHeight w:val="396"/>
        </w:trPr>
        <w:tc>
          <w:tcPr>
            <w:tcBorders>
              <w:top w:val="none" w:color="000000" w:sz="4" w:space="0"/>
              <w:left w:val="single" w:color="000000" w:sz="4" w:space="0"/>
              <w:bottom w:val="single" w:color="000000" w:sz="4" w:space="0"/>
              <w:right w:val="single" w:color="000000" w:sz="4" w:space="0"/>
            </w:tcBorders>
            <w:tcW w:w="1660" w:type="dxa"/>
            <w:vAlign w:val="center"/>
            <w:vMerge w:val="continue"/>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量泥斗检查</w:t>
            </w:r>
            <w:r/>
          </w:p>
        </w:tc>
        <w:tc>
          <w:tcPr>
            <w:tcBorders>
              <w:top w:val="none" w:color="000000" w:sz="4" w:space="0"/>
              <w:left w:val="none" w:color="000000" w:sz="4" w:space="0"/>
              <w:bottom w:val="single" w:color="000000" w:sz="4" w:space="0"/>
              <w:right w:val="single" w:color="000000" w:sz="4" w:space="0"/>
            </w:tcBorders>
            <w:tcW w:w="5684"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不得有积泥</w:t>
            </w:r>
            <w:r/>
          </w:p>
        </w:tc>
      </w:tr>
      <w:tr>
        <w:trPr>
          <w:trHeight w:val="361"/>
        </w:trPr>
        <w:tc>
          <w:tcPr>
            <w:tcBorders>
              <w:top w:val="non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工作现场</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目视检查</w:t>
            </w:r>
            <w:r/>
          </w:p>
        </w:tc>
        <w:tc>
          <w:tcPr>
            <w:tcBorders>
              <w:top w:val="none" w:color="000000" w:sz="4" w:space="0"/>
              <w:left w:val="none" w:color="000000" w:sz="4" w:space="0"/>
              <w:bottom w:val="single" w:color="000000" w:sz="4" w:space="0"/>
              <w:right w:val="single" w:color="000000" w:sz="4" w:space="0"/>
            </w:tcBorders>
            <w:tcW w:w="5684"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工作现场污泥、硬块不落地；作业面冲洗干净。</w:t>
            </w:r>
            <w:r/>
          </w:p>
        </w:tc>
      </w:tr>
    </w:tbl>
    <w:p>
      <w:pPr>
        <w:ind w:firstLine="60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4.井盖及雨水算（盖框）养护调整允许高低差</w:t>
      </w:r>
      <w:r/>
    </w:p>
    <w:tbl>
      <w:tblPr>
        <w:tblStyle w:val="785"/>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534"/>
        <w:gridCol w:w="1710"/>
        <w:gridCol w:w="2708"/>
        <w:gridCol w:w="3279"/>
      </w:tblGrid>
      <w:tr>
        <w:trPr>
          <w:trHeight w:val="432"/>
        </w:trPr>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设施种类</w:t>
            </w:r>
            <w:r/>
          </w:p>
        </w:tc>
        <w:tc>
          <w:tcPr>
            <w:tcBorders>
              <w:top w:val="single" w:color="000000" w:sz="4" w:space="0"/>
              <w:left w:val="none" w:color="000000" w:sz="4" w:space="0"/>
              <w:bottom w:val="single" w:color="000000" w:sz="4" w:space="0"/>
              <w:right w:val="single" w:color="000000" w:sz="4" w:space="0"/>
            </w:tcBorders>
            <w:tcW w:w="171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盖框间隙(mm)</w:t>
            </w:r>
            <w:r/>
          </w:p>
        </w:tc>
        <w:tc>
          <w:tcPr>
            <w:tcBorders>
              <w:top w:val="single" w:color="000000" w:sz="4" w:space="0"/>
              <w:left w:val="none" w:color="000000" w:sz="4" w:space="0"/>
              <w:bottom w:val="single" w:color="000000" w:sz="4" w:space="0"/>
              <w:right w:val="single" w:color="000000" w:sz="4" w:space="0"/>
            </w:tcBorders>
            <w:tcW w:w="270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井盖与井框高低差(mm)</w:t>
            </w:r>
            <w:r/>
          </w:p>
        </w:tc>
        <w:tc>
          <w:tcPr>
            <w:tcBorders>
              <w:top w:val="single" w:color="000000" w:sz="4" w:space="0"/>
              <w:left w:val="none" w:color="000000" w:sz="4" w:space="0"/>
              <w:bottom w:val="single" w:color="000000" w:sz="4" w:space="0"/>
              <w:right w:val="single" w:color="000000" w:sz="4" w:space="0"/>
            </w:tcBorders>
            <w:tcW w:w="32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井框与路面高低差 (mm)</w:t>
            </w:r>
            <w:r/>
          </w:p>
        </w:tc>
      </w:tr>
      <w:tr>
        <w:trPr>
          <w:trHeight w:val="432"/>
        </w:trPr>
        <w:tc>
          <w:tcPr>
            <w:tcBorders>
              <w:top w:val="non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检查井</w:t>
            </w:r>
            <w:r/>
          </w:p>
        </w:tc>
        <w:tc>
          <w:tcPr>
            <w:tcBorders>
              <w:top w:val="none" w:color="000000" w:sz="4" w:space="0"/>
              <w:left w:val="none" w:color="000000" w:sz="4" w:space="0"/>
              <w:bottom w:val="single" w:color="000000" w:sz="4" w:space="0"/>
              <w:right w:val="single" w:color="000000" w:sz="4" w:space="0"/>
            </w:tcBorders>
            <w:tcW w:w="171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&lt;8</w:t>
            </w:r>
            <w:r/>
          </w:p>
        </w:tc>
        <w:tc>
          <w:tcPr>
            <w:tcBorders>
              <w:top w:val="none" w:color="000000" w:sz="4" w:space="0"/>
              <w:left w:val="none" w:color="000000" w:sz="4" w:space="0"/>
              <w:bottom w:val="single" w:color="000000" w:sz="4" w:space="0"/>
              <w:right w:val="single" w:color="000000" w:sz="4" w:space="0"/>
            </w:tcBorders>
            <w:tcW w:w="270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≤+5</w:t>
            </w:r>
            <w:r/>
          </w:p>
        </w:tc>
        <w:tc>
          <w:tcPr>
            <w:tcBorders>
              <w:top w:val="none" w:color="000000" w:sz="4" w:space="0"/>
              <w:left w:val="none" w:color="000000" w:sz="4" w:space="0"/>
              <w:bottom w:val="single" w:color="000000" w:sz="4" w:space="0"/>
              <w:right w:val="single" w:color="000000" w:sz="4" w:space="0"/>
            </w:tcBorders>
            <w:tcW w:w="32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≤+5</w:t>
            </w:r>
            <w:r/>
          </w:p>
        </w:tc>
      </w:tr>
      <w:tr>
        <w:trPr>
          <w:trHeight w:val="432"/>
        </w:trPr>
        <w:tc>
          <w:tcPr>
            <w:tcBorders>
              <w:top w:val="non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雨水口</w:t>
            </w:r>
            <w:r/>
          </w:p>
        </w:tc>
        <w:tc>
          <w:tcPr>
            <w:tcBorders>
              <w:top w:val="none" w:color="000000" w:sz="4" w:space="0"/>
              <w:left w:val="none" w:color="000000" w:sz="4" w:space="0"/>
              <w:bottom w:val="single" w:color="000000" w:sz="4" w:space="0"/>
              <w:right w:val="single" w:color="000000" w:sz="4" w:space="0"/>
            </w:tcBorders>
            <w:tcW w:w="171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&lt;8</w:t>
            </w:r>
            <w:r/>
          </w:p>
        </w:tc>
        <w:tc>
          <w:tcPr>
            <w:tcBorders>
              <w:top w:val="none" w:color="000000" w:sz="4" w:space="0"/>
              <w:left w:val="none" w:color="000000" w:sz="4" w:space="0"/>
              <w:bottom w:val="single" w:color="000000" w:sz="4" w:space="0"/>
              <w:right w:val="single" w:color="000000" w:sz="4" w:space="0"/>
            </w:tcBorders>
            <w:tcW w:w="270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≤0</w:t>
            </w:r>
            <w:r/>
          </w:p>
        </w:tc>
        <w:tc>
          <w:tcPr>
            <w:tcBorders>
              <w:top w:val="none" w:color="000000" w:sz="4" w:space="0"/>
              <w:left w:val="none" w:color="000000" w:sz="4" w:space="0"/>
              <w:bottom w:val="single" w:color="000000" w:sz="4" w:space="0"/>
              <w:right w:val="single" w:color="000000" w:sz="4" w:space="0"/>
            </w:tcBorders>
            <w:tcW w:w="32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≤0</w:t>
            </w:r>
            <w:r/>
          </w:p>
        </w:tc>
      </w:tr>
    </w:tbl>
    <w:p>
      <w:pPr>
        <w:numPr>
          <w:ilvl w:val="0"/>
          <w:numId w:val="3"/>
        </w:num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巡查频率</w:t>
      </w:r>
      <w:r/>
    </w:p>
    <w:p>
      <w:pPr>
        <w:ind w:firstLine="480"/>
        <w:spacing w:line="400" w:lineRule="exact"/>
        <w:tabs>
          <w:tab w:val="left" w:pos="312"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实施差异化巡查，对于关键路段（主要干道）和重要区域（如学校、医院、商业中心周边等）原则上每天1次，对于一般区域，在非汛期巡查频率，原则上每周不少于1次。如遇汛期或降雨、排水管渠管理范围内地铁、开发、道路大修等施工的实行不间断巡查，特别是雨前、雨中、雨后的加密巡查，对于巡查中发现排水管渠损坏、淤堵、积水等问题及时处理或上报。</w:t>
      </w:r>
      <w:r/>
    </w:p>
    <w:p>
      <w:pPr>
        <w:numPr>
          <w:ilvl w:val="0"/>
          <w:numId w:val="3"/>
        </w:num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应急处置时效</w:t>
      </w:r>
      <w:r/>
    </w:p>
    <w:p>
      <w:pPr>
        <w:ind w:firstLine="480"/>
        <w:spacing w:line="4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当巡视人员在巡视中发现井盖和雨水篦缺失或损坏后， 应立即设置警示标志，并在6h 内修补恢复；当相关排水管理单位接报井盖和雨水篦缺失或损坏信息后，留人看管、必须在2h 内安放护栏和警示标志，并应在6h 内修补恢复；对排水管渠如检查井、收水井及井盖补盖更换等应及时保障日常维修。</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五、运行与养护安全管理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中标单位针对项目内容明确安全生产目标；建立安全生产管理组织体系；制定安全管理制度；开展安全生产宣传教育、培训和隐患排查、整改。</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1.落实排水管渠年度安全目标任务、安全生产责任制、签订安全生产责任书。</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2.应制定并执行安全生产培训计划，组织主要负责人、安全管理人员、特种作业人员和其他从业人员的安全生产培训教育和考核，查看其教育考核记录。</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3.开展排水管渠危险源辨识、安全生产隐患排查，针对发现问题及时整改，并做好记录。</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4.应检查施工现场安全生产警示设施情况，检查班前安全会议以及记录情况，现场检查施工状况，查看其操作流程是否符合规范。</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5.建立有限空间等危险作业的管控措施。</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6.应检查现场排水管渠作业人员安全培训记录，检查其人工急救、防护用具、照明、检测及通讯设备的使用方法及相关的安全知识。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7.应制定安全生产应急预案，具备应急设备、装备、物资等。</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8.每季度应不定期抽查。</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9.符合管理单位安全管理工作相关要求。</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六、辅助监管要求</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1、中标单位运行与养护等工作，须按照辅助监管管理软件（APP）操作要求进行真实填写上传，严禁故意虚报、错报。</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2、中标单位运行与养护工人的作业内容、质量及安全文明施工等进行上报，要接受辅助监管人员的监管，监管人员反馈的问题要及时修改或调整；</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3、辅助监管管理软件（APP）统计的作业内容、质量及安全文明施工等作为考核参考依据。</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4、中标单位提供本项目使用的疏通车辆等特种车辆须按要求安装GPS定位以及摄像头监控设备，要求统一接入监管平台。</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七．运行与养护监管</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徐州市供排水管理中心负责具体的监督管理工作。负责排水管渠运行与养护工作计划制定、方案编制、组织实施、市场化的招标工作；负责对排水管渠运行与养护市场化中标单位的监督、技术指导、方案审查和考核工作。</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(一)考核依据</w:t>
      </w:r>
      <w:r/>
    </w:p>
    <w:p>
      <w:pPr>
        <w:pStyle w:val="794"/>
        <w:ind w:firstLine="480"/>
        <w:jc w:val="both"/>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依据《市管排水管渠运行与养护管理标准及考核办法》及相关要求进行考核。</w:t>
      </w:r>
      <w:r/>
    </w:p>
    <w:p>
      <w:pPr>
        <w:pStyle w:val="794"/>
        <w:ind w:firstLine="482"/>
        <w:jc w:val="both"/>
        <w:spacing w:after="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(二）考核职责及分工</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1、考核职责：徐州市供排水管理中心（以下简称中心）职能科室具体负责对管理范围内的排水管渠运行与养护进行检查考核（见附表1,2），做好相关资料的统计、记录及汇总，建立完善考核机制。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2、考核对象：中标单位。</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3、考核范围：排水管渠运行与养护。</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（三）考核方式</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考核实行百分制，采取定期考核与日常考核相结合，由职能科室实施。每月5日前职能科室对上月工作情况进行综合打分汇总并计算出月得分。</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七、经费拨付</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月考核,根据考核结果，每两月付款。甲方每月月底前对当月养护情况进行考核汇总，按照考核结果据实支付。考核成绩在95分以上（含95分）全额支付；考核成绩在95—90分（含90分）之间的，按[（100-实际得分）/100]*养护费用，扣除后支付；90—80分（含80分）之间的，按[2*（100-实际得分）/100]*养护费用扣除后支付；80分以下为不合格，直接扣除承包费。</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7"/>
        <w:rPr>
          <w:rFonts w:hint="eastAsia" w:ascii="宋体" w:hAnsi="宋体" w:eastAsia="宋体" w:cs="宋体"/>
          <w:color w:val="auto"/>
          <w:sz w:val="28"/>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8"/>
          <w:highlight w:val="none"/>
        </w:rPr>
        <w:t xml:space="preserve">附表1：徐州市排水管渠管理检查考核表</w:t>
      </w:r>
      <w:r/>
    </w:p>
    <w:tbl>
      <w:tblPr>
        <w:tblStyle w:val="785"/>
        <w:tblW w:w="96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955"/>
        <w:gridCol w:w="2976"/>
        <w:gridCol w:w="4395"/>
        <w:gridCol w:w="714"/>
      </w:tblGrid>
      <w:tr>
        <w:trPr>
          <w:jc w:val="center"/>
          <w:trHeight w:val="506"/>
        </w:trPr>
        <w:tc>
          <w:tcPr>
            <w:tcW w:w="600" w:type="dxa"/>
            <w:vAlign w:val="center"/>
            <w:textDirection w:val="lrTb"/>
            <w:noWrap w:val="false"/>
          </w:tcPr>
          <w:p>
            <w:pPr>
              <w:jc w:val="center"/>
              <w:rPr>
                <w:rFonts w:hint="eastAsia" w:ascii="宋体" w:hAnsi="宋体" w:eastAsia="宋体" w:cs="宋体"/>
                <w:b/>
                <w:color w:val="auto"/>
                <w:sz w:val="24"/>
                <w:szCs w:val="24"/>
                <w:highlight w:val="none"/>
              </w:rPr>
            </w:pPr>
            <w:r/>
            <w:bookmarkStart w:id="80" w:name="OLE_LINK107"/>
            <w:r>
              <w:rPr>
                <w:rFonts w:hint="eastAsia" w:ascii="宋体" w:hAnsi="宋体" w:eastAsia="宋体" w:cs="宋体"/>
                <w:b/>
                <w:color w:val="auto"/>
                <w:sz w:val="24"/>
                <w:szCs w:val="24"/>
                <w:highlight w:val="none"/>
              </w:rPr>
              <w:t xml:space="preserve">序号</w:t>
            </w:r>
            <w:r/>
          </w:p>
        </w:tc>
        <w:tc>
          <w:tcPr>
            <w:tcW w:w="95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考核项目</w:t>
            </w:r>
            <w:r/>
          </w:p>
        </w:tc>
        <w:tc>
          <w:tcPr>
            <w:tcW w:w="2976"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考核内容</w:t>
            </w:r>
            <w:r/>
          </w:p>
        </w:tc>
        <w:tc>
          <w:tcPr>
            <w:tcW w:w="439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计扣标准</w:t>
            </w:r>
            <w:r/>
          </w:p>
        </w:tc>
        <w:tc>
          <w:tcPr>
            <w:tcW w:w="714"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得分</w:t>
            </w:r>
            <w:r/>
          </w:p>
        </w:tc>
      </w:tr>
      <w:tr>
        <w:trPr>
          <w:jc w:val="center"/>
          <w:trHeight w:val="90"/>
        </w:trPr>
        <w:tc>
          <w:tcPr>
            <w:tcW w:w="600" w:type="dxa"/>
            <w:vAlign w:val="center"/>
            <w:vMerge w:val="restart"/>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tcW w:w="955" w:type="dxa"/>
            <w:vAlign w:val="center"/>
            <w:vMerge w:val="restart"/>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组</w:t>
            </w:r>
            <w:r>
              <w:rPr>
                <w:rFonts w:hint="eastAsia" w:ascii="宋体" w:hAnsi="宋体" w:eastAsia="宋体" w:cs="宋体"/>
                <w:color w:val="auto"/>
                <w:sz w:val="24"/>
                <w:szCs w:val="24"/>
                <w:highlight w:val="none"/>
              </w:rPr>
              <w:t xml:space="preserve">织机构（5分）</w:t>
            </w:r>
            <w:r/>
          </w:p>
        </w:tc>
        <w:tc>
          <w:tcPr>
            <w:tcW w:w="297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组建管护工作机构，制定工作职责、规章制度和考核机制，落实责任，明确分工；按照业主下达年度养护计划，制定每月养护计划（含检查、检测率每年不小于</w:t>
            </w:r>
            <w:r>
              <w:rPr>
                <w:rFonts w:hint="eastAsia" w:ascii="宋体" w:hAnsi="宋体" w:eastAsia="宋体" w:cs="宋体"/>
                <w:color w:val="auto"/>
                <w:sz w:val="24"/>
                <w:szCs w:val="24"/>
                <w:highlight w:val="none"/>
              </w:rPr>
              <w:t xml:space="preserve">10%的</w:t>
            </w:r>
            <w:r>
              <w:rPr>
                <w:rFonts w:hint="eastAsia" w:ascii="宋体" w:hAnsi="宋体" w:eastAsia="宋体" w:cs="宋体"/>
                <w:color w:val="auto"/>
                <w:sz w:val="24"/>
                <w:szCs w:val="24"/>
                <w:highlight w:val="none"/>
                <w:lang w:val="zh-CN"/>
              </w:rPr>
              <w:t xml:space="preserve">分解计划）。（</w:t>
            </w:r>
            <w:r>
              <w:rPr>
                <w:rFonts w:hint="eastAsia" w:ascii="宋体" w:hAnsi="宋体" w:eastAsia="宋体" w:cs="宋体"/>
                <w:color w:val="auto"/>
                <w:sz w:val="24"/>
                <w:szCs w:val="24"/>
                <w:highlight w:val="none"/>
              </w:rPr>
              <w:t xml:space="preserve">2分</w:t>
            </w:r>
            <w:r>
              <w:rPr>
                <w:rFonts w:hint="eastAsia" w:ascii="宋体" w:hAnsi="宋体" w:eastAsia="宋体" w:cs="宋体"/>
                <w:color w:val="auto"/>
                <w:sz w:val="24"/>
                <w:szCs w:val="24"/>
                <w:highlight w:val="none"/>
                <w:lang w:val="zh-CN"/>
              </w:rPr>
              <w:t xml:space="preserve">）</w:t>
            </w:r>
            <w:r/>
          </w:p>
        </w:tc>
        <w:tc>
          <w:tcPr>
            <w:tcW w:w="4395"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未制定规章制度、管护人员考核机制的，扣0.5分；责任不落实的，扣0.5分；分工不明确的，扣0.5分；未按照要求制定每月养护计划的，扣</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分。（扣完为止）</w:t>
            </w:r>
            <w:r/>
          </w:p>
        </w:tc>
        <w:tc>
          <w:tcPr>
            <w:tcW w:w="714"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573"/>
        </w:trPr>
        <w:tc>
          <w:tcPr>
            <w:tcW w:w="600" w:type="dxa"/>
            <w:vAlign w:val="center"/>
            <w:vMerge w:val="continue"/>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955" w:type="dxa"/>
            <w:vAlign w:val="center"/>
            <w:vMerge w:val="continue"/>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97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人员配置（</w:t>
            </w:r>
            <w:r>
              <w:rPr>
                <w:rFonts w:hint="eastAsia" w:ascii="宋体" w:hAnsi="宋体" w:eastAsia="宋体" w:cs="宋体"/>
                <w:color w:val="auto"/>
                <w:sz w:val="24"/>
                <w:szCs w:val="24"/>
                <w:highlight w:val="none"/>
              </w:rPr>
              <w:t xml:space="preserve">1分</w:t>
            </w:r>
            <w:r>
              <w:rPr>
                <w:rFonts w:hint="eastAsia" w:ascii="宋体" w:hAnsi="宋体" w:eastAsia="宋体" w:cs="宋体"/>
                <w:color w:val="auto"/>
                <w:sz w:val="24"/>
                <w:szCs w:val="24"/>
                <w:highlight w:val="none"/>
                <w:lang w:val="zh-CN"/>
              </w:rPr>
              <w:t xml:space="preserve">）</w:t>
            </w:r>
            <w:r/>
          </w:p>
        </w:tc>
        <w:tc>
          <w:tcPr>
            <w:tcW w:w="4395"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未按合同规定配备人员的，扣</w:t>
            </w:r>
            <w:r>
              <w:rPr>
                <w:rFonts w:hint="eastAsia" w:ascii="宋体" w:hAnsi="宋体" w:eastAsia="宋体" w:cs="宋体"/>
                <w:color w:val="auto"/>
                <w:sz w:val="24"/>
                <w:szCs w:val="24"/>
                <w:highlight w:val="none"/>
              </w:rPr>
              <w:t xml:space="preserve">1分</w:t>
            </w:r>
            <w:r>
              <w:rPr>
                <w:rFonts w:hint="eastAsia" w:ascii="宋体" w:hAnsi="宋体" w:eastAsia="宋体" w:cs="宋体"/>
                <w:color w:val="auto"/>
                <w:sz w:val="24"/>
                <w:szCs w:val="24"/>
                <w:highlight w:val="none"/>
                <w:lang w:val="zh-CN"/>
              </w:rPr>
              <w:t xml:space="preserve">。（扣完为止）</w:t>
            </w:r>
            <w:r/>
          </w:p>
        </w:tc>
        <w:tc>
          <w:tcPr>
            <w:tcW w:w="714"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795"/>
        </w:trPr>
        <w:tc>
          <w:tcPr>
            <w:tcW w:w="600" w:type="dxa"/>
            <w:vAlign w:val="center"/>
            <w:vMerge w:val="continue"/>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955" w:type="dxa"/>
            <w:vAlign w:val="center"/>
            <w:vMerge w:val="continue"/>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97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台账资料管理（</w:t>
            </w:r>
            <w:r>
              <w:rPr>
                <w:rFonts w:hint="eastAsia" w:ascii="宋体" w:hAnsi="宋体" w:eastAsia="宋体" w:cs="宋体"/>
                <w:color w:val="auto"/>
                <w:sz w:val="24"/>
                <w:szCs w:val="24"/>
                <w:highlight w:val="none"/>
              </w:rPr>
              <w:t xml:space="preserve">2分</w:t>
            </w:r>
            <w:r>
              <w:rPr>
                <w:rFonts w:hint="eastAsia" w:ascii="宋体" w:hAnsi="宋体" w:eastAsia="宋体" w:cs="宋体"/>
                <w:color w:val="auto"/>
                <w:sz w:val="24"/>
                <w:szCs w:val="24"/>
                <w:highlight w:val="none"/>
                <w:lang w:val="zh-CN"/>
              </w:rPr>
              <w:t xml:space="preserve">）</w:t>
            </w:r>
            <w:r/>
          </w:p>
        </w:tc>
        <w:tc>
          <w:tcPr>
            <w:tcW w:w="4395"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未做好巡查、养护、防汛、抢修、安全等台账记录的，每项扣1分。（扣完为止）</w:t>
            </w:r>
            <w:r/>
          </w:p>
        </w:tc>
        <w:tc>
          <w:tcPr>
            <w:tcW w:w="714"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90"/>
        </w:trPr>
        <w:tc>
          <w:tcPr>
            <w:tcW w:w="600" w:type="dxa"/>
            <w:vAlign w:val="center"/>
            <w:vMerge w:val="restart"/>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p>
        </w:tc>
        <w:tc>
          <w:tcPr>
            <w:tcW w:w="955" w:type="dxa"/>
            <w:vAlign w:val="center"/>
            <w:vMerge w:val="restar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日常管护巡查（</w:t>
            </w:r>
            <w:r>
              <w:rPr>
                <w:rFonts w:hint="eastAsia" w:ascii="宋体" w:hAnsi="宋体" w:eastAsia="宋体" w:cs="宋体"/>
                <w:color w:val="auto"/>
                <w:sz w:val="24"/>
                <w:szCs w:val="24"/>
                <w:highlight w:val="none"/>
              </w:rPr>
              <w:t xml:space="preserve">20分）</w:t>
            </w:r>
            <w:r/>
          </w:p>
        </w:tc>
        <w:tc>
          <w:tcPr>
            <w:tcW w:w="297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按照巡查工作内容，及时掌握设施完好状况。（</w:t>
            </w:r>
            <w:r>
              <w:rPr>
                <w:rFonts w:hint="eastAsia" w:ascii="宋体" w:hAnsi="宋体" w:eastAsia="宋体" w:cs="宋体"/>
                <w:color w:val="auto"/>
                <w:sz w:val="24"/>
                <w:szCs w:val="24"/>
                <w:highlight w:val="none"/>
              </w:rPr>
              <w:t xml:space="preserve">4分</w:t>
            </w:r>
            <w:r>
              <w:rPr>
                <w:rFonts w:hint="eastAsia" w:ascii="宋体" w:hAnsi="宋体" w:eastAsia="宋体" w:cs="宋体"/>
                <w:color w:val="auto"/>
                <w:sz w:val="24"/>
                <w:szCs w:val="24"/>
                <w:highlight w:val="none"/>
                <w:lang w:val="zh-CN"/>
              </w:rPr>
              <w:t xml:space="preserve">）</w:t>
            </w:r>
            <w:r/>
          </w:p>
        </w:tc>
        <w:tc>
          <w:tcPr>
            <w:tcW w:w="4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未按巡查</w:t>
            </w:r>
            <w:r>
              <w:rPr>
                <w:rFonts w:hint="eastAsia" w:ascii="宋体" w:hAnsi="宋体" w:eastAsia="宋体" w:cs="宋体"/>
                <w:color w:val="auto"/>
                <w:sz w:val="24"/>
                <w:szCs w:val="24"/>
                <w:highlight w:val="none"/>
              </w:rPr>
              <w:t xml:space="preserve">制度</w:t>
            </w:r>
            <w:r>
              <w:rPr>
                <w:rFonts w:hint="eastAsia" w:ascii="宋体" w:hAnsi="宋体" w:eastAsia="宋体" w:cs="宋体"/>
                <w:color w:val="auto"/>
                <w:sz w:val="24"/>
                <w:szCs w:val="24"/>
                <w:highlight w:val="none"/>
                <w:lang w:val="zh-CN"/>
              </w:rPr>
              <w:t xml:space="preserve">或未及时发现设施存在问题的，一次扣</w:t>
            </w:r>
            <w:r>
              <w:rPr>
                <w:rFonts w:hint="eastAsia" w:ascii="宋体" w:hAnsi="宋体" w:eastAsia="宋体" w:cs="宋体"/>
                <w:color w:val="auto"/>
                <w:sz w:val="24"/>
                <w:szCs w:val="24"/>
                <w:highlight w:val="none"/>
              </w:rPr>
              <w:t xml:space="preserve">0.5</w:t>
            </w:r>
            <w:r>
              <w:rPr>
                <w:rFonts w:hint="eastAsia" w:ascii="宋体" w:hAnsi="宋体" w:eastAsia="宋体" w:cs="宋体"/>
                <w:color w:val="auto"/>
                <w:sz w:val="24"/>
                <w:szCs w:val="24"/>
                <w:highlight w:val="none"/>
                <w:lang w:val="zh-CN"/>
              </w:rPr>
              <w:t xml:space="preserve">分；发现问题未及时上报的，一次扣</w:t>
            </w:r>
            <w:r>
              <w:rPr>
                <w:rFonts w:hint="eastAsia" w:ascii="宋体" w:hAnsi="宋体" w:eastAsia="宋体" w:cs="宋体"/>
                <w:color w:val="auto"/>
                <w:sz w:val="24"/>
                <w:szCs w:val="24"/>
                <w:highlight w:val="none"/>
              </w:rPr>
              <w:t xml:space="preserve">0.5分。（扣完为止）</w:t>
            </w:r>
            <w:r/>
          </w:p>
        </w:tc>
        <w:tc>
          <w:tcPr>
            <w:tcW w:w="714"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779"/>
        </w:trPr>
        <w:tc>
          <w:tcPr>
            <w:tcW w:w="600" w:type="dxa"/>
            <w:vAlign w:val="center"/>
            <w:vMerge w:val="continue"/>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955" w:type="dxa"/>
            <w:vAlign w:val="center"/>
            <w:vMerge w:val="continue"/>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97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及时发现、制止、上报违反排水许可，破坏、损毁排水设施等违法行为。（</w:t>
            </w:r>
            <w:r>
              <w:rPr>
                <w:rFonts w:hint="eastAsia" w:ascii="宋体" w:hAnsi="宋体" w:eastAsia="宋体" w:cs="宋体"/>
                <w:color w:val="auto"/>
                <w:sz w:val="24"/>
                <w:szCs w:val="24"/>
                <w:highlight w:val="none"/>
              </w:rPr>
              <w:t xml:space="preserve">8分</w:t>
            </w:r>
            <w:r>
              <w:rPr>
                <w:rFonts w:hint="eastAsia" w:ascii="宋体" w:hAnsi="宋体" w:eastAsia="宋体" w:cs="宋体"/>
                <w:color w:val="auto"/>
                <w:sz w:val="24"/>
                <w:szCs w:val="24"/>
                <w:highlight w:val="none"/>
                <w:lang w:val="zh-CN"/>
              </w:rPr>
              <w:t xml:space="preserve">）</w:t>
            </w:r>
            <w:r/>
          </w:p>
        </w:tc>
        <w:tc>
          <w:tcPr>
            <w:tcW w:w="4395"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未及时发现违反排水许可，破坏、损毁排水设施等违法行为的，一次扣</w:t>
            </w:r>
            <w:r>
              <w:rPr>
                <w:rFonts w:hint="eastAsia" w:ascii="宋体" w:hAnsi="宋体" w:eastAsia="宋体" w:cs="宋体"/>
                <w:color w:val="auto"/>
                <w:sz w:val="24"/>
                <w:szCs w:val="24"/>
                <w:highlight w:val="none"/>
              </w:rPr>
              <w:t xml:space="preserve">0.5</w:t>
            </w:r>
            <w:r>
              <w:rPr>
                <w:rFonts w:hint="eastAsia" w:ascii="宋体" w:hAnsi="宋体" w:eastAsia="宋体" w:cs="宋体"/>
                <w:color w:val="auto"/>
                <w:sz w:val="24"/>
                <w:szCs w:val="24"/>
                <w:highlight w:val="none"/>
                <w:lang w:val="zh-CN"/>
              </w:rPr>
              <w:t xml:space="preserve">分；发现问题未及时制止的，一次扣</w:t>
            </w:r>
            <w:r>
              <w:rPr>
                <w:rFonts w:hint="eastAsia" w:ascii="宋体" w:hAnsi="宋体" w:eastAsia="宋体" w:cs="宋体"/>
                <w:color w:val="auto"/>
                <w:sz w:val="24"/>
                <w:szCs w:val="24"/>
                <w:highlight w:val="none"/>
              </w:rPr>
              <w:t xml:space="preserve">0.5分；</w:t>
            </w:r>
            <w:r>
              <w:rPr>
                <w:rFonts w:hint="eastAsia" w:ascii="宋体" w:hAnsi="宋体" w:eastAsia="宋体" w:cs="宋体"/>
                <w:color w:val="auto"/>
                <w:sz w:val="24"/>
                <w:szCs w:val="24"/>
                <w:highlight w:val="none"/>
                <w:lang w:val="zh-CN"/>
              </w:rPr>
              <w:t xml:space="preserve">发现问题制止未果，且未及时上报的，一次扣</w:t>
            </w:r>
            <w:r>
              <w:rPr>
                <w:rFonts w:hint="eastAsia" w:ascii="宋体" w:hAnsi="宋体" w:eastAsia="宋体" w:cs="宋体"/>
                <w:color w:val="auto"/>
                <w:sz w:val="24"/>
                <w:szCs w:val="24"/>
                <w:highlight w:val="none"/>
              </w:rPr>
              <w:t xml:space="preserve">0.5分；因上述原因造成影响的，</w:t>
            </w:r>
            <w:r>
              <w:rPr>
                <w:rFonts w:hint="eastAsia" w:ascii="宋体" w:hAnsi="宋体" w:eastAsia="宋体" w:cs="宋体"/>
                <w:color w:val="auto"/>
                <w:sz w:val="24"/>
                <w:szCs w:val="24"/>
                <w:highlight w:val="none"/>
                <w:lang w:val="zh-CN"/>
              </w:rPr>
              <w:t xml:space="preserve">一次扣</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分。（扣完为止）</w:t>
            </w:r>
            <w:r/>
          </w:p>
        </w:tc>
        <w:tc>
          <w:tcPr>
            <w:tcW w:w="714"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935"/>
        </w:trPr>
        <w:tc>
          <w:tcPr>
            <w:tcW w:w="600" w:type="dxa"/>
            <w:vAlign w:val="center"/>
            <w:vMerge w:val="continue"/>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955" w:type="dxa"/>
            <w:vAlign w:val="center"/>
            <w:vMerge w:val="continue"/>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97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对排水管渠保护范围内已办理合法手续的施工行为，密切关注施工过程（每天巡查不少于</w:t>
            </w:r>
            <w:r>
              <w:rPr>
                <w:rFonts w:hint="eastAsia" w:ascii="宋体" w:hAnsi="宋体" w:eastAsia="宋体" w:cs="宋体"/>
                <w:color w:val="auto"/>
                <w:sz w:val="24"/>
                <w:szCs w:val="24"/>
                <w:highlight w:val="none"/>
              </w:rPr>
              <w:t xml:space="preserve">2次）</w:t>
            </w:r>
            <w:r>
              <w:rPr>
                <w:rFonts w:hint="eastAsia" w:ascii="宋体" w:hAnsi="宋体" w:eastAsia="宋体" w:cs="宋体"/>
                <w:color w:val="auto"/>
                <w:sz w:val="24"/>
                <w:szCs w:val="24"/>
                <w:highlight w:val="none"/>
                <w:lang w:val="zh-CN"/>
              </w:rPr>
              <w:t xml:space="preserve">；影响排水管渠的，隐蔽工程须全程旁站监督。（</w:t>
            </w:r>
            <w:r>
              <w:rPr>
                <w:rFonts w:hint="eastAsia" w:ascii="宋体" w:hAnsi="宋体" w:eastAsia="宋体" w:cs="宋体"/>
                <w:color w:val="auto"/>
                <w:sz w:val="24"/>
                <w:szCs w:val="24"/>
                <w:highlight w:val="none"/>
              </w:rPr>
              <w:t xml:space="preserve">8分</w:t>
            </w:r>
            <w:r>
              <w:rPr>
                <w:rFonts w:hint="eastAsia" w:ascii="宋体" w:hAnsi="宋体" w:eastAsia="宋体" w:cs="宋体"/>
                <w:color w:val="auto"/>
                <w:sz w:val="24"/>
                <w:szCs w:val="24"/>
                <w:highlight w:val="none"/>
                <w:lang w:val="zh-CN"/>
              </w:rPr>
              <w:t xml:space="preserve">）</w:t>
            </w:r>
            <w:r/>
          </w:p>
        </w:tc>
        <w:tc>
          <w:tcPr>
            <w:tcW w:w="4395"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对排水管渠保护范围内已办理合法手续的施工行为，未密切关注施工过程（每天巡查不少于</w:t>
            </w:r>
            <w:r>
              <w:rPr>
                <w:rFonts w:hint="eastAsia" w:ascii="宋体" w:hAnsi="宋体" w:eastAsia="宋体" w:cs="宋体"/>
                <w:color w:val="auto"/>
                <w:sz w:val="24"/>
                <w:szCs w:val="24"/>
                <w:highlight w:val="none"/>
              </w:rPr>
              <w:t xml:space="preserve">2次）的，一次扣0.5分</w:t>
            </w:r>
            <w:r>
              <w:rPr>
                <w:rFonts w:hint="eastAsia" w:ascii="宋体" w:hAnsi="宋体" w:eastAsia="宋体" w:cs="宋体"/>
                <w:color w:val="auto"/>
                <w:sz w:val="24"/>
                <w:szCs w:val="24"/>
                <w:highlight w:val="none"/>
                <w:lang w:val="zh-CN"/>
              </w:rPr>
              <w:t xml:space="preserve">；影响排水管渠的，隐蔽工程未全程旁站监督的，一次扣</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rPr>
              <w:t xml:space="preserve">因上述原因造成影响的，</w:t>
            </w:r>
            <w:r>
              <w:rPr>
                <w:rFonts w:hint="eastAsia" w:ascii="宋体" w:hAnsi="宋体" w:eastAsia="宋体" w:cs="宋体"/>
                <w:color w:val="auto"/>
                <w:sz w:val="24"/>
                <w:szCs w:val="24"/>
                <w:highlight w:val="none"/>
                <w:lang w:val="zh-CN"/>
              </w:rPr>
              <w:t xml:space="preserve">一次扣</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分。（扣完为止）</w:t>
            </w:r>
            <w:r/>
          </w:p>
        </w:tc>
        <w:tc>
          <w:tcPr>
            <w:tcW w:w="714"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1396"/>
        </w:trPr>
        <w:tc>
          <w:tcPr>
            <w:tcW w:w="60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p>
        </w:tc>
        <w:tc>
          <w:tcPr>
            <w:tcW w:w="9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维修养护（</w:t>
            </w:r>
            <w:r>
              <w:rPr>
                <w:rFonts w:hint="eastAsia" w:ascii="宋体" w:hAnsi="宋体" w:eastAsia="宋体" w:cs="宋体"/>
                <w:color w:val="auto"/>
                <w:sz w:val="24"/>
                <w:szCs w:val="24"/>
                <w:highlight w:val="none"/>
              </w:rPr>
              <w:t xml:space="preserve">20分）</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p>
        </w:tc>
        <w:tc>
          <w:tcPr>
            <w:tcW w:w="297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按月度计划实施维修养护内容，保障管渠畅通正常运行；在发现外溢、管道堵塞、井盖失窃破损等情况后，及时进行处置。（</w:t>
            </w:r>
            <w:r>
              <w:rPr>
                <w:rFonts w:hint="eastAsia" w:ascii="宋体" w:hAnsi="宋体" w:eastAsia="宋体" w:cs="宋体"/>
                <w:color w:val="auto"/>
                <w:sz w:val="24"/>
                <w:szCs w:val="24"/>
                <w:highlight w:val="none"/>
              </w:rPr>
              <w:t xml:space="preserve">20分</w:t>
            </w:r>
            <w:r>
              <w:rPr>
                <w:rFonts w:hint="eastAsia" w:ascii="宋体" w:hAnsi="宋体" w:eastAsia="宋体" w:cs="宋体"/>
                <w:color w:val="auto"/>
                <w:sz w:val="24"/>
                <w:szCs w:val="24"/>
                <w:highlight w:val="none"/>
                <w:lang w:val="zh-CN"/>
              </w:rPr>
              <w:t xml:space="preserve">）</w:t>
            </w:r>
            <w:r/>
          </w:p>
        </w:tc>
        <w:tc>
          <w:tcPr>
            <w:tcW w:w="4395"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未按月度计划实施养护的，扣</w:t>
            </w:r>
            <w:r>
              <w:rPr>
                <w:rFonts w:hint="eastAsia" w:ascii="宋体" w:hAnsi="宋体" w:eastAsia="宋体" w:cs="宋体"/>
                <w:color w:val="auto"/>
                <w:sz w:val="24"/>
                <w:szCs w:val="24"/>
                <w:highlight w:val="none"/>
              </w:rPr>
              <w:t xml:space="preserve">0.5</w:t>
            </w:r>
            <w:r>
              <w:rPr>
                <w:rFonts w:hint="eastAsia" w:ascii="宋体" w:hAnsi="宋体" w:eastAsia="宋体" w:cs="宋体"/>
                <w:color w:val="auto"/>
                <w:sz w:val="24"/>
                <w:szCs w:val="24"/>
                <w:highlight w:val="none"/>
                <w:lang w:val="zh-CN"/>
              </w:rPr>
              <w:t xml:space="preserve">分；养护质量不符合规范要求的，每处扣</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zh-CN"/>
              </w:rPr>
              <w:t xml:space="preserve">5分；发现管网堵塞、污水外溢、井盖缺失、防坠板（网）缺失等未及时处置的，一次扣</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zh-CN"/>
              </w:rPr>
              <w:t xml:space="preserve">5分；未按井盖管理部门要求处置的，每次扣</w:t>
            </w:r>
            <w:r>
              <w:rPr>
                <w:rFonts w:hint="eastAsia" w:ascii="宋体" w:hAnsi="宋体" w:eastAsia="宋体" w:cs="宋体"/>
                <w:color w:val="auto"/>
                <w:sz w:val="24"/>
                <w:szCs w:val="24"/>
                <w:highlight w:val="none"/>
              </w:rPr>
              <w:t xml:space="preserve">1分；</w:t>
            </w:r>
            <w:r>
              <w:rPr>
                <w:rFonts w:hint="eastAsia" w:ascii="宋体" w:hAnsi="宋体" w:eastAsia="宋体" w:cs="宋体"/>
                <w:color w:val="auto"/>
                <w:sz w:val="24"/>
                <w:szCs w:val="24"/>
                <w:highlight w:val="none"/>
                <w:lang w:val="zh-CN"/>
              </w:rPr>
              <w:t xml:space="preserve">受到上级领导及监管平台通报的，每次扣</w:t>
            </w:r>
            <w:r>
              <w:rPr>
                <w:rFonts w:hint="eastAsia" w:ascii="宋体" w:hAnsi="宋体" w:eastAsia="宋体" w:cs="宋体"/>
                <w:color w:val="auto"/>
                <w:sz w:val="24"/>
                <w:szCs w:val="24"/>
                <w:highlight w:val="none"/>
              </w:rPr>
              <w:t xml:space="preserve">0.5</w:t>
            </w:r>
            <w:r>
              <w:rPr>
                <w:rFonts w:hint="eastAsia" w:ascii="宋体" w:hAnsi="宋体" w:eastAsia="宋体" w:cs="宋体"/>
                <w:color w:val="auto"/>
                <w:sz w:val="24"/>
                <w:szCs w:val="24"/>
                <w:highlight w:val="none"/>
                <w:lang w:val="zh-CN"/>
              </w:rPr>
              <w:t xml:space="preserve">分；小型维修未按要求及时处置的，每次扣</w:t>
            </w:r>
            <w:r>
              <w:rPr>
                <w:rFonts w:hint="eastAsia" w:ascii="宋体" w:hAnsi="宋体" w:eastAsia="宋体" w:cs="宋体"/>
                <w:color w:val="auto"/>
                <w:sz w:val="24"/>
                <w:szCs w:val="24"/>
                <w:highlight w:val="none"/>
              </w:rPr>
              <w:t xml:space="preserve">0.5分；雨水排口未及时</w:t>
            </w:r>
            <w:r>
              <w:rPr>
                <w:rFonts w:hint="eastAsia" w:ascii="宋体" w:hAnsi="宋体" w:eastAsia="宋体" w:cs="宋体"/>
                <w:color w:val="auto"/>
                <w:sz w:val="24"/>
                <w:szCs w:val="24"/>
                <w:highlight w:val="none"/>
                <w:lang w:val="zh-CN"/>
              </w:rPr>
              <w:t xml:space="preserve">清理，造成排水不畅的，每处扣</w:t>
            </w:r>
            <w:r>
              <w:rPr>
                <w:rFonts w:hint="eastAsia" w:ascii="宋体" w:hAnsi="宋体" w:eastAsia="宋体" w:cs="宋体"/>
                <w:color w:val="auto"/>
                <w:sz w:val="24"/>
                <w:szCs w:val="24"/>
                <w:highlight w:val="none"/>
              </w:rPr>
              <w:t xml:space="preserve">0.5分；未完成管理单位安排的其它维修养护工作的，每次扣0.5分。（扣完为止）</w:t>
            </w:r>
            <w:r/>
          </w:p>
        </w:tc>
        <w:tc>
          <w:tcPr>
            <w:tcW w:w="714"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1063"/>
        </w:trPr>
        <w:tc>
          <w:tcPr>
            <w:tcW w:w="60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p>
        </w:tc>
        <w:tc>
          <w:tcPr>
            <w:tcW w:w="955"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防汛（15分）</w:t>
            </w:r>
            <w:r/>
          </w:p>
        </w:tc>
        <w:tc>
          <w:tcPr>
            <w:tcW w:w="2976"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防汛预案的制定与落实；</w:t>
            </w:r>
            <w:r>
              <w:rPr>
                <w:rFonts w:hint="eastAsia" w:ascii="宋体" w:hAnsi="宋体" w:eastAsia="宋体" w:cs="宋体"/>
                <w:color w:val="auto"/>
                <w:sz w:val="24"/>
                <w:szCs w:val="24"/>
                <w:highlight w:val="none"/>
                <w:lang w:val="zh-CN"/>
              </w:rPr>
              <w:t xml:space="preserve">汛前安全排查情况（</w:t>
            </w:r>
            <w:r>
              <w:rPr>
                <w:rFonts w:hint="eastAsia" w:ascii="宋体" w:hAnsi="宋体" w:eastAsia="宋体" w:cs="宋体"/>
                <w:color w:val="auto"/>
                <w:sz w:val="24"/>
                <w:szCs w:val="24"/>
                <w:highlight w:val="none"/>
              </w:rPr>
              <w:t xml:space="preserve">5月底前</w:t>
            </w:r>
            <w:r>
              <w:rPr>
                <w:rFonts w:hint="eastAsia" w:ascii="宋体" w:hAnsi="宋体" w:eastAsia="宋体" w:cs="宋体"/>
                <w:color w:val="auto"/>
                <w:sz w:val="24"/>
                <w:szCs w:val="24"/>
                <w:highlight w:val="none"/>
                <w:lang w:val="zh-CN"/>
              </w:rPr>
              <w:t xml:space="preserve">）；降雨后复盘情况；人员值班值守情况。（</w:t>
            </w:r>
            <w:r>
              <w:rPr>
                <w:rFonts w:hint="eastAsia" w:ascii="宋体" w:hAnsi="宋体" w:eastAsia="宋体" w:cs="宋体"/>
                <w:color w:val="auto"/>
                <w:sz w:val="24"/>
                <w:szCs w:val="24"/>
                <w:highlight w:val="none"/>
              </w:rPr>
              <w:t xml:space="preserve">15分</w:t>
            </w:r>
            <w:r>
              <w:rPr>
                <w:rFonts w:hint="eastAsia" w:ascii="宋体" w:hAnsi="宋体" w:eastAsia="宋体" w:cs="宋体"/>
                <w:color w:val="auto"/>
                <w:sz w:val="24"/>
                <w:szCs w:val="24"/>
                <w:highlight w:val="none"/>
                <w:lang w:val="zh-CN"/>
              </w:rPr>
              <w:t xml:space="preserve">）</w:t>
            </w:r>
            <w:r/>
          </w:p>
        </w:tc>
        <w:tc>
          <w:tcPr>
            <w:tcW w:w="4395" w:type="dxa"/>
            <w:vAlign w:val="center"/>
            <w:textDirection w:val="lrTb"/>
            <w:noWrap w:val="false"/>
          </w:tcPr>
          <w:p>
            <w:pPr>
              <w:pStyle w:val="786"/>
              <w:ind w:left="0" w:firstLine="0"/>
              <w:spacing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照管理单位要求制定防汛预案的，扣1分；防汛预案未经管理单位审批的，扣0.5分；未按规定时间完成汛前安全排查的，扣0.5分；降雨后未复盘的，每次扣0.5分；未按要求安排人员值班值守的，每人扣0.5分；降雨前未按要求完成设备前置的，每处扣0.5分；降雨时人员未按规定时间内到达现场或积水消退、隐患排除前离开的，每次扣0.5分；人员到达现场未及时清理检查井、雨水口堵塞物，造成积水无法及时外排的，每处扣0.5分；降雨期间未及时处置安全隐患，造成影响的，每处扣0.5分；</w:t>
            </w:r>
            <w:r>
              <w:rPr>
                <w:rFonts w:hint="eastAsia" w:ascii="宋体" w:hAnsi="宋体" w:eastAsia="宋体" w:cs="宋体"/>
                <w:color w:val="auto"/>
                <w:sz w:val="24"/>
                <w:szCs w:val="24"/>
                <w:highlight w:val="none"/>
              </w:rPr>
              <w:t xml:space="preserve">降雨后未及时清除检查井、雨水口堵塞物或管网淤堵、积水问题未及时处理上报或损毁设施未及时处置上报的</w:t>
            </w:r>
            <w:r>
              <w:rPr>
                <w:rFonts w:hint="eastAsia" w:ascii="宋体" w:hAnsi="宋体" w:eastAsia="宋体" w:cs="宋体"/>
                <w:color w:val="auto"/>
                <w:sz w:val="24"/>
                <w:szCs w:val="24"/>
                <w:highlight w:val="none"/>
              </w:rPr>
              <w:t xml:space="preserve">，每处扣0.5分；未按管理单位安排落实防汛工作的，扣1分。（扣完为止）</w:t>
            </w:r>
            <w:r/>
          </w:p>
        </w:tc>
        <w:tc>
          <w:tcPr>
            <w:tcW w:w="714"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1418"/>
        </w:trPr>
        <w:tc>
          <w:tcPr>
            <w:tcW w:w="60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r/>
          </w:p>
        </w:tc>
        <w:tc>
          <w:tcPr>
            <w:tcW w:w="9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应急抢修（</w:t>
            </w:r>
            <w:r>
              <w:rPr>
                <w:rFonts w:hint="eastAsia" w:ascii="宋体" w:hAnsi="宋体" w:eastAsia="宋体" w:cs="宋体"/>
                <w:color w:val="auto"/>
                <w:sz w:val="24"/>
                <w:szCs w:val="24"/>
                <w:highlight w:val="none"/>
              </w:rPr>
              <w:t xml:space="preserve">10分）</w:t>
            </w:r>
            <w:r/>
          </w:p>
        </w:tc>
        <w:tc>
          <w:tcPr>
            <w:tcW w:w="2976"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制定完善的快速处置突发事件的预案和应急机制；</w:t>
            </w:r>
            <w:r>
              <w:rPr>
                <w:rFonts w:hint="eastAsia" w:ascii="宋体" w:hAnsi="宋体" w:eastAsia="宋体" w:cs="宋体"/>
                <w:color w:val="auto"/>
                <w:sz w:val="24"/>
                <w:szCs w:val="24"/>
                <w:highlight w:val="none"/>
              </w:rPr>
              <w:t xml:space="preserve">排水管渠检查井井盖、雨水蓖维修补盖及更换；排水管渠应急疏通；排水管渠坍塌、破损的修复；检查井、雨水口结构崩坏、周边破损沉降的修复；管理单位安排的其它应急抢修工作的落实。</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10分</w:t>
            </w:r>
            <w:r>
              <w:rPr>
                <w:rFonts w:hint="eastAsia" w:ascii="宋体" w:hAnsi="宋体" w:eastAsia="宋体" w:cs="宋体"/>
                <w:color w:val="auto"/>
                <w:sz w:val="24"/>
                <w:szCs w:val="24"/>
                <w:highlight w:val="none"/>
                <w:lang w:val="zh-CN"/>
              </w:rPr>
              <w:t xml:space="preserve">）</w:t>
            </w:r>
            <w:r/>
          </w:p>
        </w:tc>
        <w:tc>
          <w:tcPr>
            <w:tcW w:w="4395"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未制定完善的快速处置突发事件的预案和应急机制的，扣</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分；突发事件未按应急预案要求处置的，每次扣</w:t>
            </w:r>
            <w:r>
              <w:rPr>
                <w:rFonts w:hint="eastAsia" w:ascii="宋体" w:hAnsi="宋体" w:eastAsia="宋体" w:cs="宋体"/>
                <w:color w:val="auto"/>
                <w:sz w:val="24"/>
                <w:szCs w:val="24"/>
                <w:highlight w:val="none"/>
              </w:rPr>
              <w:t xml:space="preserve">0.5</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rPr>
              <w:t xml:space="preserve">排水管渠检查井井盖、雨水蓖未及时维修补盖及更换、质量标准未满足现行相关要求的，每处扣0.5分；排水管渠存在安全隐患未及时做好应急处置、处置质量标准不满足现行相关要求的，每处扣0.5分，造成影响的，每处扣1分；未及时处置管理单位安排的应急抢修工作，每次扣1分。（扣完为止）</w:t>
            </w:r>
            <w:r/>
          </w:p>
        </w:tc>
        <w:tc>
          <w:tcPr>
            <w:tcW w:w="714"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1400"/>
        </w:trPr>
        <w:tc>
          <w:tcPr>
            <w:tcW w:w="60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w:t>
            </w:r>
            <w:r/>
          </w:p>
        </w:tc>
        <w:tc>
          <w:tcPr>
            <w:tcW w:w="9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检查与评估（</w:t>
            </w:r>
            <w:r>
              <w:rPr>
                <w:rFonts w:hint="eastAsia" w:ascii="宋体" w:hAnsi="宋体" w:eastAsia="宋体" w:cs="宋体"/>
                <w:color w:val="auto"/>
                <w:sz w:val="24"/>
                <w:szCs w:val="24"/>
                <w:highlight w:val="none"/>
              </w:rPr>
              <w:t xml:space="preserve">10分）</w:t>
            </w:r>
            <w:r/>
          </w:p>
        </w:tc>
        <w:tc>
          <w:tcPr>
            <w:tcW w:w="2976"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排水管渠检查、检测与评估；</w:t>
            </w:r>
            <w:r>
              <w:rPr>
                <w:rFonts w:hint="eastAsia" w:ascii="宋体" w:hAnsi="宋体" w:eastAsia="宋体" w:cs="宋体"/>
                <w:color w:val="auto"/>
                <w:sz w:val="24"/>
                <w:szCs w:val="24"/>
                <w:highlight w:val="none"/>
                <w:lang w:val="zh-CN"/>
              </w:rPr>
              <w:t xml:space="preserve">每月提供月度检测计划</w:t>
            </w:r>
            <w:r>
              <w:rPr>
                <w:rFonts w:hint="eastAsia" w:ascii="宋体" w:hAnsi="宋体" w:eastAsia="宋体" w:cs="宋体"/>
                <w:color w:val="auto"/>
                <w:sz w:val="24"/>
                <w:szCs w:val="24"/>
                <w:highlight w:val="none"/>
                <w:lang w:val="zh-CN"/>
              </w:rPr>
              <w:t xml:space="preserve">，并提供相应的管渠检查、检测影像资料及评估报告和支持性依据；年度内对排水管渠设施检查、检测率≥</w:t>
            </w: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zh-CN"/>
              </w:rPr>
              <w:t xml:space="preserve">%以上。（</w:t>
            </w:r>
            <w:r>
              <w:rPr>
                <w:rFonts w:hint="eastAsia" w:ascii="宋体" w:hAnsi="宋体" w:eastAsia="宋体" w:cs="宋体"/>
                <w:color w:val="auto"/>
                <w:sz w:val="24"/>
                <w:szCs w:val="24"/>
                <w:highlight w:val="none"/>
              </w:rPr>
              <w:t xml:space="preserve">10分</w:t>
            </w:r>
            <w:r>
              <w:rPr>
                <w:rFonts w:hint="eastAsia" w:ascii="宋体" w:hAnsi="宋体" w:eastAsia="宋体" w:cs="宋体"/>
                <w:color w:val="auto"/>
                <w:sz w:val="24"/>
                <w:szCs w:val="24"/>
                <w:highlight w:val="none"/>
                <w:lang w:val="zh-CN"/>
              </w:rPr>
              <w:t xml:space="preserve">）</w:t>
            </w:r>
            <w:r/>
          </w:p>
        </w:tc>
        <w:tc>
          <w:tcPr>
            <w:tcW w:w="4395"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对排水管渠设施检查、检测率未达到月度计划的，每月扣</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分；合同期期末未完成排水管渠设施年度检查、检测率的，一次扣</w:t>
            </w:r>
            <w:r>
              <w:rPr>
                <w:rFonts w:hint="eastAsia" w:ascii="宋体" w:hAnsi="宋体" w:eastAsia="宋体" w:cs="宋体"/>
                <w:color w:val="auto"/>
                <w:sz w:val="24"/>
                <w:szCs w:val="24"/>
                <w:highlight w:val="none"/>
              </w:rPr>
              <w:t xml:space="preserve">10分</w:t>
            </w:r>
            <w:r>
              <w:rPr>
                <w:rFonts w:hint="eastAsia" w:ascii="宋体" w:hAnsi="宋体" w:eastAsia="宋体" w:cs="宋体"/>
                <w:color w:val="auto"/>
                <w:sz w:val="24"/>
                <w:szCs w:val="24"/>
                <w:highlight w:val="none"/>
                <w:lang w:val="zh-CN"/>
              </w:rPr>
              <w:t xml:space="preserve">。</w:t>
            </w:r>
            <w:r/>
          </w:p>
        </w:tc>
        <w:tc>
          <w:tcPr>
            <w:tcW w:w="714"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1400"/>
        </w:trPr>
        <w:tc>
          <w:tcPr>
            <w:tcW w:w="60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w:t>
            </w:r>
            <w:r/>
          </w:p>
        </w:tc>
        <w:tc>
          <w:tcPr>
            <w:tcW w:w="955"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辅助监管响应（</w:t>
            </w:r>
            <w:r>
              <w:rPr>
                <w:rFonts w:hint="eastAsia" w:ascii="宋体" w:hAnsi="宋体" w:eastAsia="宋体" w:cs="宋体"/>
                <w:color w:val="auto"/>
                <w:sz w:val="24"/>
                <w:szCs w:val="24"/>
                <w:highlight w:val="none"/>
              </w:rPr>
              <w:t xml:space="preserve">10分</w:t>
            </w:r>
            <w:r>
              <w:rPr>
                <w:rFonts w:hint="eastAsia" w:ascii="宋体" w:hAnsi="宋体" w:eastAsia="宋体" w:cs="宋体"/>
                <w:color w:val="auto"/>
                <w:sz w:val="24"/>
                <w:szCs w:val="24"/>
                <w:highlight w:val="none"/>
                <w:lang w:val="zh-CN"/>
              </w:rPr>
              <w:t xml:space="preserve">）</w:t>
            </w:r>
            <w:r/>
          </w:p>
        </w:tc>
        <w:tc>
          <w:tcPr>
            <w:tcW w:w="2976"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辅助监管工作落实情况</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10分</w:t>
            </w:r>
            <w:r>
              <w:rPr>
                <w:rFonts w:hint="eastAsia" w:ascii="宋体" w:hAnsi="宋体" w:eastAsia="宋体" w:cs="宋体"/>
                <w:color w:val="auto"/>
                <w:sz w:val="24"/>
                <w:szCs w:val="24"/>
                <w:highlight w:val="none"/>
                <w:lang w:val="zh-CN"/>
              </w:rPr>
              <w:t xml:space="preserve">）</w:t>
            </w:r>
            <w:r/>
          </w:p>
        </w:tc>
        <w:tc>
          <w:tcPr>
            <w:tcW w:w="4395"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未按要求下载</w:t>
            </w:r>
            <w:r>
              <w:rPr>
                <w:rFonts w:hint="eastAsia" w:ascii="宋体" w:hAnsi="宋体" w:eastAsia="宋体" w:cs="宋体"/>
                <w:color w:val="auto"/>
                <w:sz w:val="24"/>
                <w:szCs w:val="24"/>
                <w:highlight w:val="none"/>
              </w:rPr>
              <w:t xml:space="preserve">辅助监管</w:t>
            </w:r>
            <w:r>
              <w:rPr>
                <w:rFonts w:hint="eastAsia" w:ascii="宋体" w:hAnsi="宋体" w:eastAsia="宋体" w:cs="宋体"/>
                <w:color w:val="auto"/>
                <w:sz w:val="24"/>
                <w:szCs w:val="24"/>
                <w:highlight w:val="none"/>
                <w:lang w:val="zh-CN"/>
              </w:rPr>
              <w:t xml:space="preserve">管理软件（APP）的，一人扣</w:t>
            </w:r>
            <w:r>
              <w:rPr>
                <w:rFonts w:hint="eastAsia" w:ascii="宋体" w:hAnsi="宋体" w:eastAsia="宋体" w:cs="宋体"/>
                <w:color w:val="auto"/>
                <w:sz w:val="24"/>
                <w:szCs w:val="24"/>
                <w:highlight w:val="none"/>
              </w:rPr>
              <w:t xml:space="preserve">0.5分；未按要求</w:t>
            </w:r>
            <w:r>
              <w:rPr>
                <w:rFonts w:hint="eastAsia" w:ascii="宋体" w:hAnsi="宋体" w:eastAsia="宋体" w:cs="宋体"/>
                <w:color w:val="auto"/>
                <w:sz w:val="24"/>
                <w:szCs w:val="24"/>
                <w:highlight w:val="none"/>
                <w:lang w:val="zh-CN"/>
              </w:rPr>
              <w:t xml:space="preserve">进行信息上传的，一次扣</w:t>
            </w:r>
            <w:r>
              <w:rPr>
                <w:rFonts w:hint="eastAsia" w:ascii="宋体" w:hAnsi="宋体" w:eastAsia="宋体" w:cs="宋体"/>
                <w:color w:val="auto"/>
                <w:sz w:val="24"/>
                <w:szCs w:val="24"/>
                <w:highlight w:val="none"/>
              </w:rPr>
              <w:t xml:space="preserve">0.5分；故意虚报、错报信息的，一次扣2分；</w:t>
            </w:r>
            <w:r>
              <w:rPr>
                <w:rFonts w:hint="eastAsia" w:ascii="宋体" w:hAnsi="宋体" w:eastAsia="宋体" w:cs="宋体"/>
                <w:color w:val="auto"/>
                <w:sz w:val="24"/>
                <w:szCs w:val="24"/>
                <w:highlight w:val="none"/>
                <w:lang w:val="zh-CN"/>
              </w:rPr>
              <w:t xml:space="preserve">未按监管人员反馈的问题及时整改或调整的，一次扣</w:t>
            </w:r>
            <w:r>
              <w:rPr>
                <w:rFonts w:hint="eastAsia" w:ascii="宋体" w:hAnsi="宋体" w:eastAsia="宋体" w:cs="宋体"/>
                <w:color w:val="auto"/>
                <w:sz w:val="24"/>
                <w:szCs w:val="24"/>
                <w:highlight w:val="none"/>
              </w:rPr>
              <w:t xml:space="preserve">1分。（扣完为止）</w:t>
            </w:r>
            <w:r/>
          </w:p>
        </w:tc>
        <w:tc>
          <w:tcPr>
            <w:tcW w:w="714"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1400"/>
        </w:trPr>
        <w:tc>
          <w:tcPr>
            <w:tcW w:w="60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w:t>
            </w:r>
            <w:r/>
          </w:p>
        </w:tc>
        <w:tc>
          <w:tcPr>
            <w:tcW w:w="955"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安全生产管理（</w:t>
            </w:r>
            <w:r>
              <w:rPr>
                <w:rFonts w:hint="eastAsia" w:ascii="宋体" w:hAnsi="宋体" w:eastAsia="宋体" w:cs="宋体"/>
                <w:color w:val="auto"/>
                <w:sz w:val="24"/>
                <w:szCs w:val="24"/>
                <w:highlight w:val="none"/>
              </w:rPr>
              <w:t xml:space="preserve">8分</w:t>
            </w:r>
            <w:r>
              <w:rPr>
                <w:rFonts w:hint="eastAsia" w:ascii="宋体" w:hAnsi="宋体" w:eastAsia="宋体" w:cs="宋体"/>
                <w:color w:val="auto"/>
                <w:sz w:val="24"/>
                <w:szCs w:val="24"/>
                <w:highlight w:val="none"/>
                <w:lang w:val="zh-CN"/>
              </w:rPr>
              <w:t xml:space="preserve">）</w:t>
            </w:r>
            <w:r/>
          </w:p>
        </w:tc>
        <w:tc>
          <w:tcPr>
            <w:tcW w:w="2976"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针对项目内容明确安全生产目标；建立安全生产管理组织体系；制定安全管理制度；开展安全生产宣传教育、培训和隐患排查、整改。</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8分）</w:t>
            </w:r>
            <w:r/>
          </w:p>
        </w:tc>
        <w:tc>
          <w:tcPr>
            <w:tcW w:w="4395"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未制定安全生产应急预案的，扣0.5分；未落实排水管渠年度安全目标任务、安全生产责任制的，扣0.5分；未制定安全培训计划、组织安全生产培训教育和考核的，扣0.5分；未开展排水管渠危险源辨识、安全生产隐患排查的，每项扣0.5分；对隐患排查发现问题未及时整改的，每项扣0.5分；作业现场未设置安全生产警示设施的，每次扣0.5分；作业现场操作流程不符合规范的，每项扣1分；未建立有限空间等危险作业的管控措施的，每项扣1分；未落实管理单位安全工作要求的，扣0.5分。（扣完为止）</w:t>
            </w:r>
            <w:r/>
          </w:p>
        </w:tc>
        <w:tc>
          <w:tcPr>
            <w:tcW w:w="714"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975"/>
        </w:trPr>
        <w:tc>
          <w:tcPr>
            <w:tcW w:w="60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w:t>
            </w:r>
            <w:r/>
          </w:p>
        </w:tc>
        <w:tc>
          <w:tcPr>
            <w:tcW w:w="9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社会舆论（</w:t>
            </w:r>
            <w:r>
              <w:rPr>
                <w:rFonts w:hint="eastAsia" w:ascii="宋体" w:hAnsi="宋体" w:eastAsia="宋体" w:cs="宋体"/>
                <w:color w:val="auto"/>
                <w:sz w:val="24"/>
                <w:szCs w:val="24"/>
                <w:highlight w:val="none"/>
              </w:rPr>
              <w:t xml:space="preserve">2分）</w:t>
            </w:r>
            <w:r/>
          </w:p>
        </w:tc>
        <w:tc>
          <w:tcPr>
            <w:tcW w:w="2976"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社会负面影响（</w:t>
            </w:r>
            <w:r>
              <w:rPr>
                <w:rFonts w:hint="eastAsia" w:ascii="宋体" w:hAnsi="宋体" w:eastAsia="宋体" w:cs="宋体"/>
                <w:color w:val="auto"/>
                <w:sz w:val="24"/>
                <w:szCs w:val="24"/>
                <w:highlight w:val="none"/>
              </w:rPr>
              <w:t xml:space="preserve">2分）</w:t>
            </w:r>
            <w:r/>
          </w:p>
        </w:tc>
        <w:tc>
          <w:tcPr>
            <w:tcW w:w="4395"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受到上级领导点名批评或有新闻媒体等负面报道的，每次扣1分。（扣完为止）</w:t>
            </w:r>
            <w:r/>
          </w:p>
        </w:tc>
        <w:tc>
          <w:tcPr>
            <w:tcW w:w="714"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bl>
    <w:p>
      <w:pPr>
        <w:ind w:firstLine="602"/>
        <w:rPr>
          <w:rFonts w:hint="eastAsia" w:ascii="宋体" w:hAnsi="宋体" w:eastAsia="宋体" w:cs="宋体"/>
          <w:bCs/>
          <w:color w:val="auto"/>
          <w:sz w:val="24"/>
          <w:highlight w:val="none"/>
        </w:rPr>
      </w:pPr>
      <w:r>
        <w:rPr>
          <w:rFonts w:hint="eastAsia" w:ascii="宋体" w:hAnsi="宋体" w:eastAsia="宋体" w:cs="宋体"/>
          <w:b/>
          <w:color w:val="auto"/>
          <w:sz w:val="24"/>
          <w:szCs w:val="24"/>
          <w:highlight w:val="none"/>
        </w:rPr>
        <w:t xml:space="preserve">备注：由于管理工作不到位而造成的重大失误或影响计扣分值由徐州市供排水管理中心另行决定。</w:t>
      </w:r>
      <w:bookmarkEnd w:id="80"/>
      <w:r/>
      <w:r/>
    </w:p>
    <w:p>
      <w:pPr>
        <w:rPr>
          <w:rFonts w:hint="eastAsia" w:ascii="宋体" w:hAnsi="宋体" w:eastAsia="宋体" w:cs="宋体"/>
          <w:color w:val="auto"/>
          <w:sz w:val="28"/>
          <w:szCs w:val="30"/>
          <w:highlight w:val="none"/>
        </w:rPr>
      </w:pPr>
      <w:r>
        <w:rPr>
          <w:rFonts w:hint="eastAsia" w:ascii="宋体" w:hAnsi="宋体" w:eastAsia="宋体" w:cs="宋体"/>
          <w:color w:val="auto"/>
          <w:sz w:val="28"/>
          <w:highlight w:val="none"/>
        </w:rPr>
        <w:br w:type="page" w:clear="all"/>
      </w:r>
      <w:r/>
    </w:p>
    <w:p>
      <w:pPr>
        <w:pStyle w:val="777"/>
        <w:rPr>
          <w:rFonts w:hint="eastAsia" w:ascii="宋体" w:hAnsi="宋体" w:eastAsia="宋体" w:cs="宋体"/>
          <w:color w:val="auto"/>
          <w:sz w:val="28"/>
          <w:highlight w:val="none"/>
        </w:rPr>
      </w:pPr>
      <w:r/>
      <w:bookmarkStart w:id="81" w:name="OLE_LINK75"/>
      <w:r/>
      <w:bookmarkStart w:id="82" w:name="OLE_LINK76"/>
      <w:r>
        <w:rPr>
          <w:rFonts w:hint="eastAsia" w:ascii="宋体" w:hAnsi="宋体" w:eastAsia="宋体" w:cs="宋体"/>
          <w:color w:val="auto"/>
          <w:sz w:val="28"/>
          <w:highlight w:val="none"/>
        </w:rPr>
        <w:t xml:space="preserve">附表2：徐州市排水管渠辅助监管质量要求与检查考核表</w:t>
      </w:r>
      <w:bookmarkEnd w:id="67"/>
      <w:r/>
      <w:bookmarkEnd w:id="68"/>
      <w:r/>
      <w:bookmarkEnd w:id="81"/>
      <w:r/>
      <w:bookmarkEnd w:id="82"/>
      <w:r/>
      <w:r/>
    </w:p>
    <w:tbl>
      <w:tblPr>
        <w:tblStyle w:val="785"/>
        <w:tblpPr w:horzAnchor="page" w:tblpXSpec="center" w:vertAnchor="text" w:tblpY="460" w:leftFromText="180" w:topFromText="0" w:rightFromText="180" w:bottomFromText="0"/>
        <w:tblW w:w="51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3"/>
        <w:gridCol w:w="1277"/>
        <w:gridCol w:w="2125"/>
        <w:gridCol w:w="5104"/>
        <w:gridCol w:w="565"/>
      </w:tblGrid>
      <w:tr>
        <w:trPr>
          <w:cantSplit/>
          <w:trHeight w:val="23"/>
          <w:tblHeader/>
        </w:trPr>
        <w:tc>
          <w:tcPr>
            <w:tcW w:w="292" w:type="pct"/>
            <w:vAlign w:val="center"/>
            <w:textDirection w:val="lrTb"/>
            <w:noWrap w:val="false"/>
          </w:tcPr>
          <w:p>
            <w:pPr>
              <w:jc w:val="center"/>
              <w:rPr>
                <w:rFonts w:hint="eastAsia" w:ascii="宋体" w:hAnsi="宋体" w:eastAsia="宋体" w:cs="宋体"/>
                <w:b/>
                <w:bCs/>
                <w:color w:val="auto"/>
                <w:sz w:val="24"/>
                <w:szCs w:val="24"/>
                <w:highlight w:val="none"/>
                <w:lang w:val="zh-CN"/>
              </w:rPr>
            </w:pPr>
            <w:r/>
            <w:bookmarkStart w:id="83" w:name="_Toc17335"/>
            <w:r/>
            <w:bookmarkStart w:id="84" w:name="_Toc522790136"/>
            <w:r>
              <w:rPr>
                <w:rFonts w:hint="eastAsia" w:ascii="宋体" w:hAnsi="宋体" w:eastAsia="宋体" w:cs="宋体"/>
                <w:b/>
                <w:bCs/>
                <w:color w:val="auto"/>
                <w:sz w:val="24"/>
                <w:szCs w:val="24"/>
                <w:highlight w:val="none"/>
                <w:lang w:val="zh-CN"/>
              </w:rPr>
              <w:t xml:space="preserve">序号</w:t>
            </w:r>
            <w:r/>
          </w:p>
        </w:tc>
        <w:tc>
          <w:tcPr>
            <w:tcW w:w="663" w:type="pct"/>
            <w:vAlign w:val="center"/>
            <w:textDirection w:val="lrTb"/>
            <w:noWrap w:val="false"/>
          </w:tcPr>
          <w:p>
            <w:pPr>
              <w:jc w:val="cente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考核</w:t>
            </w:r>
            <w:r/>
          </w:p>
          <w:p>
            <w:pPr>
              <w:jc w:val="cente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1328420</wp:posOffset>
                      </wp:positionH>
                      <wp:positionV relativeFrom="paragraph">
                        <wp:posOffset>2033905</wp:posOffset>
                      </wp:positionV>
                      <wp:extent cx="952500" cy="0"/>
                      <wp:effectExtent l="0" t="0" r="0" b="0"/>
                      <wp:wrapNone/>
                      <wp:docPr id="2" name="图片 4"/>
                      <wp:cNvGraphicFramePr/>
                      <a:graphic xmlns:a="http://schemas.openxmlformats.org/drawingml/2006/main">
                        <a:graphicData uri="http://schemas.openxmlformats.org/drawingml/2006/picture">
                          <pic:pic xmlns:pic="http://schemas.openxmlformats.org/drawingml/2006/picture">
                            <pic:nvPicPr>
                              <pic:cNvPr id="4" name="图片 4"/>
                              <pic:cNvPicPr>
                                <a:picLocks noChangeArrowheads="1"/>
                              </pic:cNvPicPr>
                              <pic:nvPr/>
                            </pic:nvPicPr>
                            <pic:blipFill>
                              <a:blip r:embed="rId18"/>
                              <a:stretch/>
                            </pic:blipFill>
                            <pic:spPr bwMode="auto">
                              <a:xfrm>
                                <a:off x="0" y="0"/>
                                <a:ext cx="9525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04.6pt;mso-position-horizontal:absolute;mso-position-vertical-relative:text;margin-top:160.2pt;mso-position-vertical:absolute;width:75.0pt;height:0.0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b/>
                <w:bCs/>
                <w:color w:val="auto"/>
                <w:sz w:val="24"/>
                <w:szCs w:val="24"/>
                <w:highlight w:val="none"/>
                <w:lang w:val="zh-CN"/>
              </w:rPr>
              <w:t xml:space="preserve">项目</w:t>
            </w:r>
            <w:r/>
          </w:p>
        </w:tc>
        <w:tc>
          <w:tcPr>
            <w:tcW w:w="1103" w:type="pct"/>
            <w:vAlign w:val="center"/>
            <w:textDirection w:val="lrTb"/>
            <w:noWrap w:val="false"/>
          </w:tcPr>
          <w:p>
            <w:pPr>
              <w:jc w:val="cente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考核内容</w:t>
            </w:r>
            <w:r/>
          </w:p>
        </w:tc>
        <w:tc>
          <w:tcPr>
            <w:tcW w:w="2649" w:type="pct"/>
            <w:textDirection w:val="lrTb"/>
            <w:noWrap w:val="false"/>
          </w:tcPr>
          <w:p>
            <w:pPr>
              <w:jc w:val="cente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计扣标准</w:t>
            </w:r>
            <w:r/>
          </w:p>
        </w:tc>
        <w:tc>
          <w:tcPr>
            <w:tcW w:w="294" w:type="pct"/>
            <w:vAlign w:val="center"/>
            <w:textDirection w:val="lrTb"/>
            <w:noWrap w:val="false"/>
          </w:tcPr>
          <w:p>
            <w:pPr>
              <w:jc w:val="cente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得分</w:t>
            </w:r>
            <w:r/>
          </w:p>
        </w:tc>
      </w:tr>
      <w:tr>
        <w:trPr>
          <w:trHeight w:val="23"/>
        </w:trPr>
        <w:tc>
          <w:tcPr>
            <w:tcW w:w="292" w:type="pct"/>
            <w:vAlign w:val="center"/>
            <w:vMerge w:val="restart"/>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p>
        </w:tc>
        <w:tc>
          <w:tcPr>
            <w:tcW w:w="663" w:type="pct"/>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保障措施（12分）</w:t>
            </w:r>
            <w:r/>
          </w:p>
        </w:tc>
        <w:tc>
          <w:tcPr>
            <w:tcW w:w="1103" w:type="pct"/>
            <w:vAlign w:val="center"/>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组织保障（6分）</w:t>
            </w:r>
            <w:r/>
          </w:p>
        </w:tc>
        <w:tc>
          <w:tcPr>
            <w:tcW w:w="2649" w:type="pc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人员未按合同条款配备的，缺1人扣2分；人员分工不明确的，扣1分；不服从甲方管理的，扣1分。</w:t>
            </w:r>
            <w:r/>
          </w:p>
        </w:tc>
        <w:tc>
          <w:tcPr>
            <w:tcW w:w="294" w:type="pct"/>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trHeight w:val="23"/>
        </w:trPr>
        <w:tc>
          <w:tcPr>
            <w:tcW w:w="292" w:type="pct"/>
            <w:vMerge w:val="continue"/>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663" w:type="pct"/>
            <w:vMerge w:val="continue"/>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103" w:type="pct"/>
            <w:vAlign w:val="center"/>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制度建立（3分）</w:t>
            </w:r>
            <w:r/>
          </w:p>
        </w:tc>
        <w:tc>
          <w:tcPr>
            <w:tcW w:w="2649" w:type="pc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制定实施监管服务制度，如值班制度、交接班制度、安全生产制度、业务培训制度，每缺一项扣1分，扣完为止。</w:t>
            </w:r>
            <w:r/>
          </w:p>
        </w:tc>
        <w:tc>
          <w:tcPr>
            <w:tcW w:w="294"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292" w:type="pct"/>
            <w:vMerge w:val="continue"/>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663" w:type="pct"/>
            <w:vMerge w:val="continue"/>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103" w:type="pct"/>
            <w:vAlign w:val="center"/>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设施配备（3分）</w:t>
            </w:r>
            <w:r/>
          </w:p>
        </w:tc>
        <w:tc>
          <w:tcPr>
            <w:tcW w:w="2649" w:type="pc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未按合同约定配备的，扣3分。</w:t>
            </w:r>
            <w:r/>
          </w:p>
        </w:tc>
        <w:tc>
          <w:tcPr>
            <w:tcW w:w="294" w:type="pct"/>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trHeight w:val="832"/>
        </w:trPr>
        <w:tc>
          <w:tcPr>
            <w:tcW w:w="292" w:type="pct"/>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63" w:type="pct"/>
            <w:vAlign w:val="center"/>
            <w:vMerge w:val="restart"/>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智慧监管辅助工具</w:t>
            </w:r>
            <w:r>
              <w:rPr>
                <w:rFonts w:hint="eastAsia" w:ascii="宋体" w:hAnsi="宋体" w:eastAsia="宋体" w:cs="宋体"/>
                <w:color w:val="auto"/>
                <w:sz w:val="24"/>
                <w:szCs w:val="24"/>
                <w:highlight w:val="none"/>
                <w:lang w:val="zh-CN"/>
              </w:rPr>
              <w:t xml:space="preserve">建设</w:t>
            </w:r>
            <w:r>
              <w:rPr>
                <w:rFonts w:hint="eastAsia" w:ascii="宋体" w:hAnsi="宋体" w:eastAsia="宋体" w:cs="宋体"/>
                <w:color w:val="auto"/>
                <w:sz w:val="24"/>
                <w:szCs w:val="24"/>
                <w:highlight w:val="none"/>
              </w:rPr>
              <w:t xml:space="preserve">情况（25分）</w:t>
            </w:r>
            <w:r/>
          </w:p>
        </w:tc>
        <w:tc>
          <w:tcPr>
            <w:tcW w:w="1103" w:type="pct"/>
            <w:vAlign w:val="center"/>
            <w:vMerge w:val="restart"/>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功能</w:t>
            </w:r>
            <w:r>
              <w:rPr>
                <w:rFonts w:hint="eastAsia" w:ascii="宋体" w:hAnsi="宋体" w:eastAsia="宋体" w:cs="宋体"/>
                <w:color w:val="auto"/>
                <w:sz w:val="24"/>
                <w:szCs w:val="24"/>
                <w:highlight w:val="none"/>
                <w:lang w:val="zh-CN"/>
              </w:rPr>
              <w:t xml:space="preserve">建设（</w:t>
            </w: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zh-CN"/>
              </w:rPr>
              <w:t xml:space="preserve">分）</w:t>
            </w:r>
            <w:r/>
          </w:p>
        </w:tc>
        <w:tc>
          <w:tcPr>
            <w:tcW w:w="2649" w:type="pc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未实现对雨污水管网分专题叠加展示，未根据材质分类统计长度及占比的，扣1分；每段雨污水管不显示水流方向的，扣1分。 </w:t>
            </w:r>
            <w:r/>
          </w:p>
        </w:tc>
        <w:tc>
          <w:tcPr>
            <w:tcW w:w="294"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20"/>
        </w:trPr>
        <w:tc>
          <w:tcPr>
            <w:tcW w:w="292"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 w:type="pct"/>
            <w:vAlign w:val="center"/>
            <w:vMerge w:val="continue"/>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103" w:type="pct"/>
            <w:vAlign w:val="center"/>
            <w:vMerge w:val="continue"/>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649" w:type="pc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未实现对管段基础信息查阅的，扣0.5分；未实现对管段检测信息查阅的，扣,0.5分；未实现对管段修复信息查阅的，每次扣0.5分。</w:t>
            </w:r>
            <w:r/>
          </w:p>
        </w:tc>
        <w:tc>
          <w:tcPr>
            <w:tcW w:w="294" w:type="pct"/>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trHeight w:val="600"/>
        </w:trPr>
        <w:tc>
          <w:tcPr>
            <w:tcW w:w="292"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 w:type="pct"/>
            <w:vAlign w:val="center"/>
            <w:vMerge w:val="continue"/>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103" w:type="pct"/>
            <w:vAlign w:val="center"/>
            <w:vMerge w:val="continue"/>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649" w:type="pc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未根据检测结果，通过颜色区分显示管网健康状况的，每次扣0.5分</w:t>
            </w:r>
            <w:r/>
          </w:p>
        </w:tc>
        <w:tc>
          <w:tcPr>
            <w:tcW w:w="294" w:type="pct"/>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trHeight w:val="2247"/>
        </w:trPr>
        <w:tc>
          <w:tcPr>
            <w:tcW w:w="292" w:type="pct"/>
            <w:vAlign w:val="center"/>
            <w:vMerge w:val="continue"/>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663" w:type="pct"/>
            <w:vAlign w:val="center"/>
            <w:vMerge w:val="continue"/>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103"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数据处理（10分）</w:t>
            </w:r>
            <w:r/>
          </w:p>
        </w:tc>
        <w:tc>
          <w:tcPr>
            <w:tcW w:w="2649" w:type="pc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未推进系统融合与数据共享，未通过将污水厂、泵站数据、管网液 位计等业务系统数据的接 入，未实现厂-网-站排水系统 的综合管理，每项扣2分；数据可视化分析方面，未实现可视化动态展示污水厂、提升泵站流向关系，</w:t>
            </w:r>
            <w:r>
              <w:rPr>
                <w:rFonts w:hint="eastAsia" w:ascii="宋体" w:hAnsi="宋体" w:eastAsia="宋体" w:cs="宋体"/>
                <w:color w:val="auto"/>
                <w:sz w:val="24"/>
                <w:szCs w:val="24"/>
                <w:highlight w:val="none"/>
              </w:rPr>
              <w:t xml:space="preserve">未统</w:t>
            </w:r>
            <w:r>
              <w:rPr>
                <w:rFonts w:hint="eastAsia" w:ascii="宋体" w:hAnsi="宋体" w:eastAsia="宋体" w:cs="宋体"/>
                <w:color w:val="auto"/>
                <w:sz w:val="24"/>
                <w:szCs w:val="24"/>
                <w:highlight w:val="none"/>
              </w:rPr>
              <w:t xml:space="preserve">计各类泵站数量，每座扣0.5分。</w:t>
            </w:r>
            <w:r/>
          </w:p>
        </w:tc>
        <w:tc>
          <w:tcPr>
            <w:tcW w:w="294"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7"/>
        </w:trPr>
        <w:tc>
          <w:tcPr>
            <w:tcW w:w="292" w:type="pct"/>
            <w:vAlign w:val="center"/>
            <w:vMerge w:val="restart"/>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w:t>
            </w:r>
            <w:r/>
          </w:p>
        </w:tc>
        <w:tc>
          <w:tcPr>
            <w:tcW w:w="663" w:type="pct"/>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现场监管（43分）</w:t>
            </w:r>
            <w:r/>
          </w:p>
        </w:tc>
        <w:tc>
          <w:tcPr>
            <w:tcW w:w="1103"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监管方案（5分）</w:t>
            </w:r>
            <w:r/>
          </w:p>
        </w:tc>
        <w:tc>
          <w:tcPr>
            <w:tcW w:w="2649" w:type="pc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现场养护监管方案不合理的，扣1分；不满足业主、主管部门养护管理要求的，扣1分</w:t>
            </w:r>
            <w:r/>
          </w:p>
        </w:tc>
        <w:tc>
          <w:tcPr>
            <w:tcW w:w="294"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41"/>
        </w:trPr>
        <w:tc>
          <w:tcPr>
            <w:tcW w:w="292" w:type="pct"/>
            <w:vAlign w:val="center"/>
            <w:vMerge w:val="continue"/>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663"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3"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外业监管</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（20分）</w:t>
            </w:r>
            <w:r/>
          </w:p>
        </w:tc>
        <w:tc>
          <w:tcPr>
            <w:tcW w:w="2649" w:type="pc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(1)现场养护监督：对养护质量成效未进行监督的，每次扣0.5分；对施工规范性未进行监督的，每次扣0.5分；发现问题未立即记录反馈的，每次扣0.5分；发现问题未及时督促整改落实的，每次扣0.5分。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(2)现场业务指导：未及时进行现场技术问题解答的，每次扣0.5分，影响养护工作进展的，扣1分。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(3)现场巡检抽查：未合理制定巡检计划的，扣0.5分；未重点对日常养护监督发现或举报投诉问题进行跟进整改确认、确保问题闭环化处理的，每次扣0.5分。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(4)现场软件使用：未督促指导养护人员规范使用养护软件的，每次扣0.5分；养护信息上传延迟的，扣0.5分。</w:t>
            </w:r>
            <w:r/>
          </w:p>
        </w:tc>
        <w:tc>
          <w:tcPr>
            <w:tcW w:w="294"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47"/>
        </w:trPr>
        <w:tc>
          <w:tcPr>
            <w:tcW w:w="292" w:type="pct"/>
            <w:vAlign w:val="center"/>
            <w:vMerge w:val="continue"/>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663"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3"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后台监管</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W w:w="2649" w:type="pc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未根据现场及后台养护数据，对现场养护工作存在不足进行综合分析的，扣2分；未对异常数据有针对性进行现场核实的，每次扣0.5分。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(2)未配合做好养护工程量审计工作的，每次扣0.5分；</w:t>
            </w:r>
            <w:r>
              <w:rPr>
                <w:rFonts w:hint="eastAsia" w:ascii="宋体" w:hAnsi="宋体" w:eastAsia="宋体" w:cs="宋体"/>
                <w:color w:val="auto"/>
                <w:sz w:val="24"/>
                <w:szCs w:val="24"/>
                <w:highlight w:val="none"/>
              </w:rPr>
              <w:t xml:space="preserve">未合理运用后台工程量数据，及时指出工程量误报问题的，每次扣0.5分。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(3)未合理安排、调度</w:t>
            </w:r>
            <w:r>
              <w:rPr>
                <w:rFonts w:hint="eastAsia" w:ascii="宋体" w:hAnsi="宋体" w:eastAsia="宋体" w:cs="宋体"/>
                <w:color w:val="auto"/>
                <w:sz w:val="24"/>
                <w:szCs w:val="24"/>
                <w:highlight w:val="none"/>
              </w:rPr>
              <w:t xml:space="preserve">辅助监管人员的工作</w:t>
            </w:r>
            <w:r>
              <w:rPr>
                <w:rFonts w:hint="eastAsia" w:ascii="宋体" w:hAnsi="宋体" w:eastAsia="宋体" w:cs="宋体"/>
                <w:color w:val="auto"/>
                <w:sz w:val="24"/>
                <w:szCs w:val="24"/>
                <w:highlight w:val="none"/>
              </w:rPr>
              <w:t xml:space="preserve">任务的，每次扣0.5分；未采用定期检查和随机抽查相结合的方式，监督现场服务人员的工作开展情况的，每次扣0.5分。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（4）未如实统计养护工作量或与养护单位串通虚报工程量的，每次扣5分。</w:t>
            </w:r>
            <w:r/>
          </w:p>
        </w:tc>
        <w:tc>
          <w:tcPr>
            <w:tcW w:w="294"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40"/>
        </w:trPr>
        <w:tc>
          <w:tcPr>
            <w:tcW w:w="292"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 w:type="pct"/>
            <w:vAlign w:val="center"/>
            <w:vMerge w:val="continue"/>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103"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应急响应（8分）</w:t>
            </w:r>
            <w:r/>
          </w:p>
        </w:tc>
        <w:tc>
          <w:tcPr>
            <w:tcW w:w="2649" w:type="pc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未进行常态化值班的，每次扣0.5分；对平台预警事件未及时反馈的，每次扣0.5分。</w:t>
            </w:r>
            <w:r/>
          </w:p>
        </w:tc>
        <w:tc>
          <w:tcPr>
            <w:tcW w:w="294" w:type="pct"/>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trHeight w:val="240"/>
        </w:trPr>
        <w:tc>
          <w:tcPr>
            <w:tcW w:w="29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63" w:type="pct"/>
            <w:vAlign w:val="center"/>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社会舆论（3分）</w:t>
            </w:r>
            <w:r/>
          </w:p>
        </w:tc>
        <w:tc>
          <w:tcPr>
            <w:tcW w:w="1103"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社会负面影响</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w:t>
            </w:r>
            <w:r/>
          </w:p>
        </w:tc>
        <w:tc>
          <w:tcPr>
            <w:tcW w:w="2649" w:type="pc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养护单位出现社会负面报道的，存在监管辅助工作不力的，每次扣1分。</w:t>
            </w:r>
            <w:r/>
          </w:p>
        </w:tc>
        <w:tc>
          <w:tcPr>
            <w:tcW w:w="294" w:type="pct"/>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trHeight w:val="90"/>
        </w:trPr>
        <w:tc>
          <w:tcPr>
            <w:tcW w:w="292" w:type="pct"/>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663" w:type="pct"/>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台账资料（17分）</w:t>
            </w:r>
            <w:r/>
          </w:p>
        </w:tc>
        <w:tc>
          <w:tcPr>
            <w:tcW w:w="1103"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计划总结（6分）</w:t>
            </w:r>
            <w:r/>
          </w:p>
        </w:tc>
        <w:tc>
          <w:tcPr>
            <w:tcW w:w="2649" w:type="pc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未提供软件服务及现场监管月度计划与工作总结的，每次扣0.5分；未提供现场监管季度计划与工作总结的，每次扣1分；未提供现场监管年度计划与工作总结的，每次扣2分。</w:t>
            </w:r>
            <w:r/>
          </w:p>
        </w:tc>
        <w:tc>
          <w:tcPr>
            <w:tcW w:w="294"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292"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 w:type="pct"/>
            <w:vAlign w:val="center"/>
            <w:vMerge w:val="continue"/>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103"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监管台账（4分）</w:t>
            </w:r>
            <w:r/>
          </w:p>
        </w:tc>
        <w:tc>
          <w:tcPr>
            <w:tcW w:w="2649" w:type="pc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日常养护监管台账资料记录有缺少的，每次扣0.5分；日常养护监管台账资料虚报的，扣4分。</w:t>
            </w:r>
            <w:r/>
          </w:p>
        </w:tc>
        <w:tc>
          <w:tcPr>
            <w:tcW w:w="294"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292"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 w:type="pct"/>
            <w:vAlign w:val="center"/>
            <w:vMerge w:val="continue"/>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103"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数据报表（2分）</w:t>
            </w:r>
            <w:r/>
          </w:p>
        </w:tc>
        <w:tc>
          <w:tcPr>
            <w:tcW w:w="2649" w:type="pc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未按规范统一各类数据报表的，扣2分。</w:t>
            </w:r>
            <w:r/>
          </w:p>
        </w:tc>
        <w:tc>
          <w:tcPr>
            <w:tcW w:w="294"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77"/>
        </w:trPr>
        <w:tc>
          <w:tcPr>
            <w:tcW w:w="292"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 w:type="pct"/>
            <w:vAlign w:val="center"/>
            <w:vMerge w:val="continue"/>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103"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应急预案（2分）</w:t>
            </w:r>
            <w:r/>
          </w:p>
        </w:tc>
        <w:tc>
          <w:tcPr>
            <w:tcW w:w="2649" w:type="pc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未编制应急预案的，扣2分。应急预案不完善，无针对性的，扣1分</w:t>
            </w:r>
            <w:r/>
          </w:p>
        </w:tc>
        <w:tc>
          <w:tcPr>
            <w:tcW w:w="294"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0"/>
        </w:trPr>
        <w:tc>
          <w:tcPr>
            <w:tcW w:w="292"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 w:type="pct"/>
            <w:vAlign w:val="center"/>
            <w:vMerge w:val="continue"/>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103"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材料报送（3分）</w:t>
            </w:r>
            <w:r/>
          </w:p>
        </w:tc>
        <w:tc>
          <w:tcPr>
            <w:tcW w:w="2649" w:type="pc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未积极配合上级主管部门要求，做好相应文字材料或数据的报送工作的，每次扣0.5分。</w:t>
            </w:r>
            <w:r/>
          </w:p>
        </w:tc>
        <w:tc>
          <w:tcPr>
            <w:tcW w:w="294"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szCs w:val="24"/>
          <w:highlight w:val="none"/>
        </w:rPr>
        <w:t xml:space="preserve">备注：由于管理工作不到位而造成的重大失误或影响计扣分值由徐州市供排水管理中心另行决定。</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8"/>
          <w:szCs w:val="30"/>
          <w:highlight w:val="none"/>
        </w:rPr>
      </w:pPr>
      <w:r>
        <w:rPr>
          <w:rFonts w:hint="eastAsia" w:ascii="宋体" w:hAnsi="宋体" w:eastAsia="宋体" w:cs="宋体"/>
          <w:color w:val="auto"/>
          <w:sz w:val="28"/>
          <w:highlight w:val="none"/>
        </w:rPr>
        <w:br w:type="page" w:clear="all"/>
      </w:r>
      <w:r/>
    </w:p>
    <w:p>
      <w:pPr>
        <w:pStyle w:val="777"/>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附件2：关于印发《徐州市市管排水管渠巡查方案》及《排水管渠巡查管理制度》的通知</w:t>
      </w:r>
      <w:r/>
    </w:p>
    <w:p>
      <w:pPr>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993765" cy="8535670"/>
                <wp:effectExtent l="0" t="0" r="0" b="0"/>
                <wp:docPr id="3" name="图片 86" descr="关于印发《徐州市市管排水管渠巡查方案》及《排水管渠巡查管理制度》的通知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descr="关于印发《徐州市市管排水管渠巡查方案》及《排水管渠巡查管理制度》的通知_1"/>
                        <pic:cNvPicPr>
                          <a:picLocks noChangeAspect="1"/>
                        </pic:cNvPicPr>
                        <pic:nvPr/>
                      </pic:nvPicPr>
                      <pic:blipFill>
                        <a:blip r:embed="rId19"/>
                        <a:stretch/>
                      </pic:blipFill>
                      <pic:spPr bwMode="auto">
                        <a:xfrm>
                          <a:off x="0" y="0"/>
                          <a:ext cx="5993764" cy="8535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1.9pt;height:672.1pt;mso-wrap-distance-left:0.0pt;mso-wrap-distance-top:0.0pt;mso-wrap-distance-right:0.0pt;mso-wrap-distance-bottom:0.0pt;" stroked="f">
                <v:path textboxrect="0,0,0,0"/>
                <v:imagedata r:id="rId19" o:title=""/>
              </v:shape>
            </w:pict>
          </mc:Fallback>
        </mc:AlternateContent>
      </w:r>
      <w:r/>
    </w:p>
    <w:p>
      <w:pPr>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994400" cy="8468360"/>
                <wp:effectExtent l="0" t="0" r="0" b="0"/>
                <wp:docPr id="4" name="图片 87" descr="关于印发《徐州市市管排水管渠巡查方案》及《排水管渠巡查管理制度》的通知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关于印发《徐州市市管排水管渠巡查方案》及《排水管渠巡查管理制度》的通知_2"/>
                        <pic:cNvPicPr>
                          <a:picLocks noChangeAspect="1"/>
                        </pic:cNvPicPr>
                        <pic:nvPr/>
                      </pic:nvPicPr>
                      <pic:blipFill>
                        <a:blip r:embed="rId20"/>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2.0pt;height:666.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994400" cy="8468360"/>
                <wp:effectExtent l="0" t="0" r="0" b="0"/>
                <wp:docPr id="5" name="图片 88" descr="关于印发《徐州市市管排水管渠巡查方案》及《排水管渠巡查管理制度》的通知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descr="关于印发《徐州市市管排水管渠巡查方案》及《排水管渠巡查管理制度》的通知_3"/>
                        <pic:cNvPicPr>
                          <a:picLocks noChangeAspect="1"/>
                        </pic:cNvPicPr>
                        <pic:nvPr/>
                      </pic:nvPicPr>
                      <pic:blipFill>
                        <a:blip r:embed="rId21"/>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72.0pt;height:666.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994400" cy="8468360"/>
                <wp:effectExtent l="0" t="0" r="0" b="0"/>
                <wp:docPr id="6" name="图片 89" descr="关于印发《徐州市市管排水管渠巡查方案》及《排水管渠巡查管理制度》的通知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关于印发《徐州市市管排水管渠巡查方案》及《排水管渠巡查管理制度》的通知_4"/>
                        <pic:cNvPicPr>
                          <a:picLocks noChangeAspect="1"/>
                        </pic:cNvPicPr>
                        <pic:nvPr/>
                      </pic:nvPicPr>
                      <pic:blipFill>
                        <a:blip r:embed="rId22"/>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72.0pt;height:666.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994400" cy="8468360"/>
                <wp:effectExtent l="0" t="0" r="0" b="0"/>
                <wp:docPr id="7" name="图片 90" descr="关于印发《徐州市市管排水管渠巡查方案》及《排水管渠巡查管理制度》的通知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descr="关于印发《徐州市市管排水管渠巡查方案》及《排水管渠巡查管理制度》的通知_5"/>
                        <pic:cNvPicPr>
                          <a:picLocks noChangeAspect="1"/>
                        </pic:cNvPicPr>
                        <pic:nvPr/>
                      </pic:nvPicPr>
                      <pic:blipFill>
                        <a:blip r:embed="rId23"/>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2.0pt;height:666.8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994400" cy="8468360"/>
                <wp:effectExtent l="0" t="0" r="0" b="0"/>
                <wp:docPr id="8" name="图片 91" descr="关于印发《徐州市市管排水管渠巡查方案》及《排水管渠巡查管理制度》的通知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descr="关于印发《徐州市市管排水管渠巡查方案》及《排水管渠巡查管理制度》的通知_6"/>
                        <pic:cNvPicPr>
                          <a:picLocks noChangeAspect="1"/>
                        </pic:cNvPicPr>
                        <pic:nvPr/>
                      </pic:nvPicPr>
                      <pic:blipFill>
                        <a:blip r:embed="rId24"/>
                        <a:stretch/>
                      </pic:blipFill>
                      <pic:spPr bwMode="auto">
                        <a:xfrm>
                          <a:off x="0" y="0"/>
                          <a:ext cx="5994400" cy="846836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72.0pt;height:666.8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994400" cy="8468360"/>
                <wp:effectExtent l="0" t="0" r="0" b="0"/>
                <wp:docPr id="9" name="图片 92" descr="关于印发《徐州市市管排水管渠巡查方案》及《排水管渠巡查管理制度》的通知_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descr="关于印发《徐州市市管排水管渠巡查方案》及《排水管渠巡查管理制度》的通知_7"/>
                        <pic:cNvPicPr>
                          <a:picLocks noChangeAspect="1"/>
                        </pic:cNvPicPr>
                        <pic:nvPr/>
                      </pic:nvPicPr>
                      <pic:blipFill>
                        <a:blip r:embed="rId25"/>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72.0pt;height:666.8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994400" cy="8468360"/>
                <wp:effectExtent l="0" t="0" r="0" b="0"/>
                <wp:docPr id="10" name="图片 93" descr="关于印发《徐州市市管排水管渠巡查方案》及《排水管渠巡查管理制度》的通知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descr="关于印发《徐州市市管排水管渠巡查方案》及《排水管渠巡查管理制度》的通知_8"/>
                        <pic:cNvPicPr>
                          <a:picLocks noChangeAspect="1"/>
                        </pic:cNvPicPr>
                        <pic:nvPr/>
                      </pic:nvPicPr>
                      <pic:blipFill>
                        <a:blip r:embed="rId26"/>
                        <a:stretch/>
                      </pic:blipFill>
                      <pic:spPr bwMode="auto">
                        <a:xfrm>
                          <a:off x="0" y="0"/>
                          <a:ext cx="5994400" cy="846836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72.0pt;height:666.8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994400" cy="8468360"/>
                <wp:effectExtent l="0" t="0" r="0" b="0"/>
                <wp:docPr id="11" name="图片 94" descr="关于印发《徐州市市管排水管渠巡查方案》及《排水管渠巡查管理制度》的通知_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descr="关于印发《徐州市市管排水管渠巡查方案》及《排水管渠巡查管理制度》的通知_9"/>
                        <pic:cNvPicPr>
                          <a:picLocks noChangeAspect="1"/>
                        </pic:cNvPicPr>
                        <pic:nvPr/>
                      </pic:nvPicPr>
                      <pic:blipFill>
                        <a:blip r:embed="rId27"/>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72.0pt;height:666.8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994400" cy="8468360"/>
                <wp:effectExtent l="0" t="0" r="0" b="0"/>
                <wp:docPr id="12" name="图片 95" descr="关于印发《徐州市市管排水管渠巡查方案》及《排水管渠巡查管理制度》的通知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descr="关于印发《徐州市市管排水管渠巡查方案》及《排水管渠巡查管理制度》的通知_10"/>
                        <pic:cNvPicPr>
                          <a:picLocks noChangeAspect="1"/>
                        </pic:cNvPicPr>
                        <pic:nvPr/>
                      </pic:nvPicPr>
                      <pic:blipFill>
                        <a:blip r:embed="rId28"/>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72.0pt;height:666.8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994400" cy="8468360"/>
                <wp:effectExtent l="0" t="0" r="0" b="0"/>
                <wp:docPr id="13" name="图片 96" descr="关于印发《徐州市市管排水管渠巡查方案》及《排水管渠巡查管理制度》的通知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descr="关于印发《徐州市市管排水管渠巡查方案》及《排水管渠巡查管理制度》的通知_11"/>
                        <pic:cNvPicPr>
                          <a:picLocks noChangeAspect="1"/>
                        </pic:cNvPicPr>
                        <pic:nvPr/>
                      </pic:nvPicPr>
                      <pic:blipFill>
                        <a:blip r:embed="rId29"/>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72.0pt;height:666.8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994400" cy="8468360"/>
                <wp:effectExtent l="0" t="0" r="0" b="0"/>
                <wp:docPr id="14" name="图片 97" descr="关于印发《徐州市市管排水管渠巡查方案》及《排水管渠巡查管理制度》的通知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descr="关于印发《徐州市市管排水管渠巡查方案》及《排水管渠巡查管理制度》的通知_12"/>
                        <pic:cNvPicPr>
                          <a:picLocks noChangeAspect="1"/>
                        </pic:cNvPicPr>
                        <pic:nvPr/>
                      </pic:nvPicPr>
                      <pic:blipFill>
                        <a:blip r:embed="rId30"/>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72.0pt;height:666.8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994400" cy="8468360"/>
                <wp:effectExtent l="0" t="0" r="0" b="0"/>
                <wp:docPr id="15" name="图片 98" descr="关于印发《徐州市市管排水管渠巡查方案》及《排水管渠巡查管理制度》的通知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descr="关于印发《徐州市市管排水管渠巡查方案》及《排水管渠巡查管理制度》的通知_13"/>
                        <pic:cNvPicPr>
                          <a:picLocks noChangeAspect="1"/>
                        </pic:cNvPicPr>
                        <pic:nvPr/>
                      </pic:nvPicPr>
                      <pic:blipFill>
                        <a:blip r:embed="rId31"/>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72.0pt;height:666.8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994400" cy="8468360"/>
                <wp:effectExtent l="0" t="0" r="0" b="0"/>
                <wp:docPr id="16" name="图片 99" descr="关于印发《徐州市市管排水管渠巡查方案》及《排水管渠巡查管理制度》的通知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9" descr="关于印发《徐州市市管排水管渠巡查方案》及《排水管渠巡查管理制度》的通知_14"/>
                        <pic:cNvPicPr>
                          <a:picLocks noChangeAspect="1"/>
                        </pic:cNvPicPr>
                        <pic:nvPr/>
                      </pic:nvPicPr>
                      <pic:blipFill>
                        <a:blip r:embed="rId32"/>
                        <a:stretch/>
                      </pic:blipFill>
                      <pic:spPr bwMode="auto">
                        <a:xfrm>
                          <a:off x="0" y="0"/>
                          <a:ext cx="5994400" cy="846836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72.0pt;height:666.8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994400" cy="8468360"/>
                <wp:effectExtent l="0" t="0" r="0" b="0"/>
                <wp:docPr id="17" name="图片 100" descr="关于印发《徐州市市管排水管渠巡查方案》及《排水管渠巡查管理制度》的通知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00" descr="关于印发《徐州市市管排水管渠巡查方案》及《排水管渠巡查管理制度》的通知_15"/>
                        <pic:cNvPicPr>
                          <a:picLocks noChangeAspect="1"/>
                        </pic:cNvPicPr>
                        <pic:nvPr/>
                      </pic:nvPicPr>
                      <pic:blipFill>
                        <a:blip r:embed="rId33"/>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72.0pt;height:666.8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994400" cy="8468360"/>
                <wp:effectExtent l="0" t="0" r="0" b="0"/>
                <wp:docPr id="18" name="图片 101" descr="关于印发《徐州市市管排水管渠巡查方案》及《排水管渠巡查管理制度》的通知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1" descr="关于印发《徐州市市管排水管渠巡查方案》及《排水管渠巡查管理制度》的通知_16"/>
                        <pic:cNvPicPr>
                          <a:picLocks noChangeAspect="1"/>
                        </pic:cNvPicPr>
                        <pic:nvPr/>
                      </pic:nvPicPr>
                      <pic:blipFill>
                        <a:blip r:embed="rId34"/>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72.0pt;height:666.8pt;mso-wrap-distance-left:0.0pt;mso-wrap-distance-top:0.0pt;mso-wrap-distance-right:0.0pt;mso-wrap-distance-bottom:0.0pt;" stroked="f">
                <v:path textboxrect="0,0,0,0"/>
                <v:imagedata r:id="rId34" o:title=""/>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994400" cy="8468360"/>
                <wp:effectExtent l="0" t="0" r="0" b="0"/>
                <wp:docPr id="19" name="图片 102" descr="关于印发《徐州市市管排水管渠巡查方案》及《排水管渠巡查管理制度》的通知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descr="关于印发《徐州市市管排水管渠巡查方案》及《排水管渠巡查管理制度》的通知_17"/>
                        <pic:cNvPicPr>
                          <a:picLocks noChangeAspect="1"/>
                        </pic:cNvPicPr>
                        <pic:nvPr/>
                      </pic:nvPicPr>
                      <pic:blipFill>
                        <a:blip r:embed="rId35"/>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72.0pt;height:666.8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994400" cy="8468360"/>
                <wp:effectExtent l="0" t="0" r="0" b="0"/>
                <wp:docPr id="20" name="图片 103" descr="关于印发《徐州市市管排水管渠巡查方案》及《排水管渠巡查管理制度》的通知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descr="关于印发《徐州市市管排水管渠巡查方案》及《排水管渠巡查管理制度》的通知_18"/>
                        <pic:cNvPicPr>
                          <a:picLocks noChangeAspect="1"/>
                        </pic:cNvPicPr>
                        <pic:nvPr/>
                      </pic:nvPicPr>
                      <pic:blipFill>
                        <a:blip r:embed="rId36"/>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72.0pt;height:666.8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994400" cy="8468360"/>
                <wp:effectExtent l="0" t="0" r="0" b="0"/>
                <wp:docPr id="21" name="图片 104" descr="关于印发《徐州市市管排水管渠巡查方案》及《排水管渠巡查管理制度》的通知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4" descr="关于印发《徐州市市管排水管渠巡查方案》及《排水管渠巡查管理制度》的通知_19"/>
                        <pic:cNvPicPr>
                          <a:picLocks noChangeAspect="1"/>
                        </pic:cNvPicPr>
                        <pic:nvPr/>
                      </pic:nvPicPr>
                      <pic:blipFill>
                        <a:blip r:embed="rId37"/>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72.0pt;height:666.8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994400" cy="8468360"/>
                <wp:effectExtent l="0" t="0" r="0" b="0"/>
                <wp:docPr id="22" name="图片 105" descr="关于印发《徐州市市管排水管渠巡查方案》及《排水管渠巡查管理制度》的通知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5" descr="关于印发《徐州市市管排水管渠巡查方案》及《排水管渠巡查管理制度》的通知_20"/>
                        <pic:cNvPicPr>
                          <a:picLocks noChangeAspect="1"/>
                        </pic:cNvPicPr>
                        <pic:nvPr/>
                      </pic:nvPicPr>
                      <pic:blipFill>
                        <a:blip r:embed="rId38"/>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72.0pt;height:666.8pt;mso-wrap-distance-left:0.0pt;mso-wrap-distance-top:0.0pt;mso-wrap-distance-right:0.0pt;mso-wrap-distance-bottom:0.0pt;" stroked="f">
                <v:path textboxrect="0,0,0,0"/>
                <v:imagedata r:id="rId38" o:title=""/>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994400" cy="8468360"/>
                <wp:effectExtent l="0" t="0" r="0" b="0"/>
                <wp:docPr id="23" name="图片 106" descr="关于印发《徐州市市管排水管渠巡查方案》及《排水管渠巡查管理制度》的通知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6" descr="关于印发《徐州市市管排水管渠巡查方案》及《排水管渠巡查管理制度》的通知_21"/>
                        <pic:cNvPicPr>
                          <a:picLocks noChangeAspect="1"/>
                        </pic:cNvPicPr>
                        <pic:nvPr/>
                      </pic:nvPicPr>
                      <pic:blipFill>
                        <a:blip r:embed="rId39"/>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72.0pt;height:666.8pt;mso-wrap-distance-left:0.0pt;mso-wrap-distance-top:0.0pt;mso-wrap-distance-right:0.0pt;mso-wrap-distance-bottom:0.0pt;" stroked="f">
                <v:path textboxrect="0,0,0,0"/>
                <v:imagedata r:id="rId39" o:title=""/>
              </v:shape>
            </w:pict>
          </mc:Fallback>
        </mc:AlternateConten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0"/>
          <w:szCs w:val="44"/>
          <w:highlight w:val="none"/>
        </w:rPr>
      </w:pPr>
      <w:r>
        <w:rPr>
          <w:rFonts w:hint="eastAsia" w:ascii="宋体" w:hAnsi="宋体" w:eastAsia="宋体" w:cs="宋体"/>
          <w:b/>
          <w:bCs/>
          <w:color w:val="auto"/>
          <w:highlight w:val="none"/>
        </w:rPr>
        <w:br w:type="page" w:clear="all"/>
      </w:r>
      <w:r/>
    </w:p>
    <w:p>
      <w:pPr>
        <w:pStyle w:val="777"/>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附件3  徐州市供排水中心管网设施表</w:t>
      </w:r>
      <w:r/>
    </w:p>
    <w:tbl>
      <w:tblPr>
        <w:tblStyle w:val="785"/>
        <w:tblW w:w="10199" w:type="dxa"/>
        <w:tblInd w:w="-147" w:type="dxa"/>
        <w:tblLayout w:type="fixed"/>
        <w:tblCellMar>
          <w:left w:w="108" w:type="dxa"/>
          <w:top w:w="0" w:type="dxa"/>
          <w:right w:w="108" w:type="dxa"/>
          <w:bottom w:w="0" w:type="dxa"/>
        </w:tblCellMar>
        <w:tblLook w:val="04A0" w:firstRow="1" w:lastRow="0" w:firstColumn="1" w:lastColumn="0" w:noHBand="0" w:noVBand="1"/>
      </w:tblPr>
      <w:tblGrid>
        <w:gridCol w:w="568"/>
        <w:gridCol w:w="1397"/>
        <w:gridCol w:w="1566"/>
        <w:gridCol w:w="783"/>
        <w:gridCol w:w="1525"/>
        <w:gridCol w:w="2659"/>
        <w:gridCol w:w="844"/>
        <w:gridCol w:w="857"/>
      </w:tblGrid>
      <w:tr>
        <w:trPr>
          <w:trHeight w:val="580"/>
        </w:trPr>
        <w:tc>
          <w:tcPr>
            <w:gridSpan w:val="8"/>
            <w:shd w:val="clear" w:color="auto" w:fill="auto"/>
            <w:tcBorders>
              <w:top w:val="single" w:color="000000" w:sz="4" w:space="0"/>
              <w:left w:val="single" w:color="000000" w:sz="4" w:space="0"/>
              <w:bottom w:val="single" w:color="000000" w:sz="4" w:space="0"/>
              <w:right w:val="none" w:color="000000" w:sz="4" w:space="0"/>
            </w:tcBorders>
            <w:tcW w:w="10199" w:type="dxa"/>
            <w:vAlign w:val="center"/>
            <w:textDirection w:val="lrTb"/>
            <w:noWrap w:val="false"/>
          </w:tcPr>
          <w:p>
            <w:pPr>
              <w:jc w:val="both"/>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bidi="ar"/>
              </w:rPr>
              <w:t xml:space="preserve">徐州市供排水中心管网设施（主城区）</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沟管名称</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起止点</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性质</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restart"/>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长度(m)</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restart"/>
            <w:textDirection w:val="lrTb"/>
            <w:noWrap w:val="false"/>
          </w:tcPr>
          <w:p>
            <w:pPr>
              <w:ind w:left="0" w:right="1757"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断面尺寸(mm)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附属设施</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检查井</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收水井</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淮海东路东延</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津浦东路-响山南路（包括过三环东路顶管）</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1573.00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D800-D2000、2*3、0.5*0.5、D2400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48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643.00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更新巷-中山路</w:t>
            </w:r>
            <w:r/>
          </w:p>
        </w:tc>
        <w:tc>
          <w:tcPr>
            <w:shd w:val="clear" w:color="auto" w:fill="auto"/>
            <w:tcBorders>
              <w:top w:val="single" w:color="000000" w:sz="4" w:space="0"/>
              <w:left w:val="single" w:color="000000" w:sz="4" w:space="0"/>
              <w:bottom w:val="single" w:color="000000" w:sz="4" w:space="0"/>
              <w:right w:val="non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844.00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DN400-DN1800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264.00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DN400-DN800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566"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复兴路-更新巷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3480.00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D500、D600、0.5*0.7</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128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中山路-段庄广场</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4786.00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D300-D1200、（0.5-2）*（0.6-2）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段庄广场-西三环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4775.13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D600-D2000、1.2-4*1.4-2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149</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0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津浦西路-复兴路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3615.00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restart"/>
            <w:textDirection w:val="lrTb"/>
            <w:noWrap w:val="false"/>
          </w:tcPr>
          <w:p>
            <w:pPr>
              <w:ind w:left="0" w:right="1048" w:firstLine="0"/>
              <w:jc w:val="left"/>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D300、D400、D500、D800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109</w:t>
            </w:r>
            <w:r/>
          </w:p>
        </w:tc>
      </w:tr>
      <w:tr>
        <w:trPr>
          <w:trHeight w:val="24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复兴路-中山路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6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中山路-解放南路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雨水</w:t>
            </w:r>
            <w:r/>
          </w:p>
        </w:tc>
        <w:tc>
          <w:tcPr>
            <w:shd w:val="clear" w:color="auto" w:fill="auto"/>
            <w:tcBorders>
              <w:top w:val="non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772.05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2.5m*2m、DN300、DN800</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DN1200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27</w:t>
            </w:r>
            <w:r/>
          </w:p>
        </w:tc>
      </w:tr>
      <w:tr>
        <w:trPr>
          <w:trHeight w:val="62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污水</w:t>
            </w:r>
            <w:r/>
          </w:p>
        </w:tc>
        <w:tc>
          <w:tcPr>
            <w:shd w:val="clear" w:color="auto" w:fill="auto"/>
            <w:tcBorders>
              <w:top w:val="non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1290.40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DN300、DN400、DN800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6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建国东路</w:t>
            </w:r>
            <w:r/>
          </w:p>
        </w:tc>
        <w:tc>
          <w:tcPr>
            <w:shd w:val="clear" w:color="auto" w:fill="auto"/>
            <w:tcBorders>
              <w:top w:val="none" w:color="000000" w:sz="4" w:space="0"/>
              <w:left w:val="single" w:color="000000" w:sz="4" w:space="0"/>
              <w:bottom w:val="single" w:color="000000" w:sz="4" w:space="0"/>
              <w:right w:val="single" w:color="000000" w:sz="4" w:space="0"/>
            </w:tcBorders>
            <w:tcW w:w="1566"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奎河-开明巷</w:t>
            </w:r>
            <w:r/>
          </w:p>
        </w:tc>
        <w:tc>
          <w:tcPr>
            <w:shd w:val="clear" w:color="auto" w:fill="auto"/>
            <w:tcBorders>
              <w:top w:val="non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雨水</w:t>
            </w:r>
            <w:r/>
          </w:p>
        </w:tc>
        <w:tc>
          <w:tcPr>
            <w:shd w:val="clear" w:color="auto" w:fill="auto"/>
            <w:tcBorders>
              <w:top w:val="non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141.10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DN200-DN1600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w:t>
            </w:r>
            <w:r/>
          </w:p>
        </w:tc>
      </w:tr>
      <w:tr>
        <w:trPr>
          <w:trHeight w:val="36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566"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污水</w:t>
            </w:r>
            <w:r/>
          </w:p>
        </w:tc>
        <w:tc>
          <w:tcPr>
            <w:shd w:val="clear" w:color="auto" w:fill="auto"/>
            <w:tcBorders>
              <w:top w:val="non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301.90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8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中山南路-复兴南路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4176.00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D500-D1200、3.3*3.04</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right"/>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139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right"/>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建国西路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中山南路-二环西路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4735.21 </w:t>
            </w:r>
            <w:r/>
          </w:p>
        </w:tc>
        <w:tc>
          <w:tcPr>
            <w:shd w:val="clear" w:color="auto" w:fill="auto"/>
            <w:tcBorders>
              <w:top w:val="single" w:color="000000" w:sz="4" w:space="0"/>
              <w:left w:val="single" w:color="000000" w:sz="4" w:space="0"/>
              <w:bottom w:val="non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D450-D1500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right"/>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right"/>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苏堤路-纺织东路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D450-D1500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right"/>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right"/>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纺织东路-二环西路</w:t>
            </w:r>
            <w:r/>
          </w:p>
        </w:tc>
        <w:tc>
          <w:tcPr>
            <w:shd w:val="clear" w:color="auto" w:fill="auto"/>
            <w:tcBorders>
              <w:top w:val="single" w:color="000000" w:sz="4" w:space="0"/>
              <w:left w:val="single" w:color="000000" w:sz="4" w:space="0"/>
              <w:bottom w:val="single" w:color="000000" w:sz="4" w:space="0"/>
              <w:right w:val="non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352.60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D300、D600、D1500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316.00 </w:t>
            </w:r>
            <w:r/>
          </w:p>
        </w:tc>
        <w:tc>
          <w:tcPr>
            <w:shd w:val="clear" w:color="auto" w:fill="auto"/>
            <w:tcBorders>
              <w:top w:val="non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复兴路-奎河</w:t>
            </w:r>
            <w:r/>
          </w:p>
        </w:tc>
        <w:tc>
          <w:tcPr>
            <w:shd w:val="clear" w:color="auto" w:fill="auto"/>
            <w:tcBorders>
              <w:top w:val="single" w:color="000000" w:sz="4" w:space="0"/>
              <w:left w:val="single" w:color="000000" w:sz="4" w:space="0"/>
              <w:bottom w:val="single" w:color="000000" w:sz="4" w:space="0"/>
              <w:right w:val="none" w:color="000000" w:sz="4" w:space="0"/>
            </w:tcBorders>
            <w:tcW w:w="783"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1584.00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D400-D1500、D1800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苏堤南路-中山路</w:t>
            </w:r>
            <w:r/>
          </w:p>
        </w:tc>
        <w:tc>
          <w:tcPr>
            <w:shd w:val="clear" w:color="auto" w:fill="auto"/>
            <w:tcBorders>
              <w:top w:val="single" w:color="000000" w:sz="4" w:space="0"/>
              <w:left w:val="single" w:color="000000" w:sz="4" w:space="0"/>
              <w:bottom w:val="single" w:color="000000" w:sz="4" w:space="0"/>
              <w:right w:val="none" w:color="000000" w:sz="4" w:space="0"/>
            </w:tcBorders>
            <w:tcW w:w="783"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2175.50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D500、D800、D400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783"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560.00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D500、DN400、DN600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中山路-奎河</w:t>
            </w:r>
            <w:r/>
          </w:p>
        </w:tc>
        <w:tc>
          <w:tcPr>
            <w:shd w:val="clear" w:color="auto" w:fill="auto"/>
            <w:tcBorders>
              <w:top w:val="single" w:color="000000" w:sz="4" w:space="0"/>
              <w:left w:val="single" w:color="000000" w:sz="4" w:space="0"/>
              <w:bottom w:val="single" w:color="000000" w:sz="4" w:space="0"/>
              <w:right w:val="none" w:color="000000" w:sz="4" w:space="0"/>
            </w:tcBorders>
            <w:tcW w:w="783"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3002.00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D600、D300-D1500、2.2*2.2、老沟（1.38-1.55）*（0.8*1.5）</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139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108</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783"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1364.00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和平东路延长段</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和平大桥-汉源大道</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15228.80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D400-D1200、1.5*1.2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409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和平路东延二期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汉源大道-振兴路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5232.00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D500-D1200、2*2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3322.00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彭城路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河清路-建国路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2402.00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D500、D1200、3*1.52.5*2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672.00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坝子街-复兴路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non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2194.00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59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49</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中山北路-坝子街</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non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1046.00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D1000、D600、D800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non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890.00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朴风巷</w:t>
            </w:r>
            <w:r/>
          </w:p>
        </w:tc>
        <w:tc>
          <w:tcPr>
            <w:shd w:val="clear" w:color="auto" w:fill="auto"/>
            <w:tcBorders>
              <w:top w:val="none" w:color="000000" w:sz="4" w:space="0"/>
              <w:left w:val="none" w:color="000000" w:sz="4" w:space="0"/>
              <w:bottom w:val="none" w:color="000000" w:sz="4" w:space="0"/>
              <w:right w:val="none" w:color="000000" w:sz="4" w:space="0"/>
            </w:tcBorders>
            <w:tcW w:w="1566" w:type="dxa"/>
            <w:vAlign w:val="center"/>
            <w:vMerge w:val="restart"/>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环城路-黄河北路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713.00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DN1200、DN1600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566" w:type="dxa"/>
            <w:vAlign w:val="center"/>
            <w:vMerge w:val="continue"/>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468.00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淮海路-凤鸣路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non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7590.84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4*2、5*2、3.5*2、D800、D600、d1200、D500、D300、D1200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non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4313.80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D600、D500、D400、D800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淮塔东门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non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1032.00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DN500、DN800、DN1000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non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377.60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淮塔东门-二十八中</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non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626.33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28</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non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359.40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金山东路－三环南路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non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584.80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DN400、DN500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二十八中-南三环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non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4940.35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D450-D1500、（0.5-3.5）*（0.7-2）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65</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w:t>
            </w:r>
            <w:r/>
          </w:p>
        </w:tc>
        <w:tc>
          <w:tcPr>
            <w:shd w:val="clear" w:color="auto" w:fill="auto"/>
            <w:tcBorders>
              <w:top w:val="single" w:color="000000" w:sz="4" w:space="0"/>
              <w:left w:val="single" w:color="000000" w:sz="4" w:space="0"/>
              <w:bottom w:val="non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淮海路-二环北路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6273.00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3*2、D1200、D600、D 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190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3322.00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DN400、DN500、DN800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淮海西路-北三环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non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13372.62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DN300、DN800、DN1000、5*2、6*1.5、3*2.5、0.5*0.4</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260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5337.89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DN500、DN600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淮海路－云龙山隧道口</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4250.00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DN500、DN600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金山南路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金山东路－南三环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3966.00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D600-D1200、3*2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115</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南三环-金山东路（综合整治）</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1120</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D600、D800、D1000、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大学路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南三环－矿大南湖校区南墙</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8188.00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DN500、DN600、DN800、4*3、4*2.5</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144</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矿大南门K０＋００－K１＋５２７</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1517</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DN500、DN800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大学路-金山南路（A标段）</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1741.04</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DN400-DN1000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苏堤北路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淮海路-黄河南路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1881</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DN300、DN 800、DN1000、DN1200、DN1500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57</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3219</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D300、D450、D500、D1000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56</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黄河北路-陇海铁路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663.90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DN500、DN600、DN800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572.42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DN500、DN600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苏堤南路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淮海路-中山南路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2938.00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西苑中路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矿山路-黄河</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2910.00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D400-D2200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铜沛路-黄河</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1192.20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D600、D800、D2200、2.2*1.8</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480.00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D500、DN400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凤鸣路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解放路-泰山路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2455.00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康居小区-泰山路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608.00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矿山东路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矿山路-黄河南路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1649.30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D1000、D1200、D800、D 1800、DN600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49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664.70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 500、DN400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矿山东路-淮海路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矿山路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矿山东路-西三环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4302.80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D300-D500、（2.0-3.0）*1.8</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99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128</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欣欣路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北京路-迎宾高架</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7998.00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D500-D1500、（1.5-2）*（1-1.5）</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320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355</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如意家园-龙亭泵站</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2456.00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D400、D500、D600、D800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欣欣路与长兴路交叉口</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509.97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北京路、长安路、欣欣立交泵站</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719.90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2*2、D600-D1200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广山路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下淀路-东三环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马场湖西路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二环北路-老马场湖路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1330.00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平山南路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二环北立交-汉城路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non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non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2485.00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D500-D1000、D1200、D2000、0.5*0.8</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平山宕口</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969.00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282.00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响山路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复兴路-东三环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2750.00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D400-D800、1.2*1.2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响山北路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响山路-白云路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1345.39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57</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138.03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31</w:t>
            </w:r>
            <w:r/>
          </w:p>
        </w:tc>
        <w:tc>
          <w:tcPr>
            <w:shd w:val="clear" w:color="auto" w:fill="auto"/>
            <w:tcBorders>
              <w:top w:val="non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响山南路</w:t>
            </w:r>
            <w:r/>
          </w:p>
        </w:tc>
        <w:tc>
          <w:tcPr>
            <w:shd w:val="clear" w:color="auto" w:fill="auto"/>
            <w:tcBorders>
              <w:top w:val="non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贵邦俊园西区-响山路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328.26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水漫桥路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黄河南路-矿山路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1225.00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D800、D1200、1.5*2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56</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机场路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复兴南路-兵马俑路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2970.00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（1.5-2.0）*1.8、D500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1485.00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49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兵马俑路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机场路-东三环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500</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non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1080.00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D500、（1.5-2）*1.8D800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69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郭庄路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东三环-庆丰路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5486.00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158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郭庄路东延一期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庆丰路-汉源大道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4125.00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2241.00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郭庄路东延二期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汉源大道-和平大道</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3623.60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3*2、D500-D1800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2496.50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二轻路排水</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老淮海路-新淮海路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1050.00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D400、D500、D800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599.00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DN400、DN600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奎山路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解放南路-奎河</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797.00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DN600、DN800、DN1000、DN1200、2*2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1612.00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51</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项王路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劳动巷-解放南路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415.00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津浦东路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津浦东街-和平路南</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49</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响山路-郭庄路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4100.70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DN800-DN180、3*2.5</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2218.24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DN500、D600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津浦西路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响山路-建国路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1525.00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77</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煤建路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淮海路-湖北路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2341.24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3.0*2.2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98</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煤建一街</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苏堤路-二环西路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2580.00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D330、D450、1.2*1.05</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淮海路-铜沛路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3380.00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4.2*1.7、D500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108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环城路-黄河北路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515.00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DN400、DN500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西安南路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淮海路-苏堤南路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2328.40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4.2*1.7、D600、D800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88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建国路南-苏堤南路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1363.4</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D800、D1200、D600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712.4</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铜山路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复兴南路-东三环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4805.90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2.0*1.6、D450、D300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电子街</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奎淮路-金山路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1284.00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D500、D600、D800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奎淮路-矿磊北门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1421.00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云龙山隧道</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中山南路-泰山路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0.3*0.4、D600、D500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宣武路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淮海东路-建国东路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1250.00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D300、D450、D550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文化路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青年路-大马路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350.00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大马路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淮海路-复兴北路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1643.00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D300、D450、D600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前进路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大马路-环城路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1260.00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0.7*0.6、D1000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湖北路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韩山路-苏堤南路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5220.00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（1.7-4.24*1.0-3.9）、D450、D600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235</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淮海路-环城路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2110.67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D400-D1200、D500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68</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1416.09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环城路-煤港路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4969.00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151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复兴南路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淮海路-塔东路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7973.51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none" w:color="000000" w:sz="4" w:space="0"/>
              <w:left w:val="none" w:color="000000" w:sz="4" w:space="0"/>
              <w:bottom w:val="none" w:color="000000" w:sz="4" w:space="0"/>
              <w:right w:val="none" w:color="000000" w:sz="4" w:space="0"/>
            </w:tcBorders>
            <w:tcW w:w="1525"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5192.2</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 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241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265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复兴南路南延</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塔东路-南三环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4472.16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D400-D2209</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751.44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民主北路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淮海东路-夹河东街</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D300、D450、D550、D500、D600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98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59</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民主南路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淮海路-和平路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4070.10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81</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沈场立交-段庄广场</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3611.00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3.0*1.8、D500-D1000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1995.00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D400、D500、D600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段庄广场-湖北路（包括纺织西路大沟）</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3835.00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D300-D1000、1.8*2.0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120</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湖北路-八一大沟</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395.56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4*3、2*1.8、D2000、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沈场立交-下淀立交</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10078.00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D450-D1200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271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沈场立交-西三环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2887.00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933.00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西阁街</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空军勤务学院-二环北路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367.00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D1000、D1200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533.00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湖滨路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二环西路-韩山路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2498.00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D1200、D800、D1500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DN500、DN400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工农南路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湖滨路-八一大沟截污管</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none" w:color="000000" w:sz="4" w:space="0"/>
              <w:left w:val="none" w:color="000000" w:sz="4" w:space="0"/>
              <w:bottom w:val="none" w:color="000000" w:sz="4" w:space="0"/>
              <w:right w:val="none" w:color="000000" w:sz="4" w:space="0"/>
            </w:tcBorders>
            <w:tcW w:w="1525"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306</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D2400、3*2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325.00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566"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湖滨路-湖北路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569.00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D400、D600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纺织东路（老建国路）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淮海路-建国路南</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531.00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829.00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D600、D500、D400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纺织东路-二环西路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1013.00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D400、D600、D800、D1000、1.5*1</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夹河街</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中山北路-西安北路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2823.00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（1.0-1.85）*（0.8-1.7）、D300、D400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夹河西街</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汇源路-西安路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890.00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3*2、D800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永安街</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淮海路-永安广场</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1075.00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D300、D450、D500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王陵路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建国西路-中山南路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2700.00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1.3*1.2、D450、D550、D1000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1317.00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D400、D500、D600、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大同街</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淮海东路-彭城路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810.00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33</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共建路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奎河西岸-奎山路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1135.00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1.25*1、D300、D500、D600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奎山路-奎河</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298.57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290.00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D400、D600、0.4*0.4</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华祖庙路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二环北路-春华园步行街</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540.00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D600、D1000、D1200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西三环-中山北路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5400.00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80</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中山北路-解放路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西三环-中山北路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9895.00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D400、D500、D600、D800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219</w:t>
            </w:r>
            <w:r/>
          </w:p>
        </w:tc>
      </w:tr>
      <w:tr>
        <w:trPr>
          <w:trHeight w:val="2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中山北路-解放路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黄河东路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解放路-淮海东路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淮海东路-铁路桥</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苏堤北路-西苑中路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2385.00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苏堤北路西侧</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164.00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兵工路西-中山路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1034.00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D300-D500、D1000、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559.00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苏堤北路-中山北路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1815.40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D800-D2000、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74</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1603.00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D800、D900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铜沛路东延</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中山北路-朴风巷</w:t>
            </w:r>
            <w:r/>
          </w:p>
        </w:tc>
        <w:tc>
          <w:tcPr>
            <w:shd w:val="clear" w:color="auto" w:fill="auto"/>
            <w:tcBorders>
              <w:top w:val="single" w:color="000000" w:sz="4" w:space="0"/>
              <w:left w:val="single" w:color="000000" w:sz="4" w:space="0"/>
              <w:bottom w:val="single" w:color="000000" w:sz="4" w:space="0"/>
              <w:right w:val="non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non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775.98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 D300-1200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783"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污水</w:t>
            </w:r>
            <w:r/>
          </w:p>
        </w:tc>
        <w:tc>
          <w:tcPr>
            <w:shd w:val="clear" w:color="auto" w:fill="auto"/>
            <w:tcBorders>
              <w:top w:val="single" w:color="000000" w:sz="4" w:space="0"/>
              <w:left w:val="single" w:color="000000" w:sz="4" w:space="0"/>
              <w:bottom w:val="single" w:color="000000" w:sz="4" w:space="0"/>
              <w:right w:val="non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482.24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荆马河-北三环</w:t>
            </w:r>
            <w:r/>
          </w:p>
        </w:tc>
        <w:tc>
          <w:tcPr>
            <w:shd w:val="clear" w:color="auto" w:fill="auto"/>
            <w:tcBorders>
              <w:top w:val="single" w:color="000000" w:sz="4" w:space="0"/>
              <w:left w:val="single" w:color="000000" w:sz="4" w:space="0"/>
              <w:bottom w:val="single" w:color="000000" w:sz="4" w:space="0"/>
              <w:right w:val="none" w:color="000000" w:sz="4" w:space="0"/>
            </w:tcBorders>
            <w:tcW w:w="783"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雨水</w:t>
            </w:r>
            <w:r/>
          </w:p>
        </w:tc>
        <w:tc>
          <w:tcPr>
            <w:shd w:val="clear" w:color="auto" w:fill="auto"/>
            <w:tcBorders>
              <w:top w:val="single" w:color="000000" w:sz="4" w:space="0"/>
              <w:left w:val="single" w:color="000000" w:sz="4" w:space="0"/>
              <w:bottom w:val="single" w:color="000000" w:sz="4" w:space="0"/>
              <w:right w:val="non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2*2.6、D400、D450、D500、D600、D1200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北三环-荆马河（煤港路东西侧）污水</w:t>
            </w:r>
            <w:r/>
          </w:p>
        </w:tc>
        <w:tc>
          <w:tcPr>
            <w:shd w:val="clear" w:color="auto" w:fill="auto"/>
            <w:tcBorders>
              <w:top w:val="single" w:color="000000" w:sz="4" w:space="0"/>
              <w:left w:val="single" w:color="000000" w:sz="4" w:space="0"/>
              <w:bottom w:val="single" w:color="000000" w:sz="4" w:space="0"/>
              <w:right w:val="none" w:color="000000" w:sz="4" w:space="0"/>
            </w:tcBorders>
            <w:tcW w:w="783"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污水</w:t>
            </w:r>
            <w:r/>
          </w:p>
        </w:tc>
        <w:tc>
          <w:tcPr>
            <w:shd w:val="clear" w:color="auto" w:fill="auto"/>
            <w:tcBorders>
              <w:top w:val="single" w:color="000000" w:sz="4" w:space="0"/>
              <w:left w:val="single" w:color="000000" w:sz="4" w:space="0"/>
              <w:bottom w:val="single" w:color="000000" w:sz="4" w:space="0"/>
              <w:right w:val="non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4111.86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D500、D800、D1000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二环北路-荆马河（包括煤港路大沟）</w:t>
            </w:r>
            <w:r/>
          </w:p>
        </w:tc>
        <w:tc>
          <w:tcPr>
            <w:shd w:val="clear" w:color="auto" w:fill="auto"/>
            <w:tcBorders>
              <w:top w:val="single" w:color="000000" w:sz="4" w:space="0"/>
              <w:left w:val="single" w:color="000000" w:sz="4" w:space="0"/>
              <w:bottom w:val="single" w:color="000000" w:sz="4" w:space="0"/>
              <w:right w:val="none" w:color="000000" w:sz="4" w:space="0"/>
            </w:tcBorders>
            <w:tcW w:w="783"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雨水</w:t>
            </w:r>
            <w:r/>
          </w:p>
        </w:tc>
        <w:tc>
          <w:tcPr>
            <w:shd w:val="clear" w:color="auto" w:fill="auto"/>
            <w:tcBorders>
              <w:top w:val="single" w:color="000000" w:sz="4" w:space="0"/>
              <w:left w:val="single" w:color="000000" w:sz="4" w:space="0"/>
              <w:bottom w:val="single" w:color="000000" w:sz="4" w:space="0"/>
              <w:right w:val="non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6514.00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DN300、DN800、DN1000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783"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污水</w:t>
            </w:r>
            <w:r/>
          </w:p>
        </w:tc>
        <w:tc>
          <w:tcPr>
            <w:shd w:val="clear" w:color="auto" w:fill="auto"/>
            <w:tcBorders>
              <w:top w:val="single" w:color="000000" w:sz="4" w:space="0"/>
              <w:left w:val="single" w:color="000000" w:sz="4" w:space="0"/>
              <w:bottom w:val="single" w:color="000000" w:sz="4" w:space="0"/>
              <w:right w:val="non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2470.00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DN300、DN500、DN1000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北三环-煤港路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8686.80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415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3389.80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 D600、D800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沈孟路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中山北路-徐运新河</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550.00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0.6*0.8、D400、D600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19</w:t>
            </w:r>
            <w:r/>
          </w:p>
        </w:tc>
      </w:tr>
      <w:tr>
        <w:trPr>
          <w:trHeight w:val="54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81</w:t>
            </w:r>
            <w:r/>
          </w:p>
        </w:tc>
        <w:tc>
          <w:tcPr>
            <w:shd w:val="clear" w:color="auto" w:fill="auto"/>
            <w:tcBorders>
              <w:top w:val="non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响山路-下淀路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3997.82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D400-D1200、3*1.6、2*（1.7-1.8）</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119</w:t>
            </w:r>
            <w:r/>
          </w:p>
        </w:tc>
      </w:tr>
      <w:tr>
        <w:trPr>
          <w:trHeight w:val="36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1920.10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DN400、DN500、DN600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大庆路-白水路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6465.90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2.0*（1.23-1.62）、D600、D1000-D2000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下淀立交排水沟管</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1993.78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白水路东-东三环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1741.96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D400-D800、1*1、2*1.2-3.3*2.2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872.20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铁路西侧-二环北路（南侧）</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381.31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671.99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迎宾景观路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解放路-塔东路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7564.40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（1-1.3）*（1.2-2.5-1.62）D400-D1000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143</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解放路-南三环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9463.00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2*1.7、D500、D600-D1000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232</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徐高中泵站</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D1000、D1200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凤鸣路-解放南路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2180.00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DN400、DN500、DN1000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泰山路北延</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泰山路-和平路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1169.00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金山东路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湖东路-泰山路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non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1520.00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4*2.5、D600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47</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泰山路-解放南路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non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5356.00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3.5*2.5、D300-D1000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解放南路-迎宾路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non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5083.00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non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877</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迎宾路-纬四路加油站</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non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1921.4</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D300、D400、D800、D1000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non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732.66</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D800、D1000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韩山路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淮海路-湖北路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1849.00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D400-D1800、2*（3*1.8）</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33</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1576.00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DN500、DN600、DN800、DN2000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湖北路-八一大沟</w:t>
            </w:r>
            <w:r/>
          </w:p>
        </w:tc>
        <w:tc>
          <w:tcPr>
            <w:shd w:val="clear" w:color="auto" w:fill="auto"/>
            <w:tcBorders>
              <w:top w:val="non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306.00 </w:t>
            </w:r>
            <w:r/>
          </w:p>
        </w:tc>
        <w:tc>
          <w:tcPr>
            <w:shd w:val="clear" w:color="auto" w:fill="auto"/>
            <w:tcBorders>
              <w:top w:val="non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和平路西延</w:t>
            </w:r>
            <w:r/>
          </w:p>
        </w:tc>
        <w:tc>
          <w:tcPr>
            <w:shd w:val="clear" w:color="auto" w:fill="auto"/>
            <w:tcBorders>
              <w:top w:val="non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湖北路-韩山路</w:t>
            </w:r>
            <w:r/>
          </w:p>
        </w:tc>
        <w:tc>
          <w:tcPr>
            <w:shd w:val="clear" w:color="auto" w:fill="auto"/>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1084.00 </w:t>
            </w:r>
            <w:r/>
          </w:p>
        </w:tc>
        <w:tc>
          <w:tcPr>
            <w:shd w:val="clear" w:color="auto" w:fill="auto"/>
            <w:tcBorders>
              <w:top w:val="non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DN400-DN2000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312.00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二环西路-煤建路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1648.00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DN400-DN1200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1376.00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DN400-DN1200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塔东路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解放南路-迎宾广场</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1250.00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D2000、D500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奎河两岸路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奎河两岸 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9850.00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D450、D500、D600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溢洪道</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苏堤路-袁桥站</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non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6580.20 </w:t>
            </w:r>
            <w:r/>
          </w:p>
        </w:tc>
        <w:tc>
          <w:tcPr>
            <w:shd w:val="clear" w:color="auto" w:fill="auto"/>
            <w:tcBorders>
              <w:top w:val="none" w:color="000000" w:sz="4" w:space="0"/>
              <w:left w:val="single" w:color="000000" w:sz="4" w:space="0"/>
              <w:bottom w:val="single" w:color="000000" w:sz="4" w:space="0"/>
              <w:right w:val="none" w:color="000000" w:sz="4" w:space="0"/>
            </w:tcBorders>
            <w:tcW w:w="2659"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世纪大道</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塔东路-南三环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7500.00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D600、D800、0.8*1</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七里沟改造</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1037.80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D300-D1800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302.00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七里沟立交改造</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东三环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南三环-北三环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雨水（包括迎宾、和平路泵站）</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56664.95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D500、D800、D1000、D1500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1258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1395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4301.10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民祥路三八河东侧(三八河桥东侧补水泵站)</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1113.00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PE100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黄河北三环高架东侧（三环东路补水泵站）</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1932.70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民祥园路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城东大道-和平路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3541.00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D300、D500、D800、D1000 、D1500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1266.00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庆丰南路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和平东路-郭庄路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3461.00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1139.00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德政路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和平路-东丰路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324.00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198.00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庆丰路北段</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城东大道-和平路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1519.22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58</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梨园南路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南三环-新世纪石材市场</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3564.55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1664.00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中山北路-煤港路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5276.00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中山北路-琵琶路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2955.00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民富大道</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庆丰路-汉源大道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4100.30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D400-D2000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1935.00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兴云路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三八河南岸-郭庄路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2718.00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D1500、D1800、D500、D800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882.00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城东大道</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东三环-云苑路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2514.00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DN500、DN600、DN800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五山公园A线</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东三环-城东大道</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3279.14</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DN300-DN1500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2074</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学苑路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和平路南-郭庄路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3365.00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D300-D600、D800、D1000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1886.00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云苑路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城东大道-和平路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3016.00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D800、D1000、D1200、D1500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2702.02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黄山大道</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云苑路-汉源大道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2110.00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D800、D1000 、D1500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59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63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962.00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西三环</w:t>
            </w:r>
            <w:r/>
          </w:p>
        </w:tc>
        <w:tc>
          <w:tcPr>
            <w:shd w:val="clear" w:color="auto" w:fill="auto"/>
            <w:tcBorders>
              <w:top w:val="single" w:color="000000" w:sz="4" w:space="0"/>
              <w:left w:val="single" w:color="000000" w:sz="4" w:space="0"/>
              <w:bottom w:val="non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徐丰公路（时代大道-污水泵站）</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842.00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 </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玉带大道-韩山隧道</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6836.37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d400、D600、D800、D1000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黄河北路-韩山隧道</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聋哑学校-二环北路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none" w:color="000000" w:sz="4" w:space="0"/>
              <w:left w:val="single" w:color="000000" w:sz="4" w:space="0"/>
              <w:bottom w:val="single" w:color="000000" w:sz="4" w:space="0"/>
              <w:right w:val="non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二环北路-黄河南路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西三环北端-韩山隧道北100米</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15027.58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782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731</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湖西路-黄河路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3939.00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D500、D800、D1000、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西三环北-韩山隧道南（1-5标段）</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24096.60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907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1547</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矿山路-黄河南侧</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1199</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DN600-DN1200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徐商路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311、310交叉口-西三环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5193.20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135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3225.00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D800、D1000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纵五路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新淮海路-徐商路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505.05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D400、D600、D1000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19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741.00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D600、D400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泉润大道</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西三环-支三路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1717.00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DN600、DN800、DN1000、DN1200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69</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1528.00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DN400、DN600、DN1000、DN1200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纵一路（杏山子大道）</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泉润大道-二环西路西延</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7598.62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3.5*2、D300-D1500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223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6453.44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 </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二环北路西延</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西三环西侧-民政局医院</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3835.84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DN600、DN800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新淮海西路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G311-纵四路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1641.00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DN300-DN2200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66</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DN400-DN600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北三环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三环西路-秦洪岛</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76998.67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D300-D1800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1334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3147 </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7896.29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 </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徐丰公路、聋哑学校</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1316.8</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DN600、DN800、DN1500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徐丰路-北三环路-马洪路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6950</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D600、D800、D1000、D1200、D1500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101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徐韩公路</w:t>
            </w:r>
            <w:r/>
          </w:p>
        </w:tc>
        <w:tc>
          <w:tcPr>
            <w:shd w:val="clear" w:color="auto" w:fill="auto"/>
            <w:tcBorders>
              <w:top w:val="single" w:color="000000" w:sz="4" w:space="0"/>
              <w:left w:val="single" w:color="000000" w:sz="4" w:space="0"/>
              <w:bottom w:val="non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东三环-北三环北</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non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2655.26 </w:t>
            </w:r>
            <w:r/>
          </w:p>
        </w:tc>
        <w:tc>
          <w:tcPr>
            <w:shd w:val="clear" w:color="auto" w:fill="auto"/>
            <w:tcBorders>
              <w:top w:val="single" w:color="000000" w:sz="4" w:space="0"/>
              <w:left w:val="single" w:color="000000" w:sz="4" w:space="0"/>
              <w:bottom w:val="non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DN400-DN1000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崇信路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崇信学校东侧</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906.00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488.00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滨河中路A线</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徐运新河西-琵琶花园路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771.00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D800-D1200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八里大道</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煤港路-殷庄路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1508.43</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736.90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新台子路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AK0+059.55-AK1+030</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3401.06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308.29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金丰路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鼓润路-新台子路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973.62</w:t>
            </w:r>
            <w:r/>
          </w:p>
        </w:tc>
        <w:tc>
          <w:tcPr>
            <w:shd w:val="clear" w:color="auto" w:fill="auto"/>
            <w:tcBorders>
              <w:top w:val="single" w:color="000000" w:sz="4" w:space="0"/>
              <w:left w:val="single" w:color="000000" w:sz="4" w:space="0"/>
              <w:bottom w:val="none" w:color="000000" w:sz="4" w:space="0"/>
              <w:right w:val="none" w:color="000000" w:sz="4" w:space="0"/>
            </w:tcBorders>
            <w:tcW w:w="2659"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378</w:t>
            </w:r>
            <w:r/>
          </w:p>
        </w:tc>
        <w:tc>
          <w:tcPr>
            <w:shd w:val="clear" w:color="auto" w:fill="auto"/>
            <w:tcBorders>
              <w:top w:val="single" w:color="000000" w:sz="4" w:space="0"/>
              <w:left w:val="single" w:color="000000" w:sz="4" w:space="0"/>
              <w:bottom w:val="none" w:color="000000" w:sz="4" w:space="0"/>
              <w:right w:val="none" w:color="000000" w:sz="4" w:space="0"/>
            </w:tcBorders>
            <w:tcW w:w="2659"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苏宁悦城小学环城道路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苏宁悦城小学A、B、C线</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5012.80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DN300-DN2000、3*4</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131</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2180.00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时代大道东延</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西三环-K0+885</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1882.91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DN300-DN1500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新台一路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北三环路-学子路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2447.30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DN300-DN1500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575.50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丰树物流园东道路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北三环-新台子路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1745.20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DN300-DN1200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1069.20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客运南路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华润路-新台一路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1458.52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D300-D1800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485.00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华润西路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北三环-拾润路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2476.10 </w:t>
            </w:r>
            <w:r/>
          </w:p>
        </w:tc>
        <w:tc>
          <w:tcPr>
            <w:shd w:val="clear" w:color="auto" w:fill="auto"/>
            <w:tcBorders>
              <w:top w:val="none" w:color="000000" w:sz="4" w:space="0"/>
              <w:left w:val="none" w:color="000000" w:sz="4" w:space="0"/>
              <w:bottom w:val="none" w:color="000000" w:sz="4" w:space="0"/>
              <w:right w:val="none" w:color="000000" w:sz="4" w:space="0"/>
            </w:tcBorders>
            <w:tcW w:w="2659" w:type="dxa"/>
            <w:vAlign w:val="center"/>
            <w:textDirection w:val="lrTb"/>
            <w:noWra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D300-D1200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1123.66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non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126</w:t>
            </w:r>
            <w:r/>
          </w:p>
        </w:tc>
        <w:tc>
          <w:tcPr>
            <w:shd w:val="clear" w:color="auto" w:fill="auto"/>
            <w:tcBorders>
              <w:top w:val="single" w:color="000000" w:sz="4" w:space="0"/>
              <w:left w:val="single" w:color="000000" w:sz="4" w:space="0"/>
              <w:bottom w:val="non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龟山南路</w:t>
            </w:r>
            <w:r/>
          </w:p>
        </w:tc>
        <w:tc>
          <w:tcPr>
            <w:shd w:val="clear" w:color="auto" w:fill="auto"/>
            <w:tcBorders>
              <w:top w:val="single" w:color="000000" w:sz="4" w:space="0"/>
              <w:left w:val="single" w:color="000000" w:sz="4" w:space="0"/>
              <w:bottom w:val="non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西三环-万科熙望B线</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310.00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w:t>
            </w:r>
            <w:r/>
          </w:p>
        </w:tc>
      </w:tr>
      <w:tr>
        <w:trPr>
          <w:trHeight w:val="460"/>
        </w:trPr>
        <w:tc>
          <w:tcPr>
            <w:shd w:val="clear" w:color="auto" w:fill="auto"/>
            <w:tcBorders>
              <w:top w:val="single" w:color="000000" w:sz="4" w:space="0"/>
              <w:left w:val="single" w:color="000000" w:sz="4" w:space="0"/>
              <w:bottom w:val="non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non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134.00 </w:t>
            </w:r>
            <w:r/>
          </w:p>
        </w:tc>
        <w:tc>
          <w:tcPr>
            <w:shd w:val="clear" w:color="auto" w:fill="auto"/>
            <w:tcBorders>
              <w:top w:val="single" w:color="000000" w:sz="4" w:space="0"/>
              <w:left w:val="single" w:color="000000" w:sz="4" w:space="0"/>
              <w:bottom w:val="non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w:t>
            </w:r>
            <w:r/>
          </w:p>
        </w:tc>
        <w:tc>
          <w:tcPr>
            <w:shd w:val="clear" w:color="auto" w:fill="auto"/>
            <w:tcBorders>
              <w:top w:val="single" w:color="000000" w:sz="4" w:space="0"/>
              <w:left w:val="single" w:color="000000" w:sz="4" w:space="0"/>
              <w:bottom w:val="non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水秀路西延</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水秀路-天齐路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1363.12 </w:t>
            </w:r>
            <w:r/>
          </w:p>
        </w:tc>
        <w:tc>
          <w:tcPr>
            <w:shd w:val="clear" w:color="auto" w:fill="auto"/>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41</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444.44</w:t>
            </w:r>
            <w:r/>
          </w:p>
        </w:tc>
        <w:tc>
          <w:tcPr>
            <w:shd w:val="clear" w:color="auto" w:fill="auto"/>
            <w:tcBorders>
              <w:top w:val="single" w:color="000000" w:sz="4" w:space="0"/>
              <w:left w:val="single" w:color="000000" w:sz="4" w:space="0"/>
              <w:bottom w:val="single" w:color="000000" w:sz="4" w:space="0"/>
              <w:right w:val="single" w:color="000000" w:sz="4" w:space="0"/>
            </w:tcBorders>
            <w:tcW w:w="2659"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D400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6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128</w:t>
            </w:r>
            <w:r/>
          </w:p>
        </w:tc>
        <w:tc>
          <w:tcPr>
            <w:shd w:val="clear" w:color="auto" w:fill="auto"/>
            <w:tcBorders>
              <w:top w:val="non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南三环</w:t>
            </w:r>
            <w:r/>
          </w:p>
        </w:tc>
        <w:tc>
          <w:tcPr>
            <w:shd w:val="clear" w:color="auto" w:fill="auto"/>
            <w:tcBorders>
              <w:top w:val="non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风华园-奎河</w:t>
            </w:r>
            <w:r/>
          </w:p>
        </w:tc>
        <w:tc>
          <w:tcPr>
            <w:shd w:val="clear" w:color="auto" w:fill="auto"/>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non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1614.00 </w:t>
            </w:r>
            <w:r/>
          </w:p>
        </w:tc>
        <w:tc>
          <w:tcPr>
            <w:shd w:val="clear" w:color="auto" w:fill="auto"/>
            <w:tcBorders>
              <w:top w:val="non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6*3、4*5、4*5、5*4</w:t>
            </w:r>
            <w:r/>
          </w:p>
        </w:tc>
        <w:tc>
          <w:tcPr>
            <w:shd w:val="clear" w:color="auto" w:fill="auto"/>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长安路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南三环-欣欣路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Style w:val="1309"/>
                <w:rFonts w:hint="eastAsia" w:ascii="宋体" w:hAnsi="宋体" w:eastAsia="宋体" w:cs="宋体"/>
                <w:color w:val="auto"/>
                <w:highlight w:val="none"/>
                <w:lang w:bidi="ar"/>
              </w:rPr>
              <w:t xml:space="preserve">雨水</w:t>
            </w:r>
            <w:r>
              <w:rPr>
                <w:rStyle w:val="1310"/>
                <w:rFonts w:hint="eastAsia" w:ascii="宋体" w:hAnsi="宋体" w:eastAsia="宋体" w:cs="宋体"/>
                <w:color w:val="auto"/>
                <w:highlight w:val="none"/>
                <w:lang w:bidi="ar"/>
              </w:rPr>
              <w:t xml:space="preserve">（连接管）</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1386.51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DN300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82</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1384.50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DN800-DN2000、2*2、3*1.5、3*2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1259.00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DN400、DN500、DN600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北京北路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解放南路-欣欣路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1906.00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DN300-DN1800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57</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1324.10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DN500、D600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泉新路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南三环－建筑学院围墙</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1965.40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D500、D600、D1000、D200、2*2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51</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玉带大道</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玉带河-南三环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5329.00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D400-D600、2*2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2951.00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奎河截污管网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黄茅岗泵站-中山南路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15767.1</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2*2、D500-D1800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中山南路-姚庄污水处理厂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中石化基地奎河西岸</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955</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DN800、DN600、DN500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十里堡-龙亭泵站</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1205</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欣欣路-龙亭污水处理厂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12132.56</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D400、D800、D1000、D1200、D2000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119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袁桥闸-欣欣路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6173.40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DN500-DN2000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苏堤路-袁桥站</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4259.11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DN300、DN400、N600D、N800、D100、D1500、N2000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2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133</w:t>
            </w:r>
            <w:r/>
          </w:p>
        </w:tc>
        <w:tc>
          <w:tcPr>
            <w:shd w:val="clear" w:color="auto" w:fill="auto"/>
            <w:tcBorders>
              <w:top w:val="non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黄河截污管网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丁楼闸-西三环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3200.00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 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西三环—中山北路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20165</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4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中山北路-淮海东路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淮海东路-塔东路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0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汉桥-铁路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1161.13</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DN355、DN45、0DN560、DN600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2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铁路桥-李庄闸</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7008.9</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DN500、DN800、DN1000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6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黄河北侧三环西路-水漫桥路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1123.00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DN600、DN800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八一大沟截污管网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韩山-奎河</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non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3573</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徐运新河截污管网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祥和闸-荆马河南</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non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3440.6</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2.5*2.0、D800、D1200、D1500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九龙湖东岸-祥和闸</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995.00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D1200、D2000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沈孟路-荆马河南岸</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non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1569.00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荆马河截污管网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军事管理围墙东-污水处理厂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11092</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D400-D2000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煤港路西-徐运新河东</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1826</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D300、D400、D1000、D1200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三八河截污管网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郭庄路-污水处理厂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5346.64</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4*3、D800-D1500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房亭河截污管网</w:t>
            </w:r>
            <w:r/>
          </w:p>
        </w:tc>
        <w:tc>
          <w:tcPr>
            <w:shd w:val="clear" w:color="auto" w:fill="auto"/>
            <w:tcBorders>
              <w:top w:val="non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三孔闸-庆丰路东侧河</w:t>
            </w:r>
            <w:r/>
          </w:p>
        </w:tc>
        <w:tc>
          <w:tcPr>
            <w:shd w:val="clear" w:color="auto" w:fill="auto"/>
            <w:tcBorders>
              <w:top w:val="none" w:color="000000" w:sz="4" w:space="0"/>
              <w:left w:val="single" w:color="000000" w:sz="4" w:space="0"/>
              <w:bottom w:val="single" w:color="000000" w:sz="4" w:space="0"/>
              <w:right w:val="non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none" w:color="000000" w:sz="4" w:space="0"/>
              <w:left w:val="non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1080</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 500、D 600、D1000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法治广场-福苑花园小区内节制闸北侧</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141</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子房河截污管网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截污闸-荆马河</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2033</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D400、D600、D1000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马场湖截污管网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天齐路-徐运新河</w:t>
            </w:r>
            <w:r/>
          </w:p>
        </w:tc>
        <w:tc>
          <w:tcPr>
            <w:shd w:val="clear" w:color="auto" w:fill="auto"/>
            <w:tcBorders>
              <w:top w:val="none" w:color="000000" w:sz="4" w:space="0"/>
              <w:left w:val="single" w:color="000000" w:sz="4" w:space="0"/>
              <w:bottom w:val="non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4852.5</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D500、D600、D800、d1000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王窑河大沟截污管网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泉润大道-西三环2号泵站</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566</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徐肖公路北火花闸-三环西路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3056</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D400、D500、D600、D800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沈孟大沟截污管网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徐运新河-煤港路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1807.37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d500、d600、d800、d1000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丁万河截污管网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丁楼大队西150米-三环西路西侧15米</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1984</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D600、D800、D1000、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三环西路-文学路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583</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D600、D800、D1000、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文学路西-襄王路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923.75</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DN400、DN800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襄王路-北三环南侧（二标段）</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3870</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D500、D800、D1000、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新台子河截污管网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丁万河中山路桥-新台子路口北侧（华润路）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950.5</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新台子路铁路东-污水处理厂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2995</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DN600、DN800、DN1000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玉带河截污管网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正荣府-西三环1号泵站</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1445</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D500、D800、D1000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 </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空军学院西区污水处理厂截污管网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九里峰景-黄河北岸</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2954.5</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姚庄大沟截污管网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御景湾-龙亭泵站</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1803</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 </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泉润公园截污管网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A、B、C线</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3044</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DN500、DN600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 </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金狮大沟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狮子山大沟桥-三八河2号闸</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1246.50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1.5*1.5、3*2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骆驼山大沟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郭庄路-黄河</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1037.30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0.5*0.6、2.0*1.0、2.0*1.5、D800、D1500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楚王陵大沟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汉化石像-三八河民富园桥3号闸</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2*2、3.2*2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28</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机务段大沟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津浦西路-子房河</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2265.90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8.0*3.0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铁路干沟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复兴南路-黄河截污</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515.60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1.3*1、D1200、2.0*2.0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小山子泵站出水沟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段西泵站-黄河</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2140.00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小山子泵站进水沟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淮海路-段西泵站</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805.00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3*2、4*2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丰财大沟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环城路-复兴路泵站</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1735.00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2.2*1.0*2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二坝窝大沟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复兴路泵站-徐运新河</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2851.00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4*1.8或（5*2.5）</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烟厂干管</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环城路-二坝窝大沟</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910.00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D800-D1500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北站干沟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北车务段院内-铁二小北墙</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1576.30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（1.0-1.45）*（0.8-1.45）</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莲花井干沟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剪子股-奎河截污管</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841.40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1.45*1.5</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酒厂干沟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共建路-奎河截污管</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D1000、1.25*1.66</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党校干沟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解放南路西-共建路</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580.00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1.4*1.23、1.25*1.66</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公园巷总沟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人民舞台-解放南路</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（1.1-1.4）*（1.1-1.9）</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47"/>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文庙干沟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洪学巷-河清路</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437.50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2.2*2.2、D1400、D1800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441.50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河清路干沟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河清路-解放路</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1019.40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 400、D 600、D800、D2000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杨家路沟管</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淮海路交通局-西安路</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2042.80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2*2.3、D1000、D800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段南干沟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湖滨路-湖北路</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1380.00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2.35*3.2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工农南路大沟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湖北路-八一大沟截污管</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2.2*1.8</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沈场大沟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植物园-黄河</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1281.80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2.65*2.25、2*3.3*2.5、DN800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四号涵洞大沟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铜沛路-黄河</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990.70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兴隆巷干沟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民主路-奎河</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436.00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千里巷干沟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bottom"/>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建国路-王陵路（东段）</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486.00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2.55*0.8、D1200、D1000、D500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黄茅岗进水沟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bottom"/>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湖北路-八一黄茅岗</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苏堤外围壕</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淮海路-奎河</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2460.90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（1.2~3.0-1.2~2.0）D300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体育场排水管</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公园公厕-奎河</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708.75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d300=227.15D1800=456、2*1.3=25.6</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黄山大沟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郭庄路-三八河</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1160.00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D600、D800、D1000、4*2.5、3*2.5</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东三环路西侧大沟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稼悦小区北侧-荆马河口</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3643.00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DN600-DN20002*2、4*2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医学院大沟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城东大道-房亭河</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237.00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杨山截水大沟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东三环-白云路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402.80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953.00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DN500、DN600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180</w:t>
            </w:r>
            <w:r/>
          </w:p>
        </w:tc>
        <w:tc>
          <w:tcPr>
            <w:shd w:val="clear" w:color="auto" w:fill="auto"/>
            <w:tcBorders>
              <w:top w:val="single" w:color="000000" w:sz="4" w:space="0"/>
              <w:left w:val="single" w:color="000000" w:sz="4" w:space="0"/>
              <w:bottom w:val="non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泉润大道截水沟</w:t>
            </w:r>
            <w:r/>
          </w:p>
        </w:tc>
        <w:tc>
          <w:tcPr>
            <w:shd w:val="clear" w:color="auto" w:fill="auto"/>
            <w:tcBorders>
              <w:top w:val="single" w:color="000000" w:sz="4" w:space="0"/>
              <w:left w:val="single" w:color="000000" w:sz="4" w:space="0"/>
              <w:bottom w:val="non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王窑河-马山东路</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non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921.00 </w:t>
            </w:r>
            <w:r/>
          </w:p>
        </w:tc>
        <w:tc>
          <w:tcPr>
            <w:shd w:val="clear" w:color="auto" w:fill="auto"/>
            <w:tcBorders>
              <w:top w:val="single" w:color="000000" w:sz="4" w:space="0"/>
              <w:left w:val="single" w:color="000000" w:sz="4" w:space="0"/>
              <w:bottom w:val="none" w:color="000000" w:sz="4" w:space="0"/>
              <w:right w:val="non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4*2.5、3*3、4*3</w:t>
            </w:r>
            <w:r/>
          </w:p>
        </w:tc>
        <w:tc>
          <w:tcPr>
            <w:shd w:val="clear" w:color="auto" w:fill="auto"/>
            <w:tcBorders>
              <w:top w:val="single" w:color="000000" w:sz="4" w:space="0"/>
              <w:left w:val="single" w:color="000000" w:sz="4" w:space="0"/>
              <w:bottom w:val="non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720"/>
        </w:trPr>
        <w:tc>
          <w:tcPr>
            <w:shd w:val="clear" w:color="auto" w:fill="auto"/>
            <w:tcBorders>
              <w:top w:val="single" w:color="000000" w:sz="4" w:space="0"/>
              <w:left w:val="single" w:color="000000" w:sz="4" w:space="0"/>
              <w:bottom w:val="none" w:color="000000" w:sz="4" w:space="0"/>
              <w:right w:val="single" w:color="000000" w:sz="4" w:space="0"/>
            </w:tcBorders>
            <w:tcW w:w="568"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181</w:t>
            </w:r>
            <w:r/>
          </w:p>
        </w:tc>
        <w:tc>
          <w:tcPr>
            <w:shd w:val="clear" w:color="auto" w:fill="auto"/>
            <w:tcBorders>
              <w:top w:val="single" w:color="000000" w:sz="4" w:space="0"/>
              <w:left w:val="single" w:color="000000" w:sz="4" w:space="0"/>
              <w:bottom w:val="none" w:color="000000" w:sz="4" w:space="0"/>
              <w:right w:val="single" w:color="000000" w:sz="4" w:space="0"/>
            </w:tcBorders>
            <w:tcW w:w="1397"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泉润公园截水沟</w:t>
            </w:r>
            <w:r/>
          </w:p>
        </w:tc>
        <w:tc>
          <w:tcPr>
            <w:shd w:val="clear" w:color="auto" w:fill="auto"/>
            <w:tcBorders>
              <w:top w:val="single" w:color="000000" w:sz="4" w:space="0"/>
              <w:left w:val="single" w:color="000000" w:sz="4" w:space="0"/>
              <w:bottom w:val="none" w:color="000000" w:sz="4" w:space="0"/>
              <w:right w:val="single" w:color="000000" w:sz="4" w:space="0"/>
            </w:tcBorders>
            <w:tcW w:w="156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支2路-泉润公园</w:t>
            </w:r>
            <w:r/>
          </w:p>
        </w:tc>
        <w:tc>
          <w:tcPr>
            <w:shd w:val="clear" w:color="auto" w:fill="auto"/>
            <w:tcBorders>
              <w:top w:val="single" w:color="000000" w:sz="4" w:space="0"/>
              <w:left w:val="single" w:color="000000" w:sz="4" w:space="0"/>
              <w:bottom w:val="non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none" w:color="000000" w:sz="4" w:space="0"/>
              <w:right w:val="single" w:color="000000" w:sz="4" w:space="0"/>
            </w:tcBorders>
            <w:tcW w:w="152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921.13 </w:t>
            </w:r>
            <w:r/>
          </w:p>
        </w:tc>
        <w:tc>
          <w:tcPr>
            <w:shd w:val="clear" w:color="auto" w:fill="auto"/>
            <w:tcBorders>
              <w:top w:val="single" w:color="000000" w:sz="4" w:space="0"/>
              <w:left w:val="single" w:color="000000" w:sz="4" w:space="0"/>
              <w:bottom w:val="none" w:color="000000" w:sz="4" w:space="0"/>
              <w:right w:val="single" w:color="000000" w:sz="4" w:space="0"/>
            </w:tcBorders>
            <w:tcW w:w="26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4*3、4.5*3</w:t>
            </w:r>
            <w:r/>
          </w:p>
        </w:tc>
        <w:tc>
          <w:tcPr>
            <w:shd w:val="clear" w:color="auto" w:fill="auto"/>
            <w:tcBorders>
              <w:top w:val="single" w:color="000000" w:sz="4" w:space="0"/>
              <w:left w:val="single" w:color="000000" w:sz="4" w:space="0"/>
              <w:bottom w:val="none" w:color="000000" w:sz="4" w:space="0"/>
              <w:right w:val="single" w:color="000000" w:sz="4" w:space="0"/>
            </w:tcBorders>
            <w:tcW w:w="844"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 </w:t>
            </w:r>
            <w:r/>
          </w:p>
        </w:tc>
        <w:tc>
          <w:tcPr>
            <w:shd w:val="clear" w:color="auto" w:fill="auto"/>
            <w:tcBorders>
              <w:top w:val="single" w:color="000000" w:sz="4" w:space="0"/>
              <w:left w:val="single" w:color="000000" w:sz="4" w:space="0"/>
              <w:bottom w:val="none" w:color="000000" w:sz="4" w:space="0"/>
              <w:right w:val="single" w:color="000000" w:sz="4" w:space="0"/>
            </w:tcBorders>
            <w:tcW w:w="857"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1015868.11</w:t>
            </w:r>
            <w:r/>
          </w:p>
        </w:tc>
        <w:tc>
          <w:tcPr>
            <w:shd w:val="clear" w:color="auto" w:fill="auto"/>
            <w:tcBorders>
              <w:top w:val="single" w:color="000000" w:sz="4" w:space="0"/>
              <w:left w:val="single" w:color="000000" w:sz="4" w:space="0"/>
              <w:bottom w:val="single" w:color="000000" w:sz="4" w:space="0"/>
              <w:right w:val="single" w:color="000000" w:sz="4" w:space="0"/>
            </w:tcBorders>
            <w:tcW w:w="2659"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25087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20819</w:t>
            </w:r>
            <w:r/>
          </w:p>
        </w:tc>
      </w:tr>
    </w:tbl>
    <w:p>
      <w:pPr>
        <w:pStyle w:val="78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tbl>
      <w:tblPr>
        <w:tblStyle w:val="785"/>
        <w:tblW w:w="10140" w:type="dxa"/>
        <w:tblInd w:w="98" w:type="dxa"/>
        <w:tblLayout w:type="autofit"/>
        <w:tblCellMar>
          <w:left w:w="108" w:type="dxa"/>
          <w:top w:w="0" w:type="dxa"/>
          <w:right w:w="108" w:type="dxa"/>
          <w:bottom w:w="0" w:type="dxa"/>
        </w:tblCellMar>
        <w:tblLook w:val="04A0" w:firstRow="1" w:lastRow="0" w:firstColumn="1" w:lastColumn="0" w:noHBand="0" w:noVBand="1"/>
      </w:tblPr>
      <w:tblGrid>
        <w:gridCol w:w="656"/>
        <w:gridCol w:w="1046"/>
        <w:gridCol w:w="1984"/>
        <w:gridCol w:w="1159"/>
        <w:gridCol w:w="1206"/>
        <w:gridCol w:w="2337"/>
        <w:gridCol w:w="876"/>
        <w:gridCol w:w="876"/>
      </w:tblGrid>
      <w:tr>
        <w:trPr>
          <w:trHeight w:val="580"/>
        </w:trPr>
        <w:tc>
          <w:tcPr>
            <w:gridSpan w:val="8"/>
            <w:shd w:val="clear" w:color="auto" w:fill="auto"/>
            <w:tcBorders>
              <w:top w:val="single" w:color="000000" w:sz="4" w:space="0"/>
              <w:left w:val="single" w:color="000000" w:sz="4" w:space="0"/>
              <w:bottom w:val="single" w:color="000000" w:sz="4" w:space="0"/>
              <w:right w:val="single" w:color="000000" w:sz="4" w:space="0"/>
            </w:tcBorders>
            <w:tcW w:w="10143" w:type="dxa"/>
            <w:vAlign w:val="center"/>
            <w:textDirection w:val="lrTb"/>
            <w:noWrap w:val="false"/>
          </w:tcPr>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bidi="ar"/>
              </w:rPr>
              <w:t xml:space="preserve">徐州市供排水中心管网设施（新城区）</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沟管名称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起止点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性质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长度(m)</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vMerge w:val="restart"/>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断面尺寸(mm)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附属设施</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检查井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收水井</w:t>
            </w:r>
            <w:r/>
          </w:p>
        </w:tc>
      </w:tr>
      <w:tr>
        <w:trPr>
          <w:trHeight w:val="285"/>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昆仑大道</w:t>
            </w:r>
            <w:r/>
          </w:p>
        </w:tc>
        <w:tc>
          <w:tcPr>
            <w:shd w:val="clear" w:color="auto" w:fill="auto"/>
            <w:tcBorders>
              <w:top w:val="non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迎宾大道-汉源大道</w:t>
            </w:r>
            <w:r/>
          </w:p>
        </w:tc>
        <w:tc>
          <w:tcPr>
            <w:shd w:val="clear" w:color="auto" w:fill="auto"/>
            <w:tcBorders>
              <w:top w:val="non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non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13107</w:t>
            </w:r>
            <w:r/>
          </w:p>
        </w:tc>
        <w:tc>
          <w:tcPr>
            <w:shd w:val="clear" w:color="auto" w:fill="auto"/>
            <w:tcBorders>
              <w:top w:val="non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1800</w:t>
            </w:r>
            <w:r/>
          </w:p>
        </w:tc>
        <w:tc>
          <w:tcPr>
            <w:shd w:val="clear" w:color="auto" w:fill="auto"/>
            <w:tcBorders>
              <w:top w:val="non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517</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1748</w:t>
            </w:r>
            <w:r/>
          </w:p>
        </w:tc>
      </w:tr>
      <w:tr>
        <w:trPr>
          <w:trHeight w:val="2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w:t>
            </w:r>
            <w:r/>
          </w:p>
        </w:tc>
        <w:tc>
          <w:tcPr>
            <w:shd w:val="clear" w:color="auto" w:fill="auto"/>
            <w:tcBorders>
              <w:top w:val="non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汉源大道-黄河大桥</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6309</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840</w:t>
            </w:r>
            <w:r/>
          </w:p>
        </w:tc>
      </w:tr>
      <w:tr>
        <w:trPr>
          <w:trHeight w:val="2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3158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太行路-洞庭路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4604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迎宾大道-湘江路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拖龙山南路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湘江路-珠江路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D300、D1200、D1500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珠江路-驿城路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1414.8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D800、D1200、D1000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854.7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太行路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彭祖大道-汉源大道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2933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392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汉源大道-新元大道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316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泰岳路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唐盛路-汉源大道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600-1500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秦郡路-昆仑大道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600-1500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汉源大道-新源大道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1948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600-1500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普陀路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元和路-汉风路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500-1500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秦郡路-纬七路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500-1500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97</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镜泊路</w:t>
            </w:r>
            <w:r/>
          </w:p>
        </w:tc>
        <w:tc>
          <w:tcPr>
            <w:shd w:val="clear" w:color="auto" w:fill="auto"/>
            <w:tcBorders>
              <w:top w:val="single" w:color="000000" w:sz="4" w:space="0"/>
              <w:left w:val="non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昆仑大道-汉源大道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600-1800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155</w:t>
            </w:r>
            <w:r/>
          </w:p>
        </w:tc>
      </w:tr>
      <w:tr>
        <w:trPr>
          <w:trHeight w:val="28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汉源大道-明正路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600-1800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108</w:t>
            </w:r>
            <w:r/>
          </w:p>
        </w:tc>
      </w:tr>
      <w:tr>
        <w:trPr>
          <w:trHeight w:val="28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none" w:color="000000" w:sz="4" w:space="0"/>
              <w:right w:val="non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明正路-新元大道</w:t>
            </w:r>
            <w:r/>
          </w:p>
        </w:tc>
        <w:tc>
          <w:tcPr>
            <w:shd w:val="clear" w:color="auto" w:fill="auto"/>
            <w:tcBorders>
              <w:top w:val="single" w:color="000000" w:sz="4" w:space="0"/>
              <w:left w:val="non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550.2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D800-D1500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76</w:t>
            </w:r>
            <w:r/>
          </w:p>
        </w:tc>
      </w:tr>
      <w:tr>
        <w:trPr>
          <w:trHeight w:val="28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none" w:color="000000" w:sz="4" w:space="0"/>
              <w:right w:val="non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490.9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新元大道-金沙路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D300-D2200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62</w:t>
            </w:r>
            <w:r/>
          </w:p>
        </w:tc>
      </w:tr>
      <w:tr>
        <w:trPr>
          <w:trHeight w:val="28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新安路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楚韵路-汉源大道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312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汉源大道-金沙路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328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金沙路-丽水路-黄河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2169.4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540.1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太行路-汉源大道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10672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500-1800、300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1458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6478</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元和路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峨眉路-钱塘路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5316</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500-1500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354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2532</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紫金路-峨眉路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747.8</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D300、D600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381.1</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唐盛路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峨眉路-昆仑大道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3203</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500-1500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1560</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秦郡路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太行路-昆仑大道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2150</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500-1500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288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848</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云台路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太行路-纬7路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600-1800、300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汉源大道-新元大道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2736</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600-1800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1027</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紫金路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汉源大道-奥体路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1590</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728</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奥体路-金沙路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4053</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270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2152</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汉风路-唐盛路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809.72</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1000、800、300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393.93</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唐盛路-汉源大道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1307</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D300、D1200、D1500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D400、d800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峨眉路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汉源大道-金沙路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3096</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1838.39</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峨眉路站（6号线）</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306.39</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400、500、800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彭祖大道-汉源大道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20682</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1078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1379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11700</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明正路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紫金路-峨眉路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888</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太行路-新安路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2945</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392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2152</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富春路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楚韵路- 汉源大道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600-1800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汉源大道-金沙路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600-1800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钱塘路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楚韵路-汉源大道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500-1800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汉源大道-清风路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500-1800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丽水路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楚韵路-汉源大道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600-1800、300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汉源大道-金沙路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4688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600-1800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丽水路闫河过河管</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潇湘路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楚韵路-汉源大道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600-1800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190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汉源大道-金沙路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600-1800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宋锦路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富春路-潇湘路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3450</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600-1800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1285</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民生路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潇湘路-迎宾大道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1439</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600-1800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966</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瀚文路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汉风路-迎宾大道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1944</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600-1800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1091</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天目路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彭祖大道-迎宾大道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4301</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500-1800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288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1699</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商聚路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环湖路-迎宾大道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2099</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500-1500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280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1176</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迎宾大道-湘江路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3214</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500-1500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1916</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纬一河-纬二河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1717.28</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DN1000、DN800、1200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46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1142.24</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DN400、DN500、N1000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纬二河-珠江路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617.79</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DN1000、DN1200、1500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667.71</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D500、D1000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珠江路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迎宾大道-铜山界</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11478</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5100</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金川路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迎宾大道-珠江路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7520</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3249</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银川路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新丰路-扬子路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2940</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1470</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新丰路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银川路-彭祖大道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2630</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87</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1130</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湘江路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彭祖大道-迎宾大道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5789.5</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191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3093.7</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彭祖大道-拖龙山隧道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2413</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D600、D800、1.5*1</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拖龙山隧道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1672</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DN300、DN600、0.4*0.6</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周定路（沟棠路）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迎宾大道-棠张界</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7823</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260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清风路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富春路-新元大道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4879</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1800、1000、800、1200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532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2737</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金沙路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富春路-丽水路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852</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昆仑大道-新安路（三期）</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2236</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D300-D2200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云台路-峨眉路（二期）</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2422.22</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D300-D1800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人民河截污管</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珠江路-冯庄闸</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2046</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湘江路-思民路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楚韵路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新安路-迎宾大道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4706</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non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2902</w:t>
            </w:r>
            <w:r/>
          </w:p>
        </w:tc>
        <w:tc>
          <w:tcPr>
            <w:shd w:val="clear" w:color="auto" w:fill="auto"/>
            <w:tcBorders>
              <w:top w:val="single" w:color="000000" w:sz="4" w:space="0"/>
              <w:left w:val="single" w:color="000000" w:sz="4" w:space="0"/>
              <w:bottom w:val="non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食品城文博路一潘塘高速入口匝道处</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37283</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300-2000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878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1361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600、800、1200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9543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D400-D2000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0</w:t>
            </w:r>
            <w:r/>
          </w:p>
        </w:tc>
      </w:tr>
      <w:tr>
        <w:trPr>
          <w:trHeight w:val="2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明新路</w:t>
            </w:r>
            <w:r/>
          </w:p>
        </w:tc>
        <w:tc>
          <w:tcPr>
            <w:shd w:val="clear" w:color="auto" w:fill="auto"/>
            <w:tcBorders>
              <w:top w:val="non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太行路-峨眉路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676.4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D300、D600、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38</w:t>
            </w:r>
            <w:r/>
          </w:p>
        </w:tc>
      </w:tr>
      <w:tr>
        <w:trPr>
          <w:trHeight w:val="2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D400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358763.47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11217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17332</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77"/>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附件4  徐州市供排水中心泵站、闸门设施表</w:t>
      </w:r>
      <w:r/>
    </w:p>
    <w:p>
      <w:pPr>
        <w:pStyle w:val="788"/>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85"/>
        <w:tblpPr w:horzAnchor="page" w:tblpX="1316" w:vertAnchor="text" w:tblpY="121" w:leftFromText="180" w:topFromText="0" w:rightFromText="180" w:bottomFromText="0"/>
        <w:tblW w:w="98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672"/>
        <w:gridCol w:w="7287"/>
      </w:tblGrid>
      <w:tr>
        <w:trPr>
          <w:trHeight w:val="410"/>
        </w:trPr>
        <w:tc>
          <w:tcPr>
            <w:tcW w:w="846" w:type="dxa"/>
            <w:vAlign w:val="center"/>
            <w:textDirection w:val="lrTb"/>
            <w:noWrap w:val="false"/>
          </w:tcPr>
          <w:p>
            <w:pPr>
              <w:pStyle w:val="788"/>
              <w:jc w:val="center"/>
              <w:spacing w:line="420" w:lineRule="exact"/>
              <w:rPr>
                <w:rFonts w:hint="eastAsia" w:ascii="宋体" w:hAnsi="宋体" w:eastAsia="宋体" w:cs="宋体"/>
                <w:color w:val="auto"/>
                <w:spacing w:val="-1"/>
                <w:sz w:val="24"/>
                <w:highlight w:val="none"/>
              </w:rPr>
            </w:pPr>
            <w:r>
              <w:rPr>
                <w:rFonts w:hint="eastAsia" w:ascii="宋体" w:hAnsi="宋体" w:eastAsia="宋体" w:cs="宋体"/>
                <w:color w:val="auto"/>
                <w:spacing w:val="-1"/>
                <w:sz w:val="24"/>
                <w:highlight w:val="none"/>
              </w:rPr>
              <w:t xml:space="preserve">序号</w:t>
            </w:r>
            <w:r/>
          </w:p>
        </w:tc>
        <w:tc>
          <w:tcPr>
            <w:tcW w:w="1672" w:type="dxa"/>
            <w:vAlign w:val="center"/>
            <w:textDirection w:val="lrTb"/>
            <w:noWrap w:val="false"/>
          </w:tcPr>
          <w:p>
            <w:pPr>
              <w:pStyle w:val="788"/>
              <w:jc w:val="center"/>
              <w:spacing w:line="420" w:lineRule="exact"/>
              <w:rPr>
                <w:rFonts w:hint="eastAsia" w:ascii="宋体" w:hAnsi="宋体" w:eastAsia="宋体" w:cs="宋体"/>
                <w:color w:val="auto"/>
                <w:spacing w:val="-1"/>
                <w:sz w:val="24"/>
                <w:highlight w:val="none"/>
              </w:rPr>
            </w:pPr>
            <w:r>
              <w:rPr>
                <w:rFonts w:hint="eastAsia" w:ascii="宋体" w:hAnsi="宋体" w:eastAsia="宋体" w:cs="宋体"/>
                <w:color w:val="auto"/>
                <w:spacing w:val="-1"/>
                <w:sz w:val="24"/>
                <w:highlight w:val="none"/>
              </w:rPr>
              <w:t xml:space="preserve">设施名称</w:t>
            </w:r>
            <w:r/>
          </w:p>
        </w:tc>
        <w:tc>
          <w:tcPr>
            <w:tcW w:w="7287" w:type="dxa"/>
            <w:vAlign w:val="center"/>
            <w:textDirection w:val="lrTb"/>
            <w:noWrap w:val="false"/>
          </w:tcPr>
          <w:p>
            <w:pPr>
              <w:pStyle w:val="788"/>
              <w:jc w:val="center"/>
              <w:spacing w:line="420" w:lineRule="exact"/>
              <w:rPr>
                <w:rFonts w:hint="eastAsia" w:ascii="宋体" w:hAnsi="宋体" w:eastAsia="宋体" w:cs="宋体"/>
                <w:color w:val="auto"/>
                <w:spacing w:val="-1"/>
                <w:sz w:val="24"/>
                <w:highlight w:val="none"/>
              </w:rPr>
            </w:pPr>
            <w:r/>
            <w:bookmarkStart w:id="85" w:name="OLE_LINK22"/>
            <w:r/>
            <w:bookmarkStart w:id="86" w:name="OLE_LINK21"/>
            <w:r>
              <w:rPr>
                <w:rFonts w:hint="eastAsia" w:ascii="宋体" w:hAnsi="宋体" w:eastAsia="宋体" w:cs="宋体"/>
                <w:color w:val="auto"/>
                <w:spacing w:val="-1"/>
                <w:sz w:val="24"/>
                <w:highlight w:val="none"/>
              </w:rPr>
              <w:t xml:space="preserve">设施</w:t>
            </w:r>
            <w:bookmarkEnd w:id="85"/>
            <w:r/>
            <w:bookmarkEnd w:id="86"/>
            <w:r>
              <w:rPr>
                <w:rFonts w:hint="eastAsia" w:ascii="宋体" w:hAnsi="宋体" w:eastAsia="宋体" w:cs="宋体"/>
                <w:color w:val="auto"/>
                <w:spacing w:val="-1"/>
                <w:sz w:val="24"/>
                <w:highlight w:val="none"/>
              </w:rPr>
              <w:t xml:space="preserve">具体内容</w:t>
            </w:r>
            <w:r/>
          </w:p>
        </w:tc>
      </w:tr>
      <w:tr>
        <w:trPr>
          <w:trHeight w:val="661"/>
        </w:trPr>
        <w:tc>
          <w:tcPr>
            <w:tcW w:w="846" w:type="dxa"/>
            <w:vAlign w:val="center"/>
            <w:textDirection w:val="lrTb"/>
            <w:noWrap w:val="false"/>
          </w:tcPr>
          <w:p>
            <w:pPr>
              <w:pStyle w:val="788"/>
              <w:ind w:right="111"/>
              <w:jc w:val="center"/>
              <w:spacing w:line="40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1</w:t>
            </w:r>
            <w:r/>
          </w:p>
        </w:tc>
        <w:tc>
          <w:tcPr>
            <w:tcW w:w="1672" w:type="dxa"/>
            <w:vAlign w:val="center"/>
            <w:textDirection w:val="lrTb"/>
            <w:noWrap w:val="false"/>
          </w:tcPr>
          <w:p>
            <w:pPr>
              <w:pStyle w:val="788"/>
              <w:ind w:right="111"/>
              <w:jc w:val="center"/>
              <w:spacing w:line="40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泵站</w:t>
            </w:r>
            <w:r/>
          </w:p>
        </w:tc>
        <w:tc>
          <w:tcPr>
            <w:tcW w:w="7287" w:type="dxa"/>
            <w:textDirection w:val="lrTb"/>
            <w:noWrap w:val="false"/>
          </w:tcPr>
          <w:p>
            <w:pPr>
              <w:pStyle w:val="788"/>
              <w:ind w:right="113"/>
              <w:jc w:val="left"/>
              <w:rPr>
                <w:rFonts w:hint="eastAsia" w:ascii="宋体" w:hAnsi="宋体" w:eastAsia="宋体" w:cs="宋体"/>
                <w:color w:val="auto"/>
                <w:spacing w:val="-6"/>
                <w:sz w:val="24"/>
                <w:highlight w:val="none"/>
                <w:u w:val="single"/>
              </w:rPr>
            </w:pPr>
            <w:r>
              <w:rPr>
                <w:rFonts w:hint="eastAsia" w:ascii="宋体" w:hAnsi="宋体" w:eastAsia="宋体" w:cs="宋体"/>
                <w:b/>
                <w:bCs/>
                <w:color w:val="auto"/>
                <w:sz w:val="24"/>
                <w:highlight w:val="none"/>
              </w:rPr>
              <w:t xml:space="preserve">泵站35座</w:t>
            </w:r>
            <w:r>
              <w:rPr>
                <w:rFonts w:hint="eastAsia" w:ascii="宋体" w:hAnsi="宋体" w:eastAsia="宋体" w:cs="宋体"/>
                <w:color w:val="auto"/>
                <w:sz w:val="24"/>
                <w:highlight w:val="none"/>
              </w:rPr>
              <w:t xml:space="preserve">：汉源大道地道泵站、彭祖大道地道泵站、昆仑大道地道泵站、欣</w:t>
            </w:r>
            <w:r>
              <w:rPr>
                <w:rFonts w:hint="eastAsia" w:ascii="宋体" w:hAnsi="宋体" w:eastAsia="宋体" w:cs="宋体"/>
                <w:color w:val="auto"/>
                <w:sz w:val="24"/>
                <w:highlight w:val="none"/>
              </w:rPr>
              <w:t xml:space="preserve">欣路立交泵站、龙亭污水提升泵站、黄茅岗污水提升泵站、奎河污水提升泵站、积翠新村污水泵站、军民河泵站、泰奎大沟调蓄池、复兴南路铁路立交泵站、解放南路立交泵站、四院泵站、六中泵站、橡胶坝泵站、钱塘路泵站、珠江路泵站、丽水路泵站、工程学院泵站、商聚路泵站、梨园路泵站、三八河补水泵站、泰山路检测站、东三环铜山路地道泵站、东三环迎宾路立交泵站、东三环狮子山立交泵站、东三环和平路立交泵站、金山东路立交泵站、郭庄路泵站、天桥泵站、汽配城人行通道、机场路人行通道、狮子山人行通道、文博园人行通道、南环T5御景湾人行通道泵站。</w:t>
            </w:r>
            <w:r/>
          </w:p>
        </w:tc>
      </w:tr>
      <w:tr>
        <w:trPr>
          <w:trHeight w:val="271"/>
        </w:trPr>
        <w:tc>
          <w:tcPr>
            <w:tcW w:w="846" w:type="dxa"/>
            <w:vAlign w:val="center"/>
            <w:textDirection w:val="lrTb"/>
            <w:noWrap w:val="false"/>
          </w:tcPr>
          <w:p>
            <w:pPr>
              <w:pStyle w:val="788"/>
              <w:ind w:right="111"/>
              <w:jc w:val="center"/>
              <w:spacing w:line="40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2</w:t>
            </w:r>
            <w:r/>
          </w:p>
        </w:tc>
        <w:tc>
          <w:tcPr>
            <w:tcW w:w="1672" w:type="dxa"/>
            <w:vAlign w:val="center"/>
            <w:textDirection w:val="lrTb"/>
            <w:noWrap w:val="false"/>
          </w:tcPr>
          <w:p>
            <w:pPr>
              <w:pStyle w:val="788"/>
              <w:ind w:right="111"/>
              <w:jc w:val="center"/>
              <w:spacing w:line="40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泵站</w:t>
            </w:r>
            <w:r/>
          </w:p>
        </w:tc>
        <w:tc>
          <w:tcPr>
            <w:tcW w:w="7287" w:type="dxa"/>
            <w:textDirection w:val="lrTb"/>
            <w:noWrap w:val="false"/>
          </w:tcPr>
          <w:p>
            <w:pPr>
              <w:pStyle w:val="788"/>
              <w:ind w:right="113"/>
              <w:jc w:val="left"/>
              <w:rPr>
                <w:rFonts w:hint="eastAsia" w:ascii="宋体" w:hAnsi="宋体" w:eastAsia="宋体" w:cs="宋体"/>
                <w:color w:val="auto"/>
                <w:spacing w:val="-6"/>
                <w:sz w:val="24"/>
                <w:highlight w:val="none"/>
                <w:u w:val="single"/>
              </w:rPr>
            </w:pPr>
            <w:r>
              <w:rPr>
                <w:rFonts w:hint="eastAsia" w:ascii="宋体" w:hAnsi="宋体" w:eastAsia="宋体" w:cs="宋体"/>
                <w:b/>
                <w:bCs/>
                <w:color w:val="auto"/>
                <w:sz w:val="24"/>
                <w:highlight w:val="none"/>
              </w:rPr>
              <w:t xml:space="preserve">泵站35座</w:t>
            </w:r>
            <w:r>
              <w:rPr>
                <w:rFonts w:hint="eastAsia" w:ascii="宋体" w:hAnsi="宋体" w:eastAsia="宋体" w:cs="宋体"/>
                <w:color w:val="auto"/>
                <w:sz w:val="24"/>
                <w:highlight w:val="none"/>
              </w:rPr>
              <w:t xml:space="preserve">：下淀立交泵站、苏堤</w:t>
            </w:r>
            <w:r>
              <w:rPr>
                <w:rFonts w:hint="eastAsia" w:ascii="宋体" w:hAnsi="宋体" w:eastAsia="宋体" w:cs="宋体"/>
                <w:color w:val="auto"/>
                <w:sz w:val="24"/>
                <w:highlight w:val="none"/>
              </w:rPr>
              <w:t xml:space="preserve">北路立交泵站、复北立交泵站、中山立交泵站、解放北路立交泵站、徐丰公路污水泵站、泉润大道污水泵站、天齐南污水泵站、天齐北污水泵站、西三环1号污水泵站、西三环2号污水泵站、平山路铁路立交泵站、平山路地道泵站、中山路地道泵站、煤港路地道泵站、荆马河上游污水泵站、荆马河下游污水泵站、子房河污水泵站、泰山路泵站，大学泵站、开元路泵站、湖西路泵站、南环T1-T4四座人行通道泵站、苏山人行通道泵站、新淮海路地道泵站、苏山立交泵站、二环北路立交泵站、南岗高架立交泵站、南岗铁路立交泵站、沈场泵站、白云立交泵站、九里湖立交泵站</w:t>
            </w:r>
            <w:r/>
          </w:p>
        </w:tc>
      </w:tr>
      <w:tr>
        <w:trPr>
          <w:trHeight w:val="6511"/>
        </w:trPr>
        <w:tc>
          <w:tcPr>
            <w:tcW w:w="846" w:type="dxa"/>
            <w:vAlign w:val="center"/>
            <w:textDirection w:val="lrTb"/>
            <w:noWrap w:val="false"/>
          </w:tcPr>
          <w:p>
            <w:pPr>
              <w:pStyle w:val="788"/>
              <w:ind w:right="111"/>
              <w:jc w:val="center"/>
              <w:spacing w:line="40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3</w:t>
            </w:r>
            <w:r/>
          </w:p>
        </w:tc>
        <w:tc>
          <w:tcPr>
            <w:tcW w:w="1672" w:type="dxa"/>
            <w:vAlign w:val="center"/>
            <w:textDirection w:val="lrTb"/>
            <w:noWrap w:val="false"/>
          </w:tcPr>
          <w:p>
            <w:pPr>
              <w:pStyle w:val="788"/>
              <w:ind w:right="111"/>
              <w:jc w:val="center"/>
              <w:spacing w:line="40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闸门</w:t>
            </w:r>
            <w:r/>
          </w:p>
        </w:tc>
        <w:tc>
          <w:tcPr>
            <w:tcW w:w="7287"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闸门114孔</w:t>
            </w:r>
            <w:r>
              <w:rPr>
                <w:rFonts w:hint="eastAsia" w:ascii="宋体" w:hAnsi="宋体" w:eastAsia="宋体" w:cs="宋体"/>
                <w:color w:val="auto"/>
                <w:sz w:val="24"/>
                <w:highlight w:val="none"/>
              </w:rPr>
              <w:t xml:space="preserve">： 溢洪桥闸门1孔、四院闸门2孔、四院北闸1孔、四院截污闸3孔、苏山截污闸门1孔、苏山大沟闸门2孔、矿西大沟闸1孔、矿西截污闸门1孔、小山子大沟截污检修闸门1孔、西苑中路桥北闸1孔、闫窝闸门1孔、黄河液化气站闸门1孔、黄河北岸污水井中闸门1孔、沈场大沟北闸门2孔、西安北路井中闸门1孔、铜沛路入黄河检修闸门1孔、仙水宫闸门1孔、满湘楼闸门1孔、同春池闸门1孔、铜牛北闸门1孔、天桥市场闸门1孔、阳光酒店闸门1孔、下洪宿舍闸门1孔、青少年宫闸门1孔、铁路幼儿园闸门1孔、和平桥南（西岸）闸门1孔</w:t>
            </w:r>
            <w:r>
              <w:rPr>
                <w:rFonts w:hint="eastAsia" w:ascii="宋体" w:hAnsi="宋体" w:eastAsia="宋体" w:cs="宋体"/>
                <w:color w:val="auto"/>
                <w:sz w:val="24"/>
                <w:highlight w:val="none"/>
              </w:rPr>
              <w:t xml:space="preserve">、汽配城9号闸、8号闸、7号闸、6号闸、5号闸、4号闸、3号闸、2号闸、1号闸、东三环东1号闸、东三环2号闸、东三环3号闸、东三环4号闸、东三环5号闸、东三环6号闸、东三环7号闸、东三环8号闸、东三环9号闸、东三环10号闸、东三环11号闸、东三环12号闸 、沈场大沟南闸2孔、祥云检修闸1孔、殷庄1孔、殷庄桥东侧荆马河北岸1孔、煤港路闸1孔、铁路电务段闸门1孔、铁路电段北闸门1孔、铁路电段南闸门1孔、东三环桥西闸门2孔、东三环桥北闸门1孔、东三环桥东南闸门1孔、备战路1孔闸、郭庄路1号闸门1孔、民富园桥南闸门</w:t>
            </w:r>
            <w:r>
              <w:rPr>
                <w:rFonts w:hint="eastAsia" w:ascii="宋体" w:hAnsi="宋体" w:eastAsia="宋体" w:cs="宋体"/>
                <w:color w:val="auto"/>
                <w:sz w:val="24"/>
                <w:highlight w:val="none"/>
              </w:rPr>
              <w:t xml:space="preserve">1孔、云龙法院后闸门1孔、工程兵学院南闸门3孔、工程兵学院西闸门2孔、五交化闸1孔、徐运新河桥东闸门4孔、徐运新河桥西闸门4孔、欣欣路北侧奥东印象城东侧铁路东1孔、化校闸门1孔、王窑河闸3孔、王窑河检修闸1孔、汉风路顺堤河南岸2孔、河北岸2孔、风华园南门闸门1孔、孔妇幼保健院2孔闸、十里铺龙亭检修闸1孔、民健园闸1孔；黄河杏山子闸2孔、黄河西三环桥东南闸、黄河西苑中路桥东南闸、黄河西苑中路桥西闸、黄河西安路过河管闸4孔、黄河西安路桥东北闸2孔、黄河兵工路南头闸、桃花源液压闸2孔、桃花源北闸、建国路入黄河闸。</w:t>
            </w:r>
            <w:r/>
          </w:p>
        </w:tc>
      </w:tr>
    </w:tbl>
    <w:p>
      <w:pPr>
        <w:pStyle w:val="78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0"/>
          <w:szCs w:val="44"/>
          <w:highlight w:val="none"/>
        </w:rPr>
      </w:pPr>
      <w:r>
        <w:rPr>
          <w:rFonts w:hint="eastAsia" w:ascii="宋体" w:hAnsi="宋体" w:eastAsia="宋体" w:cs="宋体"/>
          <w:b/>
          <w:bCs/>
          <w:color w:val="auto"/>
          <w:highlight w:val="none"/>
        </w:rPr>
        <w:br w:type="page" w:clear="all"/>
      </w:r>
      <w:r/>
    </w:p>
    <w:p>
      <w:pPr>
        <w:pStyle w:val="993"/>
        <w:spacing w:line="52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第六章 项目要求（采购需求）</w:t>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一、项目名称：</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2026年度市直管雨、污水管渠维修养护市场化项目</w:t>
      </w:r>
      <w:r/>
    </w:p>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40" w:lineRule="exact"/>
        <w:rPr>
          <w:rFonts w:hint="eastAsia" w:ascii="宋体" w:hAnsi="宋体" w:eastAsia="宋体" w:cs="宋体"/>
          <w:color w:val="auto"/>
          <w:sz w:val="24"/>
          <w:szCs w:val="24"/>
          <w:highlight w:val="none"/>
        </w:rPr>
      </w:pPr>
      <w:r/>
      <w:bookmarkStart w:id="87" w:name="OLE_LINK78"/>
      <w:r/>
      <w:bookmarkStart w:id="88" w:name="OLE_LINK77"/>
      <w:r>
        <w:rPr>
          <w:rFonts w:hint="eastAsia" w:ascii="宋体" w:hAnsi="宋体" w:eastAsia="宋体" w:cs="宋体"/>
          <w:color w:val="auto"/>
          <w:sz w:val="24"/>
          <w:szCs w:val="24"/>
          <w:highlight w:val="none"/>
        </w:rPr>
        <w:t xml:space="preserve">二、项目报价</w:t>
      </w:r>
      <w:r/>
    </w:p>
    <w:p>
      <w:pPr>
        <w:ind w:firstLine="480"/>
        <w:spacing w:line="440" w:lineRule="exact"/>
        <w:rPr>
          <w:rFonts w:hint="eastAsia" w:ascii="宋体" w:hAnsi="宋体" w:eastAsia="宋体" w:cs="宋体"/>
          <w:color w:val="auto"/>
          <w:sz w:val="24"/>
          <w:szCs w:val="24"/>
          <w:highlight w:val="none"/>
        </w:rPr>
      </w:pPr>
      <w:r/>
      <w:bookmarkStart w:id="89" w:name="OLE_LINK32"/>
      <w:r/>
      <w:bookmarkStart w:id="90" w:name="OLE_LINK42"/>
      <w:r>
        <w:rPr>
          <w:rFonts w:hint="eastAsia" w:ascii="宋体" w:hAnsi="宋体" w:eastAsia="宋体" w:cs="宋体"/>
          <w:color w:val="auto"/>
          <w:sz w:val="24"/>
          <w:szCs w:val="24"/>
          <w:highlight w:val="none"/>
        </w:rPr>
        <w:t xml:space="preserve">本项目采购预算为1358.3万元，其中：</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本项目采购包1：采购预算金额 930万元，限价为930万元。采购人不再支付报价以外的任何费用。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本项目采购包2：采购预算金额328.3万元，限价为328.3万元。采购人不再支付报价以外的任何费用。</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本项目采购包3：采购预算金额100万元，限价为100万元。采购人不再支付报价以外的任何费用。</w:t>
      </w:r>
      <w:bookmarkEnd w:id="89"/>
      <w:r/>
      <w:bookmarkEnd w:id="90"/>
      <w:r/>
      <w:r/>
    </w:p>
    <w:p>
      <w:pPr>
        <w:ind w:firstLine="480"/>
        <w:spacing w:line="440" w:lineRule="exact"/>
        <w:rPr>
          <w:rFonts w:hint="eastAsia" w:ascii="宋体" w:hAnsi="宋体" w:eastAsia="宋体" w:cs="宋体"/>
          <w:color w:val="auto"/>
          <w:sz w:val="24"/>
          <w:highlight w:val="none"/>
        </w:rPr>
      </w:pPr>
      <w:r/>
      <w:bookmarkStart w:id="91" w:name="OLE_LINK57"/>
      <w:r/>
      <w:bookmarkStart w:id="92" w:name="OLE_LINK58"/>
      <w:r>
        <w:rPr>
          <w:rFonts w:hint="eastAsia" w:ascii="宋体" w:hAnsi="宋体" w:eastAsia="宋体" w:cs="宋体"/>
          <w:color w:val="auto"/>
          <w:sz w:val="24"/>
          <w:highlight w:val="none"/>
        </w:rPr>
        <w:t xml:space="preserve">本项目共分3个采购包,兼投不兼中。每个投标人可以参与多个采购包的评审，但只允许成为一个采购包的中标人。本项目按照采购包1、采购包2、采购包3的顺序进行评审定标。在前一采购包被确定为中标人的，可以参与下一采购包的评审，但不得再次成为中标人，不再作为后续采购包的有效投标人。且各采购包的有效投标人数量不得少于3家，否则该采购包按废标处理。</w:t>
      </w:r>
      <w:bookmarkEnd w:id="91"/>
      <w:r/>
      <w:bookmarkEnd w:id="92"/>
      <w:r/>
      <w:r/>
    </w:p>
    <w:p>
      <w:pPr>
        <w:ind w:firstLine="480"/>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三、项目概况</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采购包1：主城区市管雨污水管网1016km， 包括排水设施巡查、工单处置、检查井清淤、收水井清淤、雨污水管道清淤疏通、窨井修复、应急处置（污水外溢、污水入河、排水设施造成的路面塌陷围挡等）、防汛、淤泥外运处置、防坠网（板）补充和更换、施工排水监管、工程验收、养护等内容。</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采购包2：新城区市管雨污水管网359km， 包括排水设施巡查、工单处置、检查井清淤、收水井清淤、雨污水管道清淤疏通、窨井修复、应急处置（污水外溢、污水入河、排水设施造成的路面塌陷围挡等）、防汛、淤泥外运处置、防坠网（板）补充和更换、施工排水监管、工程验收、养护等内容。</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采购包3：对全市现状1375km排水管网及附属设施（泵站、闸门等）的养护情况开展第三方监管辅助服务。通过对排水管网及附属设施（泵站、闸门等）养护情况的监管、监测预警等，实现对全区排水管网及附属设施的精细化管理，进一步提升排水设施运行效能。</w:t>
      </w:r>
      <w:r/>
    </w:p>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四、服务期：自合同签订之日起一年</w:t>
      </w:r>
      <w:r/>
    </w:p>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五、具有履行合同所必备的设备和稳定的管网维护队伍要求</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（一）★本项目工作人员配备要求（以下人数为最低标准，投标人可根据自身情况增加）</w:t>
      </w:r>
      <w:r/>
    </w:p>
    <w:tbl>
      <w:tblPr>
        <w:tblStyle w:val="7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22"/>
        <w:gridCol w:w="998"/>
        <w:gridCol w:w="44"/>
        <w:gridCol w:w="978"/>
        <w:gridCol w:w="682"/>
        <w:gridCol w:w="747"/>
        <w:gridCol w:w="747"/>
        <w:gridCol w:w="1327"/>
        <w:gridCol w:w="1448"/>
        <w:gridCol w:w="1348"/>
      </w:tblGrid>
      <w:tr>
        <w:trPr>
          <w:jc w:val="center"/>
          <w:trHeight w:val="286"/>
        </w:trPr>
        <w:tc>
          <w:tcPr>
            <w:gridSpan w:val="2"/>
            <w:tcW w:w="1042" w:type="dxa"/>
            <w:vAlign w:val="center"/>
            <w:vMerge w:val="restart"/>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w:t>
            </w:r>
            <w:r/>
          </w:p>
        </w:tc>
        <w:tc>
          <w:tcPr>
            <w:gridSpan w:val="2"/>
            <w:tcW w:w="1042" w:type="dxa"/>
            <w:vAlign w:val="center"/>
            <w:vMerge w:val="restart"/>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负责人</w:t>
            </w:r>
            <w:r/>
          </w:p>
        </w:tc>
        <w:tc>
          <w:tcPr>
            <w:tcW w:w="978" w:type="dxa"/>
            <w:vAlign w:val="center"/>
            <w:vMerge w:val="restart"/>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w:t>
            </w:r>
            <w:r/>
          </w:p>
        </w:tc>
        <w:tc>
          <w:tcPr>
            <w:tcW w:w="682" w:type="dxa"/>
            <w:vAlign w:val="center"/>
            <w:vMerge w:val="restart"/>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安全员</w:t>
            </w:r>
            <w:r/>
          </w:p>
        </w:tc>
        <w:tc>
          <w:tcPr>
            <w:tcW w:w="747" w:type="dxa"/>
            <w:vAlign w:val="center"/>
            <w:vMerge w:val="restart"/>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资料员</w:t>
            </w:r>
            <w:r/>
          </w:p>
        </w:tc>
        <w:tc>
          <w:tcPr>
            <w:tcW w:w="747" w:type="dxa"/>
            <w:vAlign w:val="center"/>
            <w:vMerge w:val="restart"/>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质量员</w:t>
            </w:r>
            <w:r/>
          </w:p>
        </w:tc>
        <w:tc>
          <w:tcPr>
            <w:gridSpan w:val="3"/>
            <w:tcW w:w="4123"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现场工作人员最低人数</w:t>
            </w:r>
            <w:r/>
          </w:p>
        </w:tc>
      </w:tr>
      <w:tr>
        <w:trPr>
          <w:jc w:val="center"/>
          <w:trHeight w:val="607"/>
        </w:trPr>
        <w:tc>
          <w:tcPr>
            <w:gridSpan w:val="2"/>
            <w:tcW w:w="1042" w:type="dxa"/>
            <w:vAlign w:val="center"/>
            <w:vMerge w:val="continue"/>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042" w:type="dxa"/>
            <w:vAlign w:val="center"/>
            <w:vMerge w:val="continue"/>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78" w:type="dxa"/>
            <w:vAlign w:val="center"/>
            <w:vMerge w:val="continue"/>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2" w:type="dxa"/>
            <w:vAlign w:val="center"/>
            <w:vMerge w:val="continue"/>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7" w:type="dxa"/>
            <w:vAlign w:val="center"/>
            <w:vMerge w:val="continue"/>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7" w:type="dxa"/>
            <w:vAlign w:val="center"/>
            <w:vMerge w:val="continue"/>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养护人数</w:t>
            </w:r>
            <w:r/>
          </w:p>
        </w:tc>
        <w:tc>
          <w:tcPr>
            <w:tcW w:w="1448"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巡查人数</w:t>
            </w:r>
            <w:r/>
          </w:p>
        </w:tc>
        <w:tc>
          <w:tcPr>
            <w:tcW w:w="1348"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维（抢）修人数</w:t>
            </w:r>
            <w:r/>
          </w:p>
        </w:tc>
      </w:tr>
      <w:tr>
        <w:trPr>
          <w:jc w:val="center"/>
          <w:trHeight w:val="656" w:hRule="exact"/>
        </w:trPr>
        <w:tc>
          <w:tcPr>
            <w:gridSpan w:val="2"/>
            <w:tcW w:w="1042"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2"/>
            <w:tcW w:w="1042"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w:t>
            </w:r>
            <w:r/>
          </w:p>
        </w:tc>
        <w:tc>
          <w:tcPr>
            <w:tcW w:w="978"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w:t>
            </w:r>
            <w:r/>
          </w:p>
        </w:tc>
        <w:tc>
          <w:tcPr>
            <w:tcW w:w="682"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w:t>
            </w:r>
            <w:r/>
          </w:p>
        </w:tc>
        <w:tc>
          <w:tcPr>
            <w:tcW w:w="747"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w:t>
            </w:r>
            <w:r/>
          </w:p>
        </w:tc>
        <w:tc>
          <w:tcPr>
            <w:tcW w:w="747"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w:t>
            </w:r>
            <w:r/>
          </w:p>
        </w:tc>
        <w:tc>
          <w:tcPr>
            <w:tcW w:w="1327"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不少于38人</w:t>
            </w:r>
            <w:r/>
          </w:p>
        </w:tc>
        <w:tc>
          <w:tcPr>
            <w:tcW w:w="1448"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不少于17人</w:t>
            </w:r>
            <w:r/>
          </w:p>
        </w:tc>
        <w:tc>
          <w:tcPr>
            <w:tcW w:w="1348"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不少于15人</w:t>
            </w:r>
            <w:r/>
          </w:p>
        </w:tc>
      </w:tr>
      <w:tr>
        <w:trPr>
          <w:jc w:val="center"/>
          <w:trHeight w:val="656" w:hRule="exact"/>
        </w:trPr>
        <w:tc>
          <w:tcPr>
            <w:gridSpan w:val="5"/>
            <w:tcW w:w="3062"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项目服务总人数</w:t>
            </w:r>
            <w:r/>
          </w:p>
        </w:tc>
        <w:tc>
          <w:tcPr>
            <w:gridSpan w:val="6"/>
            <w:tcW w:w="6299"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不少于78人</w:t>
            </w:r>
            <w:r/>
          </w:p>
        </w:tc>
      </w:tr>
      <w:tr>
        <w:trPr>
          <w:jc w:val="center"/>
          <w:trHeight w:val="286"/>
        </w:trPr>
        <w:tc>
          <w:tcPr>
            <w:gridSpan w:val="2"/>
            <w:tcW w:w="1042" w:type="dxa"/>
            <w:vAlign w:val="center"/>
            <w:vMerge w:val="restart"/>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w:t>
            </w:r>
            <w:r/>
          </w:p>
        </w:tc>
        <w:tc>
          <w:tcPr>
            <w:gridSpan w:val="2"/>
            <w:tcW w:w="1042" w:type="dxa"/>
            <w:vAlign w:val="center"/>
            <w:vMerge w:val="restart"/>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负责人</w:t>
            </w:r>
            <w:r/>
          </w:p>
        </w:tc>
        <w:tc>
          <w:tcPr>
            <w:tcW w:w="978" w:type="dxa"/>
            <w:vAlign w:val="center"/>
            <w:vMerge w:val="restart"/>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w:t>
            </w:r>
            <w:r/>
          </w:p>
        </w:tc>
        <w:tc>
          <w:tcPr>
            <w:tcW w:w="682" w:type="dxa"/>
            <w:vAlign w:val="center"/>
            <w:vMerge w:val="restart"/>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安全员</w:t>
            </w:r>
            <w:r/>
          </w:p>
        </w:tc>
        <w:tc>
          <w:tcPr>
            <w:tcW w:w="747" w:type="dxa"/>
            <w:vAlign w:val="center"/>
            <w:vMerge w:val="restart"/>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资料员</w:t>
            </w:r>
            <w:r/>
          </w:p>
        </w:tc>
        <w:tc>
          <w:tcPr>
            <w:tcW w:w="747" w:type="dxa"/>
            <w:vAlign w:val="center"/>
            <w:vMerge w:val="restart"/>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质量员</w:t>
            </w:r>
            <w:r/>
          </w:p>
        </w:tc>
        <w:tc>
          <w:tcPr>
            <w:gridSpan w:val="3"/>
            <w:tcW w:w="4123"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现场工作人员最低人数</w:t>
            </w:r>
            <w:r/>
          </w:p>
        </w:tc>
      </w:tr>
      <w:tr>
        <w:trPr>
          <w:jc w:val="center"/>
          <w:trHeight w:val="90"/>
        </w:trPr>
        <w:tc>
          <w:tcPr>
            <w:gridSpan w:val="2"/>
            <w:tcW w:w="1042" w:type="dxa"/>
            <w:vAlign w:val="center"/>
            <w:vMerge w:val="continue"/>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042" w:type="dxa"/>
            <w:vAlign w:val="center"/>
            <w:vMerge w:val="continue"/>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78" w:type="dxa"/>
            <w:vAlign w:val="center"/>
            <w:vMerge w:val="continue"/>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2" w:type="dxa"/>
            <w:vAlign w:val="center"/>
            <w:vMerge w:val="continue"/>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7" w:type="dxa"/>
            <w:vAlign w:val="center"/>
            <w:vMerge w:val="continue"/>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7" w:type="dxa"/>
            <w:vAlign w:val="center"/>
            <w:vMerge w:val="continue"/>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养护人数</w:t>
            </w:r>
            <w:r/>
          </w:p>
        </w:tc>
        <w:tc>
          <w:tcPr>
            <w:tcW w:w="1448"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巡查人数</w:t>
            </w:r>
            <w:r/>
          </w:p>
        </w:tc>
        <w:tc>
          <w:tcPr>
            <w:tcW w:w="1348"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维（抢）修人数</w:t>
            </w:r>
            <w:r/>
          </w:p>
        </w:tc>
      </w:tr>
      <w:tr>
        <w:trPr>
          <w:jc w:val="center"/>
          <w:trHeight w:val="656" w:hRule="exact"/>
        </w:trPr>
        <w:tc>
          <w:tcPr>
            <w:gridSpan w:val="2"/>
            <w:tcW w:w="1042"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W w:w="1042"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w:t>
            </w:r>
            <w:r/>
          </w:p>
        </w:tc>
        <w:tc>
          <w:tcPr>
            <w:tcW w:w="978"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w:t>
            </w:r>
            <w:r/>
          </w:p>
        </w:tc>
        <w:tc>
          <w:tcPr>
            <w:tcW w:w="682"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w:t>
            </w:r>
            <w:r/>
          </w:p>
        </w:tc>
        <w:tc>
          <w:tcPr>
            <w:tcW w:w="747"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w:t>
            </w:r>
            <w:r/>
          </w:p>
        </w:tc>
        <w:tc>
          <w:tcPr>
            <w:tcW w:w="747"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w:t>
            </w:r>
            <w:r/>
          </w:p>
        </w:tc>
        <w:tc>
          <w:tcPr>
            <w:tcW w:w="1327"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不少于12人</w:t>
            </w:r>
            <w:r/>
          </w:p>
        </w:tc>
        <w:tc>
          <w:tcPr>
            <w:tcW w:w="1448"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不少于6人</w:t>
            </w:r>
            <w:r/>
          </w:p>
        </w:tc>
        <w:tc>
          <w:tcPr>
            <w:tcW w:w="1348"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不少于5人</w:t>
            </w:r>
            <w:r/>
          </w:p>
        </w:tc>
      </w:tr>
      <w:tr>
        <w:trPr>
          <w:jc w:val="center"/>
          <w:trHeight w:val="656" w:hRule="exact"/>
        </w:trPr>
        <w:tc>
          <w:tcPr>
            <w:gridSpan w:val="5"/>
            <w:tcW w:w="3062"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项目服务总人数</w:t>
            </w:r>
            <w:r/>
          </w:p>
        </w:tc>
        <w:tc>
          <w:tcPr>
            <w:gridSpan w:val="6"/>
            <w:tcW w:w="6299"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不少于30人</w:t>
            </w:r>
            <w:r/>
          </w:p>
        </w:tc>
      </w:tr>
      <w:tr>
        <w:trPr>
          <w:jc w:val="center"/>
          <w:trHeight w:val="656" w:hRule="exact"/>
        </w:trPr>
        <w:tc>
          <w:tcPr>
            <w:tcW w:w="1020"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w:t>
            </w:r>
            <w:r/>
          </w:p>
        </w:tc>
        <w:tc>
          <w:tcPr>
            <w:gridSpan w:val="2"/>
            <w:tcW w:w="1020"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tc>
        <w:tc>
          <w:tcPr>
            <w:gridSpan w:val="2"/>
            <w:tcW w:w="1022"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数据维护人员</w:t>
            </w:r>
            <w:r/>
          </w:p>
        </w:tc>
        <w:tc>
          <w:tcPr>
            <w:gridSpan w:val="6"/>
            <w:tcW w:w="6299"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现场监管人员</w:t>
            </w:r>
            <w:r/>
          </w:p>
        </w:tc>
      </w:tr>
      <w:tr>
        <w:trPr>
          <w:jc w:val="center"/>
          <w:trHeight w:val="656" w:hRule="exact"/>
        </w:trPr>
        <w:tc>
          <w:tcPr>
            <w:tcW w:w="1020"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gridSpan w:val="2"/>
            <w:tcW w:w="1020"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2"/>
            <w:tcW w:w="1022"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6"/>
            <w:tcW w:w="6299"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r>
      <w:tr>
        <w:trPr>
          <w:jc w:val="center"/>
          <w:trHeight w:val="656" w:hRule="exact"/>
        </w:trPr>
        <w:tc>
          <w:tcPr>
            <w:gridSpan w:val="5"/>
            <w:tcW w:w="3062"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项目服务总人数</w:t>
            </w:r>
            <w:r/>
          </w:p>
        </w:tc>
        <w:tc>
          <w:tcPr>
            <w:gridSpan w:val="6"/>
            <w:tcW w:w="6299" w:type="dxa"/>
            <w:vAlign w:val="center"/>
            <w:textDirection w:val="lrTb"/>
            <w:noWrap w:val="false"/>
          </w:tcPr>
          <w:p>
            <w:pPr>
              <w:spacing w:line="1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bl>
    <w:p>
      <w:pPr>
        <w:spacing w:line="10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采购包1、采购包2：拟任项目负责人（注册建造师）具备市政公用工程专业贰级及以上建造师资格（在本企业注册），同时具有《建筑施工企业安全生产考核合格证书》（B证）；技术负责人具有市政工程（或水利工程或给水排水工程）专业工程师（含）以上资格，安全员具有《建筑施工企业安全生产考核合格证书》（C证）具有相应的资格证书；项目负责人无在建项目，在合同期内不得擅自更换（投标人提供承诺，格式自拟）。投标文件中提供项目负责人、技术负责人、安全员上述证书扫描件和</w:t>
      </w:r>
      <w:bookmarkStart w:id="93" w:name="OLE_LINK61"/>
      <w:r/>
      <w:bookmarkStart w:id="94" w:name="OLE_LINK62"/>
      <w:r>
        <w:rPr>
          <w:rFonts w:hint="eastAsia" w:ascii="宋体" w:hAnsi="宋体" w:eastAsia="宋体" w:cs="宋体"/>
          <w:color w:val="auto"/>
          <w:sz w:val="24"/>
          <w:highlight w:val="none"/>
        </w:rPr>
        <w:t xml:space="preserve">开标时间前6个月内（不含开标当月）任何1个月的投标人为其缴纳的社保证明扫描件（加盖公章）。</w:t>
      </w:r>
      <w:bookmarkEnd w:id="93"/>
      <w:r/>
      <w:bookmarkEnd w:id="94"/>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包3：拟任项目负责人具备信息系统项目管理师；无在建项目，在合同期内不得擅自更换（投标人提供承诺，格式自拟）。投标文件中提供项目负责人证书扫描件和开标时间前6个月内（不含开标当月）任何1个月的投标人为其缴纳的社保证明扫描件（加盖公章）。</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（三）★本项目养护管理机械机具设备配置要求（以下数量和设备种类为最低标准，投标人可根据自身情况增加）：</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包1：联合疏通车（具备清洗疏通与吸污两项功能）或高压疏通车2辆、吸污车2辆、污泥运输车2台、工具车2台、挖斗式清淤车2台、移动泵车4辆（流量不小于300m3/h）。安全检测设备（潜望镜2台、GPS测量仪2台、cctv检测机器人2台、气体检测仪4台、长管呼吸器（含防毒面罩）4个）。以上设备自有的须提供设备购买发票扫描件或复印件和车辆行驶证扫描件或复印件（加盖电子签章）；以上设备租赁的应提供一年以上（含一年）租赁协议扫描件或复印件，并提供设备的购买发票及有效的车辆行驶证扫描件或复印件（加盖电子签章）。</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包2：联合疏通车（具备清洗疏通与吸污两项功能）或高压疏通车1辆、吸污车1辆、污泥运输车1台、工具车1台、挖斗式清淤车2台、移动泵车2辆（流量不小于300m3/h）。安全检测设备（潜望镜2台、GPS测量仪1台、cctv检测机器人2台、气体检测仪2台、长管呼吸器（含防毒面罩）2个）。以上设备自有的须提供设备购买发票扫描件或复印件和车辆行驶证扫描件或复印件（加盖电子签章）；以上设备租赁的应提供一年以上（含一年）租赁协议扫描件或复印件，并提供设备的购买发票及有效的车辆行驶证扫描件或复印件（加盖电子签章）。</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包3：现场巡查车辆1台、潜望镜1台。自有的须提供设备购买发票扫描件或复印件和车辆行驶证扫描件或复印件（加盖电子签章）；以上设备租赁的应提供一年以上（含一年）租赁协议扫描件或复印件，并提供设备的购买发票及有效的车辆行驶证扫描件或复印件（加盖电子签章）。</w:t>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加★为实质性要求，不接受负偏离，如不响应，则投标无效。</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440" w:lineRule="exact"/>
        <w:rPr>
          <w:rFonts w:hint="eastAsia" w:ascii="宋体" w:hAnsi="宋体" w:eastAsia="宋体" w:cs="宋体"/>
          <w:b/>
          <w:bCs/>
          <w:color w:val="auto"/>
          <w:sz w:val="30"/>
          <w:szCs w:val="30"/>
          <w:highlight w:val="none"/>
        </w:rPr>
      </w:pPr>
      <w:r>
        <w:rPr>
          <w:rFonts w:hint="eastAsia" w:ascii="宋体" w:hAnsi="宋体" w:eastAsia="宋体" w:cs="宋体"/>
          <w:b/>
          <w:color w:val="auto"/>
          <w:sz w:val="24"/>
          <w:szCs w:val="24"/>
          <w:highlight w:val="none"/>
        </w:rPr>
        <w:t xml:space="preserve">六、采购包3具体要求</w:t>
      </w:r>
      <w:r/>
    </w:p>
    <w:tbl>
      <w:tblPr>
        <w:tblStyle w:val="785"/>
        <w:tblW w:w="9049" w:type="dxa"/>
        <w:jc w:val="center"/>
        <w:tblLayout w:type="fixed"/>
        <w:tblCellMar>
          <w:left w:w="108" w:type="dxa"/>
          <w:top w:w="0" w:type="dxa"/>
          <w:right w:w="108" w:type="dxa"/>
          <w:bottom w:w="0" w:type="dxa"/>
        </w:tblCellMar>
        <w:tblLook w:val="04A0" w:firstRow="1" w:lastRow="0" w:firstColumn="1" w:lastColumn="0" w:noHBand="0" w:noVBand="1"/>
      </w:tblPr>
      <w:tblGrid>
        <w:gridCol w:w="846"/>
        <w:gridCol w:w="1559"/>
        <w:gridCol w:w="5954"/>
        <w:gridCol w:w="690"/>
      </w:tblGrid>
      <w:tr>
        <w:trPr>
          <w:jc w:val="center"/>
          <w:trHeight w:val="624"/>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类别</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568"/>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数据标准化</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处理服务</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制定一套底层数据结构标准并辅助发布实施</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对全市现状</w:t>
            </w:r>
            <w:r>
              <w:rPr>
                <w:rFonts w:hint="eastAsia" w:ascii="宋体" w:hAnsi="宋体" w:eastAsia="宋体" w:cs="宋体"/>
                <w:color w:val="auto"/>
                <w:sz w:val="24"/>
                <w:szCs w:val="24"/>
                <w:highlight w:val="none"/>
              </w:rPr>
              <w:t xml:space="preserve">1375</w:t>
            </w:r>
            <w:r>
              <w:rPr>
                <w:rFonts w:hint="eastAsia" w:ascii="宋体" w:hAnsi="宋体" w:eastAsia="宋体" w:cs="宋体"/>
                <w:color w:val="auto"/>
                <w:sz w:val="24"/>
                <w:szCs w:val="24"/>
                <w:highlight w:val="none"/>
                <w:lang w:val="zh-CN"/>
              </w:rPr>
              <w:t xml:space="preserve">km排水管网及附属设施的</w:t>
            </w:r>
            <w:r>
              <w:rPr>
                <w:rFonts w:hint="eastAsia" w:ascii="宋体" w:hAnsi="宋体" w:eastAsia="宋体" w:cs="宋体"/>
                <w:color w:val="auto"/>
                <w:sz w:val="24"/>
                <w:szCs w:val="24"/>
                <w:highlight w:val="none"/>
              </w:rPr>
              <w:t xml:space="preserve">数据进行</w:t>
            </w:r>
            <w:r>
              <w:rPr>
                <w:rFonts w:hint="eastAsia" w:ascii="宋体" w:hAnsi="宋体" w:eastAsia="宋体" w:cs="宋体"/>
                <w:color w:val="auto"/>
                <w:sz w:val="24"/>
                <w:szCs w:val="24"/>
                <w:highlight w:val="none"/>
                <w:lang w:val="zh-CN"/>
              </w:rPr>
              <w:t xml:space="preserve">标准化</w:t>
            </w:r>
            <w:r>
              <w:rPr>
                <w:rFonts w:hint="eastAsia" w:ascii="宋体" w:hAnsi="宋体" w:eastAsia="宋体" w:cs="宋体"/>
                <w:color w:val="auto"/>
                <w:sz w:val="24"/>
                <w:szCs w:val="24"/>
                <w:highlight w:val="none"/>
              </w:rPr>
              <w:t xml:space="preserve">管理，形成当年全市排水管网一张图。</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完成全市7个污水厂、市直管79个雨污水泵站、114孔闸门、管网液位、流量监测点等外部数据对接。</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right w:val="single" w:color="000000" w:sz="4" w:space="0"/>
            </w:tcBorders>
            <w:tcW w:w="1559"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日常运营</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监管服务</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协助完成全市排水管网最新测绘、检测及修复成果的数据标准化审核，并补充完善排水管网一张图。</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left w:val="single" w:color="000000" w:sz="4" w:space="0"/>
              <w:right w:val="single" w:color="000000" w:sz="4" w:space="0"/>
            </w:tcBorders>
            <w:tcW w:w="1559"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制定监管范围内排水管网的养护及巡查管理方案，收集巡查养护作业的全过程资料，实现对巡查养护工作的可追溯管理，形成巡查养护报表数据，并统一上报甲方上级管理部门。</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left w:val="single" w:color="000000" w:sz="4" w:space="0"/>
              <w:right w:val="single" w:color="000000" w:sz="4" w:space="0"/>
            </w:tcBorders>
            <w:tcW w:w="1559"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结合排水管网数据的整理及更新，对排水业务数据进行关联分析，协助甲方实现对市管排水户、管网、泵站、污水厂、河道及排口的一张图动态管理，提供可视化展示，为管理科学决策提供准确的数据支撑。</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left w:val="single" w:color="000000" w:sz="4" w:space="0"/>
              <w:right w:val="single" w:color="000000" w:sz="4" w:space="0"/>
            </w:tcBorders>
            <w:tcW w:w="1559"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提供现场作业人员的位置和作业内容的实时可视化展示，完成巡查养护工作数量和质量双复核监管。</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left w:val="single" w:color="000000" w:sz="4" w:space="0"/>
              <w:right w:val="single" w:color="000000" w:sz="4" w:space="0"/>
            </w:tcBorders>
            <w:tcW w:w="1559"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完成管网液位、流量监测点物联感知设备的实时数据采集，结合管网情况对监测数据进行分析，实时监测管网的运行状态，提供管网突发事件的有效预警。</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rPr>
                <w:rFonts w:hint="eastAsia" w:ascii="宋体" w:hAnsi="宋体" w:eastAsia="宋体" w:cs="宋体"/>
                <w:color w:val="auto"/>
                <w:sz w:val="24"/>
                <w:szCs w:val="24"/>
                <w:highlight w:val="none"/>
              </w:rPr>
            </w:pPr>
            <w:r/>
            <w:bookmarkStart w:id="95" w:name="OLE_LINK51"/>
            <w:r/>
            <w:bookmarkStart w:id="96" w:name="OLE_LINK56"/>
            <w:r>
              <w:rPr>
                <w:rFonts w:hint="eastAsia" w:ascii="宋体" w:hAnsi="宋体" w:eastAsia="宋体" w:cs="宋体"/>
                <w:color w:val="auto"/>
                <w:sz w:val="24"/>
                <w:szCs w:val="24"/>
                <w:highlight w:val="none"/>
              </w:rPr>
              <w:t xml:space="preserve">对管网、闸站养护单位及污泥运输状况进行辅助管理。</w:t>
            </w:r>
            <w:bookmarkEnd w:id="95"/>
            <w:r/>
            <w:bookmarkEnd w:id="96"/>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788"/>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每月形成养护监管报告及数据处理报告，并提供给徐州市供排水管理中心。报告内容包括排水管道养护情况简报、养护工作量统计、排水设施数据更新成果情况简报等。</w:t>
      </w:r>
      <w:bookmarkEnd w:id="87"/>
      <w:r/>
      <w:bookmarkEnd w:id="88"/>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七、其他要求</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见招标文件第五章《拟签订的合同文本》。</w:t>
      </w:r>
      <w:r/>
    </w:p>
    <w:p>
      <w:pPr>
        <w:rPr>
          <w:rStyle w:val="1004"/>
          <w:rFonts w:hint="eastAsia" w:ascii="宋体" w:hAnsi="宋体" w:eastAsia="宋体" w:cs="宋体"/>
          <w:color w:val="auto"/>
          <w:highlight w:val="none"/>
        </w:rPr>
      </w:pPr>
      <w:r>
        <w:rPr>
          <w:rStyle w:val="1004"/>
          <w:rFonts w:hint="eastAsia" w:ascii="宋体" w:hAnsi="宋体" w:eastAsia="宋体" w:cs="宋体"/>
          <w:color w:val="auto"/>
          <w:highlight w:val="none"/>
        </w:rPr>
        <w:br w:type="page" w:clear="all"/>
      </w:r>
      <w:r/>
    </w:p>
    <w:p>
      <w:pPr>
        <w:pStyle w:val="993"/>
        <w:spacing w:line="52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第七章  投标文件相关格式</w:t>
      </w:r>
      <w:bookmarkEnd w:id="83"/>
      <w:r/>
      <w:bookmarkEnd w:id="84"/>
      <w:r/>
      <w:r/>
    </w:p>
    <w:p>
      <w:pPr>
        <w:ind w:firstLine="37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7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目  录</w:t>
      </w:r>
      <w:r/>
    </w:p>
    <w:p>
      <w:pPr>
        <w:spacing w:line="2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一、投标函格式</w:t>
      </w:r>
      <w:r/>
    </w:p>
    <w:p>
      <w:pPr>
        <w:spacing w:line="2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二、开标一览表</w:t>
      </w:r>
      <w:r/>
    </w:p>
    <w:p>
      <w:pPr>
        <w:spacing w:line="2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三、分项价格表格式</w:t>
      </w:r>
      <w:r/>
    </w:p>
    <w:p>
      <w:pPr>
        <w:spacing w:line="2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四、偏离表格式</w:t>
      </w:r>
      <w:r/>
    </w:p>
    <w:p>
      <w:pPr>
        <w:spacing w:line="2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五、法定代表人授权书格式</w:t>
      </w:r>
      <w:r/>
    </w:p>
    <w:p>
      <w:pPr>
        <w:spacing w:line="2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六、中小企业声明函格式</w:t>
      </w:r>
      <w:r/>
    </w:p>
    <w:p>
      <w:pPr>
        <w:spacing w:line="2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七、残疾人福利性单位声明函格式</w:t>
      </w:r>
      <w:r/>
    </w:p>
    <w:p>
      <w:pPr>
        <w:spacing w:line="2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八、投标人参加政府采购活动前3年内在经营活动中没有重大违法记录的书面声明格式</w:t>
      </w:r>
      <w:r/>
    </w:p>
    <w:p>
      <w:pPr>
        <w:spacing w:line="2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九、具备履行合同所必需的设备和专业技术能力的书面声明</w:t>
      </w:r>
      <w:r/>
    </w:p>
    <w:p>
      <w:pPr>
        <w:spacing w:line="2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十、预付款保函支付条款模板</w:t>
      </w:r>
      <w:r/>
    </w:p>
    <w:p>
      <w:pPr>
        <w:spacing w:line="2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十一、其他资料</w:t>
      </w:r>
      <w:r/>
    </w:p>
    <w:p>
      <w:pPr>
        <w:pStyle w:val="78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bCs/>
          <w:color w:val="auto"/>
          <w:sz w:val="30"/>
          <w:szCs w:val="44"/>
          <w:highlight w:val="none"/>
        </w:rPr>
      </w:pPr>
      <w:r>
        <w:rPr>
          <w:rFonts w:hint="eastAsia" w:ascii="宋体" w:hAnsi="宋体" w:eastAsia="宋体" w:cs="宋体"/>
          <w:color w:val="auto"/>
          <w:highlight w:val="none"/>
        </w:rPr>
        <w:br w:type="page" w:clear="all"/>
      </w:r>
      <w:r/>
    </w:p>
    <w:p>
      <w:pPr>
        <w:pStyle w:val="993"/>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一、投标函格式</w:t>
      </w:r>
      <w:r/>
    </w:p>
    <w:p>
      <w:pPr>
        <w:pStyle w:val="788"/>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徐州市通源招标代理有限公司 </w:t>
      </w:r>
      <w:r/>
    </w:p>
    <w:p>
      <w:pPr>
        <w:pStyle w:val="788"/>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]招标文件，</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(姓名)代表我方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（投标人的名称）全权处理本次投标的有关事宜。</w:t>
      </w:r>
      <w:r/>
    </w:p>
    <w:p>
      <w:pPr>
        <w:pStyle w:val="788"/>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据此函，投标人承诺并同意如下： </w:t>
      </w:r>
      <w:r/>
    </w:p>
    <w:p>
      <w:pPr>
        <w:pStyle w:val="788"/>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投标人唯一投标报价见《开标一览表》。</w:t>
      </w:r>
      <w:r/>
    </w:p>
    <w:p>
      <w:pPr>
        <w:pStyle w:val="788"/>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投标人将按招标文件的规定履行合同责任和义务。</w:t>
      </w:r>
      <w:r/>
    </w:p>
    <w:p>
      <w:pPr>
        <w:pStyle w:val="788"/>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投标人已详细审查全部招标文件，包括第[插入编号] [补遗书][如果有的话]。投标人完全理解并同意放弃对这方面有不明及误解的权力。</w:t>
      </w:r>
      <w:r/>
    </w:p>
    <w:p>
      <w:pPr>
        <w:pStyle w:val="788"/>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投标有效期为开标之日后90天。</w:t>
      </w:r>
      <w:r/>
    </w:p>
    <w:p>
      <w:pPr>
        <w:pStyle w:val="788"/>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投标人同意提供按照贵方可能要求的与其投标有关的一切数据或资料，完全理解贵方不一定接受最低价的投标或收到的任何投标。</w:t>
      </w:r>
      <w:r/>
    </w:p>
    <w:p>
      <w:pPr>
        <w:pStyle w:val="788"/>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 投标人同意按照招标文件规定支付招标代理服务费。</w:t>
      </w:r>
      <w:r/>
    </w:p>
    <w:p>
      <w:pPr>
        <w:pStyle w:val="788"/>
        <w:ind w:right="29"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pStyle w:val="788"/>
        <w:ind w:right="29"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 采购人有权对投标人投标文件的真实性进行核实，如投标人不能在采购人规定的时间内向采购人提供有效的证明文件，将被采购人视为放弃中标资格。特别要求的除外。</w:t>
      </w:r>
      <w:r/>
    </w:p>
    <w:p>
      <w:pPr>
        <w:pStyle w:val="788"/>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 与本投标有关的一切正式往来信函请寄：</w:t>
      </w:r>
      <w:r/>
    </w:p>
    <w:p>
      <w:pPr>
        <w:pStyle w:val="788"/>
        <w:ind w:firstLine="9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w:t>
      </w:r>
      <w:r/>
    </w:p>
    <w:p>
      <w:pPr>
        <w:pStyle w:val="788"/>
        <w:ind w:firstLine="9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w:t>
      </w:r>
      <w:r/>
    </w:p>
    <w:p>
      <w:pPr>
        <w:pStyle w:val="788"/>
        <w:ind w:firstLine="9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w:t>
      </w:r>
      <w:r/>
    </w:p>
    <w:p>
      <w:pPr>
        <w:pStyle w:val="788"/>
        <w:ind w:firstLine="3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投标人：（盖单位电子签章）</w:t>
      </w:r>
      <w:r/>
    </w:p>
    <w:p>
      <w:pPr>
        <w:pStyle w:val="788"/>
        <w:ind w:firstLine="3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993"/>
        <w:spacing w:line="520" w:lineRule="exact"/>
        <w:rPr>
          <w:rFonts w:hint="eastAsia" w:ascii="宋体" w:hAnsi="宋体" w:eastAsia="宋体" w:cs="宋体"/>
          <w:color w:val="auto"/>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color w:val="auto"/>
          <w:highlight w:val="none"/>
        </w:rPr>
        <w:t xml:space="preserve">二、开标一览表格式</w:t>
      </w:r>
      <w:r/>
    </w:p>
    <w:p>
      <w:pPr>
        <w:pStyle w:val="788"/>
        <w:ind w:firstLine="600"/>
        <w:spacing w:line="52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项目名称：2026年度市直管雨、污水管渠维修养护市场化项目</w:t>
      </w:r>
      <w:r/>
    </w:p>
    <w:p>
      <w:pPr>
        <w:pStyle w:val="788"/>
        <w:ind w:firstLine="600"/>
        <w:spacing w:line="52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项目编号：JSZC-320300-XZTY-G2026-0001</w:t>
      </w:r>
      <w:r/>
    </w:p>
    <w:p>
      <w:pPr>
        <w:pStyle w:val="788"/>
        <w:ind w:firstLine="60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货币单位：人民币元</w:t>
      </w:r>
      <w:r/>
    </w:p>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785"/>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678"/>
        <w:gridCol w:w="2379"/>
        <w:gridCol w:w="3277"/>
      </w:tblGrid>
      <w:tr>
        <w:trPr>
          <w:cantSplit/>
          <w:jc w:val="center"/>
          <w:trHeight w:val="1163"/>
        </w:trPr>
        <w:tc>
          <w:tcPr>
            <w:tcW w:w="3678" w:type="dxa"/>
            <w:vAlign w:val="center"/>
            <w:textDirection w:val="lrTb"/>
            <w:noWrap w:val="false"/>
          </w:tcPr>
          <w:p>
            <w:pPr>
              <w:pStyle w:val="78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2379" w:type="dxa"/>
            <w:vAlign w:val="center"/>
            <w:textDirection w:val="lrTb"/>
            <w:noWrap w:val="false"/>
          </w:tcPr>
          <w:p>
            <w:pPr>
              <w:pStyle w:val="78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项目内容</w:t>
            </w:r>
            <w:r/>
          </w:p>
        </w:tc>
        <w:tc>
          <w:tcPr>
            <w:tcW w:w="3277" w:type="dxa"/>
            <w:vAlign w:val="center"/>
            <w:textDirection w:val="lrTb"/>
            <w:noWrap w:val="false"/>
          </w:tcPr>
          <w:p>
            <w:pPr>
              <w:pStyle w:val="78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总价（小写）</w:t>
            </w:r>
            <w:r/>
          </w:p>
        </w:tc>
      </w:tr>
      <w:tr>
        <w:trPr>
          <w:cantSplit/>
          <w:jc w:val="center"/>
          <w:trHeight w:val="1214"/>
        </w:trPr>
        <w:tc>
          <w:tcPr>
            <w:tcW w:w="3678" w:type="dxa"/>
            <w:vAlign w:val="center"/>
            <w:textDirection w:val="lrTb"/>
            <w:noWrap w:val="false"/>
          </w:tcPr>
          <w:p>
            <w:pPr>
              <w:pStyle w:val="788"/>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2026年度市直管雨、污水管渠维修养护市场化项目（采购包</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tc>
        <w:tc>
          <w:tcPr>
            <w:tcW w:w="2379" w:type="dxa"/>
            <w:vAlign w:val="center"/>
            <w:textDirection w:val="lrTb"/>
            <w:noWrap w:val="false"/>
          </w:tcPr>
          <w:p>
            <w:pPr>
              <w:pStyle w:val="78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3277" w:type="dxa"/>
            <w:vAlign w:val="center"/>
            <w:textDirection w:val="lrTb"/>
            <w:noWrap w:val="false"/>
          </w:tcPr>
          <w:p>
            <w:pPr>
              <w:pStyle w:val="78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452"/>
        </w:trPr>
        <w:tc>
          <w:tcPr>
            <w:tcW w:w="3678" w:type="dxa"/>
            <w:vAlign w:val="center"/>
            <w:textDirection w:val="lrTb"/>
            <w:noWrap w:val="false"/>
          </w:tcPr>
          <w:p>
            <w:pPr>
              <w:pStyle w:val="78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总价（大写）：</w:t>
            </w:r>
            <w:r/>
          </w:p>
        </w:tc>
        <w:tc>
          <w:tcPr>
            <w:gridSpan w:val="2"/>
            <w:tcW w:w="5656" w:type="dxa"/>
            <w:vAlign w:val="center"/>
            <w:textDirection w:val="lrTb"/>
            <w:noWrap w:val="false"/>
          </w:tcPr>
          <w:p>
            <w:pPr>
              <w:pStyle w:val="78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供应商承诺：本报价（总价）为供应商本企业提供的服务。</w:t>
      </w:r>
      <w:r/>
    </w:p>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1、报价应包括全部内容，以及为完成上述内容所需的全部费用。</w:t>
      </w:r>
      <w:r/>
    </w:p>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pStyle w:val="788"/>
        <w:ind w:firstLine="27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8"/>
        <w:ind w:firstLine="27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8"/>
        <w:ind w:firstLine="315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投标人：（盖单位电子签章）</w:t>
      </w:r>
      <w:r/>
    </w:p>
    <w:p>
      <w:pPr>
        <w:pStyle w:val="788"/>
        <w:ind w:firstLine="495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8"/>
        <w:ind w:firstLine="495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788"/>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8"/>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88"/>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88"/>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88"/>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93"/>
        <w:spacing w:line="520" w:lineRule="exact"/>
        <w:rPr>
          <w:rFonts w:hint="eastAsia" w:ascii="宋体" w:hAnsi="宋体" w:eastAsia="宋体" w:cs="宋体"/>
          <w:color w:val="auto"/>
          <w:highlight w:val="none"/>
        </w:rPr>
      </w:pPr>
      <w:r>
        <w:rPr>
          <w:rFonts w:hint="eastAsia" w:ascii="宋体" w:hAnsi="宋体" w:eastAsia="宋体" w:cs="宋体"/>
          <w:color w:val="auto"/>
          <w:szCs w:val="30"/>
          <w:highlight w:val="none"/>
        </w:rPr>
        <w:br w:type="page" w:clear="all"/>
      </w:r>
      <w:r>
        <w:rPr>
          <w:rFonts w:hint="eastAsia" w:ascii="宋体" w:hAnsi="宋体" w:eastAsia="宋体" w:cs="宋体"/>
          <w:color w:val="auto"/>
          <w:highlight w:val="none"/>
        </w:rPr>
        <w:t xml:space="preserve">三、分项价格表格式</w:t>
      </w:r>
      <w:r/>
    </w:p>
    <w:p>
      <w:pPr>
        <w:pStyle w:val="788"/>
        <w:ind w:firstLine="602"/>
        <w:jc w:val="center"/>
        <w:spacing w:before="169" w:line="185"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8"/>
        <w:ind w:firstLine="565"/>
        <w:spacing w:before="91" w:line="186" w:lineRule="auto"/>
        <w:rPr>
          <w:rFonts w:hint="eastAsia" w:ascii="宋体" w:hAnsi="宋体" w:eastAsia="宋体" w:cs="宋体"/>
          <w:color w:val="auto"/>
          <w:sz w:val="24"/>
          <w:highlight w:val="none"/>
        </w:rPr>
      </w:pPr>
      <w:r>
        <w:rPr>
          <w:rFonts w:hint="eastAsia" w:ascii="宋体" w:hAnsi="宋体" w:eastAsia="宋体" w:cs="宋体"/>
          <w:color w:val="auto"/>
          <w:spacing w:val="-14"/>
          <w:sz w:val="24"/>
          <w:highlight w:val="none"/>
        </w:rPr>
        <w:t xml:space="preserve">项目名称（标段名称）：</w:t>
      </w:r>
      <w:r/>
    </w:p>
    <w:p>
      <w:pPr>
        <w:pStyle w:val="788"/>
        <w:ind w:firstLine="565"/>
        <w:spacing w:before="197" w:line="186"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项目编号：JSZC-320300-XZTY-G2026-0001</w:t>
      </w:r>
      <w:r/>
    </w:p>
    <w:p>
      <w:pPr>
        <w:pStyle w:val="788"/>
        <w:ind w:firstLine="568"/>
        <w:spacing w:before="198" w:line="186"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标段：</w:t>
      </w:r>
      <w:r/>
    </w:p>
    <w:p>
      <w:pPr>
        <w:pStyle w:val="788"/>
        <w:ind w:firstLine="568"/>
        <w:spacing w:before="198" w:line="186" w:lineRule="auto"/>
        <w:rPr>
          <w:rFonts w:hint="eastAsia" w:ascii="宋体" w:hAnsi="宋体" w:eastAsia="宋体" w:cs="宋体"/>
          <w:color w:val="auto"/>
          <w:sz w:val="24"/>
          <w:highlight w:val="none"/>
        </w:rPr>
      </w:pPr>
      <w:r>
        <w:rPr>
          <w:rFonts w:hint="eastAsia" w:ascii="宋体" w:hAnsi="宋体" w:eastAsia="宋体" w:cs="宋体"/>
          <w:color w:val="auto"/>
          <w:spacing w:val="-24"/>
          <w:sz w:val="24"/>
          <w:highlight w:val="none"/>
        </w:rPr>
        <w:t xml:space="preserve">货币单位：人民币元</w:t>
      </w:r>
      <w:r/>
    </w:p>
    <w:p>
      <w:pPr>
        <w:pStyle w:val="788"/>
        <w:spacing w:line="265"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8"/>
        <w:spacing w:before="91" w:line="186" w:lineRule="auto"/>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r>
      <w:r/>
    </w:p>
    <w:p>
      <w:pPr>
        <w:pStyle w:val="788"/>
        <w:ind w:firstLine="2664"/>
        <w:jc w:val="right"/>
        <w:spacing w:before="91" w:line="186" w:lineRule="auto"/>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r>
      <w:r/>
    </w:p>
    <w:p>
      <w:pPr>
        <w:pStyle w:val="844"/>
        <w:ind w:firstLine="1430"/>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t xml:space="preserve">（投标人自拟）</w:t>
      </w:r>
      <w:r/>
    </w:p>
    <w:p>
      <w:pPr>
        <w:pStyle w:val="844"/>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r>
      <w:r/>
    </w:p>
    <w:p>
      <w:pPr>
        <w:pStyle w:val="1010"/>
        <w:ind w:firstLine="96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投标人承诺：投标人本企业为本项目提供服务。</w:t>
      </w:r>
      <w:r/>
    </w:p>
    <w:p>
      <w:pPr>
        <w:pStyle w:val="844"/>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r>
      <w:r/>
    </w:p>
    <w:p>
      <w:pPr>
        <w:pStyle w:val="844"/>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r>
      <w:r/>
    </w:p>
    <w:p>
      <w:pPr>
        <w:pStyle w:val="788"/>
        <w:ind w:firstLine="2664"/>
        <w:jc w:val="right"/>
        <w:spacing w:before="91" w:line="186" w:lineRule="auto"/>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r>
      <w:r/>
    </w:p>
    <w:p>
      <w:pPr>
        <w:pStyle w:val="10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8"/>
        <w:ind w:left="907" w:hanging="69"/>
        <w:spacing w:before="198" w:line="186" w:lineRule="auto"/>
        <w:rPr>
          <w:rFonts w:hint="eastAsia" w:ascii="宋体" w:hAnsi="宋体" w:eastAsia="宋体" w:cs="宋体"/>
          <w:color w:val="auto"/>
          <w:spacing w:val="-24"/>
          <w:sz w:val="24"/>
          <w:highlight w:val="none"/>
        </w:rPr>
      </w:pPr>
      <w:r>
        <w:rPr>
          <w:rFonts w:hint="eastAsia" w:ascii="宋体" w:hAnsi="宋体" w:eastAsia="宋体" w:cs="宋体"/>
          <w:color w:val="auto"/>
          <w:spacing w:val="-24"/>
          <w:sz w:val="24"/>
          <w:highlight w:val="none"/>
        </w:rPr>
      </w:r>
      <w:r/>
    </w:p>
    <w:p>
      <w:pPr>
        <w:pStyle w:val="788"/>
        <w:ind w:left="907" w:hanging="69"/>
        <w:spacing w:before="198" w:line="186" w:lineRule="auto"/>
        <w:rPr>
          <w:rFonts w:hint="eastAsia" w:ascii="宋体" w:hAnsi="宋体" w:eastAsia="宋体" w:cs="宋体"/>
          <w:color w:val="auto"/>
          <w:spacing w:val="-24"/>
          <w:sz w:val="24"/>
          <w:highlight w:val="none"/>
        </w:rPr>
      </w:pPr>
      <w:r>
        <w:rPr>
          <w:rFonts w:hint="eastAsia" w:ascii="宋体" w:hAnsi="宋体" w:eastAsia="宋体" w:cs="宋体"/>
          <w:color w:val="auto"/>
          <w:spacing w:val="-24"/>
          <w:sz w:val="24"/>
          <w:highlight w:val="none"/>
        </w:rPr>
        <w:t xml:space="preserve">                            投标人：            （盖单位电子签章）</w:t>
      </w:r>
      <w:r/>
    </w:p>
    <w:p>
      <w:pPr>
        <w:pStyle w:val="10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8"/>
        <w:ind w:firstLine="5957"/>
        <w:spacing w:before="198" w:line="186" w:lineRule="auto"/>
        <w:rPr>
          <w:rFonts w:hint="eastAsia" w:ascii="宋体" w:hAnsi="宋体" w:eastAsia="宋体" w:cs="宋体"/>
          <w:color w:val="auto"/>
          <w:spacing w:val="-24"/>
          <w:sz w:val="24"/>
          <w:highlight w:val="none"/>
        </w:rPr>
      </w:pPr>
      <w:r>
        <w:rPr>
          <w:rFonts w:hint="eastAsia" w:ascii="宋体" w:hAnsi="宋体" w:eastAsia="宋体" w:cs="宋体"/>
          <w:color w:val="auto"/>
          <w:spacing w:val="-24"/>
          <w:sz w:val="24"/>
          <w:highlight w:val="none"/>
        </w:rPr>
        <w:t xml:space="preserve">日期：    年   月   日</w:t>
      </w:r>
      <w:r/>
    </w:p>
    <w:p>
      <w:pPr>
        <w:ind w:firstLine="240"/>
        <w:spacing w:line="312" w:lineRule="atLeast"/>
        <w:rPr>
          <w:rFonts w:hint="eastAsia" w:ascii="宋体" w:hAnsi="宋体" w:eastAsia="宋体" w:cs="宋体"/>
          <w:color w:val="auto"/>
          <w:spacing w:val="-1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1"/>
          <w:sz w:val="24"/>
          <w:highlight w:val="none"/>
        </w:rPr>
        <w:t xml:space="preserve">注：</w:t>
      </w:r>
      <w:r/>
    </w:p>
    <w:p>
      <w:pPr>
        <w:ind w:firstLine="240"/>
        <w:spacing w:line="312"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bookmarkStart w:id="97" w:name="OLE_LINK81"/>
      <w:r/>
      <w:bookmarkStart w:id="98" w:name="OLE_LINK80"/>
      <w:r>
        <w:rPr>
          <w:rFonts w:hint="eastAsia" w:ascii="宋体" w:hAnsi="宋体" w:eastAsia="宋体" w:cs="宋体"/>
          <w:color w:val="auto"/>
          <w:sz w:val="24"/>
          <w:highlight w:val="none"/>
        </w:rPr>
        <w:t xml:space="preserve">.</w:t>
      </w:r>
      <w:bookmarkEnd w:id="97"/>
      <w:r/>
      <w:bookmarkEnd w:id="98"/>
      <w:r>
        <w:rPr>
          <w:rFonts w:hint="eastAsia" w:ascii="宋体" w:hAnsi="宋体" w:eastAsia="宋体" w:cs="宋体"/>
          <w:color w:val="auto"/>
          <w:sz w:val="24"/>
          <w:highlight w:val="none"/>
        </w:rPr>
        <w:t xml:space="preserve">如果不提供详细分项报价将视为没有实质性响应招标文件。</w:t>
      </w:r>
      <w:r/>
    </w:p>
    <w:p>
      <w:pPr>
        <w:ind w:firstLine="240"/>
        <w:spacing w:line="312"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2.投标人对以上数据的真实性负责。</w:t>
      </w:r>
      <w:r/>
    </w:p>
    <w:p>
      <w:pPr>
        <w:ind w:firstLine="240"/>
        <w:spacing w:line="312"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3.报价应包括项目涉及的一切税、费等。</w:t>
      </w:r>
      <w:r/>
    </w:p>
    <w:p>
      <w:pPr>
        <w:ind w:firstLine="240"/>
        <w:spacing w:line="312"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4.采购人或采购代理机构有权将以上内容进行公示。</w:t>
      </w:r>
      <w:r/>
    </w:p>
    <w:p>
      <w:pPr>
        <w:pStyle w:val="1010"/>
        <w:rPr>
          <w:rFonts w:hint="eastAsia" w:ascii="宋体" w:hAnsi="宋体" w:eastAsia="宋体" w:cs="宋体"/>
          <w:color w:val="auto"/>
          <w:highlight w:val="none"/>
        </w:rPr>
        <w:sectPr>
          <w:headerReference w:type="default" r:id="rId9"/>
          <w:footerReference w:type="default" r:id="rId12"/>
          <w:footnotePr/>
          <w:endnotePr/>
          <w:type w:val="nextPage"/>
          <w:pgSz w:w="11906" w:h="16839" w:orient="portrait"/>
          <w:pgMar w:top="1431" w:right="1133" w:bottom="1156" w:left="1344" w:header="0" w:footer="695" w:gutter="0"/>
          <w:cols w:num="1" w:sep="0" w:space="1701" w:equalWidth="1"/>
          <w:docGrid w:linePitch="360"/>
        </w:sectPr>
      </w:pPr>
      <w:r>
        <w:rPr>
          <w:rFonts w:hint="eastAsia" w:ascii="宋体" w:hAnsi="宋体" w:eastAsia="宋体" w:cs="宋体"/>
          <w:color w:val="auto"/>
          <w:highlight w:val="none"/>
        </w:rPr>
      </w:r>
      <w:r/>
    </w:p>
    <w:p>
      <w:pPr>
        <w:pStyle w:val="993"/>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四、偏离表格式</w:t>
      </w:r>
      <w:r/>
    </w:p>
    <w:p>
      <w:pPr>
        <w:pStyle w:val="788"/>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88"/>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项目名称：2026年度市直管雨、污水管渠维修养护市场化项目</w:t>
      </w:r>
      <w:r/>
    </w:p>
    <w:p>
      <w:pPr>
        <w:pStyle w:val="788"/>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项目编号：JSZC-320300-XZTY-G2026-0001</w:t>
      </w:r>
      <w:r/>
    </w:p>
    <w:p>
      <w:pPr>
        <w:pStyle w:val="788"/>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标段：</w:t>
      </w:r>
      <w:r/>
    </w:p>
    <w:p>
      <w:pP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3"/>
        <w:gridCol w:w="1308"/>
        <w:gridCol w:w="1373"/>
        <w:gridCol w:w="1502"/>
        <w:gridCol w:w="1203"/>
        <w:gridCol w:w="2311"/>
      </w:tblGrid>
      <w:tr>
        <w:trPr>
          <w:trHeight w:val="794"/>
        </w:trPr>
        <w:tc>
          <w:tcPr>
            <w:tcW w:w="720" w:type="dxa"/>
            <w:vAlign w:val="center"/>
            <w:textDirection w:val="lrTb"/>
            <w:noWrap w:val="false"/>
          </w:tcPr>
          <w:p>
            <w:pPr>
              <w:pStyle w:val="788"/>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W w:w="1404" w:type="dxa"/>
            <w:vAlign w:val="center"/>
            <w:textDirection w:val="lrTb"/>
            <w:noWrap w:val="false"/>
          </w:tcPr>
          <w:p>
            <w:pPr>
              <w:pStyle w:val="788"/>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W w:w="1476" w:type="dxa"/>
            <w:vAlign w:val="center"/>
            <w:textDirection w:val="lrTb"/>
            <w:noWrap w:val="false"/>
          </w:tcPr>
          <w:p>
            <w:pPr>
              <w:pStyle w:val="788"/>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招标文件的要求</w:t>
            </w:r>
            <w:r/>
          </w:p>
        </w:tc>
        <w:tc>
          <w:tcPr>
            <w:tcW w:w="1620" w:type="dxa"/>
            <w:vAlign w:val="center"/>
            <w:textDirection w:val="lrTb"/>
            <w:noWrap w:val="false"/>
          </w:tcPr>
          <w:p>
            <w:pPr>
              <w:pStyle w:val="788"/>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投标文件中的内容</w:t>
            </w:r>
            <w:r/>
          </w:p>
        </w:tc>
        <w:tc>
          <w:tcPr>
            <w:tcW w:w="1260" w:type="dxa"/>
            <w:vAlign w:val="center"/>
            <w:textDirection w:val="lrTb"/>
            <w:noWrap w:val="false"/>
          </w:tcPr>
          <w:p>
            <w:pPr>
              <w:pStyle w:val="788"/>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W w:w="2520" w:type="dxa"/>
            <w:vAlign w:val="center"/>
            <w:textDirection w:val="lrTb"/>
            <w:noWrap w:val="false"/>
          </w:tcPr>
          <w:p>
            <w:pPr>
              <w:pStyle w:val="788"/>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trHeight w:val="794"/>
        </w:trPr>
        <w:tc>
          <w:tcPr>
            <w:tcW w:w="720"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20"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W w:w="720"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20"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W w:w="720"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20"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W w:w="720"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20"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W w:w="720"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20"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W w:w="720"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20" w:type="dxa"/>
            <w:textDirection w:val="lrTb"/>
            <w:noWrap w:val="false"/>
          </w:tcPr>
          <w:p>
            <w:pPr>
              <w:pStyle w:val="7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788"/>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788"/>
        <w:ind w:firstLine="562"/>
        <w:spacing w:line="44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：投标人的投标文件中的内容与招标文件（含招标文件的澄清或者修改的内容）的要求不同时，逐条列在偏离表中，否则将认为投标人接受招标文件的要求。</w:t>
      </w:r>
      <w:r/>
    </w:p>
    <w:p>
      <w:pPr>
        <w:pStyle w:val="788"/>
        <w:ind w:firstLine="285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投标人：（盖单位电子签章）</w:t>
      </w:r>
      <w:r/>
    </w:p>
    <w:p>
      <w:pPr>
        <w:pStyle w:val="788"/>
        <w:ind w:firstLine="39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8"/>
        <w:ind w:firstLine="390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日期：   年  月  日</w:t>
      </w:r>
      <w:r/>
    </w:p>
    <w:p>
      <w:pPr>
        <w:pStyle w:val="788"/>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pStyle w:val="788"/>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pStyle w:val="993"/>
        <w:spacing w:line="520" w:lineRule="exact"/>
        <w:rPr>
          <w:rFonts w:hint="eastAsia" w:ascii="宋体" w:hAnsi="宋体" w:eastAsia="宋体" w:cs="宋体"/>
          <w:color w:val="auto"/>
          <w:highlight w:val="none"/>
        </w:rPr>
      </w:pPr>
      <w:r>
        <w:rPr>
          <w:rFonts w:hint="eastAsia" w:ascii="宋体" w:hAnsi="宋体" w:eastAsia="宋体" w:cs="宋体"/>
          <w:color w:val="auto"/>
          <w:szCs w:val="30"/>
          <w:highlight w:val="none"/>
        </w:rPr>
        <w:br w:type="page" w:clear="all"/>
      </w:r>
      <w:r>
        <w:rPr>
          <w:rFonts w:hint="eastAsia" w:ascii="宋体" w:hAnsi="宋体" w:eastAsia="宋体" w:cs="宋体"/>
          <w:color w:val="auto"/>
          <w:highlight w:val="none"/>
        </w:rPr>
        <w:t xml:space="preserve">五、法定代表人授权书格式</w:t>
      </w:r>
      <w:r/>
    </w:p>
    <w:p>
      <w:pPr>
        <w:pStyle w:val="788"/>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88"/>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w:t>
      </w:r>
      <w:r/>
    </w:p>
    <w:p>
      <w:pPr>
        <w:pStyle w:val="788"/>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p>
    <w:p>
      <w:pPr>
        <w:pStyle w:val="788"/>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               职务：</w:t>
      </w:r>
      <w:r/>
    </w:p>
    <w:p>
      <w:pPr>
        <w:pStyle w:val="788"/>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p>
      <w:pPr>
        <w:pStyle w:val="788"/>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                   性别：男（女）  </w:t>
      </w:r>
      <w:r/>
    </w:p>
    <w:p>
      <w:pPr>
        <w:pStyle w:val="788"/>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年龄：  岁                 民族：   族</w:t>
      </w:r>
      <w:r/>
    </w:p>
    <w:p>
      <w:pPr>
        <w:pStyle w:val="788"/>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职务：</w:t>
      </w:r>
      <w:r/>
    </w:p>
    <w:p>
      <w:pPr>
        <w:pStyle w:val="788"/>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p>
      <w:pPr>
        <w:pStyle w:val="788"/>
        <w:ind w:firstLine="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委托（）全权代表我企业（公司）参与（）项目（项目编号：）的招、投标活动及签订合同。（）以我企业（公司）名义所为的法律行为及签署的文件，我企业（公司）均予以认可。有关法律责任均由我企业（公司）承担。（）无转委托权。</w:t>
      </w:r>
      <w:r/>
    </w:p>
    <w:p>
      <w:pPr>
        <w:pStyle w:val="788"/>
        <w:ind w:firstLine="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委托期限自   年  月  日起至  年  月    日止。</w:t>
      </w:r>
      <w:r/>
    </w:p>
    <w:p>
      <w:pPr>
        <w:pStyle w:val="788"/>
        <w:ind w:firstLine="63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特此授权委托。</w:t>
      </w:r>
      <w:r/>
    </w:p>
    <w:p>
      <w:pPr>
        <w:pStyle w:val="788"/>
        <w:ind w:firstLine="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委托人（盖章）：    </w:t>
      </w:r>
      <w:r/>
    </w:p>
    <w:p>
      <w:pPr>
        <w:pStyle w:val="788"/>
        <w:ind w:firstLine="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8"/>
        <w:ind w:firstLine="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 </w:t>
      </w:r>
      <w:r/>
    </w:p>
    <w:p>
      <w:pPr>
        <w:pStyle w:val="788"/>
        <w:ind w:right="600"/>
        <w:jc w:val="righ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8"/>
        <w:ind w:firstLine="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受托人（签字或盖章）：</w:t>
      </w:r>
      <w:r/>
    </w:p>
    <w:p>
      <w:pPr>
        <w:pStyle w:val="788"/>
        <w:ind w:firstLine="600"/>
        <w:spacing w:line="480" w:lineRule="exact"/>
        <w:rPr>
          <w:rFonts w:hint="eastAsia" w:ascii="宋体" w:hAnsi="宋体" w:eastAsia="宋体" w:cs="宋体"/>
          <w:color w:val="auto"/>
          <w:sz w:val="24"/>
          <w:highlight w:val="none"/>
        </w:rPr>
      </w:pPr>
      <w:r/>
      <w:bookmarkStart w:id="99" w:name="OLE_LINK86"/>
      <w:r>
        <w:rPr>
          <w:rFonts w:hint="eastAsia" w:ascii="宋体" w:hAnsi="宋体" w:eastAsia="宋体" w:cs="宋体"/>
          <w:color w:val="auto"/>
          <w:sz w:val="24"/>
          <w:highlight w:val="none"/>
        </w:rPr>
        <w:t xml:space="preserve">受托人联系电话：             邮箱：</w:t>
      </w:r>
      <w:bookmarkEnd w:id="99"/>
      <w:r/>
      <w:r/>
    </w:p>
    <w:p>
      <w:pPr>
        <w:pStyle w:val="788"/>
        <w:ind w:firstLine="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8"/>
        <w:ind w:right="1560" w:firstLine="384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 </w:t>
      </w:r>
      <w:r/>
    </w:p>
    <w:p>
      <w:pPr>
        <w:pStyle w:val="101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(受托人身份证复印件附后)</w:t>
      </w:r>
      <w:r/>
    </w:p>
    <w:p>
      <w:pPr>
        <w:pStyle w:val="788"/>
        <w:ind w:firstLine="4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93"/>
        <w:spacing w:line="520" w:lineRule="exact"/>
        <w:rPr>
          <w:rFonts w:hint="eastAsia" w:ascii="宋体" w:hAnsi="宋体" w:eastAsia="宋体" w:cs="宋体"/>
          <w:color w:val="auto"/>
          <w:highlight w:val="none"/>
        </w:rPr>
      </w:pPr>
      <w:r>
        <w:rPr>
          <w:rFonts w:hint="eastAsia" w:ascii="宋体" w:hAnsi="宋体" w:eastAsia="宋体" w:cs="宋体"/>
          <w:color w:val="auto"/>
          <w:szCs w:val="30"/>
          <w:highlight w:val="none"/>
        </w:rPr>
        <w:br w:type="page" w:clear="all"/>
      </w:r>
      <w:r>
        <w:rPr>
          <w:rFonts w:hint="eastAsia" w:ascii="宋体" w:hAnsi="宋体" w:eastAsia="宋体" w:cs="宋体"/>
          <w:color w:val="auto"/>
          <w:highlight w:val="none"/>
        </w:rPr>
        <w:t xml:space="preserve">六、</w:t>
      </w:r>
      <w:r>
        <w:rPr>
          <w:rFonts w:hint="eastAsia" w:ascii="宋体" w:hAnsi="宋体" w:eastAsia="宋体" w:cs="宋体"/>
          <w:color w:val="auto"/>
          <w:highlight w:val="none"/>
        </w:rPr>
        <w:t xml:space="preserve">中小微企业声明函（服务类项目）（采购包号：**）</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项目（项目名称）（采购包号：**）的采购活动，服务全部由符合政策要求的中小企业承接。相关企业（含联合体中的中小微企业、签订采购包意向协议的中小微企业）的具体情况如下：</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rPr>
          <w:rFonts w:ascii="SimSun" w:hAnsi="SimSun" w:eastAsia="SimSun" w:cs="SimSun"/>
          <w:b/>
          <w:color w:val="000000"/>
          <w:sz w:val="24"/>
        </w:rPr>
        <w:t xml:space="preserve">请勾选</w:t>
      </w:r>
      <w:r>
        <w:rPr>
          <w:rFonts w:ascii="SimSun" w:hAnsi="SimSun" w:eastAsia="SimSun" w:cs="SimSun"/>
          <w:color w:val="000000"/>
          <w:sz w:val="24"/>
        </w:rPr>
        <w:t xml:space="preserve">）；</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rPr>
          <w:rFonts w:ascii="SimSun" w:hAnsi="SimSun" w:eastAsia="SimSun" w:cs="SimSun"/>
          <w:b/>
          <w:color w:val="000000"/>
          <w:sz w:val="24"/>
        </w:rPr>
        <w:t xml:space="preserve">请勾选</w:t>
      </w:r>
      <w:r>
        <w:rPr>
          <w:rFonts w:ascii="SimSun" w:hAnsi="SimSun" w:eastAsia="SimSun" w:cs="SimSun"/>
          <w:color w:val="000000"/>
          <w:sz w:val="24"/>
        </w:rPr>
        <w:t xml:space="preserve">）；</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pStyle w:val="788"/>
        <w:ind w:firstLine="600"/>
        <w:spacing w:line="480" w:lineRule="exact"/>
        <w:rPr>
          <w:rFonts w:hint="eastAsia" w:ascii="宋体" w:hAnsi="宋体" w:eastAsia="宋体" w:cs="宋体"/>
          <w:color w:val="auto"/>
          <w:spacing w:val="6"/>
          <w:sz w:val="24"/>
          <w:highlight w:val="none"/>
        </w:rPr>
      </w:pPr>
      <w:r>
        <w:rPr>
          <w:rFonts w:ascii="SimSun" w:hAnsi="SimSun" w:eastAsia="SimSun" w:cs="SimSun"/>
          <w:color w:val="000000"/>
          <w:sz w:val="24"/>
        </w:rPr>
        <w:t xml:space="preserve">本企业对上述声明内容的真实性负责。如有虚假，将依法承担相应责任。</w:t>
      </w:r>
      <w:r>
        <w:rPr>
          <w:rFonts w:hint="eastAsia" w:ascii="宋体" w:hAnsi="宋体" w:eastAsia="宋体" w:cs="宋体"/>
          <w:color w:val="auto"/>
          <w:sz w:val="24"/>
          <w:highlight w:val="none"/>
        </w:rPr>
      </w:r>
      <w:r/>
    </w:p>
    <w:p>
      <w:pPr>
        <w:pStyle w:val="788"/>
        <w:ind w:firstLine="60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8"/>
        <w:ind w:firstLine="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企业名称（盖单位电子签章）：</w:t>
      </w:r>
      <w:r/>
    </w:p>
    <w:p>
      <w:pPr>
        <w:pStyle w:val="788"/>
        <w:ind w:firstLine="60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788"/>
        <w:ind w:firstLine="60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注：本项目采购的服务属于其他未列明行业。</w:t>
      </w:r>
      <w:r/>
    </w:p>
    <w:p>
      <w:pPr>
        <w:pStyle w:val="788"/>
        <w:ind w:firstLine="60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7"/>
        <w:ind w:left="0"/>
        <w:spacing w:after="0"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7"/>
        <w:ind w:left="0"/>
        <w:spacing w:after="0"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2、从业人员、营业收入、资产总额填报供应商上一年度数据，无上一年度数据的新成立企业可不填报。</w:t>
      </w:r>
      <w:r/>
    </w:p>
    <w:p>
      <w:pPr>
        <w:pStyle w:val="787"/>
        <w:ind w:left="0"/>
        <w:spacing w:after="0"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3、中标、成交供应商为小型、微型企业的，采购人或者其委托的采购代理机构有权随中标、成交结果同时公告其《中小企业声明函》，接受社会监督。</w:t>
      </w:r>
      <w:r/>
    </w:p>
    <w:p>
      <w:pPr>
        <w:pStyle w:val="787"/>
        <w:ind w:left="0"/>
        <w:spacing w:after="0"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4、执行江苏省财政厅关于进一步加大政府采购支持中小企业力度的通知（苏财购〔2022〕45号）的规定。</w:t>
      </w:r>
      <w:r/>
    </w:p>
    <w:p>
      <w:pPr>
        <w:pStyle w:val="787"/>
        <w:ind w:left="0"/>
        <w:spacing w:after="0"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5、供应商提供的《中小企业声明函》与事实不符的，依照《政府采购法》第七十七条第一款的规定追究法律责任。</w:t>
      </w:r>
      <w:r/>
    </w:p>
    <w:p>
      <w:pPr>
        <w:pStyle w:val="788"/>
        <w:ind w:firstLine="600"/>
        <w:spacing w:before="100" w:beforeAutospacing="1" w:after="100" w:afterAutospacing="1" w:line="46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10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35000" cy="635000"/>
                <wp:effectExtent l="21590" t="15240" r="10160" b="6985"/>
                <wp:wrapNone/>
                <wp:docPr id="24" name="AutoShape 3"/>
                <wp:cNvGraphicFramePr>
                  <a:graphicFrameLocks xmlns:a="http://schemas.openxmlformats.org/drawingml/2006/main" noSelect="1"/>
                </wp:cNvGraphicFramePr>
                <a:graphic xmlns:a="http://schemas.openxmlformats.org/drawingml/2006/main">
                  <a:graphicData uri="http://schemas.microsoft.com/office/word/2010/wordprocessingShape">
                    <wps:wsp>
                      <wps:cNvPr id="0" name=""/>
                      <wps:cNvSpPr>
                        <a:spLocks noSelect="1"/>
                      </wps:cNvSpPr>
                      <wps:spPr bwMode="auto">
                        <a:xfrm>
                          <a:off x="0" y="0"/>
                          <a:ext cx="635000" cy="635000"/>
                        </a:xfrm>
                        <a:prstGeom prst="rect">
                          <a:avLst/>
                        </a:prstGeom>
                        <a:solidFill>
                          <a:srgbClr val="FFFFFF"/>
                        </a:solidFill>
                        <a:ln w="9525">
                          <a:solidFill>
                            <a:srgbClr val="000000"/>
                          </a:solidFill>
                          <a:round/>
                        </a:ln>
                      </wps:spPr>
                      <wps:bodyPr rot="0">
                        <a:prstTxWarp prst="textNoShape">
                          <a:avLst/>
                        </a:prstTxWarp>
                        <a:noAutofit/>
                      </wps:bodyPr>
                    </wps:wsp>
                  </a:graphicData>
                </a:graphic>
              </wp:anchor>
            </w:drawing>
          </mc:Choice>
          <mc:Fallback>
            <w:pict>
              <v:shape id="shape 23" o:spid="_x0000_s23" o:spt="1" type="#_x0000_t1" style="position:absolute;z-index:251660288;o:allowoverlap:true;o:allowincell:true;mso-position-horizontal-relative:text;margin-left:0.0pt;mso-position-horizontal:absolute;mso-position-vertical-relative:text;margin-top:0.0pt;mso-position-vertical:absolute;width:50.0pt;height:50.0pt;mso-wrap-distance-left:9.0pt;mso-wrap-distance-top:0.0pt;mso-wrap-distance-right:9.0pt;mso-wrap-distance-bottom:0.0pt;visibility:visible;" fillcolor="#FFFFFF" strokecolor="#000000" strokeweight="0.75pt"/>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2734945" cy="5913120"/>
                <wp:effectExtent l="0" t="0" r="0" b="0"/>
                <wp:docPr id="2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40"/>
                        <a:stretch/>
                      </pic:blipFill>
                      <pic:spPr bwMode="auto">
                        <a:xfrm>
                          <a:off x="0" y="0"/>
                          <a:ext cx="2734945" cy="591312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215.3pt;height:465.6pt;mso-wrap-distance-left:0.0pt;mso-wrap-distance-top:0.0pt;mso-wrap-distance-right:0.0pt;mso-wrap-distance-bottom:0.0pt;" stroked="f">
                <v:path textboxrect="0,0,0,0"/>
                <v:imagedata r:id="rId40" o:title=""/>
              </v:shape>
            </w:pict>
          </mc:Fallback>
        </mc:AlternateContent>
      </w:r>
      <w:r/>
    </w:p>
    <w:p>
      <w:pPr>
        <w:pStyle w:val="788"/>
        <w:ind w:firstLine="600"/>
        <w:spacing w:before="100" w:beforeAutospacing="1" w:after="100" w:afterAutospacing="1" w:line="46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93"/>
        <w:spacing w:line="520" w:lineRule="exact"/>
        <w:rPr>
          <w:rFonts w:hint="eastAsia" w:ascii="宋体" w:hAnsi="宋体" w:eastAsia="宋体" w:cs="宋体"/>
          <w:color w:val="auto"/>
          <w:highlight w:val="none"/>
        </w:rPr>
      </w:pPr>
      <w:r>
        <w:rPr>
          <w:rFonts w:hint="eastAsia" w:ascii="宋体" w:hAnsi="宋体" w:eastAsia="宋体" w:cs="宋体"/>
          <w:color w:val="auto"/>
          <w:szCs w:val="30"/>
          <w:highlight w:val="none"/>
        </w:rPr>
        <w:br w:type="page" w:clear="all"/>
      </w:r>
      <w:r>
        <w:rPr>
          <w:rFonts w:hint="eastAsia" w:ascii="宋体" w:hAnsi="宋体" w:eastAsia="宋体" w:cs="宋体"/>
          <w:color w:val="auto"/>
          <w:highlight w:val="none"/>
        </w:rPr>
        <w:t xml:space="preserve">七、残疾人福利性单位声明函格式</w:t>
      </w:r>
      <w:r/>
    </w:p>
    <w:p>
      <w:pPr>
        <w:pStyle w:val="788"/>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788"/>
        <w:ind w:firstLine="624"/>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项目名称：2026年度市直管雨、污水管渠维修养护市场化项目</w:t>
      </w:r>
      <w:r/>
    </w:p>
    <w:p>
      <w:pPr>
        <w:pStyle w:val="788"/>
        <w:ind w:firstLine="624"/>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项目编号：JSZC-320300-XZTY-G2026-0001</w:t>
      </w:r>
      <w:r/>
    </w:p>
    <w:p>
      <w:pPr>
        <w:pStyle w:val="84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8"/>
        <w:ind w:firstLine="624"/>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 141</w:t>
      </w:r>
      <w:r>
        <w:rPr>
          <w:rFonts w:hint="eastAsia" w:ascii="宋体" w:hAnsi="宋体" w:eastAsia="宋体" w:cs="宋体"/>
          <w:color w:val="auto"/>
          <w:spacing w:val="6"/>
          <w:sz w:val="24"/>
          <w:highlight w:val="none"/>
        </w:rPr>
        <w:t xml:space="preserve">号）的规定，本单位为符合条件的残疾人福利性单位，且本单位参加</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88"/>
        <w:ind w:firstLine="624"/>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pStyle w:val="788"/>
        <w:ind w:firstLine="624"/>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788"/>
        <w:ind w:firstLine="624"/>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788"/>
        <w:ind w:firstLine="255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投标人：（盖单位电子签章）</w:t>
      </w:r>
      <w:r/>
    </w:p>
    <w:p>
      <w:pPr>
        <w:pStyle w:val="788"/>
        <w:ind w:firstLine="45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8"/>
        <w:ind w:firstLine="45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788"/>
        <w:ind w:firstLine="45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8"/>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3"/>
        <w:spacing w:line="520" w:lineRule="exact"/>
        <w:rPr>
          <w:rFonts w:hint="eastAsia" w:ascii="宋体" w:hAnsi="宋体" w:eastAsia="宋体" w:cs="宋体"/>
          <w:color w:val="auto"/>
          <w:highlight w:val="none"/>
        </w:rPr>
      </w:pPr>
      <w:r>
        <w:rPr>
          <w:rFonts w:hint="eastAsia" w:ascii="宋体" w:hAnsi="宋体" w:eastAsia="宋体" w:cs="宋体"/>
          <w:color w:val="auto"/>
          <w:szCs w:val="30"/>
          <w:highlight w:val="none"/>
        </w:rPr>
        <w:br w:type="page" w:clear="all"/>
      </w:r>
      <w:r>
        <w:rPr>
          <w:rFonts w:hint="eastAsia" w:ascii="宋体" w:hAnsi="宋体" w:eastAsia="宋体" w:cs="宋体"/>
          <w:b w:val="0"/>
          <w:bCs w:val="0"/>
          <w:color w:val="auto"/>
          <w:highlight w:val="none"/>
        </w:rPr>
        <w:t xml:space="preserve">八、投标人参加政府采购活动前3年内在经营活动中没有重大违法记录的书面声明格式</w:t>
      </w:r>
      <w:r/>
    </w:p>
    <w:p>
      <w:pPr>
        <w:pStyle w:val="788"/>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88"/>
        <w:ind w:firstLine="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2026年度市直管雨、污水管渠维修养护市场化项目（项目编号：JSZC-320300-XZTY-G2026-0001）政府采购活动前3年内，在经营活动中没有重大违法记录。重大违法记录是指因违法经营受到刑事处罚或者责令停产停业、吊销许可证或者执照、较大数额罚款等行政处罚。</w:t>
      </w:r>
      <w:r/>
    </w:p>
    <w:p>
      <w:pPr>
        <w:pStyle w:val="1022"/>
        <w:ind w:firstLine="600"/>
        <w:spacing w:before="0" w:beforeAutospacing="0" w:after="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我单位对上述声明的真实性负责。如有虚假，将依法承担相应责任。</w:t>
      </w:r>
      <w:r/>
    </w:p>
    <w:p>
      <w:pPr>
        <w:pStyle w:val="788"/>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8"/>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8"/>
        <w:ind w:firstLine="285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投标人：（盖单位电子签章）</w:t>
      </w:r>
      <w:r/>
    </w:p>
    <w:p>
      <w:pPr>
        <w:pStyle w:val="788"/>
        <w:ind w:firstLine="45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8"/>
        <w:ind w:firstLine="495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10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562"/>
        <w:jc w:val="center"/>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bCs/>
          <w:color w:val="auto"/>
          <w:sz w:val="30"/>
          <w:szCs w:val="44"/>
          <w:highlight w:val="none"/>
        </w:rPr>
      </w:pPr>
      <w:r>
        <w:rPr>
          <w:rFonts w:hint="eastAsia" w:ascii="宋体" w:hAnsi="宋体" w:eastAsia="宋体" w:cs="宋体"/>
          <w:color w:val="auto"/>
          <w:highlight w:val="none"/>
        </w:rPr>
        <w:br w:type="page" w:clear="all"/>
      </w:r>
      <w:r/>
    </w:p>
    <w:p>
      <w:pPr>
        <w:pStyle w:val="775"/>
        <w:jc w:val="center"/>
        <w:rPr>
          <w:rFonts w:hint="eastAsia" w:ascii="宋体" w:hAnsi="宋体" w:eastAsia="宋体" w:cs="宋体"/>
          <w:b/>
          <w:bCs/>
          <w:color w:val="auto"/>
          <w:sz w:val="30"/>
          <w:szCs w:val="44"/>
          <w:highlight w:val="none"/>
        </w:rPr>
      </w:pPr>
      <w:r>
        <w:rPr>
          <w:rFonts w:hint="eastAsia" w:ascii="宋体" w:hAnsi="宋体" w:eastAsia="宋体" w:cs="宋体"/>
          <w:b/>
          <w:bCs/>
          <w:color w:val="auto"/>
          <w:sz w:val="30"/>
          <w:szCs w:val="44"/>
          <w:highlight w:val="none"/>
        </w:rPr>
        <w:t xml:space="preserve">九、具备履行合同所必需的设备和专业技术能力的书面声明（附证明材料扫描件）格式</w:t>
      </w:r>
      <w:r/>
    </w:p>
    <w:p>
      <w:pPr>
        <w:pStyle w:val="104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                        </w:t>
      </w:r>
      <w:r/>
    </w:p>
    <w:p>
      <w:pPr>
        <w:pStyle w:val="104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r/>
    </w:p>
    <w:p>
      <w:pPr>
        <w:pStyle w:val="1044"/>
        <w:ind w:firstLine="480"/>
        <w:spacing w:line="360" w:lineRule="auto"/>
        <w:rPr>
          <w:rFonts w:hint="eastAsia" w:ascii="宋体" w:hAnsi="宋体" w:eastAsia="宋体" w:cs="宋体"/>
          <w:color w:val="auto"/>
          <w:sz w:val="24"/>
          <w:highlight w:val="none"/>
        </w:rPr>
      </w:pPr>
      <w:r/>
      <w:bookmarkStart w:id="100" w:name="OLE_LINK84"/>
      <w:r/>
      <w:bookmarkStart w:id="101" w:name="OLE_LINK83"/>
      <w:r/>
      <w:bookmarkStart w:id="102" w:name="OLE_LINK82"/>
      <w:r>
        <w:rPr>
          <w:rFonts w:hint="eastAsia" w:ascii="宋体" w:hAnsi="宋体" w:eastAsia="宋体" w:cs="宋体"/>
          <w:color w:val="auto"/>
          <w:sz w:val="24"/>
          <w:highlight w:val="none"/>
        </w:rPr>
        <w:t xml:space="preserve">我单位</w:t>
      </w:r>
      <w:bookmarkEnd w:id="100"/>
      <w:r/>
      <w:bookmarkEnd w:id="101"/>
      <w:r/>
      <w:bookmarkEnd w:id="102"/>
      <w:r>
        <w:rPr>
          <w:rFonts w:hint="eastAsia" w:ascii="宋体" w:hAnsi="宋体" w:eastAsia="宋体" w:cs="宋体"/>
          <w:color w:val="auto"/>
          <w:sz w:val="24"/>
          <w:highlight w:val="none"/>
        </w:rPr>
        <w:t xml:space="preserve">郑重声明：我单位具备履行合同（项目名称：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）所必需的设备和专业技术能力， 具体为：</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w:t>
      </w:r>
      <w:r/>
    </w:p>
    <w:p>
      <w:pPr>
        <w:ind w:left="0" w:right="36"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1、我单位承诺，项目组成员包括项目负责人1人，技术负责人1人，安全员2人，资料员2人，质量员2人，项目服务总人数不少于78人。</w:t>
      </w:r>
      <w:r/>
    </w:p>
    <w:p>
      <w:pPr>
        <w:ind w:left="0" w:right="36"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2、拟任项目负责人（注册建造师）具备市政公用工程专业贰级及以上建造师资格（在本企业注册），同时具有《建筑施工企业安全生产考核合格证书》（</w:t>
      </w:r>
      <w:r>
        <w:rPr>
          <w:rFonts w:ascii="SimSun" w:hAnsi="SimSun" w:eastAsia="SimSun" w:cs="SimSun"/>
          <w:color w:val="000000"/>
          <w:sz w:val="24"/>
          <w:u w:val="none"/>
        </w:rPr>
        <w:t xml:space="preserve">B</w:t>
      </w:r>
      <w:r>
        <w:rPr>
          <w:rFonts w:ascii="SimSun" w:hAnsi="SimSun" w:eastAsia="SimSun" w:cs="SimSun"/>
          <w:color w:val="000000"/>
          <w:sz w:val="24"/>
        </w:rPr>
        <w:t xml:space="preserve">证）；技术负责人具有市政工程（或水利工程或给水排水工程）专业工程师（含）以上资格，安全员具有《建筑施工企业安全生产考核合格证书》（</w:t>
      </w:r>
      <w:r>
        <w:rPr>
          <w:rFonts w:ascii="SimSun" w:hAnsi="SimSun" w:eastAsia="SimSun" w:cs="SimSun"/>
          <w:color w:val="000000"/>
          <w:sz w:val="24"/>
          <w:u w:val="none"/>
        </w:rPr>
        <w:t xml:space="preserve">C</w:t>
      </w:r>
      <w:r>
        <w:rPr>
          <w:rFonts w:ascii="SimSun" w:hAnsi="SimSun" w:eastAsia="SimSun" w:cs="SimSun"/>
          <w:color w:val="000000"/>
          <w:sz w:val="24"/>
        </w:rPr>
        <w:t xml:space="preserve">证）具有相应的资格证书；项目负责人无在建项目，在合同期内不得擅自更换</w:t>
      </w:r>
      <w:r>
        <w:rPr>
          <w:rFonts w:ascii="SimSun" w:hAnsi="SimSun" w:eastAsia="SimSun" w:cs="SimSun"/>
          <w:b/>
          <w:color w:val="000000"/>
          <w:sz w:val="24"/>
          <w:u w:val="none"/>
        </w:rPr>
        <w:t xml:space="preserve">（投标人提供承诺，格式自拟）</w:t>
      </w:r>
      <w:r>
        <w:rPr>
          <w:rFonts w:ascii="SimSun" w:hAnsi="SimSun" w:eastAsia="SimSun" w:cs="SimSun"/>
          <w:color w:val="000000"/>
          <w:sz w:val="24"/>
        </w:rPr>
        <w:t xml:space="preserve">。投标文件中提供项目负责人、技术负责人、安全员上述证书扫描件和开标时间前6个月内（不含开标当月）任何1个月的投标人为其缴纳的社保证明扫描件（加盖公章）。</w:t>
      </w:r>
      <w:r/>
    </w:p>
    <w:p>
      <w:pPr>
        <w:ind w:left="0" w:right="36"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养护管理机械机具设备配置要求（以下数量和设备种类为最低标准，投标人可根据自身情况增加）：联合疏通车（具备清洗疏通与吸污两项功能）或高压疏通车2辆、吸污车2辆、污泥运输车2台、工具车2台、挖斗式清淤车2台、移动泵车4辆（流量不小于300m3/h）。安全检测设备（潜望镜2台、GPS测量仪2台、cctv检测机器人2台、气体检测仪4台、长管呼吸器（含防毒面罩）4个）。以上设备自有的须提供设备购买发票扫描件或复印件和车辆行驶证扫描件或复印件（加盖电子签章）；以上设备租赁的应提供一年以上（含一年）租赁协议扫描</w:t>
      </w:r>
      <w:r>
        <w:rPr>
          <w:rFonts w:ascii="SimSun" w:hAnsi="SimSun" w:eastAsia="SimSun" w:cs="SimSun"/>
          <w:color w:val="000000"/>
          <w:sz w:val="24"/>
        </w:rPr>
        <w:t xml:space="preserve">件或复印件，并提供设备的购买发票及有效的车辆行驶证扫描件或复印件（加盖电子签章）。</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采购包2：</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1、我单位承诺，项目组成员包括项目负责人1人，技术负责人1人，安全员2人，资料员2人，质量员1人，项目服务总人数不少于30人。</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任项目负责人（注册建造师）具备市政公用工程专业贰级及以上建造师资格（在本企业注册），同时具有《建筑施工企业安全生产考核合格证书》（B证）；技术负责人具有市政工程（或水利工程或给水排水工程）专业工程师（含）以上资格，安全员具有《建筑施工企业安全生产考核合格证书》（C证）具有相应的资格证书；项目负责人无在建项目，在合同期内不得擅自更换（</w:t>
      </w:r>
      <w:r>
        <w:rPr>
          <w:rFonts w:ascii="SimSun" w:hAnsi="SimSun" w:eastAsia="SimSun" w:cs="SimSun"/>
          <w:b/>
          <w:color w:val="000000"/>
          <w:sz w:val="24"/>
        </w:rPr>
        <w:t xml:space="preserve">投标人提供承诺，格式自拟</w:t>
      </w:r>
      <w:r>
        <w:rPr>
          <w:rFonts w:ascii="SimSun" w:hAnsi="SimSun" w:eastAsia="SimSun" w:cs="SimSun"/>
          <w:color w:val="000000"/>
          <w:sz w:val="24"/>
        </w:rPr>
        <w:t xml:space="preserve">）。投标文件中提供项目负责人、技术负责人、安全员上述证书扫描件和开标时间前</w:t>
      </w:r>
      <w:r>
        <w:rPr>
          <w:rFonts w:ascii="SimSun" w:hAnsi="SimSun" w:eastAsia="SimSun" w:cs="SimSun"/>
          <w:color w:val="000000"/>
          <w:sz w:val="24"/>
          <w:u w:val="none"/>
        </w:rPr>
        <w:t xml:space="preserve">6</w:t>
      </w:r>
      <w:r>
        <w:rPr>
          <w:rFonts w:ascii="SimSun" w:hAnsi="SimSun" w:eastAsia="SimSun" w:cs="SimSun"/>
          <w:color w:val="000000"/>
          <w:sz w:val="24"/>
        </w:rPr>
        <w:t xml:space="preserve">个月内（不含开标当月）任何</w:t>
      </w:r>
      <w:r>
        <w:rPr>
          <w:rFonts w:ascii="SimSun" w:hAnsi="SimSun" w:eastAsia="SimSun" w:cs="SimSun"/>
          <w:color w:val="000000"/>
          <w:sz w:val="24"/>
          <w:u w:val="none"/>
        </w:rPr>
        <w:t xml:space="preserve">1</w:t>
      </w:r>
      <w:r>
        <w:rPr>
          <w:rFonts w:ascii="SimSun" w:hAnsi="SimSun" w:eastAsia="SimSun" w:cs="SimSun"/>
          <w:color w:val="000000"/>
          <w:sz w:val="24"/>
        </w:rPr>
        <w:t xml:space="preserve">个月的投标人为其缴纳的社保证明扫描件（加盖公章）。</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养护管理机械机具设备配置要求（以下数量和设备种类为最低标准，投标人可根据自身情况增加）：联合疏通车（具备清洗疏通与吸污两项功能）或高压疏通车1辆、吸污车1辆、污泥运输车1台、工具车1台、挖斗式清淤车2台、移动泵车2辆（流量不小于300m3/h）。安全检测设备（潜望镜2台、GPS测量仪1台、cctv检测机器人2台、气体检测仪2台、长管呼吸器（含防毒面罩）2个）。以上设备自有的须提供设备购买发票扫描件或复印件和车辆行驶证扫描件或复印件（加盖电子签章）；以上设备租赁的应提供一年以上（含一年）租赁协议扫描</w:t>
      </w:r>
      <w:r>
        <w:rPr>
          <w:rFonts w:ascii="SimSun" w:hAnsi="SimSun" w:eastAsia="SimSun" w:cs="SimSun"/>
          <w:color w:val="000000"/>
          <w:sz w:val="24"/>
        </w:rPr>
        <w:t xml:space="preserve">件或复印件，并提供设备的购买发票及有效的车辆行驶证扫描件或复印件（加盖电子签章）。</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采购包3：</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1、我单位承诺，项目组成员包括项目负责人1人，数据维护人员1人，现场监管人员3人，项目服务总人数5人。</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任项目负责人具备信息系统项目管理师；无在建项目，在合同期内不得擅自更换（投标人提供承诺，格式自拟）。投标文件中提供项目负责人证书扫描件和开标时间前6个月内（不含开标当月）任何1个月的投标人为其缴纳的社保证明扫描件（加盖电子签章）。</w:t>
      </w:r>
      <w:r/>
    </w:p>
    <w:p>
      <w:pPr>
        <w:jc w:val="both"/>
        <w:spacing w:line="360" w:lineRule="exact"/>
        <w:widowControl w:val="off"/>
        <w:rPr>
          <w:rFonts w:hint="eastAsia" w:ascii="宋体" w:hAnsi="宋体" w:eastAsia="宋体" w:cs="宋体"/>
          <w:color w:val="auto"/>
          <w:sz w:val="24"/>
          <w:szCs w:val="24"/>
          <w:highlight w:val="none"/>
        </w:rPr>
      </w:pPr>
      <w:r>
        <w:rPr>
          <w:rFonts w:ascii="SimSun" w:hAnsi="SimSun" w:eastAsia="SimSun" w:cs="SimSun"/>
          <w:color w:val="000000"/>
          <w:sz w:val="24"/>
        </w:rPr>
        <w:t xml:space="preserve">3、本项目养护管理机械机具设备配置要求（以下数量和设备种类为最低标准，投标人可根据自身情况增加）：现场巡查车辆1台、潜望镜1台。自有的须提供设备购买发票扫描件或复印件和车辆行驶证扫描件或复印件（加盖电子签章）；以上设备租赁的应提供一年以上（含一年）租赁协议扫描件或复印件，并提供设备的购买发票及有效的车辆行驶证扫描件或复印件（加盖电子签章）。</w:t>
      </w:r>
      <w:r>
        <w:rPr>
          <w:rFonts w:hint="eastAsia" w:ascii="宋体" w:hAnsi="宋体" w:eastAsia="宋体" w:cs="宋体"/>
          <w:color w:val="auto"/>
          <w:sz w:val="24"/>
          <w:szCs w:val="24"/>
          <w:highlight w:val="none"/>
        </w:rPr>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6"/>
        <w:ind w:left="0"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以上资料必须提供，否则按投标无效处理。</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pStyle w:val="104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pStyle w:val="1044"/>
        <w:jc w:val="left"/>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4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4560"/>
        <w:spacing w:line="480" w:lineRule="exact"/>
        <w:rPr>
          <w:rFonts w:hint="eastAsia" w:ascii="宋体" w:hAnsi="宋体" w:eastAsia="宋体" w:cs="宋体"/>
          <w:color w:val="auto"/>
          <w:sz w:val="24"/>
          <w:szCs w:val="30"/>
          <w:highlight w:val="none"/>
        </w:rPr>
      </w:pPr>
      <w:r>
        <w:rPr>
          <w:rFonts w:hint="eastAsia" w:ascii="宋体" w:hAnsi="宋体" w:eastAsia="宋体" w:cs="宋体"/>
          <w:color w:val="auto"/>
          <w:sz w:val="24"/>
          <w:szCs w:val="30"/>
          <w:highlight w:val="none"/>
        </w:rPr>
        <w:t xml:space="preserve">投标人：（盖单位电子签章）</w:t>
      </w:r>
      <w:r/>
    </w:p>
    <w:p>
      <w:pPr>
        <w:pStyle w:val="788"/>
        <w:ind w:firstLine="4500"/>
        <w:spacing w:line="480" w:lineRule="exact"/>
        <w:rPr>
          <w:rFonts w:hint="eastAsia" w:ascii="宋体" w:hAnsi="宋体" w:eastAsia="宋体" w:cs="宋体"/>
          <w:color w:val="auto"/>
          <w:sz w:val="24"/>
          <w:szCs w:val="30"/>
          <w:highlight w:val="none"/>
        </w:rPr>
      </w:pPr>
      <w:r>
        <w:rPr>
          <w:rFonts w:hint="eastAsia" w:ascii="宋体" w:hAnsi="宋体" w:eastAsia="宋体" w:cs="宋体"/>
          <w:color w:val="auto"/>
          <w:sz w:val="24"/>
          <w:szCs w:val="30"/>
          <w:highlight w:val="none"/>
        </w:rPr>
      </w:r>
      <w:r/>
    </w:p>
    <w:p>
      <w:pPr>
        <w:pStyle w:val="788"/>
        <w:ind w:firstLine="4950"/>
        <w:spacing w:line="480" w:lineRule="exact"/>
        <w:rPr>
          <w:rFonts w:hint="eastAsia" w:ascii="宋体" w:hAnsi="宋体" w:eastAsia="宋体" w:cs="宋体"/>
          <w:color w:val="auto"/>
          <w:sz w:val="24"/>
          <w:szCs w:val="30"/>
          <w:highlight w:val="none"/>
        </w:rPr>
      </w:pPr>
      <w:r>
        <w:rPr>
          <w:rFonts w:hint="eastAsia" w:ascii="宋体" w:hAnsi="宋体" w:eastAsia="宋体" w:cs="宋体"/>
          <w:color w:val="auto"/>
          <w:sz w:val="24"/>
          <w:szCs w:val="30"/>
          <w:highlight w:val="none"/>
        </w:rPr>
        <w:t xml:space="preserve">日期：   年  月  日</w:t>
      </w:r>
      <w:r/>
    </w:p>
    <w:p>
      <w:pPr>
        <w:pStyle w:val="1008"/>
        <w:rPr>
          <w:rFonts w:hint="eastAsia" w:ascii="宋体" w:hAnsi="宋体" w:eastAsia="宋体" w:cs="宋体"/>
          <w:color w:val="auto"/>
          <w:sz w:val="18"/>
          <w:highlight w:val="none"/>
        </w:rPr>
      </w:pPr>
      <w:r>
        <w:rPr>
          <w:rFonts w:hint="eastAsia" w:ascii="宋体" w:hAnsi="宋体" w:eastAsia="宋体" w:cs="宋体"/>
          <w:color w:val="auto"/>
          <w:sz w:val="18"/>
          <w:highlight w:val="none"/>
        </w:rPr>
      </w:r>
      <w:r/>
    </w:p>
    <w:p>
      <w:pPr>
        <w:rPr>
          <w:rFonts w:hint="eastAsia" w:ascii="宋体" w:hAnsi="宋体" w:eastAsia="宋体" w:cs="宋体"/>
          <w:b/>
          <w:bCs/>
          <w:color w:val="auto"/>
          <w:sz w:val="30"/>
          <w:szCs w:val="44"/>
          <w:highlight w:val="none"/>
        </w:rPr>
      </w:pPr>
      <w:r>
        <w:rPr>
          <w:rFonts w:hint="eastAsia" w:ascii="宋体" w:hAnsi="宋体" w:eastAsia="宋体" w:cs="宋体"/>
          <w:color w:val="auto"/>
          <w:highlight w:val="none"/>
        </w:rPr>
        <w:br w:type="page" w:clear="all"/>
      </w:r>
      <w:r/>
    </w:p>
    <w:p>
      <w:pPr>
        <w:pStyle w:val="993"/>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十、预付款保函支付条款模板</w:t>
      </w:r>
      <w:r/>
    </w:p>
    <w:p>
      <w:pPr>
        <w:pStyle w:val="10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484"/>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符合条件一：提交预付款保函的</w:t>
      </w:r>
      <w:r/>
    </w:p>
    <w:p>
      <w:pPr>
        <w:pStyle w:val="788"/>
        <w:ind w:firstLine="482"/>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（1）合同签订且乙方向甲方出具预付款保函后个工作日内，甲方应支付合同价款的百分之</w:t>
      </w:r>
      <w:r>
        <w:rPr>
          <w:rFonts w:hint="eastAsia" w:ascii="宋体" w:hAnsi="宋体" w:eastAsia="宋体" w:cs="宋体"/>
          <w:color w:val="auto"/>
          <w:sz w:val="24"/>
          <w:highlight w:val="none"/>
          <w:u w:val="single"/>
        </w:rPr>
        <w:t xml:space="preserve">        XX（    XX%），</w:t>
      </w:r>
      <w:r>
        <w:rPr>
          <w:rFonts w:hint="eastAsia" w:ascii="宋体" w:hAnsi="宋体" w:eastAsia="宋体" w:cs="宋体"/>
          <w:color w:val="auto"/>
          <w:sz w:val="24"/>
          <w:highlight w:val="none"/>
        </w:rPr>
        <w:t xml:space="preserve">小写￥大写：人民币。</w:t>
      </w:r>
      <w:r/>
    </w:p>
    <w:p>
      <w:pPr>
        <w:pStyle w:val="788"/>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pStyle w:val="788"/>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小写￥大写：人民币。</w:t>
      </w:r>
      <w:r/>
    </w:p>
    <w:p>
      <w:pPr>
        <w:pStyle w:val="788"/>
        <w:ind w:firstLine="484"/>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p>
      <w:pPr>
        <w:pStyle w:val="788"/>
        <w:ind w:firstLine="484"/>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符合条件二：不提交预付款保函的</w:t>
      </w:r>
      <w:r/>
    </w:p>
    <w:p>
      <w:pPr>
        <w:pStyle w:val="788"/>
        <w:ind w:firstLine="482"/>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（1）合同签订后个工作日内，甲方应支付合同价款的百分之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小写￥大写：人民币。</w:t>
      </w:r>
      <w:r/>
    </w:p>
    <w:p>
      <w:pPr>
        <w:pStyle w:val="788"/>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pStyle w:val="788"/>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小写￥大写：人民币。</w:t>
      </w:r>
      <w:r/>
    </w:p>
    <w:p>
      <w:pPr>
        <w:pStyle w:val="788"/>
        <w:ind w:firstLine="484"/>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p>
      <w:pPr>
        <w:pStyle w:val="788"/>
        <w:ind w:left="140" w:firstLine="484"/>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pStyle w:val="788"/>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1、付款条件一中，出具预付款保函后支付的合同款应当与保函金额一致。</w:t>
      </w:r>
      <w:r/>
    </w:p>
    <w:p>
      <w:pPr>
        <w:pStyle w:val="788"/>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2、付款条件二中，预付款比例设定应符合《关于做好政府采购支持企业发展有关事项的通知》(苏财购〔2020〕52号)要求。</w:t>
      </w:r>
      <w:r/>
    </w:p>
    <w:p>
      <w:pPr>
        <w:pStyle w:val="998"/>
        <w:ind w:left="0" w:right="147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98"/>
        <w:ind w:left="0" w:right="147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98"/>
        <w:ind w:left="0" w:right="147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93"/>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十一、其他资料</w:t>
      </w:r>
      <w:r/>
    </w:p>
    <w:p>
      <w:pPr>
        <w:pStyle w:val="101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bookmarkEnd w:id="106"/>
      <w:r/>
      <w:r/>
    </w:p>
    <w:sectPr>
      <w:headerReference w:type="default" r:id="rId10"/>
      <w:footerReference w:type="default" r:id="rId13"/>
      <w:footerReference w:type="even" r:id="rId14"/>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Tahoma">
    <w:panose1 w:val="020B0604030504040204"/>
  </w:font>
  <w:font w:name="仿宋">
    <w:panose1 w:val="02010609060101010101"/>
  </w:font>
  <w:font w:name="Symbol">
    <w:panose1 w:val="05050102010706020507"/>
  </w:font>
  <w:font w:name="新宋体">
    <w:panose1 w:val="02010609030101010101"/>
  </w:font>
  <w:font w:name="仿宋_GB2312">
    <w:panose1 w:val="02010609060101010101"/>
  </w:font>
  <w:font w:name="黑体">
    <w:panose1 w:val="02010609060101010101"/>
  </w:font>
  <w:font w:name="微软雅黑">
    <w:panose1 w:val="020B0503020204020204"/>
  </w:font>
  <w:font w:name="Calibri">
    <w:panose1 w:val="020F0502020204030204"/>
  </w:font>
  <w:font w:name="Calibri Light">
    <w:panose1 w:val="020F030202020403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p>
    <w:pPr>
      <w:pStyle w:val="101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15"/>
                            <w:tabs>
                              <w:tab w:val="clear" w:pos="4153" w:leader="none"/>
                              <w:tab w:val="clear" w:pos="8306" w:leader="none"/>
                            </w:tabs>
                          </w:pPr>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15"/>
                      <w:tabs>
                        <w:tab w:val="clear" w:pos="4153" w:leader="none"/>
                        <w:tab w:val="clear" w:pos="8306" w:leader="none"/>
                      </w:tabs>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72167705"/>
      <w:rPr/>
    </w:sdtPr>
    <w:sdtContent>
      <w:p>
        <w:pPr>
          <w:pStyle w:val="805"/>
          <w:jc w:val="center"/>
        </w:pPr>
        <w:r>
          <w:fldChar w:fldCharType="begin"/>
        </w:r>
        <w:r>
          <w:instrText xml:space="preserve">PAGE   \* MERGEFORMAT</w:instrText>
        </w:r>
        <w:r>
          <w:fldChar w:fldCharType="separate"/>
        </w:r>
        <w:r>
          <w:rPr>
            <w:lang w:val="zh-CN"/>
          </w:rPr>
          <w:t xml:space="preserve">104</w:t>
        </w:r>
        <w:r>
          <w:rPr>
            <w:lang w:val="zh-CN"/>
          </w:rPr>
          <w:fldChar w:fldCharType="end"/>
        </w:r>
        <w:r/>
      </w:p>
    </w:sdtContent>
  </w:sdt>
  <w:p>
    <w:pPr>
      <w:pStyle w:val="80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pPr>
    <w:fldSimple w:instr="PAGE \* MERGEFORMAT">
      <w:r>
        <w:t xml:space="preserve">1</w:t>
      </w:r>
    </w:fldSimple>
    <w:r/>
    <w:r/>
  </w:p>
  <w:p>
    <w:pPr>
      <w:pStyle w:val="80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rStyle w:val="1025"/>
      </w:rPr>
      <w:framePr w:wrap="around" w:vAnchor="text" w:hAnchor="margin" w:xAlign="center" w:y="1"/>
    </w:pPr>
    <w:r>
      <w:fldChar w:fldCharType="begin"/>
    </w:r>
    <w:r>
      <w:rPr>
        <w:rStyle w:val="1025"/>
      </w:rPr>
      <w:instrText xml:space="preserve">PAGE  </w:instrText>
    </w:r>
    <w:r>
      <w:fldChar w:fldCharType="end"/>
    </w:r>
    <w:r/>
  </w:p>
  <w:p>
    <w:pPr>
      <w:pStyle w:val="10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4">
    <w:name w:val="Plain Table 1"/>
    <w:basedOn w:val="7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7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7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2"/>
    <w:basedOn w:val="7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3"/>
    <w:basedOn w:val="7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7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5 Dark"/>
    <w:basedOn w:val="7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6 Colorful"/>
    <w:basedOn w:val="7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7 Colorful"/>
    <w:basedOn w:val="7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List Table 1 Light"/>
    <w:basedOn w:val="7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2"/>
    <w:basedOn w:val="7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3"/>
    <w:basedOn w:val="7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w:basedOn w:val="7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5 Dark"/>
    <w:basedOn w:val="7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basedOn w:val="7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7 Colorful"/>
    <w:basedOn w:val="7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3">
    <w:name w:val="TOC Heading"/>
    <w:uiPriority w:val="39"/>
    <w:unhideWhenUsed/>
  </w:style>
  <w:style w:type="paragraph" w:styleId="774" w:default="1">
    <w:name w:val="Normal"/>
    <w:next w:val="786"/>
    <w:uiPriority w:val="0"/>
    <w:qFormat/>
    <w:rPr>
      <w:rFonts w:ascii="Times New Roman" w:hAnsi="Times New Roman" w:eastAsia="宋体" w:cs="Times New Roman"/>
      <w:lang w:val="en-US" w:eastAsia="zh-CN" w:bidi="ar-SA"/>
    </w:rPr>
  </w:style>
  <w:style w:type="paragraph" w:styleId="775">
    <w:name w:val="Heading 1"/>
    <w:next w:val="774"/>
    <w:link w:val="864"/>
    <w:uiPriority w:val="9"/>
    <w:qFormat/>
    <w:pPr>
      <w:keepLines/>
      <w:keepNext/>
      <w:spacing w:before="480" w:after="200"/>
      <w:outlineLvl w:val="0"/>
    </w:pPr>
    <w:rPr>
      <w:rFonts w:ascii="Arial" w:hAnsi="Arial" w:eastAsia="Arial" w:cs="Arial"/>
      <w:sz w:val="40"/>
      <w:szCs w:val="40"/>
      <w:lang w:val="en-US" w:eastAsia="zh-CN" w:bidi="ar-SA"/>
    </w:rPr>
  </w:style>
  <w:style w:type="paragraph" w:styleId="776">
    <w:name w:val="Heading 2"/>
    <w:basedOn w:val="788"/>
    <w:next w:val="788"/>
    <w:uiPriority w:val="0"/>
    <w:qFormat/>
    <w:pPr>
      <w:jc w:val="left"/>
      <w:keepLines/>
      <w:keepNext/>
      <w:spacing w:before="260" w:after="260" w:line="416" w:lineRule="auto"/>
      <w:outlineLvl w:val="1"/>
    </w:pPr>
    <w:rPr>
      <w:rFonts w:ascii="Calibri Light" w:hAnsi="Calibri Light"/>
      <w:b/>
      <w:bCs/>
      <w:sz w:val="24"/>
      <w:szCs w:val="32"/>
    </w:rPr>
  </w:style>
  <w:style w:type="paragraph" w:styleId="777">
    <w:name w:val="Heading 3"/>
    <w:next w:val="774"/>
    <w:link w:val="866"/>
    <w:uiPriority w:val="9"/>
    <w:unhideWhenUsed/>
    <w:qFormat/>
    <w:pPr>
      <w:keepLines/>
      <w:keepNext/>
      <w:spacing w:line="400" w:lineRule="exact"/>
      <w:outlineLvl w:val="2"/>
    </w:pPr>
    <w:rPr>
      <w:rFonts w:ascii="宋体" w:hAnsi="宋体" w:eastAsia="宋体" w:cs="Arial"/>
      <w:sz w:val="30"/>
      <w:szCs w:val="30"/>
      <w:lang w:val="en-US" w:eastAsia="zh-CN" w:bidi="ar-SA"/>
    </w:rPr>
  </w:style>
  <w:style w:type="paragraph" w:styleId="778">
    <w:name w:val="Heading 4"/>
    <w:next w:val="774"/>
    <w:link w:val="867"/>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79">
    <w:name w:val="Heading 5"/>
    <w:next w:val="774"/>
    <w:link w:val="868"/>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80">
    <w:name w:val="Heading 6"/>
    <w:next w:val="774"/>
    <w:link w:val="869"/>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81">
    <w:name w:val="Heading 7"/>
    <w:next w:val="774"/>
    <w:link w:val="870"/>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82">
    <w:name w:val="Heading 8"/>
    <w:next w:val="774"/>
    <w:link w:val="871"/>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83">
    <w:name w:val="Heading 9"/>
    <w:next w:val="774"/>
    <w:link w:val="872"/>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84" w:default="1">
    <w:name w:val="Default Paragraph Font"/>
    <w:uiPriority w:val="1"/>
    <w:semiHidden/>
    <w:unhideWhenUsed/>
    <w:qFormat/>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name w:val="Body Text First Indent 2"/>
    <w:basedOn w:val="787"/>
    <w:uiPriority w:val="99"/>
    <w:unhideWhenUsed/>
    <w:qFormat/>
    <w:pPr>
      <w:ind w:firstLine="420"/>
    </w:pPr>
  </w:style>
  <w:style w:type="paragraph" w:styleId="787">
    <w:name w:val="Body Text Indent"/>
    <w:basedOn w:val="774"/>
    <w:uiPriority w:val="0"/>
    <w:qFormat/>
    <w:pPr>
      <w:ind w:left="420"/>
      <w:spacing w:after="120"/>
    </w:pPr>
  </w:style>
  <w:style w:type="paragraph" w:styleId="788" w:customStyle="1">
    <w:name w:val="正文12"/>
    <w:next w:val="774"/>
    <w:link w:val="1039"/>
    <w:uiPriority w:val="0"/>
    <w:qFormat/>
    <w:pPr>
      <w:jc w:val="both"/>
      <w:widowControl w:val="off"/>
    </w:pPr>
    <w:rPr>
      <w:rFonts w:ascii="Times New Roman" w:hAnsi="Times New Roman" w:eastAsia="宋体" w:cs="Times New Roman"/>
      <w:sz w:val="21"/>
      <w:szCs w:val="24"/>
      <w:lang w:val="en-US" w:eastAsia="zh-CN" w:bidi="ar-SA"/>
    </w:rPr>
  </w:style>
  <w:style w:type="paragraph" w:styleId="789">
    <w:name w:val="toc 7"/>
    <w:next w:val="774"/>
    <w:uiPriority w:val="39"/>
    <w:unhideWhenUsed/>
    <w:qFormat/>
    <w:pPr>
      <w:ind w:left="1701"/>
      <w:spacing w:after="57"/>
    </w:pPr>
    <w:rPr>
      <w:rFonts w:ascii="Times New Roman" w:hAnsi="Times New Roman" w:eastAsia="宋体" w:cs="Times New Roman"/>
      <w:lang w:val="en-US" w:eastAsia="zh-CN" w:bidi="ar-SA"/>
    </w:rPr>
  </w:style>
  <w:style w:type="paragraph" w:styleId="790">
    <w:name w:val="Normal Indent"/>
    <w:basedOn w:val="774"/>
    <w:uiPriority w:val="0"/>
    <w:qFormat/>
    <w:pPr>
      <w:ind w:firstLine="420"/>
      <w:jc w:val="both"/>
      <w:widowControl w:val="off"/>
    </w:pPr>
    <w:rPr>
      <w:sz w:val="21"/>
      <w:szCs w:val="24"/>
    </w:rPr>
  </w:style>
  <w:style w:type="paragraph" w:styleId="791">
    <w:name w:val="Caption"/>
    <w:next w:val="774"/>
    <w:uiPriority w:val="35"/>
    <w:semiHidden/>
    <w:unhideWhenUsed/>
    <w:qFormat/>
    <w:pPr>
      <w:spacing w:line="276" w:lineRule="auto"/>
    </w:pPr>
    <w:rPr>
      <w:rFonts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792">
    <w:name w:val="index 5"/>
    <w:basedOn w:val="774"/>
    <w:next w:val="774"/>
    <w:uiPriority w:val="0"/>
    <w:qFormat/>
    <w:pPr>
      <w:ind w:left="798"/>
    </w:pPr>
    <w:rPr>
      <w:rFonts w:ascii="Calibri" w:hAnsi="Calibri"/>
    </w:rPr>
  </w:style>
  <w:style w:type="paragraph" w:styleId="793">
    <w:name w:val="Document Map"/>
    <w:basedOn w:val="774"/>
    <w:link w:val="1308"/>
    <w:uiPriority w:val="99"/>
    <w:semiHidden/>
    <w:unhideWhenUsed/>
    <w:qFormat/>
    <w:rPr>
      <w:rFonts w:ascii="宋体"/>
      <w:sz w:val="18"/>
      <w:szCs w:val="18"/>
    </w:rPr>
  </w:style>
  <w:style w:type="paragraph" w:styleId="794">
    <w:name w:val="Body Text"/>
    <w:basedOn w:val="774"/>
    <w:next w:val="795"/>
    <w:uiPriority w:val="0"/>
    <w:qFormat/>
    <w:pPr>
      <w:spacing w:after="120"/>
    </w:pPr>
    <w:rPr>
      <w:rFonts w:ascii="Calibri" w:hAnsi="Calibri"/>
    </w:rPr>
  </w:style>
  <w:style w:type="paragraph" w:styleId="795" w:customStyle="1">
    <w:name w:val="一级条标题"/>
    <w:basedOn w:val="796"/>
    <w:next w:val="79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6" w:customStyle="1">
    <w:name w:val="章标题"/>
    <w:basedOn w:val="788"/>
    <w:next w:val="774"/>
    <w:uiPriority w:val="0"/>
    <w:qFormat/>
    <w:pPr>
      <w:jc w:val="center"/>
      <w:spacing w:before="158" w:after="153" w:line="1292" w:lineRule="atLeast"/>
      <w:widowControl/>
    </w:pPr>
    <w:rPr>
      <w:rFonts w:ascii="Arial" w:hAnsi="Calibri" w:eastAsia="黑体"/>
      <w:sz w:val="31"/>
      <w:szCs w:val="22"/>
      <w:lang w:eastAsia="en-US" w:bidi="en-US"/>
    </w:rPr>
  </w:style>
  <w:style w:type="paragraph" w:styleId="797" w:customStyle="1">
    <w:name w:val="段"/>
    <w:basedOn w:val="788"/>
    <w:next w:val="774"/>
    <w:uiPriority w:val="0"/>
    <w:qFormat/>
    <w:pPr>
      <w:ind w:firstLine="200"/>
      <w:widowControl/>
    </w:pPr>
    <w:rPr>
      <w:rFonts w:ascii="宋体"/>
    </w:rPr>
  </w:style>
  <w:style w:type="paragraph" w:styleId="798">
    <w:name w:val="Block Text"/>
    <w:basedOn w:val="774"/>
    <w:uiPriority w:val="0"/>
    <w:qFormat/>
    <w:pPr>
      <w:ind w:left="256" w:right="6" w:firstLine="624"/>
    </w:pPr>
    <w:rPr>
      <w:rFonts w:eastAsia="仿宋_GB2312"/>
      <w:sz w:val="28"/>
    </w:rPr>
  </w:style>
  <w:style w:type="paragraph" w:styleId="799">
    <w:name w:val="toc 5"/>
    <w:next w:val="774"/>
    <w:uiPriority w:val="39"/>
    <w:unhideWhenUsed/>
    <w:qFormat/>
    <w:pPr>
      <w:ind w:left="1134"/>
      <w:spacing w:after="57"/>
    </w:pPr>
    <w:rPr>
      <w:rFonts w:ascii="Times New Roman" w:hAnsi="Times New Roman" w:eastAsia="宋体" w:cs="Times New Roman"/>
      <w:lang w:val="en-US" w:eastAsia="zh-CN" w:bidi="ar-SA"/>
    </w:rPr>
  </w:style>
  <w:style w:type="paragraph" w:styleId="800">
    <w:name w:val="toc 3"/>
    <w:next w:val="774"/>
    <w:uiPriority w:val="39"/>
    <w:unhideWhenUsed/>
    <w:qFormat/>
    <w:pPr>
      <w:ind w:left="567"/>
      <w:spacing w:after="57"/>
    </w:pPr>
    <w:rPr>
      <w:rFonts w:ascii="Times New Roman" w:hAnsi="Times New Roman" w:eastAsia="宋体" w:cs="Times New Roman"/>
      <w:lang w:val="en-US" w:eastAsia="zh-CN" w:bidi="ar-SA"/>
    </w:rPr>
  </w:style>
  <w:style w:type="paragraph" w:styleId="801">
    <w:name w:val="toc 8"/>
    <w:next w:val="774"/>
    <w:uiPriority w:val="39"/>
    <w:unhideWhenUsed/>
    <w:qFormat/>
    <w:pPr>
      <w:ind w:left="1984"/>
      <w:spacing w:after="57"/>
    </w:pPr>
    <w:rPr>
      <w:rFonts w:ascii="Times New Roman" w:hAnsi="Times New Roman" w:eastAsia="宋体" w:cs="Times New Roman"/>
      <w:lang w:val="en-US" w:eastAsia="zh-CN" w:bidi="ar-SA"/>
    </w:rPr>
  </w:style>
  <w:style w:type="paragraph" w:styleId="802">
    <w:name w:val="Date"/>
    <w:basedOn w:val="774"/>
    <w:next w:val="774"/>
    <w:link w:val="1049"/>
    <w:uiPriority w:val="0"/>
    <w:qFormat/>
    <w:pPr>
      <w:jc w:val="both"/>
      <w:widowControl w:val="off"/>
    </w:pPr>
    <w:rPr>
      <w:rFonts w:eastAsia="仿宋_GB2312"/>
      <w:sz w:val="28"/>
    </w:rPr>
  </w:style>
  <w:style w:type="paragraph" w:styleId="803">
    <w:name w:val="endnote text"/>
    <w:link w:val="991"/>
    <w:uiPriority w:val="99"/>
    <w:semiHidden/>
    <w:unhideWhenUsed/>
    <w:qFormat/>
    <w:rPr>
      <w:rFonts w:ascii="Times New Roman" w:hAnsi="Times New Roman" w:eastAsia="宋体" w:cs="Times New Roman"/>
      <w:lang w:val="en-US" w:eastAsia="zh-CN" w:bidi="ar-SA"/>
    </w:rPr>
  </w:style>
  <w:style w:type="paragraph" w:styleId="804">
    <w:name w:val="Balloon Text"/>
    <w:basedOn w:val="774"/>
    <w:link w:val="1054"/>
    <w:uiPriority w:val="99"/>
    <w:semiHidden/>
    <w:unhideWhenUsed/>
    <w:qFormat/>
    <w:rPr>
      <w:sz w:val="18"/>
      <w:szCs w:val="18"/>
    </w:rPr>
  </w:style>
  <w:style w:type="paragraph" w:styleId="805">
    <w:name w:val="Footer"/>
    <w:link w:val="883"/>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806">
    <w:name w:val="Header"/>
    <w:link w:val="881"/>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807">
    <w:name w:val="toc 1"/>
    <w:next w:val="774"/>
    <w:uiPriority w:val="39"/>
    <w:unhideWhenUsed/>
    <w:qFormat/>
    <w:pPr>
      <w:spacing w:after="57"/>
    </w:pPr>
    <w:rPr>
      <w:rFonts w:ascii="Times New Roman" w:hAnsi="Times New Roman" w:eastAsia="宋体" w:cs="Times New Roman"/>
      <w:lang w:val="en-US" w:eastAsia="zh-CN" w:bidi="ar-SA"/>
    </w:rPr>
  </w:style>
  <w:style w:type="paragraph" w:styleId="808">
    <w:name w:val="toc 4"/>
    <w:next w:val="774"/>
    <w:uiPriority w:val="39"/>
    <w:unhideWhenUsed/>
    <w:qFormat/>
    <w:pPr>
      <w:ind w:left="850"/>
      <w:spacing w:after="57"/>
    </w:pPr>
    <w:rPr>
      <w:rFonts w:ascii="Times New Roman" w:hAnsi="Times New Roman" w:eastAsia="宋体" w:cs="Times New Roman"/>
      <w:lang w:val="en-US" w:eastAsia="zh-CN" w:bidi="ar-SA"/>
    </w:rPr>
  </w:style>
  <w:style w:type="paragraph" w:styleId="809">
    <w:name w:val="Subtitle"/>
    <w:link w:val="876"/>
    <w:uiPriority w:val="11"/>
    <w:qFormat/>
    <w:pPr>
      <w:spacing w:before="200" w:after="200"/>
    </w:pPr>
    <w:rPr>
      <w:rFonts w:ascii="Times New Roman" w:hAnsi="Times New Roman" w:eastAsia="宋体" w:cs="Times New Roman"/>
      <w:sz w:val="24"/>
      <w:szCs w:val="24"/>
      <w:lang w:val="en-US" w:eastAsia="zh-CN" w:bidi="ar-SA"/>
    </w:rPr>
  </w:style>
  <w:style w:type="paragraph" w:styleId="810">
    <w:name w:val="footnote text"/>
    <w:basedOn w:val="774"/>
    <w:next w:val="792"/>
    <w:link w:val="990"/>
    <w:uiPriority w:val="99"/>
    <w:unhideWhenUsed/>
    <w:qFormat/>
    <w:pPr>
      <w:spacing w:after="40"/>
    </w:pPr>
    <w:rPr>
      <w:sz w:val="18"/>
    </w:rPr>
  </w:style>
  <w:style w:type="paragraph" w:styleId="811">
    <w:name w:val="toc 6"/>
    <w:next w:val="774"/>
    <w:uiPriority w:val="39"/>
    <w:unhideWhenUsed/>
    <w:qFormat/>
    <w:pPr>
      <w:ind w:left="1417"/>
      <w:spacing w:after="57"/>
    </w:pPr>
    <w:rPr>
      <w:rFonts w:ascii="Times New Roman" w:hAnsi="Times New Roman" w:eastAsia="宋体" w:cs="Times New Roman"/>
      <w:lang w:val="en-US" w:eastAsia="zh-CN" w:bidi="ar-SA"/>
    </w:rPr>
  </w:style>
  <w:style w:type="paragraph" w:styleId="812">
    <w:name w:val="table of figures"/>
    <w:next w:val="774"/>
    <w:uiPriority w:val="99"/>
    <w:unhideWhenUsed/>
    <w:qFormat/>
    <w:rPr>
      <w:rFonts w:ascii="Times New Roman" w:hAnsi="Times New Roman" w:eastAsia="宋体" w:cs="Times New Roman"/>
      <w:lang w:val="en-US" w:eastAsia="zh-CN" w:bidi="ar-SA"/>
    </w:rPr>
  </w:style>
  <w:style w:type="paragraph" w:styleId="813">
    <w:name w:val="toc 2"/>
    <w:next w:val="774"/>
    <w:uiPriority w:val="39"/>
    <w:unhideWhenUsed/>
    <w:qFormat/>
    <w:pPr>
      <w:ind w:left="283"/>
      <w:spacing w:after="57"/>
    </w:pPr>
    <w:rPr>
      <w:rFonts w:ascii="Times New Roman" w:hAnsi="Times New Roman" w:eastAsia="宋体" w:cs="Times New Roman"/>
      <w:lang w:val="en-US" w:eastAsia="zh-CN" w:bidi="ar-SA"/>
    </w:rPr>
  </w:style>
  <w:style w:type="paragraph" w:styleId="814">
    <w:name w:val="toc 9"/>
    <w:next w:val="774"/>
    <w:uiPriority w:val="39"/>
    <w:unhideWhenUsed/>
    <w:qFormat/>
    <w:pPr>
      <w:ind w:left="2268"/>
      <w:spacing w:after="57"/>
    </w:pPr>
    <w:rPr>
      <w:rFonts w:ascii="Times New Roman" w:hAnsi="Times New Roman" w:eastAsia="宋体" w:cs="Times New Roman"/>
      <w:lang w:val="en-US" w:eastAsia="zh-CN" w:bidi="ar-SA"/>
    </w:rPr>
  </w:style>
  <w:style w:type="paragraph" w:styleId="815">
    <w:name w:val="Body Text 2"/>
    <w:basedOn w:val="774"/>
    <w:uiPriority w:val="0"/>
    <w:unhideWhenUsed/>
    <w:qFormat/>
    <w:pPr>
      <w:jc w:val="both"/>
      <w:spacing w:after="120" w:line="480" w:lineRule="auto"/>
    </w:pPr>
    <w:rPr>
      <w:rFonts w:ascii="Calibri" w:hAnsi="Calibri"/>
      <w:sz w:val="21"/>
    </w:rPr>
  </w:style>
  <w:style w:type="paragraph" w:styleId="816">
    <w:name w:val="Normal (Web)"/>
    <w:basedOn w:val="774"/>
    <w:uiPriority w:val="0"/>
    <w:qFormat/>
    <w:pPr>
      <w:spacing w:before="100" w:beforeAutospacing="1" w:after="100" w:afterAutospacing="1" w:line="360" w:lineRule="auto"/>
    </w:pPr>
    <w:rPr>
      <w:rFonts w:ascii="宋体" w:hAnsi="宋体" w:cs="宋体"/>
      <w:color w:val="000000"/>
      <w:sz w:val="24"/>
      <w:szCs w:val="24"/>
    </w:rPr>
  </w:style>
  <w:style w:type="paragraph" w:styleId="817">
    <w:name w:val="Title"/>
    <w:link w:val="875"/>
    <w:uiPriority w:val="10"/>
    <w:qFormat/>
    <w:pPr>
      <w:contextualSpacing/>
      <w:spacing w:before="300" w:after="200"/>
    </w:pPr>
    <w:rPr>
      <w:rFonts w:ascii="Times New Roman" w:hAnsi="Times New Roman" w:eastAsia="宋体" w:cs="Times New Roman"/>
      <w:sz w:val="48"/>
      <w:szCs w:val="48"/>
      <w:lang w:val="en-US" w:eastAsia="zh-CN" w:bidi="ar-SA"/>
    </w:rPr>
  </w:style>
  <w:style w:type="table" w:styleId="8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9">
    <w:name w:val="Strong"/>
    <w:uiPriority w:val="0"/>
    <w:qFormat/>
    <w:rPr>
      <w:b/>
      <w:bCs/>
    </w:rPr>
  </w:style>
  <w:style w:type="character" w:styleId="820">
    <w:name w:val="endnote reference"/>
    <w:uiPriority w:val="99"/>
    <w:semiHidden/>
    <w:unhideWhenUsed/>
    <w:qFormat/>
    <w:rPr>
      <w:vertAlign w:val="superscript"/>
    </w:rPr>
  </w:style>
  <w:style w:type="character" w:styleId="821">
    <w:name w:val="FollowedHyperlink"/>
    <w:basedOn w:val="784"/>
    <w:uiPriority w:val="99"/>
    <w:semiHidden/>
    <w:unhideWhenUsed/>
    <w:qFormat/>
    <w:rPr>
      <w:color w:val="800080"/>
      <w:u w:val="single"/>
    </w:rPr>
  </w:style>
  <w:style w:type="character" w:styleId="822">
    <w:name w:val="Hyperlink"/>
    <w:uiPriority w:val="99"/>
    <w:unhideWhenUsed/>
    <w:qFormat/>
    <w:rPr>
      <w:color w:val="0000ff" w:themeColor="hyperlink"/>
      <w:u w:val="single"/>
      <w14:textFill>
        <w14:solidFill>
          <w14:schemeClr w14:val="hlink"/>
        </w14:solidFill>
      </w14:textFill>
    </w:rPr>
  </w:style>
  <w:style w:type="character" w:styleId="823">
    <w:name w:val="footnote reference"/>
    <w:uiPriority w:val="99"/>
    <w:unhideWhenUsed/>
    <w:qFormat/>
    <w:rPr>
      <w:vertAlign w:val="superscript"/>
    </w:rPr>
  </w:style>
  <w:style w:type="table" w:styleId="824" w:customStyle="1">
    <w:name w:val="无格式表格 11"/>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21"/>
    <w:basedOn w:val="7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31"/>
    <w:basedOn w:val="785"/>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无格式表格 41"/>
    <w:basedOn w:val="785"/>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无格式表格 51"/>
    <w:basedOn w:val="785"/>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网格表 1 浅色1"/>
    <w:basedOn w:val="7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网格表 2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网格表 3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网格表 41"/>
    <w:basedOn w:val="7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网格表 5 深色1"/>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网格表 6 彩色1"/>
    <w:basedOn w:val="7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网格表 7 彩色1"/>
    <w:basedOn w:val="7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清单表 1 浅色1"/>
    <w:basedOn w:val="78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清单表 21"/>
    <w:basedOn w:val="7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清单表 3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清单表 4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清单表 5 深色1"/>
    <w:basedOn w:val="7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清单表 6 彩色1"/>
    <w:basedOn w:val="78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清单表 7 彩色1"/>
    <w:basedOn w:val="78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3" w:customStyle="1">
    <w:name w:val="TOC 标题1"/>
    <w:uiPriority w:val="39"/>
    <w:unhideWhenUsed/>
    <w:qFormat/>
    <w:rPr>
      <w:rFonts w:ascii="Times New Roman" w:hAnsi="Times New Roman" w:eastAsia="宋体" w:cs="Times New Roman"/>
      <w:lang w:val="en-US" w:eastAsia="zh-CN" w:bidi="ar-SA"/>
    </w:rPr>
  </w:style>
  <w:style w:type="paragraph" w:styleId="844" w:customStyle="1">
    <w:name w:val="正文首行缩进 21"/>
    <w:basedOn w:val="845"/>
    <w:next w:val="774"/>
    <w:uiPriority w:val="0"/>
    <w:qFormat/>
    <w:pPr>
      <w:ind w:firstLine="420"/>
    </w:pPr>
  </w:style>
  <w:style w:type="paragraph" w:styleId="845" w:customStyle="1">
    <w:name w:val="正文文本缩进1"/>
    <w:basedOn w:val="788"/>
    <w:next w:val="846"/>
    <w:uiPriority w:val="0"/>
    <w:qFormat/>
    <w:pPr>
      <w:ind w:left="420"/>
      <w:spacing w:after="120"/>
    </w:pPr>
    <w:rPr>
      <w:rFonts w:ascii="Calibri" w:hAnsi="Calibri"/>
    </w:rPr>
  </w:style>
  <w:style w:type="paragraph" w:styleId="846" w:customStyle="1">
    <w:name w:val="寄信人地址1"/>
    <w:basedOn w:val="788"/>
    <w:uiPriority w:val="0"/>
    <w:qFormat/>
    <w:rPr>
      <w:rFonts w:ascii="Arial" w:hAnsi="Arial"/>
    </w:rPr>
  </w:style>
  <w:style w:type="character" w:styleId="847" w:customStyle="1">
    <w:name w:val="Heading 1 Char"/>
    <w:basedOn w:val="784"/>
    <w:uiPriority w:val="9"/>
    <w:qFormat/>
    <w:rPr>
      <w:rFonts w:ascii="Arial" w:hAnsi="Arial" w:eastAsia="Arial" w:cs="Arial"/>
      <w:sz w:val="40"/>
      <w:szCs w:val="40"/>
    </w:rPr>
  </w:style>
  <w:style w:type="character" w:styleId="848" w:customStyle="1">
    <w:name w:val="Heading 3 Char"/>
    <w:basedOn w:val="784"/>
    <w:uiPriority w:val="9"/>
    <w:qFormat/>
    <w:rPr>
      <w:rFonts w:ascii="Arial" w:hAnsi="Arial" w:eastAsia="Arial" w:cs="Arial"/>
      <w:sz w:val="30"/>
      <w:szCs w:val="30"/>
    </w:rPr>
  </w:style>
  <w:style w:type="character" w:styleId="849" w:customStyle="1">
    <w:name w:val="Heading 4 Char"/>
    <w:basedOn w:val="784"/>
    <w:uiPriority w:val="9"/>
    <w:qFormat/>
    <w:rPr>
      <w:rFonts w:ascii="Arial" w:hAnsi="Arial" w:eastAsia="Arial" w:cs="Arial"/>
      <w:b/>
      <w:bCs/>
      <w:sz w:val="26"/>
      <w:szCs w:val="26"/>
    </w:rPr>
  </w:style>
  <w:style w:type="character" w:styleId="850" w:customStyle="1">
    <w:name w:val="Heading 5 Char"/>
    <w:basedOn w:val="784"/>
    <w:uiPriority w:val="9"/>
    <w:qFormat/>
    <w:rPr>
      <w:rFonts w:ascii="Arial" w:hAnsi="Arial" w:eastAsia="Arial" w:cs="Arial"/>
      <w:b/>
      <w:bCs/>
      <w:sz w:val="24"/>
      <w:szCs w:val="24"/>
    </w:rPr>
  </w:style>
  <w:style w:type="character" w:styleId="851" w:customStyle="1">
    <w:name w:val="Heading 6 Char"/>
    <w:basedOn w:val="784"/>
    <w:uiPriority w:val="9"/>
    <w:qFormat/>
    <w:rPr>
      <w:rFonts w:ascii="Arial" w:hAnsi="Arial" w:eastAsia="Arial" w:cs="Arial"/>
      <w:b/>
      <w:bCs/>
      <w:sz w:val="22"/>
      <w:szCs w:val="22"/>
    </w:rPr>
  </w:style>
  <w:style w:type="character" w:styleId="852" w:customStyle="1">
    <w:name w:val="Heading 7 Char"/>
    <w:basedOn w:val="784"/>
    <w:uiPriority w:val="9"/>
    <w:qFormat/>
    <w:rPr>
      <w:rFonts w:ascii="Arial" w:hAnsi="Arial" w:eastAsia="Arial" w:cs="Arial"/>
      <w:b/>
      <w:bCs/>
      <w:i/>
      <w:iCs/>
      <w:sz w:val="22"/>
      <w:szCs w:val="22"/>
    </w:rPr>
  </w:style>
  <w:style w:type="character" w:styleId="853" w:customStyle="1">
    <w:name w:val="Heading 8 Char"/>
    <w:basedOn w:val="784"/>
    <w:uiPriority w:val="9"/>
    <w:qFormat/>
    <w:rPr>
      <w:rFonts w:ascii="Arial" w:hAnsi="Arial" w:eastAsia="Arial" w:cs="Arial"/>
      <w:i/>
      <w:iCs/>
      <w:sz w:val="22"/>
      <w:szCs w:val="22"/>
    </w:rPr>
  </w:style>
  <w:style w:type="character" w:styleId="854" w:customStyle="1">
    <w:name w:val="Heading 9 Char"/>
    <w:basedOn w:val="784"/>
    <w:uiPriority w:val="9"/>
    <w:qFormat/>
    <w:rPr>
      <w:rFonts w:ascii="Arial" w:hAnsi="Arial" w:eastAsia="Arial" w:cs="Arial"/>
      <w:i/>
      <w:iCs/>
      <w:sz w:val="21"/>
      <w:szCs w:val="21"/>
    </w:rPr>
  </w:style>
  <w:style w:type="character" w:styleId="855" w:customStyle="1">
    <w:name w:val="Title Char"/>
    <w:basedOn w:val="784"/>
    <w:uiPriority w:val="10"/>
    <w:qFormat/>
    <w:rPr>
      <w:sz w:val="48"/>
      <w:szCs w:val="48"/>
    </w:rPr>
  </w:style>
  <w:style w:type="character" w:styleId="856" w:customStyle="1">
    <w:name w:val="Subtitle Char"/>
    <w:basedOn w:val="784"/>
    <w:uiPriority w:val="11"/>
    <w:qFormat/>
    <w:rPr>
      <w:sz w:val="24"/>
      <w:szCs w:val="24"/>
    </w:rPr>
  </w:style>
  <w:style w:type="character" w:styleId="857" w:customStyle="1">
    <w:name w:val="Quote Char"/>
    <w:uiPriority w:val="29"/>
    <w:qFormat/>
    <w:rPr>
      <w:i/>
    </w:rPr>
  </w:style>
  <w:style w:type="character" w:styleId="858" w:customStyle="1">
    <w:name w:val="Intense Quote Char"/>
    <w:uiPriority w:val="30"/>
    <w:qFormat/>
    <w:rPr>
      <w:i/>
    </w:rPr>
  </w:style>
  <w:style w:type="character" w:styleId="859" w:customStyle="1">
    <w:name w:val="Header Char"/>
    <w:basedOn w:val="784"/>
    <w:uiPriority w:val="99"/>
    <w:qFormat/>
  </w:style>
  <w:style w:type="character" w:styleId="860" w:customStyle="1">
    <w:name w:val="Caption Char"/>
    <w:uiPriority w:val="99"/>
    <w:qFormat/>
  </w:style>
  <w:style w:type="character" w:styleId="861" w:customStyle="1">
    <w:name w:val="Footnote Text Char"/>
    <w:uiPriority w:val="99"/>
    <w:qFormat/>
    <w:rPr>
      <w:sz w:val="18"/>
    </w:rPr>
  </w:style>
  <w:style w:type="character" w:styleId="862" w:customStyle="1">
    <w:name w:val="Endnote Text Char"/>
    <w:uiPriority w:val="99"/>
    <w:qFormat/>
    <w:rPr>
      <w:sz w:val="20"/>
    </w:rPr>
  </w:style>
  <w:style w:type="paragraph" w:styleId="863" w:customStyle="1">
    <w:name w:val="TOC 标题111"/>
    <w:uiPriority w:val="39"/>
    <w:unhideWhenUsed/>
    <w:qFormat/>
    <w:rPr>
      <w:rFonts w:ascii="Times New Roman" w:hAnsi="Times New Roman" w:eastAsia="宋体" w:cs="Times New Roman"/>
      <w:lang w:val="en-US" w:eastAsia="zh-CN" w:bidi="ar-SA"/>
    </w:rPr>
  </w:style>
  <w:style w:type="character" w:styleId="864" w:customStyle="1">
    <w:name w:val="标题 1 字符1"/>
    <w:link w:val="775"/>
    <w:uiPriority w:val="9"/>
    <w:qFormat/>
    <w:rPr>
      <w:rFonts w:ascii="Arial" w:hAnsi="Arial" w:eastAsia="Arial" w:cs="Arial"/>
      <w:sz w:val="40"/>
      <w:szCs w:val="40"/>
    </w:rPr>
  </w:style>
  <w:style w:type="character" w:styleId="865" w:customStyle="1">
    <w:name w:val="Heading 2 Char"/>
    <w:uiPriority w:val="9"/>
    <w:qFormat/>
    <w:rPr>
      <w:rFonts w:ascii="Arial" w:hAnsi="Arial" w:eastAsia="Arial" w:cs="Arial"/>
      <w:sz w:val="34"/>
    </w:rPr>
  </w:style>
  <w:style w:type="character" w:styleId="866" w:customStyle="1">
    <w:name w:val="标题 3 字符1"/>
    <w:link w:val="777"/>
    <w:uiPriority w:val="9"/>
    <w:qFormat/>
    <w:rPr>
      <w:rFonts w:ascii="宋体" w:hAnsi="宋体" w:cs="Arial"/>
      <w:sz w:val="30"/>
      <w:szCs w:val="30"/>
    </w:rPr>
  </w:style>
  <w:style w:type="character" w:styleId="867" w:customStyle="1">
    <w:name w:val="标题 4 字符1"/>
    <w:link w:val="778"/>
    <w:uiPriority w:val="9"/>
    <w:qFormat/>
    <w:rPr>
      <w:rFonts w:ascii="Arial" w:hAnsi="Arial" w:eastAsia="Arial" w:cs="Arial"/>
      <w:b/>
      <w:bCs/>
      <w:sz w:val="26"/>
      <w:szCs w:val="26"/>
    </w:rPr>
  </w:style>
  <w:style w:type="character" w:styleId="868" w:customStyle="1">
    <w:name w:val="标题 5 字符"/>
    <w:link w:val="779"/>
    <w:uiPriority w:val="9"/>
    <w:qFormat/>
    <w:rPr>
      <w:rFonts w:ascii="Arial" w:hAnsi="Arial" w:eastAsia="Arial" w:cs="Arial"/>
      <w:b/>
      <w:bCs/>
      <w:sz w:val="24"/>
      <w:szCs w:val="24"/>
    </w:rPr>
  </w:style>
  <w:style w:type="character" w:styleId="869" w:customStyle="1">
    <w:name w:val="标题 6 字符"/>
    <w:link w:val="780"/>
    <w:uiPriority w:val="9"/>
    <w:qFormat/>
    <w:rPr>
      <w:rFonts w:ascii="Arial" w:hAnsi="Arial" w:eastAsia="Arial" w:cs="Arial"/>
      <w:b/>
      <w:bCs/>
      <w:sz w:val="22"/>
      <w:szCs w:val="22"/>
    </w:rPr>
  </w:style>
  <w:style w:type="character" w:styleId="870" w:customStyle="1">
    <w:name w:val="标题 7 字符"/>
    <w:link w:val="781"/>
    <w:uiPriority w:val="9"/>
    <w:qFormat/>
    <w:rPr>
      <w:rFonts w:ascii="Arial" w:hAnsi="Arial" w:eastAsia="Arial" w:cs="Arial"/>
      <w:b/>
      <w:bCs/>
      <w:i/>
      <w:iCs/>
      <w:sz w:val="22"/>
      <w:szCs w:val="22"/>
    </w:rPr>
  </w:style>
  <w:style w:type="character" w:styleId="871" w:customStyle="1">
    <w:name w:val="标题 8 字符"/>
    <w:link w:val="782"/>
    <w:uiPriority w:val="9"/>
    <w:qFormat/>
    <w:rPr>
      <w:rFonts w:ascii="Arial" w:hAnsi="Arial" w:eastAsia="Arial" w:cs="Arial"/>
      <w:i/>
      <w:iCs/>
      <w:sz w:val="22"/>
      <w:szCs w:val="22"/>
    </w:rPr>
  </w:style>
  <w:style w:type="character" w:styleId="872" w:customStyle="1">
    <w:name w:val="标题 9 字符"/>
    <w:link w:val="783"/>
    <w:uiPriority w:val="9"/>
    <w:qFormat/>
    <w:rPr>
      <w:rFonts w:ascii="Arial" w:hAnsi="Arial" w:eastAsia="Arial" w:cs="Arial"/>
      <w:i/>
      <w:iCs/>
      <w:sz w:val="21"/>
      <w:szCs w:val="21"/>
    </w:rPr>
  </w:style>
  <w:style w:type="paragraph" w:styleId="873">
    <w:name w:val="List Paragraph"/>
    <w:uiPriority w:val="34"/>
    <w:qFormat/>
    <w:pPr>
      <w:contextualSpacing/>
      <w:ind w:left="720"/>
    </w:pPr>
    <w:rPr>
      <w:rFonts w:ascii="Times New Roman" w:hAnsi="Times New Roman" w:eastAsia="宋体" w:cs="Times New Roman"/>
      <w:lang w:val="en-US" w:eastAsia="zh-CN" w:bidi="ar-SA"/>
    </w:rPr>
  </w:style>
  <w:style w:type="paragraph" w:styleId="874">
    <w:name w:val="No Spacing"/>
    <w:uiPriority w:val="1"/>
    <w:qFormat/>
    <w:rPr>
      <w:rFonts w:ascii="Times New Roman" w:hAnsi="Times New Roman" w:eastAsia="宋体" w:cs="Times New Roman"/>
      <w:lang w:val="en-US" w:eastAsia="zh-CN" w:bidi="ar-SA"/>
    </w:rPr>
  </w:style>
  <w:style w:type="character" w:styleId="875" w:customStyle="1">
    <w:name w:val="标题 字符"/>
    <w:link w:val="817"/>
    <w:uiPriority w:val="10"/>
    <w:qFormat/>
    <w:rPr>
      <w:sz w:val="48"/>
      <w:szCs w:val="48"/>
    </w:rPr>
  </w:style>
  <w:style w:type="character" w:styleId="876" w:customStyle="1">
    <w:name w:val="副标题 字符"/>
    <w:link w:val="809"/>
    <w:uiPriority w:val="11"/>
    <w:qFormat/>
    <w:rPr>
      <w:sz w:val="24"/>
      <w:szCs w:val="24"/>
    </w:rPr>
  </w:style>
  <w:style w:type="paragraph" w:styleId="877">
    <w:name w:val="Quote"/>
    <w:link w:val="878"/>
    <w:uiPriority w:val="29"/>
    <w:qFormat/>
    <w:pPr>
      <w:ind w:left="720" w:right="720"/>
    </w:pPr>
    <w:rPr>
      <w:rFonts w:ascii="Times New Roman" w:hAnsi="Times New Roman" w:eastAsia="宋体" w:cs="Times New Roman"/>
      <w:i/>
      <w:lang w:val="en-US" w:eastAsia="zh-CN" w:bidi="ar-SA"/>
    </w:rPr>
  </w:style>
  <w:style w:type="character" w:styleId="878" w:customStyle="1">
    <w:name w:val="引用 字符"/>
    <w:link w:val="877"/>
    <w:uiPriority w:val="29"/>
    <w:qFormat/>
    <w:rPr>
      <w:i/>
    </w:rPr>
  </w:style>
  <w:style w:type="paragraph" w:styleId="879">
    <w:name w:val="Intense Quote"/>
    <w:link w:val="8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80" w:customStyle="1">
    <w:name w:val="明显引用 字符"/>
    <w:link w:val="879"/>
    <w:uiPriority w:val="30"/>
    <w:qFormat/>
    <w:rPr>
      <w:i/>
    </w:rPr>
  </w:style>
  <w:style w:type="character" w:styleId="881" w:customStyle="1">
    <w:name w:val="页眉 字符"/>
    <w:link w:val="806"/>
    <w:uiPriority w:val="99"/>
    <w:qFormat/>
  </w:style>
  <w:style w:type="character" w:styleId="882" w:customStyle="1">
    <w:name w:val="Footer Char"/>
    <w:uiPriority w:val="99"/>
    <w:qFormat/>
  </w:style>
  <w:style w:type="character" w:styleId="883" w:customStyle="1">
    <w:name w:val="页脚 字符1"/>
    <w:link w:val="805"/>
    <w:uiPriority w:val="99"/>
    <w:qFormat/>
  </w:style>
  <w:style w:type="table" w:styleId="88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0" w:customStyle="1">
    <w:name w:val="脚注文本 字符1"/>
    <w:link w:val="810"/>
    <w:uiPriority w:val="99"/>
    <w:qFormat/>
    <w:rPr>
      <w:sz w:val="18"/>
    </w:rPr>
  </w:style>
  <w:style w:type="character" w:styleId="991" w:customStyle="1">
    <w:name w:val="尾注文本 字符"/>
    <w:link w:val="803"/>
    <w:uiPriority w:val="99"/>
    <w:qFormat/>
    <w:rPr>
      <w:sz w:val="20"/>
    </w:rPr>
  </w:style>
  <w:style w:type="paragraph" w:styleId="992" w:customStyle="1">
    <w:name w:val="TOC 标题11"/>
    <w:uiPriority w:val="39"/>
    <w:unhideWhenUsed/>
    <w:qFormat/>
    <w:rPr>
      <w:rFonts w:ascii="Times New Roman" w:hAnsi="Times New Roman" w:eastAsia="宋体" w:cs="Times New Roman"/>
      <w:lang w:val="en-US" w:eastAsia="zh-CN" w:bidi="ar-SA"/>
    </w:rPr>
  </w:style>
  <w:style w:type="paragraph" w:styleId="993" w:customStyle="1">
    <w:name w:val="标题 11"/>
    <w:basedOn w:val="788"/>
    <w:next w:val="788"/>
    <w:link w:val="1004"/>
    <w:uiPriority w:val="0"/>
    <w:qFormat/>
    <w:pPr>
      <w:jc w:val="center"/>
      <w:keepLines/>
      <w:keepNext/>
      <w:spacing w:line="578" w:lineRule="auto"/>
      <w:outlineLvl w:val="0"/>
    </w:pPr>
    <w:rPr>
      <w:rFonts w:eastAsia="新宋体"/>
      <w:b/>
      <w:bCs/>
      <w:sz w:val="30"/>
      <w:szCs w:val="44"/>
    </w:rPr>
  </w:style>
  <w:style w:type="paragraph" w:styleId="994" w:customStyle="1">
    <w:name w:val="标题 21"/>
    <w:basedOn w:val="788"/>
    <w:next w:val="788"/>
    <w:uiPriority w:val="0"/>
    <w:qFormat/>
    <w:pPr>
      <w:jc w:val="center"/>
      <w:keepLines/>
      <w:keepNext/>
      <w:spacing w:before="260" w:after="260" w:line="360" w:lineRule="auto"/>
      <w:outlineLvl w:val="1"/>
    </w:pPr>
    <w:rPr>
      <w:rFonts w:ascii="Arial" w:hAnsi="Arial" w:eastAsia="仿宋"/>
      <w:bCs/>
      <w:sz w:val="24"/>
      <w:szCs w:val="32"/>
    </w:rPr>
  </w:style>
  <w:style w:type="paragraph" w:styleId="995" w:customStyle="1">
    <w:name w:val="标题 31"/>
    <w:basedOn w:val="788"/>
    <w:next w:val="788"/>
    <w:link w:val="1005"/>
    <w:uiPriority w:val="0"/>
    <w:qFormat/>
    <w:pPr>
      <w:jc w:val="left"/>
      <w:keepLines/>
      <w:keepNext/>
      <w:spacing w:before="260" w:after="260" w:line="416" w:lineRule="auto"/>
      <w:widowControl/>
      <w:outlineLvl w:val="2"/>
    </w:pPr>
    <w:rPr>
      <w:rFonts w:ascii="Tahoma" w:hAnsi="Tahoma" w:eastAsia="微软雅黑"/>
      <w:b/>
      <w:bCs/>
      <w:sz w:val="32"/>
      <w:szCs w:val="32"/>
    </w:rPr>
  </w:style>
  <w:style w:type="paragraph" w:styleId="996" w:customStyle="1">
    <w:name w:val="标题 41"/>
    <w:basedOn w:val="788"/>
    <w:next w:val="997"/>
    <w:link w:val="1006"/>
    <w:uiPriority w:val="0"/>
    <w:qFormat/>
    <w:pPr>
      <w:keepLines/>
      <w:keepNext/>
      <w:spacing w:before="280" w:after="290" w:line="376" w:lineRule="auto"/>
      <w:outlineLvl w:val="3"/>
    </w:pPr>
    <w:rPr>
      <w:rFonts w:ascii="Calibri Light" w:hAnsi="Calibri Light"/>
      <w:b/>
      <w:bCs/>
      <w:sz w:val="28"/>
      <w:szCs w:val="28"/>
    </w:rPr>
  </w:style>
  <w:style w:type="paragraph" w:styleId="997" w:customStyle="1">
    <w:name w:val="正文11"/>
    <w:next w:val="998"/>
    <w:link w:val="1028"/>
    <w:uiPriority w:val="0"/>
    <w:qFormat/>
    <w:pPr>
      <w:jc w:val="both"/>
      <w:widowControl w:val="off"/>
    </w:pPr>
    <w:rPr>
      <w:rFonts w:ascii="Times New Roman" w:hAnsi="Times New Roman" w:eastAsia="宋体" w:cs="Times New Roman"/>
      <w:sz w:val="21"/>
      <w:szCs w:val="24"/>
      <w:lang w:val="en-US" w:eastAsia="zh-CN" w:bidi="ar-SA"/>
    </w:rPr>
  </w:style>
  <w:style w:type="paragraph" w:styleId="998" w:customStyle="1">
    <w:name w:val="文本块1"/>
    <w:basedOn w:val="999"/>
    <w:next w:val="996"/>
    <w:uiPriority w:val="0"/>
    <w:qFormat/>
    <w:pPr>
      <w:ind w:left="1440" w:right="1440"/>
      <w:spacing w:after="120"/>
    </w:pPr>
  </w:style>
  <w:style w:type="paragraph" w:styleId="999" w:customStyle="1">
    <w:name w:val="正文1"/>
    <w:next w:val="1000"/>
    <w:link w:val="1040"/>
    <w:uiPriority w:val="0"/>
    <w:qFormat/>
    <w:pPr>
      <w:jc w:val="both"/>
      <w:widowControl w:val="off"/>
    </w:pPr>
    <w:rPr>
      <w:rFonts w:ascii="Times New Roman" w:hAnsi="Times New Roman" w:eastAsia="宋体" w:cs="Times New Roman"/>
      <w:sz w:val="21"/>
      <w:szCs w:val="24"/>
      <w:lang w:val="en-US" w:eastAsia="zh-CN" w:bidi="ar-SA"/>
    </w:rPr>
  </w:style>
  <w:style w:type="paragraph" w:styleId="1000" w:customStyle="1">
    <w:name w:val="脚注文本1"/>
    <w:basedOn w:val="999"/>
    <w:next w:val="1001"/>
    <w:uiPriority w:val="0"/>
    <w:qFormat/>
    <w:pPr>
      <w:jc w:val="left"/>
    </w:pPr>
    <w:rPr>
      <w:rFonts w:ascii="宋体" w:eastAsia="Times New Roman"/>
      <w:sz w:val="18"/>
      <w:szCs w:val="18"/>
    </w:rPr>
  </w:style>
  <w:style w:type="paragraph" w:styleId="1001" w:customStyle="1">
    <w:name w:val="索引 51"/>
    <w:basedOn w:val="999"/>
    <w:next w:val="999"/>
    <w:uiPriority w:val="0"/>
    <w:qFormat/>
    <w:pPr>
      <w:ind w:left="798"/>
      <w:jc w:val="left"/>
    </w:pPr>
    <w:rPr>
      <w:rFonts w:ascii="Calibri" w:hAnsi="Calibri"/>
    </w:rPr>
  </w:style>
  <w:style w:type="character" w:styleId="1002" w:customStyle="1">
    <w:name w:val="默认段落字体1"/>
    <w:uiPriority w:val="0"/>
    <w:qFormat/>
  </w:style>
  <w:style w:type="table" w:styleId="1003" w:customStyle="1">
    <w:name w:val="普通表格1"/>
    <w:uiPriority w:val="0"/>
    <w:qFormat/>
    <w:tblPr>
      <w:tblCellMar>
        <w:left w:w="0" w:type="dxa"/>
        <w:top w:w="0" w:type="dxa"/>
        <w:right w:w="0" w:type="dxa"/>
        <w:bottom w:w="0" w:type="dxa"/>
      </w:tblCellMar>
    </w:tblPr>
  </w:style>
  <w:style w:type="character" w:styleId="1004" w:customStyle="1">
    <w:name w:val="标题 1 字符"/>
    <w:link w:val="993"/>
    <w:uiPriority w:val="0"/>
    <w:qFormat/>
    <w:rPr>
      <w:rFonts w:eastAsia="新宋体"/>
      <w:b/>
      <w:bCs/>
      <w:sz w:val="30"/>
      <w:szCs w:val="44"/>
    </w:rPr>
  </w:style>
  <w:style w:type="character" w:styleId="1005" w:customStyle="1">
    <w:name w:val="标题 3 字符"/>
    <w:link w:val="995"/>
    <w:uiPriority w:val="0"/>
    <w:qFormat/>
    <w:rPr>
      <w:rFonts w:ascii="Tahoma" w:hAnsi="Tahoma" w:eastAsia="微软雅黑"/>
      <w:b/>
      <w:bCs/>
      <w:sz w:val="32"/>
      <w:szCs w:val="32"/>
    </w:rPr>
  </w:style>
  <w:style w:type="character" w:styleId="1006" w:customStyle="1">
    <w:name w:val="标题 4 字符"/>
    <w:link w:val="996"/>
    <w:uiPriority w:val="0"/>
    <w:semiHidden/>
    <w:qFormat/>
    <w:rPr>
      <w:rFonts w:ascii="Calibri Light" w:hAnsi="Calibri Light" w:eastAsia="宋体"/>
      <w:b/>
      <w:bCs/>
      <w:sz w:val="28"/>
      <w:szCs w:val="28"/>
    </w:rPr>
  </w:style>
  <w:style w:type="paragraph" w:styleId="1007" w:customStyle="1">
    <w:name w:val="正文缩进1"/>
    <w:basedOn w:val="788"/>
    <w:uiPriority w:val="0"/>
    <w:qFormat/>
    <w:pPr>
      <w:ind w:firstLine="420"/>
    </w:pPr>
  </w:style>
  <w:style w:type="paragraph" w:styleId="1008" w:customStyle="1">
    <w:name w:val="索引 511"/>
    <w:basedOn w:val="788"/>
    <w:next w:val="774"/>
    <w:uiPriority w:val="0"/>
    <w:qFormat/>
    <w:pPr>
      <w:ind w:left="798"/>
      <w:jc w:val="left"/>
    </w:pPr>
    <w:rPr>
      <w:rFonts w:ascii="Calibri" w:hAnsi="Calibri"/>
    </w:rPr>
  </w:style>
  <w:style w:type="paragraph" w:styleId="1009" w:customStyle="1">
    <w:name w:val="批注文字1"/>
    <w:basedOn w:val="788"/>
    <w:uiPriority w:val="0"/>
    <w:qFormat/>
    <w:pPr>
      <w:jc w:val="left"/>
    </w:pPr>
  </w:style>
  <w:style w:type="paragraph" w:styleId="1010" w:customStyle="1">
    <w:name w:val="正文文本1"/>
    <w:basedOn w:val="788"/>
    <w:next w:val="788"/>
    <w:uiPriority w:val="0"/>
    <w:qFormat/>
    <w:pPr>
      <w:spacing w:after="120"/>
    </w:pPr>
    <w:rPr>
      <w:rFonts w:ascii="Calibri" w:hAnsi="Calibri"/>
    </w:rPr>
  </w:style>
  <w:style w:type="paragraph" w:styleId="1011" w:customStyle="1">
    <w:name w:val="纯文本1"/>
    <w:basedOn w:val="788"/>
    <w:uiPriority w:val="0"/>
    <w:qFormat/>
    <w:rPr>
      <w:rFonts w:ascii="宋体" w:hAnsi="Courier New"/>
      <w:sz w:val="20"/>
      <w:szCs w:val="20"/>
    </w:rPr>
  </w:style>
  <w:style w:type="paragraph" w:styleId="1012" w:customStyle="1">
    <w:name w:val="日期1"/>
    <w:basedOn w:val="788"/>
    <w:next w:val="788"/>
    <w:uiPriority w:val="0"/>
    <w:qFormat/>
    <w:rPr>
      <w:rFonts w:eastAsia="仿宋_GB2312"/>
      <w:sz w:val="28"/>
      <w:szCs w:val="20"/>
    </w:rPr>
  </w:style>
  <w:style w:type="paragraph" w:styleId="1013" w:customStyle="1">
    <w:name w:val="批注框文本1"/>
    <w:basedOn w:val="788"/>
    <w:link w:val="1014"/>
    <w:uiPriority w:val="0"/>
    <w:qFormat/>
    <w:rPr>
      <w:sz w:val="18"/>
      <w:szCs w:val="18"/>
    </w:rPr>
  </w:style>
  <w:style w:type="character" w:styleId="1014" w:customStyle="1">
    <w:name w:val="批注框文本 字符"/>
    <w:link w:val="1013"/>
    <w:uiPriority w:val="0"/>
    <w:qFormat/>
    <w:rPr>
      <w:rFonts w:ascii="Times New Roman" w:hAnsi="Times New Roman" w:eastAsia="宋体"/>
      <w:sz w:val="18"/>
      <w:szCs w:val="18"/>
    </w:rPr>
  </w:style>
  <w:style w:type="paragraph" w:styleId="1015" w:customStyle="1">
    <w:name w:val="页脚1"/>
    <w:basedOn w:val="999"/>
    <w:link w:val="1016"/>
    <w:uiPriority w:val="0"/>
    <w:qFormat/>
    <w:pPr>
      <w:jc w:val="left"/>
      <w:tabs>
        <w:tab w:val="center" w:pos="4153" w:leader="none"/>
        <w:tab w:val="right" w:pos="8306" w:leader="none"/>
      </w:tabs>
    </w:pPr>
    <w:rPr>
      <w:sz w:val="18"/>
      <w:szCs w:val="18"/>
    </w:rPr>
  </w:style>
  <w:style w:type="character" w:styleId="1016" w:customStyle="1">
    <w:name w:val="页脚 字符"/>
    <w:link w:val="1015"/>
    <w:uiPriority w:val="99"/>
    <w:qFormat/>
    <w:rPr>
      <w:rFonts w:ascii="Times New Roman" w:hAnsi="Times New Roman" w:eastAsia="宋体"/>
      <w:sz w:val="18"/>
      <w:szCs w:val="18"/>
    </w:rPr>
  </w:style>
  <w:style w:type="paragraph" w:styleId="1017" w:customStyle="1">
    <w:name w:val="页眉1"/>
    <w:basedOn w:val="788"/>
    <w:uiPriority w:val="0"/>
    <w:qFormat/>
    <w:pPr>
      <w:jc w:val="center"/>
      <w:tabs>
        <w:tab w:val="center" w:pos="4153" w:leader="none"/>
        <w:tab w:val="right" w:pos="8306" w:leader="none"/>
      </w:tabs>
      <w:pBdr>
        <w:bottom w:val="single" w:color="000000" w:sz="6" w:space="1"/>
      </w:pBdr>
    </w:pPr>
    <w:rPr>
      <w:sz w:val="18"/>
      <w:szCs w:val="18"/>
    </w:rPr>
  </w:style>
  <w:style w:type="paragraph" w:styleId="1018" w:customStyle="1">
    <w:name w:val="目录 111"/>
    <w:basedOn w:val="788"/>
    <w:next w:val="788"/>
    <w:uiPriority w:val="0"/>
    <w:qFormat/>
  </w:style>
  <w:style w:type="paragraph" w:styleId="1019" w:customStyle="1">
    <w:name w:val="脚注文本11"/>
    <w:basedOn w:val="788"/>
    <w:next w:val="1008"/>
    <w:link w:val="1020"/>
    <w:uiPriority w:val="0"/>
    <w:qFormat/>
    <w:pPr>
      <w:jc w:val="left"/>
    </w:pPr>
    <w:rPr>
      <w:rFonts w:ascii="宋体" w:eastAsia="Times New Roman"/>
      <w:sz w:val="18"/>
      <w:szCs w:val="18"/>
    </w:rPr>
  </w:style>
  <w:style w:type="character" w:styleId="1020" w:customStyle="1">
    <w:name w:val="脚注文本 字符"/>
    <w:link w:val="1019"/>
    <w:uiPriority w:val="99"/>
    <w:qFormat/>
    <w:rPr>
      <w:rFonts w:ascii="宋体" w:hAnsi="Times New Roman" w:eastAsia="Times New Roman"/>
      <w:sz w:val="18"/>
      <w:szCs w:val="18"/>
    </w:rPr>
  </w:style>
  <w:style w:type="paragraph" w:styleId="1021" w:customStyle="1">
    <w:name w:val="目录 21"/>
    <w:basedOn w:val="788"/>
    <w:next w:val="788"/>
    <w:uiPriority w:val="0"/>
    <w:qFormat/>
    <w:pPr>
      <w:ind w:left="420"/>
    </w:pPr>
  </w:style>
  <w:style w:type="paragraph" w:styleId="1022" w:customStyle="1">
    <w:name w:val="普通(网站)1"/>
    <w:basedOn w:val="788"/>
    <w:uiPriority w:val="0"/>
    <w:qFormat/>
    <w:pPr>
      <w:jc w:val="left"/>
      <w:spacing w:before="100" w:beforeAutospacing="1" w:after="100" w:afterAutospacing="1"/>
      <w:widowControl/>
    </w:pPr>
    <w:rPr>
      <w:rFonts w:ascii="宋体" w:hAnsi="宋体"/>
      <w:sz w:val="24"/>
    </w:rPr>
  </w:style>
  <w:style w:type="paragraph" w:styleId="1023" w:customStyle="1">
    <w:name w:val="标题1"/>
    <w:basedOn w:val="788"/>
    <w:next w:val="788"/>
    <w:uiPriority w:val="0"/>
    <w:qFormat/>
    <w:pPr>
      <w:contextualSpacing/>
      <w:spacing w:before="300" w:after="200"/>
    </w:pPr>
    <w:rPr>
      <w:sz w:val="48"/>
      <w:szCs w:val="48"/>
    </w:rPr>
  </w:style>
  <w:style w:type="table" w:styleId="1024" w:customStyle="1">
    <w:name w:val="网格型1"/>
    <w:basedOn w:val="1003"/>
    <w:uiPriority w:val="0"/>
    <w:qFormat/>
    <w:tblPr/>
  </w:style>
  <w:style w:type="character" w:styleId="1025" w:customStyle="1">
    <w:name w:val="页码1"/>
    <w:basedOn w:val="1002"/>
    <w:uiPriority w:val="0"/>
    <w:qFormat/>
    <w:rPr>
      <w:rFonts w:ascii="Times New Roman" w:hAnsi="Times New Roman" w:eastAsia="宋体" w:cs="Times New Roman"/>
      <w:lang w:val="en-US" w:eastAsia="zh-CN" w:bidi="ar-SA"/>
    </w:rPr>
  </w:style>
  <w:style w:type="character" w:styleId="1026" w:customStyle="1">
    <w:name w:val="超链接11"/>
    <w:uiPriority w:val="0"/>
    <w:qFormat/>
    <w:rPr>
      <w:color w:val="0000ff"/>
      <w:u w:val="single"/>
    </w:rPr>
  </w:style>
  <w:style w:type="character" w:styleId="1027" w:customStyle="1">
    <w:name w:val="NormalCharacter"/>
    <w:uiPriority w:val="0"/>
    <w:qFormat/>
    <w:rPr>
      <w:sz w:val="28"/>
      <w:lang w:val="en-US" w:eastAsia="zh-CN" w:bidi="ar-SA"/>
    </w:rPr>
  </w:style>
  <w:style w:type="character" w:styleId="1028" w:customStyle="1">
    <w:name w:val="超链接1"/>
    <w:link w:val="997"/>
    <w:uiPriority w:val="99"/>
    <w:qFormat/>
    <w:rPr>
      <w:rFonts w:ascii="Times New Roman" w:hAnsi="Times New Roman" w:eastAsia="宋体"/>
      <w:sz w:val="21"/>
      <w:szCs w:val="24"/>
      <w:lang w:val="en-US" w:eastAsia="zh-CN" w:bidi="ar-SA"/>
    </w:rPr>
  </w:style>
  <w:style w:type="paragraph" w:styleId="1029" w:customStyle="1">
    <w:name w:val="目录 11"/>
    <w:basedOn w:val="788"/>
    <w:next w:val="788"/>
    <w:uiPriority w:val="0"/>
    <w:qFormat/>
    <w:pPr>
      <w:jc w:val="left"/>
      <w:spacing w:after="100" w:line="259" w:lineRule="auto"/>
      <w:widowControl/>
    </w:pPr>
    <w:rPr>
      <w:rFonts w:ascii="Calibri" w:hAnsi="Calibri"/>
      <w:sz w:val="22"/>
      <w:szCs w:val="22"/>
    </w:rPr>
  </w:style>
  <w:style w:type="paragraph" w:styleId="1030"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031" w:customStyle="1">
    <w:name w:val="Table Paragraph"/>
    <w:basedOn w:val="788"/>
    <w:uiPriority w:val="0"/>
    <w:qFormat/>
    <w:pPr>
      <w:jc w:val="left"/>
    </w:pPr>
    <w:rPr>
      <w:rFonts w:ascii="Arial Unicode MS" w:hAnsi="Arial Unicode MS" w:eastAsia="Arial Unicode MS"/>
      <w:sz w:val="22"/>
      <w:szCs w:val="22"/>
      <w:lang w:val="zh-CN" w:bidi="zh-CN"/>
    </w:rPr>
  </w:style>
  <w:style w:type="paragraph" w:styleId="1032" w:customStyle="1">
    <w:name w:val="标准"/>
    <w:basedOn w:val="788"/>
    <w:uiPriority w:val="0"/>
    <w:qFormat/>
    <w:pPr>
      <w:ind w:firstLine="200"/>
      <w:spacing w:line="360" w:lineRule="auto"/>
    </w:pPr>
    <w:rPr>
      <w:szCs w:val="21"/>
    </w:rPr>
  </w:style>
  <w:style w:type="paragraph" w:styleId="1033" w:customStyle="1">
    <w:name w:val="p0"/>
    <w:basedOn w:val="997"/>
    <w:uiPriority w:val="0"/>
    <w:qFormat/>
    <w:pPr>
      <w:widowControl/>
    </w:pPr>
    <w:rPr>
      <w:szCs w:val="21"/>
    </w:rPr>
  </w:style>
  <w:style w:type="paragraph" w:styleId="1034" w:customStyle="1">
    <w:name w:val="179"/>
    <w:basedOn w:val="788"/>
    <w:uiPriority w:val="0"/>
    <w:qFormat/>
    <w:pPr>
      <w:ind w:firstLine="420"/>
      <w:jc w:val="left"/>
      <w:widowControl/>
    </w:pPr>
    <w:rPr>
      <w:rFonts w:ascii="宋体" w:hAnsi="宋体"/>
      <w:sz w:val="24"/>
    </w:rPr>
  </w:style>
  <w:style w:type="paragraph" w:styleId="1035"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36" w:customStyle="1">
    <w:name w:val="列出段落1"/>
    <w:basedOn w:val="788"/>
    <w:uiPriority w:val="0"/>
    <w:qFormat/>
    <w:pPr>
      <w:ind w:firstLine="420"/>
    </w:pPr>
  </w:style>
  <w:style w:type="paragraph" w:styleId="1037" w:customStyle="1">
    <w:name w:val="样式 样式 样式 样式 小四 左 首行缩进:  2 字符 + 首行缩进:  2 字符 Char + 右  0 字符1 + 首行缩...3"/>
    <w:basedOn w:val="788"/>
    <w:uiPriority w:val="0"/>
    <w:qFormat/>
    <w:pPr>
      <w:ind w:firstLine="480"/>
      <w:jc w:val="left"/>
      <w:spacing w:line="360" w:lineRule="auto"/>
    </w:pPr>
    <w:rPr>
      <w:sz w:val="24"/>
    </w:rPr>
  </w:style>
  <w:style w:type="paragraph" w:styleId="1038" w:customStyle="1">
    <w:name w:val="qowt-stl-正文"/>
    <w:basedOn w:val="788"/>
    <w:uiPriority w:val="0"/>
    <w:qFormat/>
    <w:pPr>
      <w:spacing w:before="100" w:beforeAutospacing="1" w:after="100" w:afterAutospacing="1"/>
    </w:pPr>
    <w:rPr>
      <w:rFonts w:ascii="宋体" w:hAnsi="宋体"/>
      <w:sz w:val="24"/>
    </w:rPr>
  </w:style>
  <w:style w:type="character" w:styleId="1039" w:customStyle="1">
    <w:name w:val="qowt-font2"/>
    <w:link w:val="788"/>
    <w:uiPriority w:val="0"/>
    <w:qFormat/>
  </w:style>
  <w:style w:type="character" w:styleId="1040" w:customStyle="1">
    <w:name w:val="font91"/>
    <w:link w:val="999"/>
    <w:uiPriority w:val="0"/>
    <w:qFormat/>
    <w:rPr>
      <w:sz w:val="21"/>
      <w:szCs w:val="24"/>
    </w:rPr>
  </w:style>
  <w:style w:type="paragraph" w:styleId="1041" w:customStyle="1">
    <w:name w:val="_HT_正文"/>
    <w:basedOn w:val="788"/>
    <w:uiPriority w:val="0"/>
    <w:qFormat/>
    <w:pPr>
      <w:ind w:firstLine="200"/>
      <w:spacing w:line="360" w:lineRule="auto"/>
    </w:pPr>
    <w:rPr>
      <w:sz w:val="24"/>
    </w:rPr>
  </w:style>
  <w:style w:type="paragraph" w:styleId="1042" w:customStyle="1">
    <w:name w:val="正文首行缩进1"/>
    <w:basedOn w:val="1010"/>
    <w:uiPriority w:val="0"/>
    <w:qFormat/>
    <w:pPr>
      <w:ind w:firstLine="420"/>
      <w:spacing w:line="440" w:lineRule="exact"/>
    </w:pPr>
    <w:rPr>
      <w:rFonts w:ascii="宋体"/>
      <w:sz w:val="24"/>
    </w:rPr>
  </w:style>
  <w:style w:type="paragraph" w:styleId="1043" w:customStyle="1">
    <w:name w:val="目录 112"/>
    <w:basedOn w:val="774"/>
    <w:next w:val="774"/>
    <w:uiPriority w:val="0"/>
    <w:qFormat/>
  </w:style>
  <w:style w:type="paragraph" w:styleId="1044" w:customStyle="1">
    <w:name w:val="正文111"/>
    <w:next w:val="998"/>
    <w:uiPriority w:val="0"/>
    <w:qFormat/>
    <w:pPr>
      <w:jc w:val="both"/>
      <w:widowControl w:val="off"/>
    </w:pPr>
    <w:rPr>
      <w:rFonts w:ascii="Times New Roman" w:hAnsi="Times New Roman" w:eastAsia="宋体" w:cs="Times New Roman"/>
      <w:sz w:val="21"/>
      <w:szCs w:val="24"/>
      <w:lang w:val="en-US" w:eastAsia="zh-CN" w:bidi="ar-SA"/>
    </w:rPr>
  </w:style>
  <w:style w:type="paragraph" w:styleId="1045" w:customStyle="1">
    <w:name w:val="文本块11"/>
    <w:basedOn w:val="774"/>
    <w:uiPriority w:val="0"/>
    <w:unhideWhenUsed/>
    <w:qFormat/>
    <w:pPr>
      <w:ind w:left="1440" w:right="1440"/>
      <w:jc w:val="both"/>
      <w:spacing w:after="120"/>
      <w:widowControl w:val="off"/>
    </w:pPr>
    <w:rPr>
      <w:rFonts w:ascii="Calibri" w:hAnsi="Calibri"/>
      <w:sz w:val="21"/>
      <w:szCs w:val="24"/>
    </w:rPr>
  </w:style>
  <w:style w:type="paragraph" w:styleId="1046" w:customStyle="1">
    <w:name w:val="正文文本11"/>
    <w:basedOn w:val="774"/>
    <w:next w:val="774"/>
    <w:link w:val="1047"/>
    <w:uiPriority w:val="0"/>
    <w:qFormat/>
    <w:pPr>
      <w:jc w:val="both"/>
      <w:spacing w:after="120"/>
      <w:widowControl w:val="off"/>
    </w:pPr>
    <w:rPr>
      <w:rFonts w:ascii="Calibri" w:hAnsi="Calibri"/>
      <w:sz w:val="21"/>
      <w:szCs w:val="24"/>
    </w:rPr>
  </w:style>
  <w:style w:type="character" w:styleId="1047" w:customStyle="1">
    <w:name w:val="正文文本 Char"/>
    <w:basedOn w:val="1002"/>
    <w:link w:val="1046"/>
    <w:uiPriority w:val="0"/>
    <w:qFormat/>
    <w:rPr>
      <w:rFonts w:ascii="Calibri" w:hAnsi="Calibri"/>
      <w:sz w:val="21"/>
      <w:szCs w:val="24"/>
    </w:rPr>
  </w:style>
  <w:style w:type="paragraph" w:styleId="1048" w:customStyle="1">
    <w:name w:val="列表段落"/>
    <w:basedOn w:val="774"/>
    <w:uiPriority w:val="34"/>
    <w:qFormat/>
    <w:pPr>
      <w:ind w:firstLine="420"/>
      <w:jc w:val="both"/>
      <w:widowControl w:val="off"/>
    </w:pPr>
    <w:rPr>
      <w:sz w:val="21"/>
      <w:szCs w:val="24"/>
    </w:rPr>
  </w:style>
  <w:style w:type="character" w:styleId="1049" w:customStyle="1">
    <w:name w:val="日期 字符"/>
    <w:basedOn w:val="784"/>
    <w:link w:val="802"/>
    <w:uiPriority w:val="0"/>
    <w:qFormat/>
    <w:rPr>
      <w:rFonts w:eastAsia="仿宋_GB2312"/>
      <w:sz w:val="28"/>
    </w:rPr>
  </w:style>
  <w:style w:type="paragraph" w:styleId="1050" w:customStyle="1">
    <w:name w:val="正文1111"/>
    <w:next w:val="774"/>
    <w:uiPriority w:val="0"/>
    <w:qFormat/>
    <w:pPr>
      <w:jc w:val="both"/>
      <w:widowControl w:val="off"/>
    </w:pPr>
    <w:rPr>
      <w:rFonts w:ascii="Times New Roman" w:hAnsi="Times New Roman" w:eastAsia="宋体" w:cs="Times New Roman"/>
      <w:sz w:val="21"/>
      <w:szCs w:val="24"/>
      <w:lang w:val="en-US" w:eastAsia="zh-CN" w:bidi="ar-SA"/>
    </w:rPr>
  </w:style>
  <w:style w:type="paragraph" w:styleId="1051" w:customStyle="1">
    <w:name w:val="*正文"/>
    <w:basedOn w:val="774"/>
    <w:uiPriority w:val="0"/>
    <w:qFormat/>
    <w:pPr>
      <w:ind w:firstLine="480"/>
      <w:spacing w:line="440" w:lineRule="exact"/>
    </w:pPr>
    <w:rPr>
      <w:rFonts w:ascii="仿宋" w:hAnsi="仿宋" w:eastAsia="仿宋"/>
      <w:sz w:val="24"/>
    </w:rPr>
  </w:style>
  <w:style w:type="character" w:styleId="1052" w:customStyle="1">
    <w:name w:val="font81"/>
    <w:basedOn w:val="784"/>
    <w:uiPriority w:val="0"/>
    <w:qFormat/>
    <w:rPr>
      <w:rFonts w:hint="eastAsia" w:ascii="宋体" w:hAnsi="宋体" w:eastAsia="宋体" w:cs="宋体"/>
      <w:color w:val="000000"/>
      <w:sz w:val="22"/>
      <w:szCs w:val="22"/>
      <w:u w:val="none"/>
    </w:rPr>
  </w:style>
  <w:style w:type="character" w:styleId="1053" w:customStyle="1">
    <w:name w:val="font151"/>
    <w:basedOn w:val="784"/>
    <w:uiPriority w:val="0"/>
    <w:qFormat/>
    <w:rPr>
      <w:rFonts w:hint="eastAsia" w:ascii="宋体" w:hAnsi="宋体" w:eastAsia="宋体" w:cs="宋体"/>
      <w:color w:val="000000"/>
      <w:sz w:val="24"/>
      <w:szCs w:val="24"/>
      <w:u w:val="none"/>
    </w:rPr>
  </w:style>
  <w:style w:type="character" w:styleId="1054" w:customStyle="1">
    <w:name w:val="批注框文本 字符1"/>
    <w:basedOn w:val="784"/>
    <w:link w:val="804"/>
    <w:uiPriority w:val="99"/>
    <w:semiHidden/>
    <w:qFormat/>
    <w:rPr>
      <w:sz w:val="18"/>
      <w:szCs w:val="18"/>
    </w:rPr>
  </w:style>
  <w:style w:type="paragraph" w:styleId="1055" w:customStyle="1">
    <w:name w:val="msonormal"/>
    <w:basedOn w:val="774"/>
    <w:uiPriority w:val="0"/>
    <w:qFormat/>
    <w:pPr>
      <w:spacing w:before="100" w:beforeAutospacing="1" w:after="100" w:afterAutospacing="1"/>
    </w:pPr>
    <w:rPr>
      <w:rFonts w:ascii="宋体" w:hAnsi="宋体" w:cs="宋体"/>
      <w:sz w:val="24"/>
      <w:szCs w:val="24"/>
    </w:rPr>
  </w:style>
  <w:style w:type="paragraph" w:styleId="1056" w:customStyle="1">
    <w:name w:val="font5"/>
    <w:basedOn w:val="774"/>
    <w:uiPriority w:val="0"/>
    <w:qFormat/>
    <w:pPr>
      <w:spacing w:before="100" w:beforeAutospacing="1" w:after="100" w:afterAutospacing="1"/>
    </w:pPr>
    <w:rPr>
      <w:rFonts w:ascii="宋体" w:hAnsi="宋体" w:cs="宋体"/>
      <w:color w:val="000000"/>
      <w:sz w:val="22"/>
      <w:szCs w:val="22"/>
    </w:rPr>
  </w:style>
  <w:style w:type="paragraph" w:styleId="1057" w:customStyle="1">
    <w:name w:val="font6"/>
    <w:basedOn w:val="774"/>
    <w:uiPriority w:val="0"/>
    <w:qFormat/>
    <w:pPr>
      <w:spacing w:before="100" w:beforeAutospacing="1" w:after="100" w:afterAutospacing="1"/>
    </w:pPr>
    <w:rPr>
      <w:rFonts w:ascii="宋体" w:hAnsi="宋体" w:cs="宋体"/>
      <w:color w:val="000000"/>
    </w:rPr>
  </w:style>
  <w:style w:type="paragraph" w:styleId="1058" w:customStyle="1">
    <w:name w:val="font7"/>
    <w:basedOn w:val="774"/>
    <w:uiPriority w:val="0"/>
    <w:qFormat/>
    <w:pPr>
      <w:spacing w:before="100" w:beforeAutospacing="1" w:after="100" w:afterAutospacing="1"/>
    </w:pPr>
    <w:rPr>
      <w:rFonts w:ascii="宋体" w:hAnsi="宋体" w:cs="宋体"/>
      <w:color w:val="000000"/>
      <w:sz w:val="24"/>
      <w:szCs w:val="24"/>
    </w:rPr>
  </w:style>
  <w:style w:type="paragraph" w:styleId="1059" w:customStyle="1">
    <w:name w:val="xl65"/>
    <w:basedOn w:val="774"/>
    <w:uiPriority w:val="0"/>
    <w:qFormat/>
    <w:pPr>
      <w:spacing w:before="100" w:beforeAutospacing="1" w:after="100" w:afterAutospacing="1"/>
    </w:pPr>
    <w:rPr>
      <w:rFonts w:ascii="宋体" w:hAnsi="宋体" w:cs="宋体"/>
      <w:sz w:val="24"/>
      <w:szCs w:val="24"/>
    </w:rPr>
  </w:style>
  <w:style w:type="paragraph" w:styleId="1060" w:customStyle="1">
    <w:name w:val="xl66"/>
    <w:basedOn w:val="774"/>
    <w:uiPriority w:val="0"/>
    <w:qFormat/>
    <w:pPr>
      <w:spacing w:before="100" w:beforeAutospacing="1" w:after="100" w:afterAutospacing="1"/>
    </w:pPr>
    <w:rPr>
      <w:rFonts w:ascii="黑体" w:hAnsi="黑体" w:eastAsia="黑体" w:cs="宋体"/>
      <w:sz w:val="24"/>
      <w:szCs w:val="24"/>
    </w:rPr>
  </w:style>
  <w:style w:type="paragraph" w:styleId="1061" w:customStyle="1">
    <w:name w:val="xl67"/>
    <w:basedOn w:val="774"/>
    <w:uiPriority w:val="0"/>
    <w:qFormat/>
    <w:pPr>
      <w:spacing w:before="100" w:beforeAutospacing="1" w:after="100" w:afterAutospacing="1"/>
    </w:pPr>
    <w:rPr>
      <w:rFonts w:ascii="宋体" w:hAnsi="宋体" w:cs="宋体"/>
      <w:color w:val="ff0000"/>
      <w:sz w:val="24"/>
      <w:szCs w:val="24"/>
    </w:rPr>
  </w:style>
  <w:style w:type="paragraph" w:styleId="1062" w:customStyle="1">
    <w:name w:val="xl68"/>
    <w:basedOn w:val="774"/>
    <w:uiPriority w:val="0"/>
    <w:qFormat/>
    <w:pPr>
      <w:spacing w:before="100" w:beforeAutospacing="1" w:after="100" w:afterAutospacing="1"/>
    </w:pPr>
    <w:rPr>
      <w:rFonts w:ascii="宋体" w:hAnsi="宋体" w:cs="宋体"/>
      <w:sz w:val="24"/>
      <w:szCs w:val="24"/>
    </w:rPr>
  </w:style>
  <w:style w:type="paragraph" w:styleId="1063" w:customStyle="1">
    <w:name w:val="xl69"/>
    <w:basedOn w:val="774"/>
    <w:uiPriority w:val="0"/>
    <w:qFormat/>
    <w:pPr>
      <w:spacing w:before="100" w:beforeAutospacing="1" w:after="100" w:afterAutospacing="1"/>
    </w:pPr>
    <w:rPr>
      <w:rFonts w:ascii="宋体" w:hAnsi="宋体" w:cs="宋体"/>
      <w:sz w:val="24"/>
      <w:szCs w:val="24"/>
    </w:rPr>
  </w:style>
  <w:style w:type="paragraph" w:styleId="1064" w:customStyle="1">
    <w:name w:val="xl70"/>
    <w:basedOn w:val="77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24"/>
      <w:szCs w:val="24"/>
    </w:rPr>
  </w:style>
  <w:style w:type="paragraph" w:styleId="1065" w:customStyle="1">
    <w:name w:val="xl71"/>
    <w:basedOn w:val="77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24"/>
      <w:szCs w:val="24"/>
    </w:rPr>
  </w:style>
  <w:style w:type="paragraph" w:styleId="1066" w:customStyle="1">
    <w:name w:val="xl72"/>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67" w:customStyle="1">
    <w:name w:val="xl73"/>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068" w:customStyle="1">
    <w:name w:val="xl74"/>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69" w:customStyle="1">
    <w:name w:val="xl75"/>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070" w:customStyle="1">
    <w:name w:val="xl76"/>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color w:val="000000"/>
    </w:rPr>
  </w:style>
  <w:style w:type="paragraph" w:styleId="1071" w:customStyle="1">
    <w:name w:val="xl77"/>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color w:val="000000"/>
    </w:rPr>
  </w:style>
  <w:style w:type="paragraph" w:styleId="1072" w:customStyle="1">
    <w:name w:val="xl78"/>
    <w:basedOn w:val="774"/>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color w:val="000000"/>
    </w:rPr>
  </w:style>
  <w:style w:type="paragraph" w:styleId="1073" w:customStyle="1">
    <w:name w:val="xl79"/>
    <w:basedOn w:val="774"/>
    <w:uiPriority w:val="0"/>
    <w:qFormat/>
    <w:pPr>
      <w:spacing w:before="100" w:beforeAutospacing="1" w:after="100" w:afterAutospacing="1"/>
      <w:pBdr>
        <w:top w:val="single" w:color="000000" w:sz="4" w:space="0"/>
        <w:left w:val="single" w:color="000000" w:sz="4" w:space="0"/>
        <w:bottom w:val="single" w:color="auto" w:sz="4" w:space="0"/>
        <w:right w:val="single" w:color="000000" w:sz="4" w:space="0"/>
      </w:pBdr>
    </w:pPr>
    <w:rPr>
      <w:rFonts w:ascii="宋体" w:hAnsi="宋体" w:cs="宋体"/>
      <w:color w:val="000000"/>
    </w:rPr>
  </w:style>
  <w:style w:type="paragraph" w:styleId="1074" w:customStyle="1">
    <w:name w:val="xl80"/>
    <w:basedOn w:val="774"/>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color w:val="000000"/>
    </w:rPr>
  </w:style>
  <w:style w:type="paragraph" w:styleId="1075" w:customStyle="1">
    <w:name w:val="xl81"/>
    <w:basedOn w:val="774"/>
    <w:uiPriority w:val="0"/>
    <w:qFormat/>
    <w:pPr>
      <w:spacing w:before="100" w:beforeAutospacing="1" w:after="100" w:afterAutospacing="1"/>
      <w:pBdr>
        <w:top w:val="single" w:color="000000" w:sz="4" w:space="0"/>
        <w:left w:val="single" w:color="000000" w:sz="4" w:space="0"/>
        <w:bottom w:val="single" w:color="000000" w:sz="4" w:space="0"/>
      </w:pBdr>
    </w:pPr>
    <w:rPr>
      <w:rFonts w:ascii="宋体" w:hAnsi="宋体" w:cs="宋体"/>
      <w:sz w:val="24"/>
      <w:szCs w:val="24"/>
    </w:rPr>
  </w:style>
  <w:style w:type="paragraph" w:styleId="1076" w:customStyle="1">
    <w:name w:val="xl82"/>
    <w:basedOn w:val="774"/>
    <w:uiPriority w:val="0"/>
    <w:qFormat/>
    <w:pPr>
      <w:spacing w:before="100" w:beforeAutospacing="1" w:after="100" w:afterAutospacing="1"/>
      <w:pBdr>
        <w:top w:val="single" w:color="000000" w:sz="4" w:space="0"/>
        <w:bottom w:val="single" w:color="000000" w:sz="4" w:space="0"/>
        <w:right w:val="single" w:color="000000" w:sz="4" w:space="0"/>
      </w:pBdr>
    </w:pPr>
    <w:rPr>
      <w:rFonts w:ascii="宋体" w:hAnsi="宋体" w:cs="宋体"/>
    </w:rPr>
  </w:style>
  <w:style w:type="paragraph" w:styleId="1077" w:customStyle="1">
    <w:name w:val="xl83"/>
    <w:basedOn w:val="774"/>
    <w:uiPriority w:val="0"/>
    <w:qFormat/>
    <w:pPr>
      <w:spacing w:before="100" w:beforeAutospacing="1" w:after="100" w:afterAutospacing="1"/>
      <w:pBdr>
        <w:top w:val="single" w:color="auto" w:sz="4" w:space="0"/>
        <w:left w:val="single" w:color="000000" w:sz="4" w:space="0"/>
        <w:bottom w:val="single" w:color="auto" w:sz="4" w:space="0"/>
        <w:right w:val="single" w:color="000000" w:sz="4" w:space="0"/>
      </w:pBdr>
    </w:pPr>
    <w:rPr>
      <w:rFonts w:ascii="宋体" w:hAnsi="宋体" w:cs="宋体"/>
    </w:rPr>
  </w:style>
  <w:style w:type="paragraph" w:styleId="1078" w:customStyle="1">
    <w:name w:val="xl84"/>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rPr>
  </w:style>
  <w:style w:type="paragraph" w:styleId="1079" w:customStyle="1">
    <w:name w:val="xl85"/>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rPr>
  </w:style>
  <w:style w:type="paragraph" w:styleId="1080" w:customStyle="1">
    <w:name w:val="xl86"/>
    <w:basedOn w:val="774"/>
    <w:uiPriority w:val="0"/>
    <w:qFormat/>
    <w:pPr>
      <w:spacing w:before="100" w:beforeAutospacing="1" w:after="100" w:afterAutospacing="1"/>
      <w:pBdr>
        <w:top w:val="single" w:color="auto" w:sz="4" w:space="0"/>
        <w:left w:val="single" w:color="000000" w:sz="4" w:space="0"/>
        <w:bottom w:val="single" w:color="000000" w:sz="4" w:space="0"/>
        <w:right w:val="single" w:color="000000" w:sz="4" w:space="0"/>
      </w:pBdr>
    </w:pPr>
    <w:rPr>
      <w:rFonts w:ascii="宋体" w:hAnsi="宋体" w:cs="宋体"/>
    </w:rPr>
  </w:style>
  <w:style w:type="paragraph" w:styleId="1081" w:customStyle="1">
    <w:name w:val="xl87"/>
    <w:basedOn w:val="774"/>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color w:val="000000"/>
    </w:rPr>
  </w:style>
  <w:style w:type="paragraph" w:styleId="1082" w:customStyle="1">
    <w:name w:val="xl88"/>
    <w:basedOn w:val="774"/>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rPr>
  </w:style>
  <w:style w:type="paragraph" w:styleId="1083" w:customStyle="1">
    <w:name w:val="xl89"/>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84" w:customStyle="1">
    <w:name w:val="xl90"/>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85" w:customStyle="1">
    <w:name w:val="xl91"/>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86" w:customStyle="1">
    <w:name w:val="xl92"/>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87" w:customStyle="1">
    <w:name w:val="xl93"/>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88" w:customStyle="1">
    <w:name w:val="xl94"/>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089" w:customStyle="1">
    <w:name w:val="xl95"/>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090" w:customStyle="1">
    <w:name w:val="xl96"/>
    <w:basedOn w:val="774"/>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rPr>
  </w:style>
  <w:style w:type="paragraph" w:styleId="1091" w:customStyle="1">
    <w:name w:val="xl97"/>
    <w:basedOn w:val="774"/>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rPr>
  </w:style>
  <w:style w:type="paragraph" w:styleId="1092" w:customStyle="1">
    <w:name w:val="xl98"/>
    <w:basedOn w:val="774"/>
    <w:uiPriority w:val="0"/>
    <w:qFormat/>
    <w:pPr>
      <w:spacing w:before="100" w:beforeAutospacing="1" w:after="100" w:afterAutospacing="1"/>
      <w:pBdr>
        <w:top w:val="single" w:color="auto" w:sz="4" w:space="0"/>
        <w:left w:val="single" w:color="000000" w:sz="4" w:space="0"/>
        <w:bottom w:val="single" w:color="auto" w:sz="4" w:space="0"/>
        <w:right w:val="single" w:color="000000" w:sz="4" w:space="0"/>
      </w:pBdr>
    </w:pPr>
    <w:rPr>
      <w:rFonts w:ascii="宋体" w:hAnsi="宋体" w:cs="宋体"/>
    </w:rPr>
  </w:style>
  <w:style w:type="paragraph" w:styleId="1093" w:customStyle="1">
    <w:name w:val="xl99"/>
    <w:basedOn w:val="774"/>
    <w:uiPriority w:val="0"/>
    <w:qFormat/>
    <w:pPr>
      <w:spacing w:before="100" w:beforeAutospacing="1" w:after="100" w:afterAutospacing="1"/>
      <w:pBdr>
        <w:top w:val="single" w:color="000000" w:sz="4" w:space="0"/>
        <w:left w:val="single" w:color="000000" w:sz="4" w:space="0"/>
        <w:bottom w:val="single" w:color="auto" w:sz="4" w:space="0"/>
        <w:right w:val="single" w:color="auto" w:sz="4" w:space="0"/>
      </w:pBdr>
    </w:pPr>
    <w:rPr>
      <w:rFonts w:ascii="宋体" w:hAnsi="宋体" w:cs="宋体"/>
    </w:rPr>
  </w:style>
  <w:style w:type="paragraph" w:styleId="1094" w:customStyle="1">
    <w:name w:val="xl100"/>
    <w:basedOn w:val="774"/>
    <w:uiPriority w:val="0"/>
    <w:qFormat/>
    <w:pPr>
      <w:spacing w:before="100" w:beforeAutospacing="1" w:after="100" w:afterAutospacing="1"/>
      <w:pBdr>
        <w:top w:val="single" w:color="000000" w:sz="4" w:space="0"/>
        <w:left w:val="single" w:color="auto" w:sz="4" w:space="0"/>
        <w:bottom w:val="single" w:color="auto" w:sz="4" w:space="0"/>
        <w:right w:val="single" w:color="auto" w:sz="4" w:space="0"/>
      </w:pBdr>
    </w:pPr>
    <w:rPr>
      <w:rFonts w:ascii="宋体" w:hAnsi="宋体" w:cs="宋体"/>
    </w:rPr>
  </w:style>
  <w:style w:type="paragraph" w:styleId="1095" w:customStyle="1">
    <w:name w:val="xl101"/>
    <w:basedOn w:val="774"/>
    <w:uiPriority w:val="0"/>
    <w:qFormat/>
    <w:pPr>
      <w:spacing w:before="100" w:beforeAutospacing="1" w:after="100" w:afterAutospacing="1"/>
      <w:pBdr>
        <w:top w:val="single" w:color="000000" w:sz="4" w:space="0"/>
        <w:left w:val="single" w:color="auto" w:sz="4" w:space="0"/>
        <w:bottom w:val="single" w:color="auto" w:sz="4" w:space="0"/>
        <w:right w:val="single" w:color="auto" w:sz="4" w:space="0"/>
      </w:pBdr>
    </w:pPr>
    <w:rPr>
      <w:rFonts w:ascii="宋体" w:hAnsi="宋体" w:cs="宋体"/>
    </w:rPr>
  </w:style>
  <w:style w:type="paragraph" w:styleId="1096" w:customStyle="1">
    <w:name w:val="xl102"/>
    <w:basedOn w:val="774"/>
    <w:uiPriority w:val="0"/>
    <w:qFormat/>
    <w:pPr>
      <w:spacing w:before="100" w:beforeAutospacing="1" w:after="100" w:afterAutospacing="1"/>
      <w:pBdr>
        <w:top w:val="single" w:color="auto" w:sz="4" w:space="0"/>
        <w:left w:val="single" w:color="000000" w:sz="4" w:space="0"/>
        <w:bottom w:val="single" w:color="000000" w:sz="4" w:space="0"/>
        <w:right w:val="single" w:color="auto" w:sz="4" w:space="0"/>
      </w:pBdr>
    </w:pPr>
    <w:rPr>
      <w:rFonts w:ascii="宋体" w:hAnsi="宋体" w:cs="宋体"/>
    </w:rPr>
  </w:style>
  <w:style w:type="paragraph" w:styleId="1097" w:customStyle="1">
    <w:name w:val="xl103"/>
    <w:basedOn w:val="774"/>
    <w:uiPriority w:val="0"/>
    <w:qFormat/>
    <w:pPr>
      <w:spacing w:before="100" w:beforeAutospacing="1" w:after="100" w:afterAutospacing="1"/>
      <w:pBdr>
        <w:top w:val="single" w:color="auto" w:sz="4" w:space="0"/>
        <w:left w:val="single" w:color="auto" w:sz="4" w:space="0"/>
        <w:bottom w:val="single" w:color="000000" w:sz="4" w:space="0"/>
        <w:right w:val="single" w:color="auto" w:sz="4" w:space="0"/>
      </w:pBdr>
    </w:pPr>
    <w:rPr>
      <w:rFonts w:ascii="宋体" w:hAnsi="宋体" w:cs="宋体"/>
    </w:rPr>
  </w:style>
  <w:style w:type="paragraph" w:styleId="1098" w:customStyle="1">
    <w:name w:val="xl104"/>
    <w:basedOn w:val="774"/>
    <w:uiPriority w:val="0"/>
    <w:qFormat/>
    <w:pPr>
      <w:spacing w:before="100" w:beforeAutospacing="1" w:after="100" w:afterAutospacing="1"/>
      <w:pBdr>
        <w:top w:val="single" w:color="auto" w:sz="4" w:space="0"/>
        <w:left w:val="single" w:color="auto" w:sz="4" w:space="0"/>
        <w:bottom w:val="single" w:color="000000" w:sz="4" w:space="0"/>
        <w:right w:val="single" w:color="auto" w:sz="4" w:space="0"/>
      </w:pBdr>
    </w:pPr>
    <w:rPr>
      <w:rFonts w:ascii="宋体" w:hAnsi="宋体" w:cs="宋体"/>
    </w:rPr>
  </w:style>
  <w:style w:type="paragraph" w:styleId="1099" w:customStyle="1">
    <w:name w:val="xl105"/>
    <w:basedOn w:val="774"/>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color w:val="000000"/>
    </w:rPr>
  </w:style>
  <w:style w:type="paragraph" w:styleId="1100" w:customStyle="1">
    <w:name w:val="xl106"/>
    <w:basedOn w:val="774"/>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color w:val="000000"/>
    </w:rPr>
  </w:style>
  <w:style w:type="paragraph" w:styleId="1101" w:customStyle="1">
    <w:name w:val="xl107"/>
    <w:basedOn w:val="774"/>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color w:val="000000"/>
    </w:rPr>
  </w:style>
  <w:style w:type="paragraph" w:styleId="1102" w:customStyle="1">
    <w:name w:val="xl108"/>
    <w:basedOn w:val="774"/>
    <w:uiPriority w:val="0"/>
    <w:qFormat/>
    <w:pPr>
      <w:spacing w:before="100" w:beforeAutospacing="1" w:after="100" w:afterAutospacing="1"/>
      <w:pBdr>
        <w:top w:val="single" w:color="000000" w:sz="4" w:space="0"/>
        <w:left w:val="single" w:color="000000" w:sz="4" w:space="0"/>
        <w:bottom w:val="single" w:color="000000" w:sz="4" w:space="0"/>
      </w:pBdr>
    </w:pPr>
    <w:rPr>
      <w:rFonts w:ascii="宋体" w:hAnsi="宋体" w:cs="宋体"/>
      <w:color w:val="000000"/>
      <w:sz w:val="24"/>
      <w:szCs w:val="24"/>
    </w:rPr>
  </w:style>
  <w:style w:type="paragraph" w:styleId="1103" w:customStyle="1">
    <w:name w:val="xl109"/>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04" w:customStyle="1">
    <w:name w:val="xl110"/>
    <w:basedOn w:val="774"/>
    <w:uiPriority w:val="0"/>
    <w:qFormat/>
    <w:pPr>
      <w:spacing w:before="100" w:beforeAutospacing="1" w:after="100" w:afterAutospacing="1"/>
      <w:pBdr>
        <w:top w:val="single" w:color="000000" w:sz="4" w:space="0"/>
        <w:left w:val="single" w:color="000000" w:sz="4" w:space="0"/>
        <w:bottom w:val="single" w:color="000000" w:sz="4" w:space="0"/>
      </w:pBdr>
    </w:pPr>
    <w:rPr>
      <w:rFonts w:ascii="宋体" w:hAnsi="宋体" w:cs="宋体"/>
      <w:color w:val="000000"/>
    </w:rPr>
  </w:style>
  <w:style w:type="paragraph" w:styleId="1105" w:customStyle="1">
    <w:name w:val="xl111"/>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06" w:customStyle="1">
    <w:name w:val="xl112"/>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07" w:customStyle="1">
    <w:name w:val="xl113"/>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08" w:customStyle="1">
    <w:name w:val="xl114"/>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09" w:customStyle="1">
    <w:name w:val="xl115"/>
    <w:basedOn w:val="774"/>
    <w:uiPriority w:val="0"/>
    <w:qFormat/>
    <w:pPr>
      <w:spacing w:before="100" w:beforeAutospacing="1" w:after="100" w:afterAutospacing="1"/>
      <w:pBdr>
        <w:top w:val="single" w:color="000000" w:sz="4" w:space="0"/>
        <w:left w:val="single" w:color="000000" w:sz="4" w:space="0"/>
        <w:bottom w:val="single" w:color="000000" w:sz="4" w:space="0"/>
      </w:pBdr>
    </w:pPr>
    <w:rPr>
      <w:rFonts w:ascii="宋体" w:hAnsi="宋体" w:cs="宋体"/>
      <w:color w:val="000000"/>
    </w:rPr>
  </w:style>
  <w:style w:type="paragraph" w:styleId="1110" w:customStyle="1">
    <w:name w:val="xl116"/>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11" w:customStyle="1">
    <w:name w:val="xl117"/>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112" w:customStyle="1">
    <w:name w:val="xl118"/>
    <w:basedOn w:val="774"/>
    <w:uiPriority w:val="0"/>
    <w:qFormat/>
    <w:pPr>
      <w:spacing w:before="100" w:beforeAutospacing="1" w:after="100" w:afterAutospacing="1"/>
      <w:pBdr>
        <w:top w:val="single" w:color="000000" w:sz="4" w:space="0"/>
        <w:left w:val="single" w:color="000000" w:sz="4" w:space="0"/>
        <w:bottom w:val="single" w:color="auto" w:sz="4" w:space="0"/>
        <w:right w:val="single" w:color="auto" w:sz="4" w:space="0"/>
      </w:pBdr>
    </w:pPr>
    <w:rPr>
      <w:rFonts w:ascii="宋体" w:hAnsi="宋体" w:cs="宋体"/>
      <w:color w:val="000000"/>
    </w:rPr>
  </w:style>
  <w:style w:type="paragraph" w:styleId="1113" w:customStyle="1">
    <w:name w:val="xl119"/>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14" w:customStyle="1">
    <w:name w:val="xl120"/>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15" w:customStyle="1">
    <w:name w:val="xl121"/>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16" w:customStyle="1">
    <w:name w:val="xl122"/>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17" w:customStyle="1">
    <w:name w:val="xl123"/>
    <w:basedOn w:val="774"/>
    <w:uiPriority w:val="0"/>
    <w:qFormat/>
    <w:pPr>
      <w:spacing w:before="100" w:beforeAutospacing="1" w:after="100" w:afterAutospacing="1"/>
      <w:pBdr>
        <w:top w:val="single" w:color="auto" w:sz="4" w:space="0"/>
        <w:left w:val="single" w:color="000000" w:sz="4" w:space="0"/>
        <w:bottom w:val="single" w:color="auto" w:sz="4" w:space="0"/>
        <w:right w:val="single" w:color="auto" w:sz="4" w:space="0"/>
      </w:pBdr>
    </w:pPr>
    <w:rPr>
      <w:rFonts w:ascii="宋体" w:hAnsi="宋体" w:cs="宋体"/>
    </w:rPr>
  </w:style>
  <w:style w:type="paragraph" w:styleId="1118" w:customStyle="1">
    <w:name w:val="xl124"/>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19" w:customStyle="1">
    <w:name w:val="xl125"/>
    <w:basedOn w:val="774"/>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rPr>
  </w:style>
  <w:style w:type="paragraph" w:styleId="1120" w:customStyle="1">
    <w:name w:val="xl126"/>
    <w:basedOn w:val="774"/>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rPr>
  </w:style>
  <w:style w:type="paragraph" w:styleId="1121" w:customStyle="1">
    <w:name w:val="xl127"/>
    <w:basedOn w:val="774"/>
    <w:uiPriority w:val="0"/>
    <w:qFormat/>
    <w:pPr>
      <w:spacing w:before="100" w:beforeAutospacing="1" w:after="100" w:afterAutospacing="1"/>
      <w:pBdr>
        <w:top w:val="single" w:color="auto" w:sz="4" w:space="0"/>
        <w:left w:val="single" w:color="000000" w:sz="4" w:space="0"/>
        <w:bottom w:val="single" w:color="000000" w:sz="4" w:space="0"/>
        <w:right w:val="single" w:color="auto" w:sz="4" w:space="0"/>
      </w:pBdr>
    </w:pPr>
    <w:rPr>
      <w:rFonts w:ascii="宋体" w:hAnsi="宋体" w:cs="宋体"/>
    </w:rPr>
  </w:style>
  <w:style w:type="paragraph" w:styleId="1122" w:customStyle="1">
    <w:name w:val="xl128"/>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123" w:customStyle="1">
    <w:name w:val="xl129"/>
    <w:basedOn w:val="774"/>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rPr>
  </w:style>
  <w:style w:type="paragraph" w:styleId="1124" w:customStyle="1">
    <w:name w:val="xl130"/>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25" w:customStyle="1">
    <w:name w:val="xl131"/>
    <w:basedOn w:val="774"/>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4"/>
      <w:szCs w:val="24"/>
    </w:rPr>
  </w:style>
  <w:style w:type="paragraph" w:styleId="1126" w:customStyle="1">
    <w:name w:val="xl132"/>
    <w:basedOn w:val="774"/>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rPr>
  </w:style>
  <w:style w:type="paragraph" w:styleId="1127" w:customStyle="1">
    <w:name w:val="xl133"/>
    <w:basedOn w:val="774"/>
    <w:uiPriority w:val="0"/>
    <w:qFormat/>
    <w:pPr>
      <w:spacing w:before="100" w:beforeAutospacing="1" w:after="100" w:afterAutospacing="1"/>
      <w:pBdr>
        <w:top w:val="single" w:color="000000" w:sz="4" w:space="0"/>
        <w:bottom w:val="single" w:color="000000" w:sz="4" w:space="0"/>
        <w:right w:val="single" w:color="000000" w:sz="4" w:space="0"/>
      </w:pBdr>
    </w:pPr>
    <w:rPr>
      <w:rFonts w:ascii="宋体" w:hAnsi="宋体" w:cs="宋体"/>
      <w:color w:val="000000"/>
    </w:rPr>
  </w:style>
  <w:style w:type="paragraph" w:styleId="1128" w:customStyle="1">
    <w:name w:val="xl134"/>
    <w:basedOn w:val="774"/>
    <w:uiPriority w:val="0"/>
    <w:pPr>
      <w:spacing w:before="100" w:beforeAutospacing="1" w:after="100" w:afterAutospacing="1"/>
      <w:pBdr>
        <w:left w:val="single" w:color="000000" w:sz="4" w:space="0"/>
        <w:bottom w:val="single" w:color="000000" w:sz="4" w:space="0"/>
        <w:right w:val="single" w:color="000000" w:sz="4" w:space="0"/>
      </w:pBdr>
    </w:pPr>
    <w:rPr>
      <w:rFonts w:ascii="宋体" w:hAnsi="宋体" w:cs="宋体"/>
      <w:color w:val="000000"/>
    </w:rPr>
  </w:style>
  <w:style w:type="paragraph" w:styleId="1129" w:customStyle="1">
    <w:name w:val="xl135"/>
    <w:basedOn w:val="774"/>
    <w:uiPriority w:val="0"/>
    <w:pPr>
      <w:spacing w:before="100" w:beforeAutospacing="1" w:after="100" w:afterAutospacing="1"/>
      <w:pBdr>
        <w:top w:val="single" w:color="000000" w:sz="4" w:space="0"/>
        <w:left w:val="single" w:color="000000" w:sz="4" w:space="0"/>
        <w:right w:val="single" w:color="000000" w:sz="4" w:space="0"/>
      </w:pBdr>
    </w:pPr>
    <w:rPr>
      <w:rFonts w:ascii="宋体" w:hAnsi="宋体" w:cs="宋体"/>
      <w:color w:val="000000"/>
      <w:sz w:val="24"/>
      <w:szCs w:val="24"/>
    </w:rPr>
  </w:style>
  <w:style w:type="paragraph" w:styleId="1130" w:customStyle="1">
    <w:name w:val="xl136"/>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31" w:customStyle="1">
    <w:name w:val="xl137"/>
    <w:basedOn w:val="774"/>
    <w:uiPriority w:val="0"/>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32" w:customStyle="1">
    <w:name w:val="xl138"/>
    <w:basedOn w:val="774"/>
    <w:uiPriority w:val="0"/>
    <w:pPr>
      <w:spacing w:before="100" w:beforeAutospacing="1" w:after="100" w:afterAutospacing="1"/>
      <w:pBdr>
        <w:left w:val="single" w:color="000000" w:sz="4" w:space="0"/>
        <w:bottom w:val="single" w:color="000000" w:sz="4" w:space="0"/>
        <w:right w:val="single" w:color="000000" w:sz="4" w:space="0"/>
      </w:pBdr>
    </w:pPr>
    <w:rPr>
      <w:rFonts w:ascii="宋体" w:hAnsi="宋体" w:cs="宋体"/>
      <w:color w:val="000000"/>
      <w:sz w:val="24"/>
      <w:szCs w:val="24"/>
    </w:rPr>
  </w:style>
  <w:style w:type="paragraph" w:styleId="1133" w:customStyle="1">
    <w:name w:val="xl139"/>
    <w:basedOn w:val="774"/>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4"/>
      <w:szCs w:val="24"/>
    </w:rPr>
  </w:style>
  <w:style w:type="paragraph" w:styleId="1134" w:customStyle="1">
    <w:name w:val="xl140"/>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35" w:customStyle="1">
    <w:name w:val="xl141"/>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36" w:customStyle="1">
    <w:name w:val="xl142"/>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37" w:customStyle="1">
    <w:name w:val="xl143"/>
    <w:basedOn w:val="774"/>
    <w:uiPriority w:val="0"/>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38" w:customStyle="1">
    <w:name w:val="xl144"/>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139" w:customStyle="1">
    <w:name w:val="xl145"/>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rPr>
  </w:style>
  <w:style w:type="paragraph" w:styleId="1140" w:customStyle="1">
    <w:name w:val="xl146"/>
    <w:basedOn w:val="774"/>
    <w:uiPriority w:val="0"/>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41" w:customStyle="1">
    <w:name w:val="xl147"/>
    <w:basedOn w:val="774"/>
    <w:uiPriority w:val="0"/>
    <w:pPr>
      <w:spacing w:before="100" w:beforeAutospacing="1" w:after="100" w:afterAutospacing="1"/>
      <w:pBdr>
        <w:top w:val="single" w:color="000000" w:sz="4" w:space="0"/>
        <w:left w:val="single" w:color="000000" w:sz="4" w:space="0"/>
        <w:bottom w:val="single" w:color="000000" w:sz="4" w:space="0"/>
      </w:pBdr>
    </w:pPr>
    <w:rPr>
      <w:rFonts w:ascii="宋体" w:hAnsi="宋体" w:cs="宋体"/>
    </w:rPr>
  </w:style>
  <w:style w:type="paragraph" w:styleId="1142" w:customStyle="1">
    <w:name w:val="xl148"/>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43" w:customStyle="1">
    <w:name w:val="xl149"/>
    <w:basedOn w:val="774"/>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rPr>
  </w:style>
  <w:style w:type="paragraph" w:styleId="1144" w:customStyle="1">
    <w:name w:val="xl150"/>
    <w:basedOn w:val="774"/>
    <w:uiPriority w:val="0"/>
    <w:qFormat/>
    <w:pPr>
      <w:spacing w:before="100" w:beforeAutospacing="1" w:after="100" w:afterAutospacing="1"/>
      <w:pBdr>
        <w:top w:val="single" w:color="000000" w:sz="4" w:space="0"/>
        <w:left w:val="single" w:color="000000" w:sz="4" w:space="0"/>
        <w:bottom w:val="single" w:color="000000" w:sz="4" w:space="0"/>
      </w:pBdr>
    </w:pPr>
    <w:rPr>
      <w:rFonts w:ascii="宋体" w:hAnsi="宋体" w:cs="宋体"/>
    </w:rPr>
  </w:style>
  <w:style w:type="paragraph" w:styleId="1145" w:customStyle="1">
    <w:name w:val="xl151"/>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46" w:customStyle="1">
    <w:name w:val="xl152"/>
    <w:basedOn w:val="774"/>
    <w:uiPriority w:val="0"/>
    <w:pPr>
      <w:spacing w:before="100" w:beforeAutospacing="1" w:after="100" w:afterAutospacing="1"/>
      <w:pBdr>
        <w:top w:val="single" w:color="000000" w:sz="4" w:space="0"/>
        <w:left w:val="single" w:color="000000" w:sz="4" w:space="0"/>
        <w:bottom w:val="single" w:color="000000" w:sz="4" w:space="0"/>
      </w:pBdr>
    </w:pPr>
    <w:rPr>
      <w:rFonts w:ascii="宋体" w:hAnsi="宋体" w:cs="宋体"/>
      <w:color w:val="000000"/>
    </w:rPr>
  </w:style>
  <w:style w:type="paragraph" w:styleId="1147" w:customStyle="1">
    <w:name w:val="xl153"/>
    <w:basedOn w:val="774"/>
    <w:uiPriority w:val="0"/>
    <w:pPr>
      <w:spacing w:before="100" w:beforeAutospacing="1" w:after="100" w:afterAutospacing="1"/>
      <w:pBdr>
        <w:left w:val="single" w:color="000000" w:sz="4" w:space="0"/>
        <w:bottom w:val="single" w:color="000000" w:sz="4" w:space="0"/>
        <w:right w:val="single" w:color="000000" w:sz="4" w:space="0"/>
      </w:pBdr>
    </w:pPr>
    <w:rPr>
      <w:rFonts w:ascii="宋体" w:hAnsi="宋体" w:cs="宋体"/>
      <w:color w:val="000000"/>
      <w:sz w:val="24"/>
      <w:szCs w:val="24"/>
    </w:rPr>
  </w:style>
  <w:style w:type="paragraph" w:styleId="1148" w:customStyle="1">
    <w:name w:val="xl154"/>
    <w:basedOn w:val="774"/>
    <w:uiPriority w:val="0"/>
    <w:qFormat/>
    <w:pP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rPr>
  </w:style>
  <w:style w:type="paragraph" w:styleId="1149" w:customStyle="1">
    <w:name w:val="xl155"/>
    <w:basedOn w:val="774"/>
    <w:uiPriority w:val="0"/>
    <w:pPr>
      <w:spacing w:before="100" w:beforeAutospacing="1" w:after="100" w:afterAutospacing="1"/>
      <w:pBdr>
        <w:left w:val="single" w:color="000000" w:sz="4" w:space="0"/>
        <w:bottom w:val="single" w:color="000000" w:sz="4" w:space="0"/>
        <w:right w:val="single" w:color="000000" w:sz="4" w:space="0"/>
      </w:pBdr>
    </w:pPr>
    <w:rPr>
      <w:rFonts w:ascii="宋体" w:hAnsi="宋体" w:cs="宋体"/>
      <w:color w:val="000000"/>
      <w:sz w:val="24"/>
      <w:szCs w:val="24"/>
    </w:rPr>
  </w:style>
  <w:style w:type="paragraph" w:styleId="1150" w:customStyle="1">
    <w:name w:val="xl156"/>
    <w:basedOn w:val="774"/>
    <w:uiPriority w:val="0"/>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151" w:customStyle="1">
    <w:name w:val="xl157"/>
    <w:basedOn w:val="774"/>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rPr>
  </w:style>
  <w:style w:type="paragraph" w:styleId="1152" w:customStyle="1">
    <w:name w:val="xl158"/>
    <w:basedOn w:val="774"/>
    <w:uiPriority w:val="0"/>
    <w:qFormat/>
    <w:pPr>
      <w:spacing w:before="100" w:beforeAutospacing="1" w:after="100" w:afterAutospacing="1"/>
      <w:pBdr>
        <w:top w:val="single" w:color="000000" w:sz="4" w:space="0"/>
        <w:left w:val="single" w:color="000000" w:sz="4" w:space="0"/>
        <w:bottom w:val="single" w:color="auto" w:sz="4" w:space="0"/>
        <w:right w:val="single" w:color="auto" w:sz="4" w:space="0"/>
      </w:pBdr>
    </w:pPr>
    <w:rPr>
      <w:rFonts w:ascii="宋体" w:hAnsi="宋体" w:cs="宋体"/>
      <w:color w:val="000000"/>
      <w:sz w:val="24"/>
      <w:szCs w:val="24"/>
    </w:rPr>
  </w:style>
  <w:style w:type="paragraph" w:styleId="1153" w:customStyle="1">
    <w:name w:val="xl159"/>
    <w:basedOn w:val="774"/>
    <w:uiPriority w:val="0"/>
    <w:qFormat/>
    <w:pPr>
      <w:spacing w:before="100" w:beforeAutospacing="1" w:after="100" w:afterAutospacing="1"/>
      <w:pBdr>
        <w:top w:val="single" w:color="000000" w:sz="4" w:space="0"/>
        <w:left w:val="single" w:color="auto" w:sz="4" w:space="0"/>
        <w:bottom w:val="single" w:color="auto" w:sz="4" w:space="0"/>
        <w:right w:val="single" w:color="auto" w:sz="4" w:space="0"/>
      </w:pBdr>
    </w:pPr>
    <w:rPr>
      <w:rFonts w:ascii="宋体" w:hAnsi="宋体" w:cs="宋体"/>
      <w:color w:val="000000"/>
    </w:rPr>
  </w:style>
  <w:style w:type="paragraph" w:styleId="1154" w:customStyle="1">
    <w:name w:val="xl160"/>
    <w:basedOn w:val="774"/>
    <w:uiPriority w:val="0"/>
    <w:qFormat/>
    <w:pPr>
      <w:spacing w:before="100" w:beforeAutospacing="1" w:after="100" w:afterAutospacing="1"/>
      <w:pBdr>
        <w:top w:val="single" w:color="000000" w:sz="4" w:space="0"/>
        <w:left w:val="single" w:color="auto" w:sz="4" w:space="0"/>
        <w:bottom w:val="single" w:color="auto" w:sz="4" w:space="0"/>
        <w:right w:val="single" w:color="auto" w:sz="4" w:space="0"/>
      </w:pBdr>
    </w:pPr>
    <w:rPr>
      <w:rFonts w:ascii="宋体" w:hAnsi="宋体" w:cs="宋体"/>
      <w:color w:val="000000"/>
    </w:rPr>
  </w:style>
  <w:style w:type="paragraph" w:styleId="1155" w:customStyle="1">
    <w:name w:val="xl161"/>
    <w:basedOn w:val="774"/>
    <w:uiPriority w:val="0"/>
    <w:pPr>
      <w:spacing w:before="100" w:beforeAutospacing="1" w:after="100" w:afterAutospacing="1"/>
      <w:pBdr>
        <w:top w:val="single" w:color="000000" w:sz="4" w:space="0"/>
        <w:left w:val="single" w:color="auto" w:sz="4" w:space="0"/>
        <w:bottom w:val="single" w:color="auto" w:sz="4" w:space="0"/>
        <w:right w:val="single" w:color="auto" w:sz="4" w:space="0"/>
      </w:pBdr>
    </w:pPr>
    <w:rPr>
      <w:rFonts w:ascii="宋体" w:hAnsi="宋体" w:cs="宋体"/>
      <w:color w:val="000000"/>
    </w:rPr>
  </w:style>
  <w:style w:type="paragraph" w:styleId="1156" w:customStyle="1">
    <w:name w:val="xl162"/>
    <w:basedOn w:val="774"/>
    <w:uiPriority w:val="0"/>
    <w:pPr>
      <w:spacing w:before="100" w:beforeAutospacing="1" w:after="100" w:afterAutospacing="1"/>
      <w:pBdr>
        <w:top w:val="single" w:color="000000" w:sz="4" w:space="0"/>
        <w:left w:val="single" w:color="auto" w:sz="4" w:space="0"/>
        <w:bottom w:val="single" w:color="auto" w:sz="4" w:space="0"/>
        <w:right w:val="single" w:color="auto" w:sz="4" w:space="0"/>
      </w:pBdr>
    </w:pPr>
    <w:rPr>
      <w:rFonts w:ascii="黑体" w:hAnsi="黑体" w:eastAsia="黑体" w:cs="宋体"/>
      <w:color w:val="000000"/>
    </w:rPr>
  </w:style>
  <w:style w:type="paragraph" w:styleId="1157" w:customStyle="1">
    <w:name w:val="xl163"/>
    <w:basedOn w:val="774"/>
    <w:uiPriority w:val="0"/>
    <w:qFormat/>
    <w:pPr>
      <w:spacing w:before="100" w:beforeAutospacing="1" w:after="100" w:afterAutospacing="1"/>
      <w:pBdr>
        <w:top w:val="single" w:color="000000" w:sz="4" w:space="0"/>
        <w:left w:val="single" w:color="000000" w:sz="4" w:space="0"/>
        <w:bottom w:val="single" w:color="auto" w:sz="4" w:space="0"/>
        <w:right w:val="single" w:color="auto" w:sz="4" w:space="0"/>
      </w:pBdr>
    </w:pPr>
    <w:rPr>
      <w:rFonts w:ascii="宋体" w:hAnsi="宋体" w:cs="宋体"/>
      <w:color w:val="000000"/>
      <w:sz w:val="24"/>
      <w:szCs w:val="24"/>
    </w:rPr>
  </w:style>
  <w:style w:type="paragraph" w:styleId="1158" w:customStyle="1">
    <w:name w:val="xl164"/>
    <w:basedOn w:val="774"/>
    <w:uiPriority w:val="0"/>
    <w:pPr>
      <w:jc w:val="center"/>
      <w:spacing w:before="100" w:beforeAutospacing="1" w:after="100" w:afterAutospacing="1"/>
      <w:pBdr>
        <w:top w:val="single" w:color="000000" w:sz="4" w:space="0"/>
        <w:left w:val="single" w:color="auto" w:sz="4" w:space="0"/>
        <w:bottom w:val="single" w:color="auto" w:sz="4" w:space="0"/>
        <w:right w:val="single" w:color="auto" w:sz="4" w:space="0"/>
      </w:pBdr>
    </w:pPr>
    <w:rPr>
      <w:rFonts w:ascii="宋体" w:hAnsi="宋体" w:cs="宋体"/>
      <w:color w:val="000000"/>
    </w:rPr>
  </w:style>
  <w:style w:type="paragraph" w:styleId="1159" w:customStyle="1">
    <w:name w:val="xl165"/>
    <w:basedOn w:val="774"/>
    <w:uiPriority w:val="0"/>
    <w:qFormat/>
    <w:pPr>
      <w:spacing w:before="100" w:beforeAutospacing="1" w:after="100" w:afterAutospacing="1"/>
      <w:pBdr>
        <w:top w:val="single" w:color="auto" w:sz="4" w:space="0"/>
        <w:left w:val="single" w:color="000000" w:sz="4" w:space="0"/>
        <w:bottom w:val="single" w:color="000000" w:sz="4" w:space="0"/>
        <w:right w:val="single" w:color="auto" w:sz="4" w:space="0"/>
      </w:pBdr>
    </w:pPr>
    <w:rPr>
      <w:rFonts w:ascii="宋体" w:hAnsi="宋体" w:cs="宋体"/>
      <w:sz w:val="24"/>
      <w:szCs w:val="24"/>
    </w:rPr>
  </w:style>
  <w:style w:type="paragraph" w:styleId="1160" w:customStyle="1">
    <w:name w:val="xl166"/>
    <w:basedOn w:val="774"/>
    <w:uiPriority w:val="0"/>
    <w:qFormat/>
    <w:pPr>
      <w:spacing w:before="100" w:beforeAutospacing="1" w:after="100" w:afterAutospacing="1"/>
      <w:pBdr>
        <w:top w:val="single" w:color="auto" w:sz="4" w:space="0"/>
        <w:left w:val="single" w:color="auto" w:sz="4" w:space="0"/>
        <w:bottom w:val="single" w:color="000000" w:sz="4" w:space="0"/>
        <w:right w:val="single" w:color="auto" w:sz="4" w:space="0"/>
      </w:pBdr>
    </w:pPr>
    <w:rPr>
      <w:rFonts w:ascii="宋体" w:hAnsi="宋体" w:cs="宋体"/>
    </w:rPr>
  </w:style>
  <w:style w:type="paragraph" w:styleId="1161" w:customStyle="1">
    <w:name w:val="xl167"/>
    <w:basedOn w:val="774"/>
    <w:uiPriority w:val="0"/>
    <w:qFormat/>
    <w:pPr>
      <w:jc w:val="center"/>
      <w:spacing w:before="100" w:beforeAutospacing="1" w:after="100" w:afterAutospacing="1"/>
      <w:pBdr>
        <w:top w:val="single" w:color="auto" w:sz="4" w:space="0"/>
        <w:left w:val="single" w:color="auto" w:sz="4" w:space="0"/>
        <w:bottom w:val="single" w:color="000000" w:sz="4" w:space="0"/>
        <w:right w:val="single" w:color="auto" w:sz="4" w:space="0"/>
      </w:pBdr>
    </w:pPr>
    <w:rPr>
      <w:rFonts w:ascii="宋体" w:hAnsi="宋体" w:cs="宋体"/>
    </w:rPr>
  </w:style>
  <w:style w:type="paragraph" w:styleId="1162" w:customStyle="1">
    <w:name w:val="xl168"/>
    <w:basedOn w:val="774"/>
    <w:uiPriority w:val="0"/>
    <w:qFormat/>
    <w:pPr>
      <w:spacing w:before="100" w:beforeAutospacing="1" w:after="100" w:afterAutospacing="1"/>
      <w:pBdr>
        <w:top w:val="single" w:color="auto" w:sz="4" w:space="0"/>
        <w:left w:val="single" w:color="auto" w:sz="4" w:space="0"/>
        <w:bottom w:val="single" w:color="000000" w:sz="4" w:space="0"/>
        <w:right w:val="single" w:color="auto" w:sz="4" w:space="0"/>
      </w:pBdr>
    </w:pPr>
    <w:rPr>
      <w:rFonts w:ascii="宋体" w:hAnsi="宋体" w:cs="宋体"/>
    </w:rPr>
  </w:style>
  <w:style w:type="paragraph" w:styleId="1163" w:customStyle="1">
    <w:name w:val="xl169"/>
    <w:basedOn w:val="774"/>
    <w:uiPriority w:val="0"/>
    <w:qFormat/>
    <w:pPr>
      <w:spacing w:before="100" w:beforeAutospacing="1" w:after="100" w:afterAutospacing="1"/>
      <w:pBdr>
        <w:top w:val="single" w:color="auto" w:sz="4" w:space="0"/>
        <w:left w:val="single" w:color="auto" w:sz="4" w:space="0"/>
        <w:bottom w:val="single" w:color="000000" w:sz="4" w:space="0"/>
        <w:right w:val="single" w:color="auto" w:sz="4" w:space="0"/>
      </w:pBdr>
    </w:pPr>
    <w:rPr>
      <w:rFonts w:ascii="宋体" w:hAnsi="宋体" w:cs="宋体"/>
    </w:rPr>
  </w:style>
  <w:style w:type="paragraph" w:styleId="1164" w:customStyle="1">
    <w:name w:val="xl170"/>
    <w:basedOn w:val="774"/>
    <w:uiPriority w:val="0"/>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65" w:customStyle="1">
    <w:name w:val="xl171"/>
    <w:basedOn w:val="774"/>
    <w:uiPriority w:val="0"/>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66" w:customStyle="1">
    <w:name w:val="xl172"/>
    <w:basedOn w:val="77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167" w:customStyle="1">
    <w:name w:val="xl173"/>
    <w:basedOn w:val="774"/>
    <w:uiPriority w:val="0"/>
    <w:pPr>
      <w:spacing w:before="100" w:beforeAutospacing="1" w:after="100" w:afterAutospacing="1"/>
      <w:pBdr>
        <w:top w:val="single" w:color="auto" w:sz="4" w:space="0"/>
        <w:left w:val="single" w:color="auto" w:sz="4" w:space="0"/>
        <w:bottom w:val="single" w:color="000000" w:sz="4" w:space="0"/>
        <w:right w:val="single" w:color="auto" w:sz="4" w:space="0"/>
      </w:pBdr>
    </w:pPr>
    <w:rPr>
      <w:rFonts w:ascii="宋体" w:hAnsi="宋体" w:cs="宋体"/>
    </w:rPr>
  </w:style>
  <w:style w:type="paragraph" w:styleId="1168" w:customStyle="1">
    <w:name w:val="xl174"/>
    <w:basedOn w:val="774"/>
    <w:uiPriority w:val="0"/>
    <w:pPr>
      <w:spacing w:before="100" w:beforeAutospacing="1" w:after="100" w:afterAutospacing="1"/>
      <w:pBdr>
        <w:top w:val="single" w:color="auto" w:sz="4" w:space="0"/>
        <w:left w:val="single" w:color="auto" w:sz="4" w:space="0"/>
        <w:bottom w:val="single" w:color="000000" w:sz="4" w:space="0"/>
        <w:right w:val="single" w:color="auto" w:sz="4" w:space="0"/>
      </w:pBdr>
    </w:pPr>
    <w:rPr>
      <w:rFonts w:ascii="黑体" w:hAnsi="黑体" w:eastAsia="黑体" w:cs="宋体"/>
    </w:rPr>
  </w:style>
  <w:style w:type="paragraph" w:styleId="1169" w:customStyle="1">
    <w:name w:val="xl175"/>
    <w:basedOn w:val="774"/>
    <w:uiPriority w:val="0"/>
    <w:qFormat/>
    <w:pPr>
      <w:spacing w:before="100" w:beforeAutospacing="1" w:after="100" w:afterAutospacing="1"/>
      <w:pBdr>
        <w:top w:val="single" w:color="auto" w:sz="4" w:space="0"/>
        <w:left w:val="single" w:color="auto" w:sz="4" w:space="0"/>
        <w:bottom w:val="single" w:color="auto" w:sz="4" w:space="0"/>
      </w:pBdr>
    </w:pPr>
    <w:rPr>
      <w:rFonts w:ascii="宋体" w:hAnsi="宋体" w:cs="宋体"/>
      <w:color w:val="000000"/>
    </w:rPr>
  </w:style>
  <w:style w:type="paragraph" w:styleId="1170" w:customStyle="1">
    <w:name w:val="xl176"/>
    <w:basedOn w:val="774"/>
    <w:uiPriority w:val="0"/>
    <w:pPr>
      <w:spacing w:before="100" w:beforeAutospacing="1" w:after="100" w:afterAutospacing="1"/>
      <w:pBdr>
        <w:left w:val="single" w:color="000000" w:sz="4" w:space="0"/>
        <w:bottom w:val="single" w:color="000000" w:sz="4" w:space="0"/>
      </w:pBdr>
    </w:pPr>
    <w:rPr>
      <w:rFonts w:ascii="宋体" w:hAnsi="宋体" w:cs="宋体"/>
    </w:rPr>
  </w:style>
  <w:style w:type="paragraph" w:styleId="1171" w:customStyle="1">
    <w:name w:val="xl177"/>
    <w:basedOn w:val="77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72" w:customStyle="1">
    <w:name w:val="xl178"/>
    <w:basedOn w:val="774"/>
    <w:uiPriority w:val="0"/>
    <w:qFormat/>
    <w:pPr>
      <w:spacing w:before="100" w:beforeAutospacing="1" w:after="100" w:afterAutospacing="1"/>
      <w:pBdr>
        <w:top w:val="single" w:color="auto" w:sz="4" w:space="0"/>
        <w:left w:val="single" w:color="auto" w:sz="4" w:space="0"/>
        <w:right w:val="single" w:color="auto" w:sz="4" w:space="0"/>
      </w:pBdr>
    </w:pPr>
    <w:rPr>
      <w:rFonts w:ascii="宋体" w:hAnsi="宋体" w:cs="宋体"/>
    </w:rPr>
  </w:style>
  <w:style w:type="paragraph" w:styleId="1173" w:customStyle="1">
    <w:name w:val="xl179"/>
    <w:basedOn w:val="774"/>
    <w:uiPriority w:val="0"/>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74" w:customStyle="1">
    <w:name w:val="xl180"/>
    <w:basedOn w:val="774"/>
    <w:uiPriority w:val="0"/>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75" w:customStyle="1">
    <w:name w:val="xl181"/>
    <w:basedOn w:val="774"/>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76" w:customStyle="1">
    <w:name w:val="xl182"/>
    <w:basedOn w:val="774"/>
    <w:uiPriority w:val="0"/>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77" w:customStyle="1">
    <w:name w:val="xl183"/>
    <w:basedOn w:val="774"/>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color w:val="000000"/>
      <w:sz w:val="24"/>
      <w:szCs w:val="24"/>
    </w:rPr>
  </w:style>
  <w:style w:type="paragraph" w:styleId="1178" w:customStyle="1">
    <w:name w:val="xl184"/>
    <w:basedOn w:val="774"/>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color w:val="000000"/>
    </w:rPr>
  </w:style>
  <w:style w:type="paragraph" w:styleId="1179" w:customStyle="1">
    <w:name w:val="xl185"/>
    <w:basedOn w:val="774"/>
    <w:uiPriority w:val="0"/>
    <w:pPr>
      <w:spacing w:before="100" w:beforeAutospacing="1" w:after="100" w:afterAutospacing="1"/>
      <w:pBdr>
        <w:top w:val="single" w:color="000000" w:sz="4" w:space="0"/>
        <w:left w:val="single" w:color="000000" w:sz="4" w:space="0"/>
        <w:bottom w:val="single" w:color="auto" w:sz="4" w:space="0"/>
        <w:right w:val="single" w:color="auto" w:sz="4" w:space="0"/>
      </w:pBdr>
    </w:pPr>
    <w:rPr>
      <w:rFonts w:ascii="宋体" w:hAnsi="宋体" w:cs="宋体"/>
      <w:color w:val="000000"/>
    </w:rPr>
  </w:style>
  <w:style w:type="paragraph" w:styleId="1180" w:customStyle="1">
    <w:name w:val="xl186"/>
    <w:basedOn w:val="774"/>
    <w:uiPriority w:val="0"/>
    <w:qFormat/>
    <w:pPr>
      <w:spacing w:before="100" w:beforeAutospacing="1" w:after="100" w:afterAutospacing="1"/>
      <w:pBdr>
        <w:top w:val="single" w:color="000000" w:sz="4" w:space="0"/>
        <w:left w:val="single" w:color="auto" w:sz="4" w:space="0"/>
        <w:bottom w:val="single" w:color="auto" w:sz="4" w:space="0"/>
        <w:right w:val="single" w:color="000000" w:sz="4" w:space="0"/>
      </w:pBdr>
    </w:pPr>
    <w:rPr>
      <w:rFonts w:ascii="宋体" w:hAnsi="宋体" w:cs="宋体"/>
      <w:color w:val="000000"/>
    </w:rPr>
  </w:style>
  <w:style w:type="paragraph" w:styleId="1181" w:customStyle="1">
    <w:name w:val="xl187"/>
    <w:basedOn w:val="774"/>
    <w:uiPriority w:val="0"/>
    <w:qFormat/>
    <w:pPr>
      <w:spacing w:before="100" w:beforeAutospacing="1" w:after="100" w:afterAutospacing="1"/>
      <w:pBdr>
        <w:top w:val="single" w:color="auto" w:sz="4" w:space="0"/>
        <w:left w:val="single" w:color="000000" w:sz="4" w:space="0"/>
        <w:bottom w:val="single" w:color="000000" w:sz="4" w:space="0"/>
        <w:right w:val="single" w:color="auto" w:sz="4" w:space="0"/>
      </w:pBdr>
    </w:pPr>
    <w:rPr>
      <w:rFonts w:ascii="宋体" w:hAnsi="宋体" w:cs="宋体"/>
      <w:color w:val="000000"/>
    </w:rPr>
  </w:style>
  <w:style w:type="paragraph" w:styleId="1182" w:customStyle="1">
    <w:name w:val="xl188"/>
    <w:basedOn w:val="774"/>
    <w:uiPriority w:val="0"/>
    <w:pPr>
      <w:spacing w:before="100" w:beforeAutospacing="1" w:after="100" w:afterAutospacing="1"/>
      <w:pBdr>
        <w:top w:val="single" w:color="auto" w:sz="4" w:space="0"/>
        <w:left w:val="single" w:color="auto" w:sz="4" w:space="0"/>
        <w:bottom w:val="single" w:color="000000" w:sz="4" w:space="0"/>
        <w:right w:val="single" w:color="000000" w:sz="4" w:space="0"/>
      </w:pBdr>
    </w:pPr>
    <w:rPr>
      <w:rFonts w:ascii="宋体" w:hAnsi="宋体" w:cs="宋体"/>
      <w:color w:val="000000"/>
    </w:rPr>
  </w:style>
  <w:style w:type="paragraph" w:styleId="1183" w:customStyle="1">
    <w:name w:val="xl189"/>
    <w:basedOn w:val="774"/>
    <w:uiPriority w:val="0"/>
    <w:pPr>
      <w:spacing w:before="100" w:beforeAutospacing="1" w:after="100" w:afterAutospacing="1"/>
    </w:pPr>
    <w:rPr>
      <w:rFonts w:ascii="宋体" w:hAnsi="宋体" w:cs="宋体"/>
      <w:color w:val="000000"/>
      <w:sz w:val="24"/>
      <w:szCs w:val="24"/>
    </w:rPr>
  </w:style>
  <w:style w:type="paragraph" w:styleId="1184" w:customStyle="1">
    <w:name w:val="xl190"/>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rPr>
  </w:style>
  <w:style w:type="paragraph" w:styleId="1185" w:customStyle="1">
    <w:name w:val="xl191"/>
    <w:basedOn w:val="774"/>
    <w:uiPriority w:val="0"/>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24"/>
      <w:szCs w:val="24"/>
    </w:rPr>
  </w:style>
  <w:style w:type="paragraph" w:styleId="1186" w:customStyle="1">
    <w:name w:val="xl192"/>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87" w:customStyle="1">
    <w:name w:val="xl193"/>
    <w:basedOn w:val="774"/>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4"/>
      <w:szCs w:val="24"/>
    </w:rPr>
  </w:style>
  <w:style w:type="paragraph" w:styleId="1188" w:customStyle="1">
    <w:name w:val="xl194"/>
    <w:basedOn w:val="774"/>
    <w:uiPriority w:val="0"/>
    <w:qFormat/>
    <w:pPr>
      <w:jc w:val="center"/>
      <w:spacing w:before="100" w:beforeAutospacing="1" w:after="100" w:afterAutospacing="1"/>
      <w:pBdr>
        <w:top w:val="single" w:color="000000" w:sz="4" w:space="0"/>
        <w:left w:val="single" w:color="000000" w:sz="4" w:space="0"/>
        <w:bottom w:val="single" w:color="auto" w:sz="4" w:space="0"/>
        <w:right w:val="single" w:color="auto" w:sz="4" w:space="0"/>
      </w:pBdr>
    </w:pPr>
    <w:rPr>
      <w:rFonts w:ascii="宋体" w:hAnsi="宋体" w:cs="宋体"/>
      <w:color w:val="000000"/>
      <w:sz w:val="24"/>
      <w:szCs w:val="24"/>
    </w:rPr>
  </w:style>
  <w:style w:type="paragraph" w:styleId="1189" w:customStyle="1">
    <w:name w:val="xl195"/>
    <w:basedOn w:val="774"/>
    <w:uiPriority w:val="0"/>
    <w:qFormat/>
    <w:pPr>
      <w:spacing w:before="100" w:beforeAutospacing="1" w:after="100" w:afterAutospacing="1"/>
      <w:pBdr>
        <w:top w:val="single" w:color="000000" w:sz="4" w:space="0"/>
        <w:bottom w:val="single" w:color="000000" w:sz="4" w:space="0"/>
        <w:right w:val="single" w:color="000000" w:sz="4" w:space="0"/>
      </w:pBdr>
    </w:pPr>
    <w:rPr>
      <w:rFonts w:ascii="宋体" w:hAnsi="宋体" w:cs="宋体"/>
      <w:color w:val="000000"/>
    </w:rPr>
  </w:style>
  <w:style w:type="paragraph" w:styleId="1190" w:customStyle="1">
    <w:name w:val="xl196"/>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color w:val="000000"/>
    </w:rPr>
  </w:style>
  <w:style w:type="paragraph" w:styleId="1191" w:customStyle="1">
    <w:name w:val="xl197"/>
    <w:basedOn w:val="774"/>
    <w:uiPriority w:val="0"/>
    <w:pPr>
      <w:jc w:val="center"/>
      <w:spacing w:before="100" w:beforeAutospacing="1" w:after="100" w:afterAutospacing="1"/>
      <w:pBdr>
        <w:top w:val="single" w:color="auto" w:sz="4" w:space="0"/>
        <w:left w:val="single" w:color="000000" w:sz="4" w:space="0"/>
        <w:bottom w:val="single" w:color="auto" w:sz="4" w:space="0"/>
        <w:right w:val="single" w:color="auto" w:sz="4" w:space="0"/>
      </w:pBdr>
    </w:pPr>
    <w:rPr>
      <w:rFonts w:ascii="宋体" w:hAnsi="宋体" w:cs="宋体"/>
      <w:color w:val="000000"/>
      <w:sz w:val="24"/>
      <w:szCs w:val="24"/>
    </w:rPr>
  </w:style>
  <w:style w:type="paragraph" w:styleId="1192" w:customStyle="1">
    <w:name w:val="xl198"/>
    <w:basedOn w:val="774"/>
    <w:uiPriority w:val="0"/>
    <w:pPr>
      <w:spacing w:before="100" w:beforeAutospacing="1" w:after="100" w:afterAutospacing="1"/>
      <w:pBdr>
        <w:top w:val="single" w:color="000000" w:sz="4" w:space="0"/>
        <w:bottom w:val="single" w:color="000000" w:sz="4" w:space="0"/>
        <w:right w:val="single" w:color="000000" w:sz="4" w:space="0"/>
      </w:pBdr>
    </w:pPr>
    <w:rPr>
      <w:rFonts w:ascii="宋体" w:hAnsi="宋体" w:cs="宋体"/>
      <w:color w:val="000000"/>
    </w:rPr>
  </w:style>
  <w:style w:type="paragraph" w:styleId="1193" w:customStyle="1">
    <w:name w:val="xl199"/>
    <w:basedOn w:val="774"/>
    <w:uiPriority w:val="0"/>
    <w:qFormat/>
    <w:pPr>
      <w:spacing w:before="100" w:beforeAutospacing="1" w:after="100" w:afterAutospacing="1"/>
      <w:pBdr>
        <w:top w:val="single" w:color="000000" w:sz="4" w:space="0"/>
        <w:right w:val="single" w:color="000000" w:sz="4" w:space="0"/>
      </w:pBdr>
    </w:pPr>
    <w:rPr>
      <w:rFonts w:ascii="宋体" w:hAnsi="宋体" w:cs="宋体"/>
      <w:color w:val="000000"/>
    </w:rPr>
  </w:style>
  <w:style w:type="paragraph" w:styleId="1194" w:customStyle="1">
    <w:name w:val="xl200"/>
    <w:basedOn w:val="774"/>
    <w:uiPriority w:val="0"/>
    <w:pPr>
      <w:spacing w:before="100" w:beforeAutospacing="1" w:after="100" w:afterAutospacing="1"/>
      <w:pBdr>
        <w:top w:val="single" w:color="auto" w:sz="4" w:space="0"/>
        <w:left w:val="single" w:color="auto" w:sz="4" w:space="0"/>
        <w:bottom w:val="single" w:color="auto" w:sz="4" w:space="0"/>
        <w:right w:val="single" w:color="000000" w:sz="4" w:space="0"/>
      </w:pBdr>
    </w:pPr>
    <w:rPr>
      <w:rFonts w:ascii="宋体" w:hAnsi="宋体" w:cs="宋体"/>
      <w:color w:val="000000"/>
    </w:rPr>
  </w:style>
  <w:style w:type="paragraph" w:styleId="1195" w:customStyle="1">
    <w:name w:val="xl201"/>
    <w:basedOn w:val="774"/>
    <w:uiPriority w:val="0"/>
    <w:qFormat/>
    <w:pPr>
      <w:spacing w:before="100" w:beforeAutospacing="1" w:after="100" w:afterAutospacing="1"/>
      <w:pBdr>
        <w:top w:val="single" w:color="auto" w:sz="4" w:space="0"/>
        <w:left w:val="single" w:color="auto" w:sz="4" w:space="0"/>
        <w:bottom w:val="single" w:color="auto" w:sz="4" w:space="0"/>
        <w:right w:val="single" w:color="000000" w:sz="4" w:space="0"/>
      </w:pBdr>
    </w:pPr>
    <w:rPr>
      <w:rFonts w:ascii="宋体" w:hAnsi="宋体" w:cs="宋体"/>
    </w:rPr>
  </w:style>
  <w:style w:type="paragraph" w:styleId="1196" w:customStyle="1">
    <w:name w:val="xl202"/>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rPr>
  </w:style>
  <w:style w:type="paragraph" w:styleId="1197" w:customStyle="1">
    <w:name w:val="xl203"/>
    <w:basedOn w:val="774"/>
    <w:uiPriority w:val="0"/>
    <w:pPr>
      <w:jc w:val="center"/>
      <w:spacing w:before="100" w:beforeAutospacing="1" w:after="100" w:afterAutospacing="1"/>
      <w:pBdr>
        <w:left w:val="single" w:color="000000" w:sz="4" w:space="0"/>
        <w:bottom w:val="single" w:color="000000" w:sz="4" w:space="0"/>
      </w:pBdr>
    </w:pPr>
    <w:rPr>
      <w:rFonts w:ascii="宋体" w:hAnsi="宋体" w:cs="宋体"/>
      <w:color w:val="000000"/>
      <w:sz w:val="24"/>
      <w:szCs w:val="24"/>
    </w:rPr>
  </w:style>
  <w:style w:type="paragraph" w:styleId="1198" w:customStyle="1">
    <w:name w:val="xl204"/>
    <w:basedOn w:val="774"/>
    <w:uiPriority w:val="0"/>
    <w:qFormat/>
    <w:pPr>
      <w:spacing w:before="100" w:beforeAutospacing="1" w:after="100" w:afterAutospacing="1"/>
      <w:pBdr>
        <w:bottom w:val="single" w:color="000000" w:sz="4" w:space="0"/>
        <w:right w:val="single" w:color="000000" w:sz="4" w:space="0"/>
      </w:pBdr>
    </w:pPr>
    <w:rPr>
      <w:rFonts w:ascii="宋体" w:hAnsi="宋体" w:cs="宋体"/>
      <w:color w:val="000000"/>
    </w:rPr>
  </w:style>
  <w:style w:type="paragraph" w:styleId="1199" w:customStyle="1">
    <w:name w:val="xl205"/>
    <w:basedOn w:val="774"/>
    <w:uiPriority w:val="0"/>
    <w:qFormat/>
    <w:pPr>
      <w:jc w:val="center"/>
      <w:spacing w:before="100" w:beforeAutospacing="1" w:after="100" w:afterAutospacing="1"/>
      <w:pBdr>
        <w:top w:val="single" w:color="auto" w:sz="4" w:space="0"/>
        <w:left w:val="single" w:color="auto" w:sz="4" w:space="0"/>
        <w:bottom w:val="single" w:color="000000" w:sz="4" w:space="0"/>
        <w:right w:val="single" w:color="auto" w:sz="4" w:space="0"/>
      </w:pBdr>
    </w:pPr>
    <w:rPr>
      <w:rFonts w:ascii="宋体" w:hAnsi="宋体" w:cs="宋体"/>
    </w:rPr>
  </w:style>
  <w:style w:type="paragraph" w:styleId="1200" w:customStyle="1">
    <w:name w:val="xl206"/>
    <w:basedOn w:val="774"/>
    <w:uiPriority w:val="0"/>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201" w:customStyle="1">
    <w:name w:val="xl207"/>
    <w:basedOn w:val="774"/>
    <w:uiPriority w:val="0"/>
    <w:pPr>
      <w:jc w:val="center"/>
      <w:spacing w:before="100" w:beforeAutospacing="1" w:after="100" w:afterAutospacing="1"/>
      <w:pBdr>
        <w:top w:val="single" w:color="000000" w:sz="4" w:space="0"/>
        <w:left w:val="single" w:color="000000" w:sz="4" w:space="0"/>
        <w:bottom w:val="single" w:color="auto" w:sz="4" w:space="0"/>
        <w:right w:val="single" w:color="000000" w:sz="4" w:space="0"/>
      </w:pBdr>
    </w:pPr>
    <w:rPr>
      <w:rFonts w:ascii="宋体" w:hAnsi="宋体" w:cs="宋体"/>
      <w:color w:val="000000"/>
      <w:sz w:val="24"/>
      <w:szCs w:val="24"/>
    </w:rPr>
  </w:style>
  <w:style w:type="paragraph" w:styleId="1202" w:customStyle="1">
    <w:name w:val="xl208"/>
    <w:basedOn w:val="774"/>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4"/>
      <w:szCs w:val="24"/>
    </w:rPr>
  </w:style>
  <w:style w:type="paragraph" w:styleId="1203" w:customStyle="1">
    <w:name w:val="xl209"/>
    <w:basedOn w:val="774"/>
    <w:uiPriority w:val="0"/>
    <w:pPr>
      <w:jc w:val="center"/>
      <w:spacing w:before="100" w:beforeAutospacing="1" w:after="100" w:afterAutospacing="1"/>
      <w:pBdr>
        <w:top w:val="single" w:color="auto" w:sz="4" w:space="0"/>
        <w:left w:val="single" w:color="000000" w:sz="4" w:space="0"/>
        <w:bottom w:val="single" w:color="auto" w:sz="4" w:space="0"/>
        <w:right w:val="single" w:color="000000" w:sz="4" w:space="0"/>
      </w:pBdr>
    </w:pPr>
    <w:rPr>
      <w:rFonts w:ascii="宋体" w:hAnsi="宋体" w:cs="宋体"/>
      <w:color w:val="000000"/>
      <w:sz w:val="24"/>
      <w:szCs w:val="24"/>
    </w:rPr>
  </w:style>
  <w:style w:type="paragraph" w:styleId="1204" w:customStyle="1">
    <w:name w:val="xl210"/>
    <w:basedOn w:val="774"/>
    <w:uiPriority w:val="0"/>
    <w:qFormat/>
    <w:pPr>
      <w:jc w:val="center"/>
      <w:spacing w:before="100" w:beforeAutospacing="1" w:after="100" w:afterAutospacing="1"/>
      <w:pBdr>
        <w:top w:val="single" w:color="auto" w:sz="4" w:space="0"/>
        <w:left w:val="single" w:color="000000" w:sz="4" w:space="0"/>
        <w:bottom w:val="single" w:color="auto" w:sz="4" w:space="0"/>
        <w:right w:val="single" w:color="000000" w:sz="4" w:space="0"/>
      </w:pBdr>
    </w:pPr>
    <w:rPr>
      <w:rFonts w:ascii="宋体" w:hAnsi="宋体" w:cs="宋体"/>
      <w:sz w:val="24"/>
      <w:szCs w:val="24"/>
    </w:rPr>
  </w:style>
  <w:style w:type="paragraph" w:styleId="1205" w:customStyle="1">
    <w:name w:val="xl211"/>
    <w:basedOn w:val="774"/>
    <w:uiPriority w:val="0"/>
    <w:qFormat/>
    <w:pPr>
      <w:jc w:val="center"/>
      <w:spacing w:before="100" w:beforeAutospacing="1" w:after="100" w:afterAutospacing="1"/>
      <w:pBdr>
        <w:top w:val="single" w:color="auto"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206" w:customStyle="1">
    <w:name w:val="xl212"/>
    <w:basedOn w:val="774"/>
    <w:uiPriority w:val="0"/>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color w:val="000000"/>
      <w:sz w:val="24"/>
      <w:szCs w:val="24"/>
    </w:rPr>
  </w:style>
  <w:style w:type="paragraph" w:styleId="1207" w:customStyle="1">
    <w:name w:val="xl213"/>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08" w:customStyle="1">
    <w:name w:val="xl214"/>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209" w:customStyle="1">
    <w:name w:val="xl215"/>
    <w:basedOn w:val="774"/>
    <w:uiPriority w:val="0"/>
    <w:pPr>
      <w:spacing w:before="100" w:beforeAutospacing="1" w:after="100" w:afterAutospacing="1"/>
      <w:pBdr>
        <w:top w:val="single" w:color="000000" w:sz="4" w:space="0"/>
        <w:left w:val="single" w:color="000000" w:sz="4" w:space="0"/>
        <w:right w:val="single" w:color="000000" w:sz="4" w:space="0"/>
      </w:pBdr>
    </w:pPr>
    <w:rPr>
      <w:rFonts w:ascii="宋体" w:hAnsi="宋体" w:cs="宋体"/>
      <w:color w:val="000000"/>
    </w:rPr>
  </w:style>
  <w:style w:type="paragraph" w:styleId="1210" w:customStyle="1">
    <w:name w:val="xl216"/>
    <w:basedOn w:val="774"/>
    <w:uiPriority w:val="0"/>
    <w:pPr>
      <w:spacing w:before="100" w:beforeAutospacing="1" w:after="100" w:afterAutospacing="1"/>
      <w:pBdr>
        <w:left w:val="single" w:color="auto" w:sz="4" w:space="0"/>
        <w:bottom w:val="single" w:color="auto" w:sz="4" w:space="0"/>
        <w:right w:val="single" w:color="auto" w:sz="4" w:space="0"/>
      </w:pBdr>
    </w:pPr>
    <w:rPr>
      <w:rFonts w:ascii="宋体" w:hAnsi="宋体" w:cs="宋体"/>
      <w:color w:val="000000"/>
    </w:rPr>
  </w:style>
  <w:style w:type="paragraph" w:styleId="1211" w:customStyle="1">
    <w:name w:val="xl217"/>
    <w:basedOn w:val="77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12" w:customStyle="1">
    <w:name w:val="xl218"/>
    <w:basedOn w:val="774"/>
    <w:uiPriority w:val="0"/>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13" w:customStyle="1">
    <w:name w:val="xl219"/>
    <w:basedOn w:val="774"/>
    <w:uiPriority w:val="0"/>
    <w:pPr>
      <w:spacing w:before="100" w:beforeAutospacing="1" w:after="100" w:afterAutospacing="1"/>
      <w:pBdr>
        <w:top w:val="single" w:color="000000" w:sz="4" w:space="0"/>
        <w:bottom w:val="single" w:color="000000" w:sz="4" w:space="0"/>
        <w:right w:val="single" w:color="000000" w:sz="4" w:space="0"/>
      </w:pBdr>
    </w:pPr>
    <w:rPr>
      <w:rFonts w:ascii="宋体" w:hAnsi="宋体" w:cs="宋体"/>
      <w:sz w:val="24"/>
      <w:szCs w:val="24"/>
    </w:rPr>
  </w:style>
  <w:style w:type="paragraph" w:styleId="1214" w:customStyle="1">
    <w:name w:val="xl220"/>
    <w:basedOn w:val="774"/>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215" w:customStyle="1">
    <w:name w:val="xl221"/>
    <w:basedOn w:val="774"/>
    <w:uiPriority w:val="0"/>
    <w:qFormat/>
    <w:pPr>
      <w:spacing w:before="100" w:beforeAutospacing="1" w:after="100" w:afterAutospacing="1"/>
      <w:pBdr>
        <w:top w:val="single" w:color="auto" w:sz="4" w:space="0"/>
        <w:left w:val="single" w:color="000000" w:sz="4" w:space="0"/>
        <w:bottom w:val="single" w:color="auto" w:sz="4" w:space="0"/>
        <w:right w:val="single" w:color="auto" w:sz="4" w:space="0"/>
      </w:pBdr>
    </w:pPr>
    <w:rPr>
      <w:rFonts w:ascii="宋体" w:hAnsi="宋体" w:cs="宋体"/>
    </w:rPr>
  </w:style>
  <w:style w:type="paragraph" w:styleId="1216" w:customStyle="1">
    <w:name w:val="xl222"/>
    <w:basedOn w:val="774"/>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rPr>
  </w:style>
  <w:style w:type="paragraph" w:styleId="1217" w:customStyle="1">
    <w:name w:val="xl223"/>
    <w:basedOn w:val="774"/>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18" w:customStyle="1">
    <w:name w:val="xl224"/>
    <w:basedOn w:val="774"/>
    <w:uiPriority w:val="0"/>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19" w:customStyle="1">
    <w:name w:val="xl225"/>
    <w:basedOn w:val="774"/>
    <w:uiPriority w:val="0"/>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20" w:customStyle="1">
    <w:name w:val="xl226"/>
    <w:basedOn w:val="774"/>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24"/>
      <w:szCs w:val="24"/>
    </w:rPr>
  </w:style>
  <w:style w:type="paragraph" w:styleId="1221" w:customStyle="1">
    <w:name w:val="xl227"/>
    <w:basedOn w:val="774"/>
    <w:uiPriority w:val="0"/>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4"/>
      <w:szCs w:val="24"/>
    </w:rPr>
  </w:style>
  <w:style w:type="paragraph" w:styleId="1222" w:customStyle="1">
    <w:name w:val="xl228"/>
    <w:basedOn w:val="774"/>
    <w:uiPriority w:val="0"/>
    <w:qFormat/>
    <w:pPr>
      <w:spacing w:before="100" w:beforeAutospacing="1" w:after="100" w:afterAutospacing="1"/>
      <w:pBdr>
        <w:left w:val="single" w:color="000000" w:sz="4" w:space="0"/>
        <w:right w:val="single" w:color="000000" w:sz="4" w:space="0"/>
      </w:pBdr>
    </w:pPr>
    <w:rPr>
      <w:rFonts w:ascii="宋体" w:hAnsi="宋体" w:cs="宋体"/>
      <w:color w:val="000000"/>
    </w:rPr>
  </w:style>
  <w:style w:type="paragraph" w:styleId="1223" w:customStyle="1">
    <w:name w:val="xl229"/>
    <w:basedOn w:val="774"/>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rPr>
  </w:style>
  <w:style w:type="paragraph" w:styleId="1224" w:customStyle="1">
    <w:name w:val="xl230"/>
    <w:basedOn w:val="774"/>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color w:val="000000"/>
    </w:rPr>
  </w:style>
  <w:style w:type="paragraph" w:styleId="1225" w:customStyle="1">
    <w:name w:val="xl231"/>
    <w:basedOn w:val="774"/>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color w:val="000000"/>
    </w:rPr>
  </w:style>
  <w:style w:type="paragraph" w:styleId="1226" w:customStyle="1">
    <w:name w:val="xl232"/>
    <w:basedOn w:val="774"/>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rPr>
  </w:style>
  <w:style w:type="paragraph" w:styleId="1227" w:customStyle="1">
    <w:name w:val="xl233"/>
    <w:basedOn w:val="774"/>
    <w:uiPriority w:val="0"/>
    <w:pPr>
      <w:jc w:val="center"/>
      <w:spacing w:before="100" w:beforeAutospacing="1" w:after="100" w:afterAutospacing="1"/>
      <w:pBdr>
        <w:left w:val="single" w:color="000000" w:sz="4" w:space="0"/>
        <w:right w:val="single" w:color="000000" w:sz="4" w:space="0"/>
      </w:pBdr>
    </w:pPr>
    <w:rPr>
      <w:rFonts w:ascii="宋体" w:hAnsi="宋体" w:cs="宋体"/>
    </w:rPr>
  </w:style>
  <w:style w:type="paragraph" w:styleId="1228" w:customStyle="1">
    <w:name w:val="xl234"/>
    <w:basedOn w:val="774"/>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rPr>
  </w:style>
  <w:style w:type="paragraph" w:styleId="1229" w:customStyle="1">
    <w:name w:val="xl235"/>
    <w:basedOn w:val="774"/>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rPr>
  </w:style>
  <w:style w:type="paragraph" w:styleId="1230" w:customStyle="1">
    <w:name w:val="xl236"/>
    <w:basedOn w:val="774"/>
    <w:uiPriority w:val="0"/>
    <w:pPr>
      <w:jc w:val="center"/>
      <w:spacing w:before="100" w:beforeAutospacing="1" w:after="100" w:afterAutospacing="1"/>
      <w:pBdr>
        <w:left w:val="single" w:color="000000" w:sz="4" w:space="0"/>
        <w:right w:val="single" w:color="000000" w:sz="4" w:space="0"/>
      </w:pBdr>
    </w:pPr>
    <w:rPr>
      <w:rFonts w:ascii="宋体" w:hAnsi="宋体" w:cs="宋体"/>
    </w:rPr>
  </w:style>
  <w:style w:type="paragraph" w:styleId="1231" w:customStyle="1">
    <w:name w:val="xl237"/>
    <w:basedOn w:val="774"/>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rPr>
  </w:style>
  <w:style w:type="paragraph" w:styleId="1232" w:customStyle="1">
    <w:name w:val="xl238"/>
    <w:basedOn w:val="774"/>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24"/>
      <w:szCs w:val="24"/>
    </w:rPr>
  </w:style>
  <w:style w:type="paragraph" w:styleId="1233" w:customStyle="1">
    <w:name w:val="xl239"/>
    <w:basedOn w:val="774"/>
    <w:uiPriority w:val="0"/>
    <w:qFormat/>
    <w:pPr>
      <w:spacing w:before="100" w:beforeAutospacing="1" w:after="100" w:afterAutospacing="1"/>
      <w:pBdr>
        <w:left w:val="single" w:color="000000" w:sz="4" w:space="0"/>
        <w:right w:val="single" w:color="000000" w:sz="4" w:space="0"/>
      </w:pBdr>
    </w:pPr>
    <w:rPr>
      <w:rFonts w:ascii="宋体" w:hAnsi="宋体" w:cs="宋体"/>
      <w:color w:val="000000"/>
      <w:sz w:val="24"/>
      <w:szCs w:val="24"/>
    </w:rPr>
  </w:style>
  <w:style w:type="paragraph" w:styleId="1234" w:customStyle="1">
    <w:name w:val="xl240"/>
    <w:basedOn w:val="774"/>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color w:val="000000"/>
      <w:sz w:val="24"/>
      <w:szCs w:val="24"/>
    </w:rPr>
  </w:style>
  <w:style w:type="paragraph" w:styleId="1235" w:customStyle="1">
    <w:name w:val="xl241"/>
    <w:basedOn w:val="774"/>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color w:val="000000"/>
      <w:sz w:val="24"/>
      <w:szCs w:val="24"/>
    </w:rPr>
  </w:style>
  <w:style w:type="paragraph" w:styleId="1236" w:customStyle="1">
    <w:name w:val="xl242"/>
    <w:basedOn w:val="774"/>
    <w:uiPriority w:val="0"/>
    <w:pPr>
      <w:spacing w:before="100" w:beforeAutospacing="1" w:after="100" w:afterAutospacing="1"/>
      <w:pBdr>
        <w:left w:val="single" w:color="000000" w:sz="4" w:space="0"/>
        <w:right w:val="single" w:color="000000" w:sz="4" w:space="0"/>
      </w:pBdr>
    </w:pPr>
    <w:rPr>
      <w:rFonts w:ascii="宋体" w:hAnsi="宋体" w:cs="宋体"/>
      <w:sz w:val="24"/>
      <w:szCs w:val="24"/>
    </w:rPr>
  </w:style>
  <w:style w:type="paragraph" w:styleId="1237" w:customStyle="1">
    <w:name w:val="xl243"/>
    <w:basedOn w:val="774"/>
    <w:uiPriority w:val="0"/>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4"/>
      <w:szCs w:val="24"/>
    </w:rPr>
  </w:style>
  <w:style w:type="paragraph" w:styleId="1238" w:customStyle="1">
    <w:name w:val="xl244"/>
    <w:basedOn w:val="774"/>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4"/>
      <w:szCs w:val="24"/>
    </w:rPr>
  </w:style>
  <w:style w:type="paragraph" w:styleId="1239" w:customStyle="1">
    <w:name w:val="xl245"/>
    <w:basedOn w:val="774"/>
    <w:uiPriority w:val="0"/>
    <w:pPr>
      <w:jc w:val="center"/>
      <w:spacing w:before="100" w:beforeAutospacing="1" w:after="100" w:afterAutospacing="1"/>
      <w:pBdr>
        <w:left w:val="single" w:color="000000" w:sz="4" w:space="0"/>
        <w:right w:val="single" w:color="000000" w:sz="4" w:space="0"/>
      </w:pBdr>
    </w:pPr>
    <w:rPr>
      <w:rFonts w:ascii="宋体" w:hAnsi="宋体" w:cs="宋体"/>
      <w:sz w:val="24"/>
      <w:szCs w:val="24"/>
    </w:rPr>
  </w:style>
  <w:style w:type="paragraph" w:styleId="1240" w:customStyle="1">
    <w:name w:val="xl246"/>
    <w:basedOn w:val="774"/>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4"/>
      <w:szCs w:val="24"/>
    </w:rPr>
  </w:style>
  <w:style w:type="paragraph" w:styleId="1241" w:customStyle="1">
    <w:name w:val="xl247"/>
    <w:basedOn w:val="77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242" w:customStyle="1">
    <w:name w:val="xl248"/>
    <w:basedOn w:val="774"/>
    <w:uiPriority w:val="0"/>
    <w:pPr>
      <w:spacing w:before="100" w:beforeAutospacing="1" w:after="100" w:afterAutospacing="1"/>
      <w:pBdr>
        <w:top w:val="single" w:color="000000" w:sz="4" w:space="0"/>
        <w:left w:val="single" w:color="000000" w:sz="4" w:space="0"/>
        <w:right w:val="single" w:color="000000" w:sz="4" w:space="0"/>
      </w:pBdr>
    </w:pPr>
    <w:rPr>
      <w:rFonts w:ascii="宋体" w:hAnsi="宋体" w:cs="宋体"/>
    </w:rPr>
  </w:style>
  <w:style w:type="paragraph" w:styleId="1243" w:customStyle="1">
    <w:name w:val="xl249"/>
    <w:basedOn w:val="774"/>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color w:val="000000"/>
    </w:rPr>
  </w:style>
  <w:style w:type="paragraph" w:styleId="1244" w:customStyle="1">
    <w:name w:val="xl250"/>
    <w:basedOn w:val="774"/>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color w:val="000000"/>
    </w:rPr>
  </w:style>
  <w:style w:type="paragraph" w:styleId="1245" w:customStyle="1">
    <w:name w:val="xl251"/>
    <w:basedOn w:val="774"/>
    <w:uiPriority w:val="0"/>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color w:val="000000"/>
    </w:rPr>
  </w:style>
  <w:style w:type="paragraph" w:styleId="1246" w:customStyle="1">
    <w:name w:val="xl252"/>
    <w:basedOn w:val="774"/>
    <w:uiPriority w:val="0"/>
    <w:pPr>
      <w:spacing w:before="100" w:beforeAutospacing="1" w:after="100" w:afterAutospacing="1"/>
      <w:pBdr>
        <w:top w:val="single" w:color="000000" w:sz="4" w:space="0"/>
        <w:left w:val="single" w:color="000000" w:sz="4" w:space="0"/>
        <w:right w:val="single" w:color="000000" w:sz="4" w:space="0"/>
      </w:pBdr>
    </w:pPr>
    <w:rPr>
      <w:rFonts w:ascii="宋体" w:hAnsi="宋体" w:cs="宋体"/>
    </w:rPr>
  </w:style>
  <w:style w:type="paragraph" w:styleId="1247" w:customStyle="1">
    <w:name w:val="xl253"/>
    <w:basedOn w:val="774"/>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rPr>
  </w:style>
  <w:style w:type="paragraph" w:styleId="1248" w:customStyle="1">
    <w:name w:val="xl254"/>
    <w:basedOn w:val="774"/>
    <w:uiPriority w:val="0"/>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rPr>
  </w:style>
  <w:style w:type="paragraph" w:styleId="1249" w:customStyle="1">
    <w:name w:val="xl255"/>
    <w:basedOn w:val="774"/>
    <w:uiPriority w:val="0"/>
    <w:pPr>
      <w:spacing w:before="100" w:beforeAutospacing="1" w:after="100" w:afterAutospacing="1"/>
      <w:pBdr>
        <w:top w:val="single" w:color="000000"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250" w:customStyle="1">
    <w:name w:val="xl256"/>
    <w:basedOn w:val="774"/>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251" w:customStyle="1">
    <w:name w:val="xl257"/>
    <w:basedOn w:val="774"/>
    <w:uiPriority w:val="0"/>
    <w:qFormat/>
    <w:pPr>
      <w:spacing w:before="100" w:beforeAutospacing="1" w:after="100" w:afterAutospacing="1"/>
      <w:pBdr>
        <w:top w:val="single" w:color="auto" w:sz="4" w:space="0"/>
        <w:left w:val="single" w:color="auto" w:sz="4" w:space="0"/>
        <w:bottom w:val="single" w:color="000000" w:sz="4" w:space="0"/>
        <w:right w:val="single" w:color="auto" w:sz="4" w:space="0"/>
      </w:pBdr>
    </w:pPr>
    <w:rPr>
      <w:rFonts w:ascii="宋体" w:hAnsi="宋体" w:cs="宋体"/>
      <w:sz w:val="24"/>
      <w:szCs w:val="24"/>
    </w:rPr>
  </w:style>
  <w:style w:type="paragraph" w:styleId="1252" w:customStyle="1">
    <w:name w:val="xl258"/>
    <w:basedOn w:val="774"/>
    <w:uiPriority w:val="0"/>
    <w:qFormat/>
    <w:pPr>
      <w:spacing w:before="100" w:beforeAutospacing="1" w:after="100" w:afterAutospacing="1"/>
      <w:pBdr>
        <w:left w:val="single" w:color="000000" w:sz="4" w:space="0"/>
        <w:right w:val="single" w:color="000000" w:sz="4" w:space="0"/>
      </w:pBdr>
    </w:pPr>
    <w:rPr>
      <w:rFonts w:ascii="宋体" w:hAnsi="宋体" w:cs="宋体"/>
      <w:sz w:val="24"/>
      <w:szCs w:val="24"/>
    </w:rPr>
  </w:style>
  <w:style w:type="paragraph" w:styleId="1253" w:customStyle="1">
    <w:name w:val="xl259"/>
    <w:basedOn w:val="77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24"/>
      <w:szCs w:val="24"/>
    </w:rPr>
  </w:style>
  <w:style w:type="paragraph" w:styleId="1254" w:customStyle="1">
    <w:name w:val="xl260"/>
    <w:basedOn w:val="774"/>
    <w:uiPriority w:val="0"/>
    <w:pPr>
      <w:spacing w:before="100" w:beforeAutospacing="1" w:after="100" w:afterAutospacing="1"/>
      <w:pBdr>
        <w:top w:val="single" w:color="000000" w:sz="4" w:space="0"/>
        <w:left w:val="single" w:color="000000" w:sz="4" w:space="0"/>
        <w:right w:val="single" w:color="000000" w:sz="4" w:space="0"/>
      </w:pBdr>
    </w:pPr>
    <w:rPr>
      <w:rFonts w:ascii="宋体" w:hAnsi="宋体" w:cs="宋体"/>
    </w:rPr>
  </w:style>
  <w:style w:type="paragraph" w:styleId="1255" w:customStyle="1">
    <w:name w:val="xl261"/>
    <w:basedOn w:val="774"/>
    <w:uiPriority w:val="0"/>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56" w:customStyle="1">
    <w:name w:val="xl262"/>
    <w:basedOn w:val="774"/>
    <w:uiPriority w:val="0"/>
    <w:qFormat/>
    <w:pPr>
      <w:spacing w:before="100" w:beforeAutospacing="1" w:after="100" w:afterAutospacing="1"/>
      <w:pBdr>
        <w:top w:val="single" w:color="auto" w:sz="4" w:space="0"/>
        <w:left w:val="single" w:color="auto" w:sz="4" w:space="0"/>
        <w:bottom w:val="single" w:color="000000" w:sz="4" w:space="0"/>
        <w:right w:val="single" w:color="auto" w:sz="4" w:space="0"/>
      </w:pBdr>
    </w:pPr>
    <w:rPr>
      <w:rFonts w:ascii="宋体" w:hAnsi="宋体" w:cs="宋体"/>
    </w:rPr>
  </w:style>
  <w:style w:type="paragraph" w:styleId="1257" w:customStyle="1">
    <w:name w:val="xl263"/>
    <w:basedOn w:val="774"/>
    <w:uiPriority w:val="0"/>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24"/>
      <w:szCs w:val="24"/>
    </w:rPr>
  </w:style>
  <w:style w:type="paragraph" w:styleId="1258" w:customStyle="1">
    <w:name w:val="xl264"/>
    <w:basedOn w:val="774"/>
    <w:uiPriority w:val="0"/>
    <w:pPr>
      <w:jc w:val="center"/>
      <w:spacing w:before="100" w:beforeAutospacing="1" w:after="100" w:afterAutospacing="1"/>
      <w:pBdr>
        <w:top w:val="single" w:color="000000" w:sz="4" w:space="0"/>
        <w:left w:val="single" w:color="auto" w:sz="4" w:space="0"/>
        <w:bottom w:val="single" w:color="auto" w:sz="4" w:space="0"/>
        <w:right w:val="single" w:color="000000" w:sz="4" w:space="0"/>
      </w:pBdr>
    </w:pPr>
    <w:rPr>
      <w:rFonts w:ascii="宋体" w:hAnsi="宋体" w:cs="宋体"/>
      <w:color w:val="000000"/>
    </w:rPr>
  </w:style>
  <w:style w:type="paragraph" w:styleId="1259" w:customStyle="1">
    <w:name w:val="xl265"/>
    <w:basedOn w:val="774"/>
    <w:uiPriority w:val="0"/>
    <w:qFormat/>
    <w:pPr>
      <w:jc w:val="center"/>
      <w:spacing w:before="100" w:beforeAutospacing="1" w:after="100" w:afterAutospacing="1"/>
      <w:pBdr>
        <w:top w:val="single" w:color="auto" w:sz="4" w:space="0"/>
        <w:left w:val="single" w:color="auto" w:sz="4" w:space="0"/>
        <w:bottom w:val="single" w:color="auto" w:sz="4" w:space="0"/>
        <w:right w:val="single" w:color="000000" w:sz="4" w:space="0"/>
      </w:pBdr>
    </w:pPr>
    <w:rPr>
      <w:rFonts w:ascii="宋体" w:hAnsi="宋体" w:cs="宋体"/>
      <w:color w:val="000000"/>
    </w:rPr>
  </w:style>
  <w:style w:type="paragraph" w:styleId="1260" w:customStyle="1">
    <w:name w:val="xl266"/>
    <w:basedOn w:val="774"/>
    <w:uiPriority w:val="0"/>
    <w:qFormat/>
    <w:pPr>
      <w:spacing w:before="100" w:beforeAutospacing="1" w:after="100" w:afterAutospacing="1"/>
      <w:pBdr>
        <w:top w:val="single" w:color="auto" w:sz="4" w:space="0"/>
        <w:left w:val="single" w:color="auto" w:sz="4" w:space="0"/>
        <w:bottom w:val="single" w:color="000000" w:sz="4" w:space="0"/>
        <w:right w:val="single" w:color="000000" w:sz="4" w:space="0"/>
      </w:pBdr>
    </w:pPr>
    <w:rPr>
      <w:rFonts w:ascii="宋体" w:hAnsi="宋体" w:cs="宋体"/>
    </w:rPr>
  </w:style>
  <w:style w:type="paragraph" w:styleId="1261" w:customStyle="1">
    <w:name w:val="xl267"/>
    <w:basedOn w:val="774"/>
    <w:uiPriority w:val="0"/>
    <w:qFormat/>
    <w:pPr>
      <w:spacing w:before="100" w:beforeAutospacing="1" w:after="100" w:afterAutospacing="1"/>
      <w:pBdr>
        <w:left w:val="single" w:color="000000" w:sz="4" w:space="0"/>
        <w:right w:val="single" w:color="000000" w:sz="4" w:space="0"/>
      </w:pBdr>
    </w:pPr>
    <w:rPr>
      <w:rFonts w:ascii="宋体" w:hAnsi="宋体" w:cs="宋体"/>
      <w:color w:val="000000"/>
    </w:rPr>
  </w:style>
  <w:style w:type="paragraph" w:styleId="1262" w:customStyle="1">
    <w:name w:val="xl268"/>
    <w:basedOn w:val="774"/>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rPr>
  </w:style>
  <w:style w:type="paragraph" w:styleId="1263" w:customStyle="1">
    <w:name w:val="xl269"/>
    <w:basedOn w:val="774"/>
    <w:uiPriority w:val="0"/>
    <w:pPr>
      <w:spacing w:before="100" w:beforeAutospacing="1" w:after="100" w:afterAutospacing="1"/>
      <w:pBdr>
        <w:left w:val="single" w:color="000000" w:sz="4" w:space="0"/>
        <w:right w:val="single" w:color="000000" w:sz="4" w:space="0"/>
      </w:pBdr>
    </w:pPr>
    <w:rPr>
      <w:rFonts w:ascii="宋体" w:hAnsi="宋体" w:cs="宋体"/>
    </w:rPr>
  </w:style>
  <w:style w:type="paragraph" w:styleId="1264" w:customStyle="1">
    <w:name w:val="xl270"/>
    <w:basedOn w:val="774"/>
    <w:uiPriority w:val="0"/>
    <w:pPr>
      <w:spacing w:before="100" w:beforeAutospacing="1" w:after="100" w:afterAutospacing="1"/>
      <w:pBdr>
        <w:top w:val="single" w:color="000000" w:sz="4" w:space="0"/>
        <w:left w:val="single" w:color="000000" w:sz="4" w:space="0"/>
        <w:right w:val="single" w:color="000000" w:sz="4" w:space="0"/>
      </w:pBdr>
    </w:pPr>
    <w:rPr>
      <w:rFonts w:ascii="宋体" w:hAnsi="宋体" w:cs="宋体"/>
    </w:rPr>
  </w:style>
  <w:style w:type="paragraph" w:styleId="1265" w:customStyle="1">
    <w:name w:val="xl271"/>
    <w:basedOn w:val="774"/>
    <w:uiPriority w:val="0"/>
    <w:qFormat/>
    <w:pPr>
      <w:spacing w:before="100" w:beforeAutospacing="1" w:after="100" w:afterAutospacing="1"/>
      <w:pBdr>
        <w:left w:val="single" w:color="000000" w:sz="4" w:space="0"/>
        <w:right w:val="single" w:color="000000" w:sz="4" w:space="0"/>
      </w:pBdr>
    </w:pPr>
    <w:rPr>
      <w:rFonts w:ascii="宋体" w:hAnsi="宋体" w:cs="宋体"/>
    </w:rPr>
  </w:style>
  <w:style w:type="paragraph" w:styleId="1266" w:customStyle="1">
    <w:name w:val="xl272"/>
    <w:basedOn w:val="774"/>
    <w:uiPriority w:val="0"/>
    <w:pPr>
      <w:jc w:val="center"/>
      <w:spacing w:before="100" w:beforeAutospacing="1" w:after="100" w:afterAutospacing="1"/>
      <w:pBdr>
        <w:top w:val="single" w:color="000000" w:sz="4" w:space="0"/>
        <w:left w:val="single" w:color="000000" w:sz="4" w:space="0"/>
        <w:bottom w:val="single" w:color="000000" w:sz="4" w:space="0"/>
      </w:pBdr>
    </w:pPr>
    <w:rPr>
      <w:rFonts w:ascii="黑体" w:hAnsi="黑体" w:eastAsia="黑体" w:cs="宋体"/>
      <w:color w:val="000000"/>
      <w:sz w:val="36"/>
      <w:szCs w:val="36"/>
    </w:rPr>
  </w:style>
  <w:style w:type="paragraph" w:styleId="1267" w:customStyle="1">
    <w:name w:val="xl273"/>
    <w:basedOn w:val="774"/>
    <w:uiPriority w:val="0"/>
    <w:pPr>
      <w:jc w:val="center"/>
      <w:spacing w:before="100" w:beforeAutospacing="1" w:after="100" w:afterAutospacing="1"/>
      <w:pBdr>
        <w:top w:val="single" w:color="000000" w:sz="4" w:space="0"/>
        <w:bottom w:val="single" w:color="000000" w:sz="4" w:space="0"/>
      </w:pBdr>
    </w:pPr>
    <w:rPr>
      <w:rFonts w:ascii="黑体" w:hAnsi="黑体" w:eastAsia="黑体" w:cs="宋体"/>
      <w:color w:val="000000"/>
      <w:sz w:val="36"/>
      <w:szCs w:val="36"/>
    </w:rPr>
  </w:style>
  <w:style w:type="paragraph" w:styleId="1268" w:customStyle="1">
    <w:name w:val="xl274"/>
    <w:basedOn w:val="774"/>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黑体" w:hAnsi="黑体" w:eastAsia="黑体" w:cs="宋体"/>
      <w:color w:val="000000"/>
      <w:sz w:val="36"/>
      <w:szCs w:val="36"/>
    </w:rPr>
  </w:style>
  <w:style w:type="paragraph" w:styleId="1269" w:customStyle="1">
    <w:name w:val="xl275"/>
    <w:basedOn w:val="774"/>
    <w:uiPriority w:val="0"/>
    <w:qFormat/>
    <w:pPr>
      <w:spacing w:before="100" w:beforeAutospacing="1" w:after="100" w:afterAutospacing="1"/>
      <w:pBdr>
        <w:left w:val="single" w:color="000000" w:sz="4" w:space="0"/>
        <w:right w:val="single" w:color="000000" w:sz="4" w:space="0"/>
      </w:pBdr>
    </w:pPr>
    <w:rPr>
      <w:rFonts w:ascii="宋体" w:hAnsi="宋体" w:cs="宋体"/>
    </w:rPr>
  </w:style>
  <w:style w:type="paragraph" w:styleId="1270" w:customStyle="1">
    <w:name w:val="xl276"/>
    <w:basedOn w:val="774"/>
    <w:uiPriority w:val="0"/>
    <w:qFormat/>
    <w:pPr>
      <w:spacing w:before="100" w:beforeAutospacing="1" w:after="100" w:afterAutospacing="1"/>
      <w:pBdr>
        <w:top w:val="single" w:color="000000" w:sz="4" w:space="0"/>
        <w:left w:val="single" w:color="auto" w:sz="4" w:space="0"/>
        <w:bottom w:val="single" w:color="auto" w:sz="4" w:space="0"/>
        <w:right w:val="single" w:color="auto" w:sz="4" w:space="0"/>
      </w:pBdr>
    </w:pPr>
    <w:rPr>
      <w:rFonts w:ascii="宋体" w:hAnsi="宋体" w:cs="宋体"/>
      <w:sz w:val="24"/>
      <w:szCs w:val="24"/>
    </w:rPr>
  </w:style>
  <w:style w:type="paragraph" w:styleId="1271" w:customStyle="1">
    <w:name w:val="xl277"/>
    <w:basedOn w:val="774"/>
    <w:uiPriority w:val="0"/>
    <w:qFormat/>
    <w:pPr>
      <w:spacing w:before="100" w:beforeAutospacing="1" w:after="100" w:afterAutospacing="1"/>
      <w:pBdr>
        <w:top w:val="single" w:color="auto" w:sz="4" w:space="0"/>
        <w:left w:val="single" w:color="auto" w:sz="4" w:space="0"/>
        <w:bottom w:val="single" w:color="000000" w:sz="4" w:space="0"/>
        <w:right w:val="single" w:color="auto" w:sz="4" w:space="0"/>
      </w:pBdr>
    </w:pPr>
    <w:rPr>
      <w:rFonts w:ascii="宋体" w:hAnsi="宋体" w:cs="宋体"/>
      <w:sz w:val="24"/>
      <w:szCs w:val="24"/>
    </w:rPr>
  </w:style>
  <w:style w:type="paragraph" w:styleId="1272" w:customStyle="1">
    <w:name w:val="xl278"/>
    <w:basedOn w:val="774"/>
    <w:uiPriority w:val="0"/>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73" w:customStyle="1">
    <w:name w:val="xl279"/>
    <w:basedOn w:val="774"/>
    <w:uiPriority w:val="0"/>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274" w:customStyle="1">
    <w:name w:val="xl280"/>
    <w:basedOn w:val="774"/>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color w:val="000000"/>
    </w:rPr>
  </w:style>
  <w:style w:type="paragraph" w:styleId="1275" w:customStyle="1">
    <w:name w:val="xl281"/>
    <w:basedOn w:val="774"/>
    <w:uiPriority w:val="0"/>
    <w:pPr>
      <w:jc w:val="center"/>
      <w:spacing w:before="100" w:beforeAutospacing="1" w:after="100" w:afterAutospacing="1"/>
      <w:pBdr>
        <w:left w:val="single" w:color="auto" w:sz="4" w:space="0"/>
        <w:right w:val="single" w:color="auto" w:sz="4" w:space="0"/>
      </w:pBdr>
    </w:pPr>
    <w:rPr>
      <w:rFonts w:ascii="宋体" w:hAnsi="宋体" w:cs="宋体"/>
      <w:color w:val="000000"/>
    </w:rPr>
  </w:style>
  <w:style w:type="paragraph" w:styleId="1276" w:customStyle="1">
    <w:name w:val="xl282"/>
    <w:basedOn w:val="774"/>
    <w:uiPriority w:val="0"/>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color w:val="000000"/>
    </w:rPr>
  </w:style>
  <w:style w:type="paragraph" w:styleId="1277" w:customStyle="1">
    <w:name w:val="xl283"/>
    <w:basedOn w:val="774"/>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4"/>
      <w:szCs w:val="24"/>
    </w:rPr>
  </w:style>
  <w:style w:type="paragraph" w:styleId="1278" w:customStyle="1">
    <w:name w:val="xl284"/>
    <w:basedOn w:val="774"/>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4"/>
      <w:szCs w:val="24"/>
    </w:rPr>
  </w:style>
  <w:style w:type="paragraph" w:styleId="1279" w:customStyle="1">
    <w:name w:val="xl285"/>
    <w:basedOn w:val="774"/>
    <w:uiPriority w:val="0"/>
    <w:qFormat/>
    <w:pPr>
      <w:jc w:val="center"/>
      <w:spacing w:before="100" w:beforeAutospacing="1" w:after="100" w:afterAutospacing="1"/>
      <w:pBdr>
        <w:left w:val="single" w:color="000000" w:sz="4" w:space="0"/>
        <w:right w:val="single" w:color="000000" w:sz="4" w:space="0"/>
      </w:pBdr>
    </w:pPr>
    <w:rPr>
      <w:rFonts w:ascii="宋体" w:hAnsi="宋体" w:cs="宋体"/>
      <w:sz w:val="24"/>
      <w:szCs w:val="24"/>
    </w:rPr>
  </w:style>
  <w:style w:type="paragraph" w:styleId="1280" w:customStyle="1">
    <w:name w:val="xl286"/>
    <w:basedOn w:val="774"/>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4"/>
      <w:szCs w:val="24"/>
    </w:rPr>
  </w:style>
  <w:style w:type="paragraph" w:styleId="1281" w:customStyle="1">
    <w:name w:val="xl287"/>
    <w:basedOn w:val="774"/>
    <w:uiPriority w:val="0"/>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2" w:customStyle="1">
    <w:name w:val="xl288"/>
    <w:basedOn w:val="774"/>
    <w:uiPriority w:val="0"/>
    <w:pPr>
      <w:spacing w:before="100" w:beforeAutospacing="1" w:after="100" w:afterAutospacing="1"/>
      <w:pBdr>
        <w:top w:val="single" w:color="000000" w:sz="4" w:space="0"/>
        <w:left w:val="single" w:color="000000" w:sz="4" w:space="0"/>
        <w:right w:val="single" w:color="000000" w:sz="4" w:space="0"/>
      </w:pBdr>
    </w:pPr>
    <w:rPr>
      <w:rFonts w:ascii="宋体" w:hAnsi="宋体" w:cs="宋体"/>
      <w:sz w:val="24"/>
      <w:szCs w:val="24"/>
    </w:rPr>
  </w:style>
  <w:style w:type="paragraph" w:styleId="1283" w:customStyle="1">
    <w:name w:val="xl289"/>
    <w:basedOn w:val="774"/>
    <w:uiPriority w:val="0"/>
    <w:qFormat/>
    <w:pPr>
      <w:spacing w:before="100" w:beforeAutospacing="1" w:after="100" w:afterAutospacing="1"/>
      <w:pBdr>
        <w:left w:val="single" w:color="000000" w:sz="4" w:space="0"/>
        <w:right w:val="single" w:color="000000" w:sz="4" w:space="0"/>
      </w:pBdr>
    </w:pPr>
    <w:rPr>
      <w:rFonts w:ascii="宋体" w:hAnsi="宋体" w:cs="宋体"/>
      <w:sz w:val="24"/>
      <w:szCs w:val="24"/>
    </w:rPr>
  </w:style>
  <w:style w:type="paragraph" w:styleId="1284" w:customStyle="1">
    <w:name w:val="xl290"/>
    <w:basedOn w:val="774"/>
    <w:uiPriority w:val="0"/>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4"/>
      <w:szCs w:val="24"/>
    </w:rPr>
  </w:style>
  <w:style w:type="paragraph" w:styleId="1285" w:customStyle="1">
    <w:name w:val="xl291"/>
    <w:basedOn w:val="774"/>
    <w:uiPriority w:val="0"/>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286" w:customStyle="1">
    <w:name w:val="xl292"/>
    <w:basedOn w:val="774"/>
    <w:uiPriority w:val="0"/>
    <w:qFormat/>
    <w:pPr>
      <w:spacing w:before="100" w:beforeAutospacing="1" w:after="100" w:afterAutospacing="1"/>
      <w:pBdr>
        <w:left w:val="single" w:color="auto" w:sz="4" w:space="0"/>
        <w:bottom w:val="single" w:color="auto" w:sz="4" w:space="0"/>
        <w:right w:val="single" w:color="auto" w:sz="4" w:space="0"/>
      </w:pBdr>
    </w:pPr>
    <w:rPr>
      <w:rFonts w:ascii="宋体" w:hAnsi="宋体" w:cs="宋体"/>
    </w:rPr>
  </w:style>
  <w:style w:type="paragraph" w:styleId="1287" w:customStyle="1">
    <w:name w:val="xl293"/>
    <w:basedOn w:val="774"/>
    <w:uiPriority w:val="0"/>
    <w:qFormat/>
    <w:pPr>
      <w:jc w:val="center"/>
      <w:spacing w:before="100" w:beforeAutospacing="1" w:after="100" w:afterAutospacing="1"/>
      <w:pBdr>
        <w:top w:val="single" w:color="auto" w:sz="4" w:space="0"/>
        <w:left w:val="single" w:color="000000" w:sz="4" w:space="0"/>
        <w:bottom w:val="single" w:color="000000" w:sz="4" w:space="0"/>
        <w:right w:val="single" w:color="auto" w:sz="4" w:space="0"/>
      </w:pBdr>
    </w:pPr>
    <w:rPr>
      <w:rFonts w:ascii="宋体" w:hAnsi="宋体" w:cs="宋体"/>
      <w:color w:val="000000"/>
      <w:sz w:val="24"/>
      <w:szCs w:val="24"/>
    </w:rPr>
  </w:style>
  <w:style w:type="paragraph" w:styleId="1288" w:customStyle="1">
    <w:name w:val="xl294"/>
    <w:basedOn w:val="774"/>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289" w:customStyle="1">
    <w:name w:val="xl295"/>
    <w:basedOn w:val="774"/>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rPr>
  </w:style>
  <w:style w:type="paragraph" w:styleId="1290" w:customStyle="1">
    <w:name w:val="xl296"/>
    <w:basedOn w:val="774"/>
    <w:uiPriority w:val="0"/>
    <w:pPr>
      <w:spacing w:before="100" w:beforeAutospacing="1" w:after="100" w:afterAutospacing="1"/>
      <w:pBdr>
        <w:left w:val="single" w:color="000000" w:sz="4" w:space="0"/>
        <w:bottom w:val="single" w:color="000000" w:sz="4" w:space="0"/>
        <w:right w:val="single" w:color="000000" w:sz="4" w:space="0"/>
      </w:pBdr>
    </w:pPr>
    <w:rPr>
      <w:rFonts w:ascii="宋体" w:hAnsi="宋体" w:cs="宋体"/>
    </w:rPr>
  </w:style>
  <w:style w:type="paragraph" w:styleId="1291" w:customStyle="1">
    <w:name w:val="xl297"/>
    <w:basedOn w:val="774"/>
    <w:uiPriority w:val="0"/>
    <w:pPr>
      <w:spacing w:before="100" w:beforeAutospacing="1" w:after="100" w:afterAutospacing="1"/>
      <w:pBdr>
        <w:top w:val="single" w:color="000000" w:sz="4" w:space="0"/>
        <w:left w:val="single" w:color="auto" w:sz="4" w:space="0"/>
        <w:right w:val="single" w:color="auto" w:sz="4" w:space="0"/>
      </w:pBdr>
    </w:pPr>
    <w:rPr>
      <w:rFonts w:ascii="宋体" w:hAnsi="宋体" w:cs="宋体"/>
    </w:rPr>
  </w:style>
  <w:style w:type="paragraph" w:styleId="1292" w:customStyle="1">
    <w:name w:val="xl298"/>
    <w:basedOn w:val="774"/>
    <w:uiPriority w:val="0"/>
    <w:qFormat/>
    <w:pPr>
      <w:spacing w:before="100" w:beforeAutospacing="1" w:after="100" w:afterAutospacing="1"/>
      <w:pBdr>
        <w:left w:val="single" w:color="auto" w:sz="4" w:space="0"/>
        <w:bottom w:val="single" w:color="000000" w:sz="4" w:space="0"/>
        <w:right w:val="single" w:color="auto" w:sz="4" w:space="0"/>
      </w:pBdr>
    </w:pPr>
    <w:rPr>
      <w:rFonts w:ascii="宋体" w:hAnsi="宋体" w:cs="宋体"/>
    </w:rPr>
  </w:style>
  <w:style w:type="paragraph" w:styleId="1293" w:customStyle="1">
    <w:name w:val="xl299"/>
    <w:basedOn w:val="774"/>
    <w:uiPriority w:val="0"/>
    <w:pPr>
      <w:spacing w:before="100" w:beforeAutospacing="1" w:after="100" w:afterAutospacing="1"/>
      <w:pBdr>
        <w:top w:val="single" w:color="000000" w:sz="4" w:space="0"/>
      </w:pBdr>
    </w:pPr>
    <w:rPr>
      <w:rFonts w:ascii="宋体" w:hAnsi="宋体" w:cs="宋体"/>
    </w:rPr>
  </w:style>
  <w:style w:type="paragraph" w:styleId="1294" w:customStyle="1">
    <w:name w:val="xl300"/>
    <w:basedOn w:val="774"/>
    <w:uiPriority w:val="0"/>
    <w:pPr>
      <w:spacing w:before="100" w:beforeAutospacing="1" w:after="100" w:afterAutospacing="1"/>
    </w:pPr>
    <w:rPr>
      <w:rFonts w:ascii="宋体" w:hAnsi="宋体" w:cs="宋体"/>
    </w:rPr>
  </w:style>
  <w:style w:type="paragraph" w:styleId="1295" w:customStyle="1">
    <w:name w:val="xl301"/>
    <w:basedOn w:val="774"/>
    <w:uiPriority w:val="0"/>
    <w:qFormat/>
    <w:pPr>
      <w:spacing w:before="100" w:beforeAutospacing="1" w:after="100" w:afterAutospacing="1"/>
      <w:pBdr>
        <w:top w:val="single" w:color="000000" w:sz="4" w:space="0"/>
        <w:right w:val="single" w:color="000000" w:sz="4" w:space="0"/>
      </w:pBdr>
    </w:pPr>
    <w:rPr>
      <w:rFonts w:ascii="宋体" w:hAnsi="宋体" w:cs="宋体"/>
    </w:rPr>
  </w:style>
  <w:style w:type="paragraph" w:styleId="1296" w:customStyle="1">
    <w:name w:val="xl302"/>
    <w:basedOn w:val="774"/>
    <w:uiPriority w:val="0"/>
    <w:qFormat/>
    <w:pPr>
      <w:spacing w:before="100" w:beforeAutospacing="1" w:after="100" w:afterAutospacing="1"/>
      <w:pBdr>
        <w:bottom w:val="single" w:color="000000" w:sz="4" w:space="0"/>
        <w:right w:val="single" w:color="000000" w:sz="4" w:space="0"/>
      </w:pBdr>
    </w:pPr>
    <w:rPr>
      <w:rFonts w:ascii="宋体" w:hAnsi="宋体" w:cs="宋体"/>
    </w:rPr>
  </w:style>
  <w:style w:type="paragraph" w:styleId="1297" w:customStyle="1">
    <w:name w:val="xl303"/>
    <w:basedOn w:val="774"/>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rPr>
  </w:style>
  <w:style w:type="paragraph" w:styleId="1298" w:customStyle="1">
    <w:name w:val="xl304"/>
    <w:basedOn w:val="774"/>
    <w:uiPriority w:val="0"/>
    <w:qFormat/>
    <w:pPr>
      <w:jc w:val="center"/>
      <w:spacing w:before="100" w:beforeAutospacing="1" w:after="100" w:afterAutospacing="1"/>
      <w:pBdr>
        <w:left w:val="single" w:color="auto" w:sz="4" w:space="0"/>
        <w:right w:val="single" w:color="auto" w:sz="4" w:space="0"/>
      </w:pBdr>
    </w:pPr>
    <w:rPr>
      <w:rFonts w:ascii="宋体" w:hAnsi="宋体" w:cs="宋体"/>
    </w:rPr>
  </w:style>
  <w:style w:type="paragraph" w:styleId="1299" w:customStyle="1">
    <w:name w:val="xl305"/>
    <w:basedOn w:val="774"/>
    <w:uiPriority w:val="0"/>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rPr>
  </w:style>
  <w:style w:type="paragraph" w:styleId="1300" w:customStyle="1">
    <w:name w:val="xl306"/>
    <w:basedOn w:val="774"/>
    <w:uiPriority w:val="0"/>
    <w:pPr>
      <w:spacing w:before="100" w:beforeAutospacing="1" w:after="100" w:afterAutospacing="1"/>
      <w:pBdr>
        <w:top w:val="single" w:color="000000" w:sz="4" w:space="0"/>
        <w:left w:val="single" w:color="000000" w:sz="4" w:space="0"/>
        <w:bottom w:val="single" w:color="auto" w:sz="4" w:space="0"/>
        <w:right w:val="single" w:color="000000" w:sz="4" w:space="0"/>
      </w:pBdr>
    </w:pPr>
    <w:rPr>
      <w:rFonts w:ascii="宋体" w:hAnsi="宋体" w:cs="宋体"/>
      <w:sz w:val="24"/>
      <w:szCs w:val="24"/>
    </w:rPr>
  </w:style>
  <w:style w:type="paragraph" w:styleId="1301" w:customStyle="1">
    <w:name w:val="xl307"/>
    <w:basedOn w:val="774"/>
    <w:uiPriority w:val="0"/>
    <w:qFormat/>
    <w:pPr>
      <w:spacing w:before="100" w:beforeAutospacing="1" w:after="100" w:afterAutospacing="1"/>
      <w:pBdr>
        <w:top w:val="single" w:color="auto" w:sz="4" w:space="0"/>
        <w:left w:val="single" w:color="000000" w:sz="4" w:space="0"/>
        <w:bottom w:val="single" w:color="auto" w:sz="4" w:space="0"/>
        <w:right w:val="single" w:color="000000" w:sz="4" w:space="0"/>
      </w:pBdr>
    </w:pPr>
    <w:rPr>
      <w:rFonts w:ascii="宋体" w:hAnsi="宋体" w:cs="宋体"/>
      <w:sz w:val="24"/>
      <w:szCs w:val="24"/>
    </w:rPr>
  </w:style>
  <w:style w:type="paragraph" w:styleId="1302" w:customStyle="1">
    <w:name w:val="xl308"/>
    <w:basedOn w:val="774"/>
    <w:uiPriority w:val="0"/>
    <w:pPr>
      <w:jc w:val="center"/>
      <w:spacing w:before="100" w:beforeAutospacing="1" w:after="100" w:afterAutospacing="1"/>
      <w:pBdr>
        <w:top w:val="single" w:color="auto" w:sz="4" w:space="0"/>
        <w:left w:val="single" w:color="000000" w:sz="4" w:space="0"/>
        <w:right w:val="single" w:color="auto" w:sz="4" w:space="0"/>
      </w:pBdr>
    </w:pPr>
    <w:rPr>
      <w:rFonts w:ascii="宋体" w:hAnsi="宋体" w:cs="宋体"/>
      <w:color w:val="000000"/>
      <w:sz w:val="24"/>
      <w:szCs w:val="24"/>
    </w:rPr>
  </w:style>
  <w:style w:type="paragraph" w:styleId="1303" w:customStyle="1">
    <w:name w:val="xl309"/>
    <w:basedOn w:val="774"/>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4"/>
      <w:szCs w:val="24"/>
    </w:rPr>
  </w:style>
  <w:style w:type="paragraph" w:styleId="1304" w:customStyle="1">
    <w:name w:val="xl310"/>
    <w:basedOn w:val="774"/>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rPr>
  </w:style>
  <w:style w:type="paragraph" w:styleId="1305" w:customStyle="1">
    <w:name w:val="xl311"/>
    <w:basedOn w:val="77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06" w:customStyle="1">
    <w:name w:val="xl312"/>
    <w:basedOn w:val="774"/>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rPr>
  </w:style>
  <w:style w:type="paragraph" w:styleId="1307" w:customStyle="1">
    <w:name w:val="xl313"/>
    <w:basedOn w:val="774"/>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rPr>
  </w:style>
  <w:style w:type="character" w:styleId="1308" w:customStyle="1">
    <w:name w:val="文档结构图 字符"/>
    <w:basedOn w:val="784"/>
    <w:link w:val="793"/>
    <w:uiPriority w:val="99"/>
    <w:semiHidden/>
    <w:rPr>
      <w:rFonts w:ascii="宋体"/>
      <w:sz w:val="18"/>
      <w:szCs w:val="18"/>
    </w:rPr>
  </w:style>
  <w:style w:type="character" w:styleId="1309" w:customStyle="1">
    <w:name w:val="font41"/>
    <w:basedOn w:val="784"/>
    <w:uiPriority w:val="0"/>
    <w:rPr>
      <w:rFonts w:hint="eastAsia" w:ascii="宋体" w:hAnsi="宋体" w:eastAsia="宋体" w:cs="宋体"/>
      <w:color w:val="000000"/>
      <w:sz w:val="22"/>
      <w:szCs w:val="22"/>
      <w:u w:val="none"/>
    </w:rPr>
  </w:style>
  <w:style w:type="character" w:styleId="1310" w:customStyle="1">
    <w:name w:val="font141"/>
    <w:basedOn w:val="784"/>
    <w:uiPriority w:val="0"/>
    <w:qFormat/>
    <w:rPr>
      <w:rFonts w:hint="eastAsia" w:ascii="宋体" w:hAnsi="宋体" w:eastAsia="宋体" w:cs="宋体"/>
      <w:color w:val="000000"/>
      <w:sz w:val="18"/>
      <w:szCs w:val="18"/>
      <w:u w:val="none"/>
    </w:rPr>
  </w:style>
  <w:style w:type="numbering" w:styleId="13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 Id="rId19" Type="http://schemas.openxmlformats.org/officeDocument/2006/relationships/image" Target="media/image2.jpg"/><Relationship Id="rId20" Type="http://schemas.openxmlformats.org/officeDocument/2006/relationships/image" Target="media/image3.jpg"/><Relationship Id="rId21" Type="http://schemas.openxmlformats.org/officeDocument/2006/relationships/image" Target="media/image4.jpg"/><Relationship Id="rId22" Type="http://schemas.openxmlformats.org/officeDocument/2006/relationships/image" Target="media/image5.jpg"/><Relationship Id="rId23" Type="http://schemas.openxmlformats.org/officeDocument/2006/relationships/image" Target="media/image6.jpg"/><Relationship Id="rId24" Type="http://schemas.openxmlformats.org/officeDocument/2006/relationships/image" Target="media/image7.jpg"/><Relationship Id="rId25" Type="http://schemas.openxmlformats.org/officeDocument/2006/relationships/image" Target="media/image8.jpg"/><Relationship Id="rId26" Type="http://schemas.openxmlformats.org/officeDocument/2006/relationships/image" Target="media/image9.jpg"/><Relationship Id="rId27" Type="http://schemas.openxmlformats.org/officeDocument/2006/relationships/image" Target="media/image10.jpg"/><Relationship Id="rId28" Type="http://schemas.openxmlformats.org/officeDocument/2006/relationships/image" Target="media/image11.jpg"/><Relationship Id="rId29" Type="http://schemas.openxmlformats.org/officeDocument/2006/relationships/image" Target="media/image12.jpg"/><Relationship Id="rId30" Type="http://schemas.openxmlformats.org/officeDocument/2006/relationships/image" Target="media/image13.jpg"/><Relationship Id="rId31" Type="http://schemas.openxmlformats.org/officeDocument/2006/relationships/image" Target="media/image14.jpg"/><Relationship Id="rId32" Type="http://schemas.openxmlformats.org/officeDocument/2006/relationships/image" Target="media/image15.jpg"/><Relationship Id="rId33" Type="http://schemas.openxmlformats.org/officeDocument/2006/relationships/image" Target="media/image16.jpg"/><Relationship Id="rId34" Type="http://schemas.openxmlformats.org/officeDocument/2006/relationships/image" Target="media/image17.jpg"/><Relationship Id="rId35" Type="http://schemas.openxmlformats.org/officeDocument/2006/relationships/image" Target="media/image18.jpg"/><Relationship Id="rId36" Type="http://schemas.openxmlformats.org/officeDocument/2006/relationships/image" Target="media/image19.jpg"/><Relationship Id="rId37" Type="http://schemas.openxmlformats.org/officeDocument/2006/relationships/image" Target="media/image20.jpg"/><Relationship Id="rId38" Type="http://schemas.openxmlformats.org/officeDocument/2006/relationships/image" Target="media/image21.jpg"/><Relationship Id="rId39" Type="http://schemas.openxmlformats.org/officeDocument/2006/relationships/image" Target="media/image22.jpg"/><Relationship Id="rId40" Type="http://schemas.openxmlformats.org/officeDocument/2006/relationships/image" Target="media/image2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9E964821-4396-451C-9BAC-37063DE8920F}"/>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香菇滑鸡</dc:creator>
  <cp:lastModifiedBy>唐流霞</cp:lastModifiedBy>
  <cp:revision>15</cp:revision>
  <dcterms:created xsi:type="dcterms:W3CDTF">2026-08-12T05:47:00Z</dcterms:created>
  <dcterms:modified xsi:type="dcterms:W3CDTF">2026-08-18T01:45:43Z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F862252429034C38A489BF141AAC6400_13</vt:lpwstr>
  </property>
  <property fmtid="{D5CDD505-2E9C-101B-9397-08002B2CF9AE}" pid="4" name="KSOTemplateDocerSaveRecord">
    <vt:lpwstr>eyJoZGlkIjoiNTU0ZmIwYTQ3NzlmZGUxZmU3Zjk0M2IyZTNmM2IxNjAiLCJ1c2VySWQiOiIyOTQ3MjE0MjAifQ==</vt:lpwstr>
  </property>
</Properties>
</file>