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r>
      <w:r/>
    </w:p>
    <w:p>
      <w:pPr>
        <w:jc w:val="center"/>
        <w:widowControl w:val="off"/>
        <w:rPr>
          <w:rFonts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40"/>
          <w:szCs w:val="140"/>
          <w14:textFill>
            <w14:solidFill>
              <w14:schemeClr w14:val="tx1"/>
            </w14:solidFill>
          </w14:textFill>
        </w:rPr>
        <w:t xml:space="preserve">招标文件</w:t>
      </w:r>
      <w:r/>
    </w:p>
    <w:p>
      <w:pPr>
        <w:jc w:val="both"/>
        <w:widowControl w:val="off"/>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both"/>
        <w:widowControl w:val="off"/>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630"/>
        <w:jc w:val="both"/>
        <w:widowControl w:val="off"/>
        <w:rPr>
          <w:rFonts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ind w:firstLine="825"/>
        <w:jc w:val="both"/>
        <w:spacing w:line="360" w:lineRule="auto"/>
        <w:widowControl w:val="off"/>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ind w:firstLine="825"/>
        <w:jc w:val="both"/>
        <w:spacing w:line="360" w:lineRule="auto"/>
        <w:widowControl w:val="off"/>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lang w:eastAsia="zh-CN"/>
          <w14:textFill>
            <w14:solidFill>
              <w14:schemeClr w14:val="tx1"/>
            </w14:solidFill>
          </w14:textFill>
        </w:rPr>
        <w:t xml:space="preserve">JSZC-320300-XZGX-G2026-0024</w:t>
      </w:r>
      <w:r>
        <w:rPr>
          <w:rFonts w:hint="eastAsia" w:ascii="宋体" w:hAnsi="宋体" w:cs="宋体"/>
          <w:color w:val="000000" w:themeColor="text1"/>
          <w:sz w:val="32"/>
          <w:szCs w:val="32"/>
          <w14:textFill>
            <w14:solidFill>
              <w14:schemeClr w14:val="tx1"/>
            </w14:solidFill>
          </w14:textFill>
        </w:rPr>
        <w:t xml:space="preserve">       </w:t>
      </w:r>
      <w:r/>
    </w:p>
    <w:p>
      <w:pPr>
        <w:ind w:firstLine="825"/>
        <w:jc w:val="both"/>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000000" w:themeColor="text1"/>
          <w:sz w:val="32"/>
          <w:szCs w:val="32"/>
          <w:lang w:eastAsia="zh-CN"/>
          <w14:textFill>
            <w14:solidFill>
              <w14:schemeClr w14:val="tx1"/>
            </w14:solidFill>
          </w14:textFill>
        </w:rPr>
        <w:t xml:space="preserve">奎河市区段绿地综合养护项目</w:t>
      </w:r>
      <w:r/>
    </w:p>
    <w:p>
      <w:pPr>
        <w:ind w:firstLine="825"/>
        <w:jc w:val="both"/>
        <w:spacing w:line="360" w:lineRule="auto"/>
        <w:widowControl w:val="off"/>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人：徐州市水务局</w:t>
      </w:r>
      <w:r/>
    </w:p>
    <w:p>
      <w:pPr>
        <w:ind w:firstLine="630"/>
        <w:jc w:val="both"/>
        <w:widowControl w:val="off"/>
        <w:rPr>
          <w:rFonts w:ascii="宋体" w:hAnsi="宋体" w:cs="宋体"/>
          <w:color w:val="000000" w:themeColor="text1"/>
          <w:sz w:val="32"/>
          <w:szCs w:val="24"/>
          <w14:textFill>
            <w14:solidFill>
              <w14:schemeClr w14:val="tx1"/>
            </w14:solidFill>
          </w14:textFill>
        </w:rPr>
      </w:pPr>
      <w:r>
        <w:rPr>
          <w:rFonts w:ascii="宋体" w:hAnsi="宋体" w:cs="宋体"/>
          <w:color w:val="000000" w:themeColor="text1"/>
          <w:sz w:val="32"/>
          <w:szCs w:val="24"/>
          <w14:textFill>
            <w14:solidFill>
              <w14:schemeClr w14:val="tx1"/>
            </w14:solidFill>
          </w14:textFill>
        </w:rPr>
      </w:r>
      <w:r/>
    </w:p>
    <w:p>
      <w:pPr>
        <w:pStyle w:val="771"/>
        <w:rPr>
          <w:rFonts w:ascii="宋体" w:hAnsi="宋体" w:cs="宋体"/>
          <w:color w:val="000000" w:themeColor="text1"/>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1352550</wp:posOffset>
                </wp:positionH>
                <wp:positionV relativeFrom="paragraph">
                  <wp:posOffset>125730</wp:posOffset>
                </wp:positionV>
                <wp:extent cx="2343150" cy="1817370"/>
                <wp:effectExtent l="0" t="0" r="0" b="11430"/>
                <wp:wrapTopAndBottom/>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4"/>
                        <a:stretch/>
                      </pic:blipFill>
                      <pic:spPr bwMode="auto">
                        <a:xfrm>
                          <a:off x="0" y="0"/>
                          <a:ext cx="2343150" cy="181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06.5pt;mso-position-horizontal:absolute;mso-position-vertical-relative:text;margin-top:9.9pt;mso-position-vertical:absolute;width:184.5pt;height:143.1pt;mso-wrap-distance-left:0.0pt;mso-wrap-distance-top:0.0pt;mso-wrap-distance-right:0.0pt;mso-wrap-distance-bottom:0.0pt;" stroked="f">
                <v:path textboxrect="0,0,0,0"/>
                <w10:wrap type="topAndBottom"/>
                <v:imagedata r:id="rId14" o:title=""/>
              </v:shape>
            </w:pict>
          </mc:Fallback>
        </mc:AlternateContent>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630"/>
        <w:jc w:val="both"/>
        <w:widowControl w:val="off"/>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widowControl w:val="off"/>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jc w:val="center"/>
        <w:widowControl w:val="off"/>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pStyle w:val="832"/>
        <w:ind w:firstLine="0"/>
        <w:jc w:val="center"/>
        <w:rPr>
          <w:rFonts w:ascii="宋体" w:hAnsi="宋体" w:cs="宋体"/>
          <w:b/>
          <w:bCs/>
          <w:color w:val="000000" w:themeColor="text1"/>
          <w:sz w:val="30"/>
          <w:szCs w:val="30"/>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w:t>
      </w:r>
      <w:r>
        <w:rPr>
          <w:rFonts w:hint="eastAsia" w:ascii="宋体" w:hAnsi="宋体" w:cs="宋体"/>
          <w:color w:val="000000" w:themeColor="text1"/>
          <w:sz w:val="32"/>
          <w:szCs w:val="32"/>
          <w:lang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年</w:t>
      </w:r>
      <w:r>
        <w:rPr>
          <w:rFonts w:hint="eastAsia" w:ascii="宋体" w:hAnsi="宋体" w:cs="宋体"/>
          <w:color w:val="000000" w:themeColor="text1"/>
          <w:sz w:val="32"/>
          <w:szCs w:val="32"/>
          <w:lang w:eastAsia="zh-CN"/>
          <w14:textFill>
            <w14:solidFill>
              <w14:schemeClr w14:val="tx1"/>
            </w14:solidFill>
          </w14:textFill>
        </w:rPr>
        <w:t xml:space="preserve">九</w:t>
      </w:r>
      <w:r>
        <w:rPr>
          <w:rFonts w:hint="eastAsia" w:ascii="宋体" w:hAnsi="宋体" w:cs="宋体"/>
          <w:color w:val="000000" w:themeColor="text1"/>
          <w:sz w:val="32"/>
          <w:szCs w:val="32"/>
          <w14:textFill>
            <w14:solidFill>
              <w14:schemeClr w14:val="tx1"/>
            </w14:solidFill>
          </w14:textFill>
        </w:rPr>
        <w:t xml:space="preserve">月</w:t>
      </w:r>
      <w:r/>
    </w:p>
    <w:p>
      <w:pPr>
        <w:pStyle w:val="832"/>
        <w:ind w:firstLine="0"/>
        <w:jc w:val="center"/>
        <w:rPr>
          <w:rFonts w:ascii="宋体" w:hAnsi="宋体" w:cs="宋体"/>
          <w:b/>
          <w:color w:val="000000" w:themeColor="text1"/>
          <w:sz w:val="44"/>
          <w14:textFill>
            <w14:solidFill>
              <w14:schemeClr w14:val="tx1"/>
            </w14:solidFill>
          </w14:textFill>
        </w:rP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b/>
          <w:color w:val="000000" w:themeColor="text1"/>
          <w:sz w:val="44"/>
          <w14:textFill>
            <w14:solidFill>
              <w14:schemeClr w14:val="tx1"/>
            </w14:solidFill>
          </w14:textFill>
        </w:rPr>
      </w:r>
      <w:r/>
    </w:p>
    <w:p>
      <w:pPr>
        <w:pStyle w:val="832"/>
        <w:ind w:firstLine="0"/>
        <w:jc w:val="center"/>
        <w:rPr>
          <w:rFonts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目 录</w:t>
      </w:r>
      <w:r/>
    </w:p>
    <w:p>
      <w:pPr>
        <w:pStyle w:val="774"/>
        <w:jc w:val="center"/>
        <w:spacing w:line="520" w:lineRule="exact"/>
        <w:rPr>
          <w:rFonts w:ascii="宋体" w:hAnsi="宋体" w:cs="宋体"/>
          <w:b/>
          <w:color w:val="000000" w:themeColor="text1"/>
          <w:sz w:val="44"/>
          <w:szCs w:val="44"/>
          <w14:textFill>
            <w14:solidFill>
              <w14:schemeClr w14:val="tx1"/>
            </w14:solidFill>
          </w14:textFill>
        </w:rPr>
      </w:pPr>
      <w:r/>
      <w:bookmarkStart w:id="0" w:name="_Toc522790130"/>
      <w:r/>
      <w:r/>
    </w:p>
    <w:p>
      <w:pPr>
        <w:pStyle w:val="774"/>
        <w:jc w:val="center"/>
        <w:spacing w:line="520" w:lineRule="exact"/>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779"/>
        <w:keepLines w:val="0"/>
        <w:keepNext w:val="0"/>
        <w:pageBreakBefore w:val="0"/>
        <w:spacing w:line="480" w:lineRule="auto"/>
        <w:widowControl w:val="off"/>
        <w:tabs>
          <w:tab w:val="right" w:pos="8948" w:leader="dot"/>
        </w:tabs>
        <w:rPr>
          <w:rFonts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1006"/>
          <w:rFonts w:hint="eastAsia" w:ascii="宋体" w:hAnsi="宋体" w:cs="宋体"/>
          <w:color w:val="000000" w:themeColor="text1"/>
          <w:sz w:val="28"/>
          <w:szCs w:val="28"/>
          <w14:textFill>
            <w14:solidFill>
              <w14:schemeClr w14:val="tx1"/>
            </w14:solidFill>
          </w14:textFill>
        </w:rPr>
        <w:t xml:space="preserve">第一章  投标邀请</w:t>
      </w:r>
      <w:r>
        <w:rPr>
          <w:rStyle w:val="1006"/>
          <w:rFonts w:hint="eastAsia" w:ascii="宋体" w:hAnsi="宋体" w:cs="宋体"/>
          <w:color w:val="000000" w:themeColor="text1"/>
          <w:sz w:val="28"/>
          <w:szCs w:val="28"/>
          <w14:textFill>
            <w14:solidFill>
              <w14:schemeClr w14:val="tx1"/>
            </w14:solidFill>
          </w14:textFill>
        </w:rPr>
        <w:fldChar w:fldCharType="end"/>
      </w:r>
      <w:r/>
    </w:p>
    <w:p>
      <w:pPr>
        <w:pStyle w:val="779"/>
        <w:keepLines w:val="0"/>
        <w:keepNext w:val="0"/>
        <w:pageBreakBefore w:val="0"/>
        <w:spacing w:line="480" w:lineRule="auto"/>
        <w:widowControl w:val="off"/>
        <w:tabs>
          <w:tab w:val="right" w:pos="8948" w:leader="dot"/>
        </w:tabs>
        <w:rPr>
          <w:rFonts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1006"/>
          <w:rFonts w:hint="eastAsia" w:ascii="宋体" w:hAnsi="宋体" w:cs="宋体"/>
          <w:color w:val="000000" w:themeColor="text1"/>
          <w:sz w:val="28"/>
          <w:szCs w:val="28"/>
          <w14:textFill>
            <w14:solidFill>
              <w14:schemeClr w14:val="tx1"/>
            </w14:solidFill>
          </w14:textFill>
        </w:rPr>
        <w:t xml:space="preserve">第二章  投标人须知</w:t>
      </w:r>
      <w:r>
        <w:rPr>
          <w:rStyle w:val="1006"/>
          <w:rFonts w:hint="eastAsia" w:ascii="宋体" w:hAnsi="宋体" w:cs="宋体"/>
          <w:color w:val="000000" w:themeColor="text1"/>
          <w:sz w:val="28"/>
          <w:szCs w:val="28"/>
          <w14:textFill>
            <w14:solidFill>
              <w14:schemeClr w14:val="tx1"/>
            </w14:solidFill>
          </w14:textFill>
        </w:rPr>
        <w:fldChar w:fldCharType="end"/>
      </w:r>
      <w:r/>
    </w:p>
    <w:p>
      <w:pPr>
        <w:pStyle w:val="779"/>
        <w:keepLines w:val="0"/>
        <w:keepNext w:val="0"/>
        <w:pageBreakBefore w:val="0"/>
        <w:spacing w:line="480" w:lineRule="auto"/>
        <w:widowControl w:val="off"/>
        <w:tabs>
          <w:tab w:val="right" w:pos="8948" w:leader="dot"/>
        </w:tabs>
        <w:rPr>
          <w:rFonts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1006"/>
          <w:rFonts w:hint="eastAsia" w:ascii="宋体" w:hAnsi="宋体" w:cs="宋体"/>
          <w:color w:val="000000" w:themeColor="text1"/>
          <w:sz w:val="28"/>
          <w:szCs w:val="28"/>
          <w14:textFill>
            <w14:solidFill>
              <w14:schemeClr w14:val="tx1"/>
            </w14:solidFill>
          </w14:textFill>
        </w:rPr>
        <w:t xml:space="preserve">第三章  投标资料表</w:t>
      </w:r>
      <w:r>
        <w:rPr>
          <w:rStyle w:val="1006"/>
          <w:rFonts w:hint="eastAsia" w:ascii="宋体" w:hAnsi="宋体" w:cs="宋体"/>
          <w:color w:val="000000" w:themeColor="text1"/>
          <w:sz w:val="28"/>
          <w:szCs w:val="28"/>
          <w14:textFill>
            <w14:solidFill>
              <w14:schemeClr w14:val="tx1"/>
            </w14:solidFill>
          </w14:textFill>
        </w:rPr>
        <w:fldChar w:fldCharType="end"/>
      </w:r>
      <w:r/>
    </w:p>
    <w:p>
      <w:pPr>
        <w:pStyle w:val="779"/>
        <w:keepLines w:val="0"/>
        <w:keepNext w:val="0"/>
        <w:pageBreakBefore w:val="0"/>
        <w:spacing w:line="480" w:lineRule="auto"/>
        <w:widowControl w:val="off"/>
        <w:tabs>
          <w:tab w:val="right" w:pos="8948" w:leader="dot"/>
        </w:tabs>
        <w:rPr>
          <w:rFonts w:ascii="宋体" w:hAnsi="宋体" w:cs="宋体"/>
          <w:color w:val="000000" w:themeColor="text1"/>
          <w:sz w:val="28"/>
          <w:szCs w:val="28"/>
          <w14:textFill>
            <w14:solidFill>
              <w14:schemeClr w14:val="tx1"/>
            </w14:solidFill>
          </w14:textFill>
        </w:rPr>
      </w:pPr>
      <w:r>
        <w:rPr>
          <w:rStyle w:val="1006"/>
          <w:rFonts w:hint="eastAsia" w:ascii="宋体" w:hAnsi="宋体" w:cs="宋体"/>
          <w:color w:val="000000" w:themeColor="text1"/>
          <w:sz w:val="28"/>
          <w:szCs w:val="28"/>
          <w14:textFill>
            <w14:solidFill>
              <w14:schemeClr w14:val="tx1"/>
            </w14:solidFill>
          </w14:textFill>
        </w:rPr>
        <w:t xml:space="preserve">第四章  评标标准</w:t>
      </w:r>
      <w:r/>
    </w:p>
    <w:p>
      <w:pPr>
        <w:pStyle w:val="779"/>
        <w:keepLines w:val="0"/>
        <w:keepNext w:val="0"/>
        <w:pageBreakBefore w:val="0"/>
        <w:spacing w:line="480" w:lineRule="auto"/>
        <w:widowControl w:val="off"/>
        <w:tabs>
          <w:tab w:val="right" w:pos="8948" w:leader="dot"/>
        </w:tabs>
        <w:rPr>
          <w:rFonts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1006"/>
          <w:rFonts w:hint="eastAsia" w:ascii="宋体" w:hAnsi="宋体" w:cs="宋体"/>
          <w:color w:val="000000" w:themeColor="text1"/>
          <w:sz w:val="28"/>
          <w:szCs w:val="28"/>
          <w14:textFill>
            <w14:solidFill>
              <w14:schemeClr w14:val="tx1"/>
            </w14:solidFill>
          </w14:textFill>
        </w:rPr>
        <w:t xml:space="preserve">第五章  拟签订的合同文本</w:t>
      </w:r>
      <w:r>
        <w:rPr>
          <w:rStyle w:val="1006"/>
          <w:rFonts w:hint="eastAsia" w:ascii="宋体" w:hAnsi="宋体" w:cs="宋体"/>
          <w:color w:val="000000" w:themeColor="text1"/>
          <w:sz w:val="28"/>
          <w:szCs w:val="28"/>
          <w14:textFill>
            <w14:solidFill>
              <w14:schemeClr w14:val="tx1"/>
            </w14:solidFill>
          </w14:textFill>
        </w:rPr>
        <w:fldChar w:fldCharType="end"/>
      </w:r>
      <w:r/>
    </w:p>
    <w:p>
      <w:pPr>
        <w:pStyle w:val="779"/>
        <w:keepLines w:val="0"/>
        <w:keepNext w:val="0"/>
        <w:pageBreakBefore w:val="0"/>
        <w:spacing w:line="480" w:lineRule="auto"/>
        <w:widowControl w:val="off"/>
        <w:tabs>
          <w:tab w:val="right" w:pos="8948" w:leader="dot"/>
        </w:tabs>
        <w:rPr>
          <w:rFonts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1006"/>
          <w:rFonts w:hint="eastAsia" w:ascii="宋体" w:hAnsi="宋体" w:cs="宋体"/>
          <w:color w:val="000000" w:themeColor="text1"/>
          <w:sz w:val="28"/>
          <w:szCs w:val="28"/>
          <w14:textFill>
            <w14:solidFill>
              <w14:schemeClr w14:val="tx1"/>
            </w14:solidFill>
          </w14:textFill>
        </w:rPr>
        <w:t xml:space="preserve">第六章  采购需求</w:t>
      </w:r>
      <w:r>
        <w:rPr>
          <w:rStyle w:val="1006"/>
          <w:rFonts w:hint="eastAsia" w:ascii="宋体" w:hAnsi="宋体" w:cs="宋体"/>
          <w:color w:val="000000" w:themeColor="text1"/>
          <w:sz w:val="28"/>
          <w:szCs w:val="28"/>
          <w14:textFill>
            <w14:solidFill>
              <w14:schemeClr w14:val="tx1"/>
            </w14:solidFill>
          </w14:textFill>
        </w:rPr>
        <w:fldChar w:fldCharType="end"/>
      </w:r>
      <w:r/>
    </w:p>
    <w:p>
      <w:pPr>
        <w:pStyle w:val="779"/>
        <w:keepLines w:val="0"/>
        <w:keepNext w:val="0"/>
        <w:pageBreakBefore w:val="0"/>
        <w:spacing w:line="480" w:lineRule="auto"/>
        <w:widowControl w:val="off"/>
        <w:tabs>
          <w:tab w:val="right" w:pos="8948" w:leader="dot"/>
        </w:tabs>
        <w:rPr>
          <w:rFonts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1006"/>
          <w:rFonts w:hint="eastAsia" w:ascii="宋体" w:hAnsi="宋体" w:cs="宋体"/>
          <w:color w:val="000000" w:themeColor="text1"/>
          <w:sz w:val="28"/>
          <w:szCs w:val="28"/>
          <w14:textFill>
            <w14:solidFill>
              <w14:schemeClr w14:val="tx1"/>
            </w14:solidFill>
          </w14:textFill>
        </w:rPr>
        <w:t xml:space="preserve">第七章  投标文件相关格</w:t>
      </w:r>
      <w:bookmarkStart w:id="1" w:name="_Hlt532911771"/>
      <w:r/>
      <w:bookmarkStart w:id="2" w:name="_Hlt532911772"/>
      <w:r>
        <w:rPr>
          <w:rStyle w:val="1006"/>
          <w:rFonts w:hint="eastAsia" w:ascii="宋体" w:hAnsi="宋体" w:cs="宋体"/>
          <w:color w:val="000000" w:themeColor="text1"/>
          <w:sz w:val="28"/>
          <w:szCs w:val="28"/>
          <w14:textFill>
            <w14:solidFill>
              <w14:schemeClr w14:val="tx1"/>
            </w14:solidFill>
          </w14:textFill>
        </w:rPr>
        <w:t xml:space="preserve">式</w:t>
      </w:r>
      <w:bookmarkEnd w:id="1"/>
      <w:r/>
      <w:bookmarkEnd w:id="2"/>
      <w:r>
        <w:rPr>
          <w:rStyle w:val="1006"/>
          <w:rFonts w:hint="eastAsia" w:ascii="宋体" w:hAnsi="宋体" w:cs="宋体"/>
          <w:color w:val="000000" w:themeColor="text1"/>
          <w:sz w:val="28"/>
          <w:szCs w:val="28"/>
          <w14:textFill>
            <w14:solidFill>
              <w14:schemeClr w14:val="tx1"/>
            </w14:solidFill>
          </w14:textFill>
        </w:rPr>
        <w:fldChar w:fldCharType="end"/>
      </w:r>
      <w:r/>
    </w:p>
    <w:p>
      <w:pPr>
        <w:pStyle w:val="774"/>
        <w:jc w:val="center"/>
        <w:keepLines w:val="0"/>
        <w:keepNext w:val="0"/>
        <w:pageBreakBefore w:val="0"/>
        <w:spacing w:line="480" w:lineRule="auto"/>
        <w:widowControl w:val="off"/>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774"/>
        <w:jc w:val="center"/>
        <w:spacing w:line="520" w:lineRule="exact"/>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774"/>
        <w:jc w:val="center"/>
        <w:spacing w:line="520" w:lineRule="exact"/>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774"/>
        <w:jc w:val="center"/>
        <w:spacing w:line="520" w:lineRule="exact"/>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774"/>
        <w:jc w:val="center"/>
        <w:spacing w:line="520" w:lineRule="exact"/>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774"/>
        <w:jc w:val="center"/>
        <w:spacing w:line="520" w:lineRule="exact"/>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774"/>
        <w:jc w:val="center"/>
        <w:spacing w:line="520" w:lineRule="exact"/>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774"/>
        <w:jc w:val="center"/>
        <w:spacing w:line="520" w:lineRule="exact"/>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774"/>
        <w:jc w:val="center"/>
        <w:spacing w:line="520" w:lineRule="exact"/>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774"/>
        <w:jc w:val="center"/>
        <w:spacing w:line="520" w:lineRule="exact"/>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774"/>
        <w:jc w:val="center"/>
        <w:spacing w:line="520" w:lineRule="exact"/>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774"/>
        <w:jc w:val="center"/>
        <w:spacing w:line="520" w:lineRule="exact"/>
        <w:rPr>
          <w:rFonts w:ascii="宋体" w:hAnsi="宋体" w:cs="宋体"/>
          <w:b/>
          <w:color w:val="000000" w:themeColor="text1"/>
          <w:sz w:val="44"/>
          <w:szCs w:val="44"/>
          <w14:textFill>
            <w14:solidFill>
              <w14:schemeClr w14:val="tx1"/>
            </w14:solidFill>
          </w14:textFill>
        </w:rPr>
      </w:pPr>
      <w:r>
        <w:rPr>
          <w:rFonts w:ascii="宋体" w:hAnsi="宋体" w:cs="宋体"/>
          <w:b/>
          <w:color w:val="000000" w:themeColor="text1"/>
          <w:sz w:val="44"/>
          <w:szCs w:val="44"/>
          <w14:textFill>
            <w14:solidFill>
              <w14:schemeClr w14:val="tx1"/>
            </w14:solidFill>
          </w14:textFill>
        </w:rPr>
      </w:r>
      <w:r/>
    </w:p>
    <w:p>
      <w:pPr>
        <w:pStyle w:val="774"/>
        <w:jc w:val="center"/>
        <w:spacing w:line="520" w:lineRule="exact"/>
        <w:rPr>
          <w:rFonts w:hint="eastAsia" w:ascii="宋体" w:hAnsi="宋体" w:cs="宋体"/>
          <w:b/>
          <w:color w:val="000000" w:themeColor="text1"/>
          <w:sz w:val="44"/>
          <w:szCs w:val="44"/>
          <w14:textFill>
            <w14:solidFill>
              <w14:schemeClr w14:val="tx1"/>
            </w14:solidFill>
          </w14:textFill>
        </w:rPr>
        <w:sectPr>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4"/>
          <w:szCs w:val="44"/>
          <w14:textFill>
            <w14:solidFill>
              <w14:schemeClr w14:val="tx1"/>
            </w14:solidFill>
          </w14:textFill>
        </w:rPr>
      </w:r>
      <w:r/>
    </w:p>
    <w:p>
      <w:pPr>
        <w:pStyle w:val="774"/>
        <w:jc w:val="center"/>
        <w:spacing w:line="520" w:lineRule="exact"/>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w:t>
      </w:r>
      <w:r>
        <w:rPr>
          <w:rFonts w:hint="eastAsia" w:ascii="宋体" w:hAnsi="宋体" w:cs="宋体"/>
          <w:b/>
          <w:color w:val="000000" w:themeColor="text1"/>
          <w:sz w:val="44"/>
          <w:szCs w:val="44"/>
          <w:lang w:eastAsia="zh-CN"/>
          <w14:textFill>
            <w14:solidFill>
              <w14:schemeClr w14:val="tx1"/>
            </w14:solidFill>
          </w14:textFill>
        </w:rPr>
        <w:t xml:space="preserve">奎河市区段绿地综合养护项目</w:t>
      </w:r>
      <w:r>
        <w:rPr>
          <w:rFonts w:hint="eastAsia" w:ascii="宋体" w:hAnsi="宋体" w:cs="宋体"/>
          <w:b/>
          <w:color w:val="000000" w:themeColor="text1"/>
          <w:sz w:val="44"/>
          <w:szCs w:val="44"/>
          <w14:textFill>
            <w14:solidFill>
              <w14:schemeClr w14:val="tx1"/>
            </w14:solidFill>
          </w14:textFill>
        </w:rPr>
        <w:t xml:space="preserve">》</w:t>
      </w:r>
      <w:r/>
    </w:p>
    <w:p>
      <w:pPr>
        <w:pStyle w:val="774"/>
        <w:jc w:val="center"/>
        <w:spacing w:line="520" w:lineRule="exact"/>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招标文件</w:t>
      </w:r>
      <w:r>
        <w:rPr>
          <w:rFonts w:hint="eastAsia" w:ascii="宋体" w:hAnsi="宋体" w:cs="宋体"/>
          <w:b/>
          <w:color w:val="000000" w:themeColor="text1"/>
          <w:sz w:val="30"/>
          <w:szCs w:val="30"/>
          <w14:textFill>
            <w14:solidFill>
              <w14:schemeClr w14:val="tx1"/>
            </w14:solidFill>
          </w14:textFill>
        </w:rPr>
        <w:t xml:space="preserve"> </w:t>
      </w:r>
      <w:r/>
    </w:p>
    <w:p>
      <w:pPr>
        <w:pStyle w:val="774"/>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    </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74"/>
        <w:spacing w:line="36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00"/>
        <w:spacing w:line="520" w:lineRule="exact"/>
        <w:rPr>
          <w:rFonts w:ascii="宋体" w:hAnsi="宋体" w:eastAsia="宋体" w:cs="宋体"/>
          <w:color w:val="000000" w:themeColor="text1"/>
          <w:sz w:val="24"/>
          <w:szCs w:val="24"/>
          <w14:textFill>
            <w14:solidFill>
              <w14:schemeClr w14:val="tx1"/>
            </w14:solidFill>
          </w14:textFill>
        </w:rPr>
      </w:pPr>
      <w:r/>
      <w:bookmarkStart w:id="3" w:name="_Toc523404695"/>
      <w:r>
        <w:rPr>
          <w:rFonts w:hint="eastAsia" w:ascii="宋体" w:hAnsi="宋体" w:eastAsia="宋体" w:cs="宋体"/>
          <w:color w:val="000000" w:themeColor="text1"/>
          <w:sz w:val="28"/>
          <w:szCs w:val="28"/>
          <w14:textFill>
            <w14:solidFill>
              <w14:schemeClr w14:val="tx1"/>
            </w14:solidFill>
          </w14:textFill>
        </w:rPr>
        <w:t xml:space="preserve">第一章  投标邀请</w:t>
      </w:r>
      <w:bookmarkEnd w:id="3"/>
      <w:r/>
      <w:r/>
    </w:p>
    <w:p>
      <w:pPr>
        <w:pStyle w:val="774"/>
        <w:jc w:val="center"/>
        <w:spacing w:line="36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徐州国信招标有限公司对徐州市水务局“</w:t>
      </w:r>
      <w:r>
        <w:rPr>
          <w:rFonts w:hint="eastAsia" w:ascii="宋体" w:hAnsi="宋体" w:cs="宋体"/>
          <w:color w:val="000000" w:themeColor="text1"/>
          <w:sz w:val="24"/>
          <w:lang w:eastAsia="zh-CN"/>
          <w14:textFill>
            <w14:solidFill>
              <w14:schemeClr w14:val="tx1"/>
            </w14:solidFill>
          </w14:textFill>
        </w:rPr>
        <w:t xml:space="preserve">奎河市区段绿地综合养护项目</w:t>
      </w:r>
      <w:r>
        <w:rPr>
          <w:rFonts w:hint="eastAsia" w:ascii="宋体" w:hAnsi="宋体" w:cs="宋体"/>
          <w:color w:val="000000" w:themeColor="text1"/>
          <w:sz w:val="24"/>
          <w14:textFill>
            <w14:solidFill>
              <w14:schemeClr w14:val="tx1"/>
            </w14:solidFill>
          </w14:textFill>
        </w:rPr>
        <w:t xml:space="preserve">”进行公开招标采购，现邀请符合相关条件的供应商投标。</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一、项目名称和项目编号</w:t>
      </w:r>
      <w:r/>
    </w:p>
    <w:p>
      <w:pPr>
        <w:pStyle w:val="774"/>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w:t>
      </w:r>
      <w:r>
        <w:rPr>
          <w:rFonts w:hint="eastAsia" w:ascii="宋体" w:hAnsi="宋体" w:cs="宋体"/>
          <w:color w:val="000000" w:themeColor="text1"/>
          <w:sz w:val="24"/>
          <w:lang w:eastAsia="zh-CN"/>
          <w14:textFill>
            <w14:solidFill>
              <w14:schemeClr w14:val="tx1"/>
            </w14:solidFill>
          </w14:textFill>
        </w:rPr>
        <w:t xml:space="preserve">奎河市区段绿地综合养护项目</w:t>
      </w:r>
      <w:r/>
    </w:p>
    <w:p>
      <w:pPr>
        <w:pStyle w:val="774"/>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（二）项目编号：</w:t>
      </w:r>
      <w:r>
        <w:rPr>
          <w:rFonts w:hint="eastAsia" w:ascii="宋体" w:hAnsi="宋体" w:cs="宋体"/>
          <w:color w:val="000000" w:themeColor="text1"/>
          <w:sz w:val="24"/>
          <w:lang w:eastAsia="zh-CN"/>
          <w14:textFill>
            <w14:solidFill>
              <w14:schemeClr w14:val="tx1"/>
            </w14:solidFill>
          </w14:textFill>
        </w:rPr>
        <w:t xml:space="preserve">JSZC-320300-XZGX-G2026-0024</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二、对投标人的资格要求</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详见本项目公开招标公告。</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三、获取招标文件</w:t>
      </w:r>
      <w:bookmarkEnd w:id="0"/>
      <w:r/>
      <w:r/>
    </w:p>
    <w:p>
      <w:pPr>
        <w:pStyle w:val="774"/>
        <w:ind w:firstLine="621"/>
        <w:spacing w:line="5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lang w:eastAsia="zh-CN"/>
          <w14:textFill>
            <w14:solidFill>
              <w14:schemeClr w14:val="tx1"/>
            </w14:solidFill>
          </w14:textFill>
        </w:rPr>
        <w:t xml:space="preserve">一</w:t>
      </w:r>
      <w:r>
        <w:rPr>
          <w:rFonts w:hint="eastAsia" w:ascii="宋体" w:hAnsi="宋体" w:cs="宋体"/>
          <w:bCs/>
          <w:color w:val="000000" w:themeColor="text1"/>
          <w:sz w:val="24"/>
          <w14:textFill>
            <w14:solidFill>
              <w14:schemeClr w14:val="tx1"/>
            </w14:solidFill>
          </w14:textFill>
        </w:rPr>
        <w:t xml:space="preserve">）潜在供应商访问电子招标投标交易平台的网络地址和方法：</w:t>
      </w:r>
      <w:r/>
    </w:p>
    <w:p>
      <w:pPr>
        <w:pStyle w:val="774"/>
        <w:ind w:firstLine="621"/>
        <w:spacing w:line="5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①登录 http://jszfcg.jsczt.cn/ ，或进入徐州政府采购网-－业务工作－－用户登录，点击“苏采云”进入系统。</w:t>
      </w:r>
      <w:r/>
    </w:p>
    <w:p>
      <w:pPr>
        <w:pStyle w:val="774"/>
        <w:ind w:firstLine="621"/>
        <w:spacing w:line="5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74"/>
        <w:ind w:firstLine="621"/>
        <w:spacing w:line="5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lang w:eastAsia="zh-CN"/>
          <w14:textFill>
            <w14:solidFill>
              <w14:schemeClr w14:val="tx1"/>
            </w14:solidFill>
          </w14:textFill>
        </w:rPr>
        <w:t xml:space="preserve">二</w:t>
      </w:r>
      <w:r>
        <w:rPr>
          <w:rFonts w:hint="eastAsia" w:ascii="宋体" w:hAnsi="宋体" w:cs="宋体"/>
          <w:bCs/>
          <w:color w:val="000000" w:themeColor="text1"/>
          <w:sz w:val="24"/>
          <w14:textFill>
            <w14:solidFill>
              <w14:schemeClr w14:val="tx1"/>
            </w14:solidFill>
          </w14:textFill>
        </w:rPr>
        <w:t xml:space="preserve">）采购代理机构将数据电文形式的招标文件加载至电子招标投标交易平台，供潜在供应商下载或者查阅。</w:t>
      </w:r>
      <w:r/>
    </w:p>
    <w:p>
      <w:pPr>
        <w:pStyle w:val="774"/>
        <w:ind w:firstLine="600"/>
        <w:spacing w:line="5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lang w:eastAsia="zh-CN"/>
          <w14:textFill>
            <w14:solidFill>
              <w14:schemeClr w14:val="tx1"/>
            </w14:solidFill>
          </w14:textFill>
        </w:rPr>
        <w:t xml:space="preserve">三</w:t>
      </w:r>
      <w:r>
        <w:rPr>
          <w:rFonts w:hint="eastAsia" w:ascii="宋体" w:hAnsi="宋体" w:cs="宋体"/>
          <w:bCs/>
          <w:color w:val="000000" w:themeColor="text1"/>
          <w:sz w:val="24"/>
          <w14:textFill>
            <w14:solidFill>
              <w14:schemeClr w14:val="tx1"/>
            </w14:solidFill>
          </w14:textFill>
        </w:rPr>
        <w:t xml:space="preserve">）售价：免费。  </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四、投标有关信息</w:t>
      </w:r>
      <w:r/>
    </w:p>
    <w:p>
      <w:pPr>
        <w:pStyle w:val="774"/>
        <w:ind w:firstLine="600"/>
        <w:spacing w:line="520" w:lineRule="exact"/>
        <w:rPr>
          <w:rFonts w:ascii="宋体" w:hAnsi="宋体" w:cs="宋体"/>
          <w:sz w:val="24"/>
          <w:highlight w:val="none"/>
        </w:rPr>
      </w:pPr>
      <w:r>
        <w:rPr>
          <w:rFonts w:hint="eastAsia" w:ascii="宋体" w:hAnsi="宋体" w:cs="宋体"/>
          <w:color w:val="000000" w:themeColor="text1"/>
          <w:sz w:val="24"/>
          <w:highlight w:val="none"/>
          <w14:textFill>
            <w14:solidFill>
              <w14:schemeClr w14:val="tx1"/>
            </w14:solidFill>
          </w14:textFill>
        </w:rPr>
        <w:t xml:space="preserve">（一）</w:t>
      </w:r>
      <w:r>
        <w:rPr>
          <w:rFonts w:hint="eastAsia" w:ascii="宋体" w:hAnsi="宋体" w:cs="宋体"/>
          <w:sz w:val="24"/>
          <w:highlight w:val="none"/>
        </w:rPr>
        <w:t xml:space="preserve">投标截止时间：202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w:t>
      </w:r>
      <w:r>
        <w:rPr>
          <w:rFonts w:hint="eastAsia" w:ascii="宋体" w:hAnsi="宋体" w:cs="宋体"/>
          <w:sz w:val="24"/>
          <w:highlight w:val="none"/>
        </w:rPr>
        <w:t xml:space="preserve">20日北京时间</w:t>
      </w:r>
      <w:r>
        <w:rPr>
          <w:rFonts w:hint="eastAsia" w:ascii="宋体" w:hAnsi="宋体" w:cs="宋体"/>
          <w:sz w:val="24"/>
          <w:highlight w:val="none"/>
          <w:lang w:val="en-US" w:eastAsia="zh-CN"/>
        </w:rPr>
        <w:t xml:space="preserve">09</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30</w:t>
      </w:r>
      <w:r>
        <w:rPr>
          <w:rFonts w:hint="eastAsia" w:ascii="宋体" w:hAnsi="宋体" w:cs="宋体"/>
          <w:sz w:val="24"/>
          <w:highlight w:val="none"/>
        </w:rPr>
        <w:t xml:space="preserve">。</w:t>
      </w:r>
      <w:r/>
    </w:p>
    <w:p>
      <w:pPr>
        <w:pStyle w:val="774"/>
        <w:ind w:firstLine="600"/>
        <w:spacing w:line="520" w:lineRule="exact"/>
        <w:rPr>
          <w:rFonts w:ascii="宋体" w:hAnsi="宋体" w:cs="宋体"/>
          <w:sz w:val="24"/>
          <w:highlight w:val="none"/>
        </w:rPr>
      </w:pPr>
      <w:r>
        <w:rPr>
          <w:rFonts w:hint="eastAsia" w:ascii="宋体" w:hAnsi="宋体" w:cs="宋体"/>
          <w:sz w:val="24"/>
          <w:highlight w:val="none"/>
        </w:rPr>
        <w:t xml:space="preserve">（二）开标时间：20</w:t>
      </w:r>
      <w:r>
        <w:rPr>
          <w:rFonts w:hint="eastAsia" w:ascii="宋体" w:hAnsi="宋体" w:cs="宋体"/>
          <w:sz w:val="24"/>
          <w:highlight w:val="none"/>
          <w:lang w:val="en-US" w:eastAsia="zh-CN"/>
        </w:rPr>
        <w:t xml:space="preserve">26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w:t>
      </w:r>
      <w:r>
        <w:rPr>
          <w:rFonts w:hint="eastAsia" w:ascii="宋体" w:hAnsi="宋体" w:cs="宋体"/>
          <w:sz w:val="24"/>
          <w:highlight w:val="none"/>
        </w:rPr>
        <w:t xml:space="preserve">20日北京时间</w:t>
      </w:r>
      <w:r>
        <w:rPr>
          <w:rFonts w:hint="eastAsia" w:ascii="宋体" w:hAnsi="宋体" w:cs="宋体"/>
          <w:sz w:val="24"/>
          <w:highlight w:val="none"/>
          <w:lang w:val="en-US" w:eastAsia="zh-CN"/>
        </w:rPr>
        <w:t xml:space="preserve">09</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30</w:t>
      </w:r>
      <w:r>
        <w:rPr>
          <w:rFonts w:hint="eastAsia" w:ascii="宋体" w:hAnsi="宋体" w:cs="宋体"/>
          <w:sz w:val="24"/>
          <w:highlight w:val="none"/>
        </w:rPr>
        <w:t xml:space="preserve">。</w:t>
      </w:r>
      <w:r/>
    </w:p>
    <w:p>
      <w:pPr>
        <w:pStyle w:val="774"/>
        <w:ind w:firstLine="601"/>
        <w:jc w:val="left"/>
        <w:keepLines w:val="0"/>
        <w:keepNext w:val="0"/>
        <w:pageBreakBefore w:val="0"/>
        <w:spacing w:line="520" w:lineRule="exact"/>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 </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五、采购人</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（一）名称：徐州市水务局</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（二）地址：江苏省徐州市云龙区新安路9号</w:t>
      </w:r>
      <w:r/>
    </w:p>
    <w:p>
      <w:pPr>
        <w:pStyle w:val="774"/>
        <w:ind w:firstLine="600"/>
        <w:spacing w:line="52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（三）联系电话：</w:t>
      </w:r>
      <w:r>
        <w:rPr>
          <w:rFonts w:hint="eastAsia" w:ascii="宋体" w:hAnsi="宋体" w:cs="宋体"/>
          <w:color w:val="000000" w:themeColor="text1"/>
          <w:sz w:val="24"/>
          <w:highlight w:val="none"/>
          <w:lang w:eastAsia="zh-CN"/>
          <w14:textFill>
            <w14:solidFill>
              <w14:schemeClr w14:val="tx1"/>
            </w14:solidFill>
          </w14:textFill>
        </w:rPr>
        <w:t xml:space="preserve">武</w:t>
      </w:r>
      <w:r>
        <w:rPr>
          <w:rFonts w:hint="eastAsia" w:ascii="宋体" w:hAnsi="宋体" w:cs="宋体"/>
          <w:color w:val="000000" w:themeColor="text1"/>
          <w:sz w:val="24"/>
          <w:highlight w:val="none"/>
          <w:lang w:val="en-US" w:eastAsia="zh-CN"/>
          <w14:textFill>
            <w14:solidFill>
              <w14:schemeClr w14:val="tx1"/>
            </w14:solidFill>
          </w14:textFill>
        </w:rPr>
        <w:t xml:space="preserve">工</w:t>
      </w:r>
      <w:r>
        <w:rPr>
          <w:rFonts w:hint="eastAsia" w:ascii="宋体" w:hAnsi="宋体" w:cs="宋体"/>
          <w:color w:val="000000" w:themeColor="text1"/>
          <w:sz w:val="24"/>
          <w:highlight w:val="none"/>
          <w:lang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0516-68900266</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六、采购代理机构</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（一）名称：徐州国信招标有限公司</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（二）地址：江苏省徐州市淮海东路29号苏宁广场A塔3623室</w:t>
      </w:r>
      <w:r/>
    </w:p>
    <w:p>
      <w:pPr>
        <w:pStyle w:val="774"/>
        <w:ind w:firstLine="601"/>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（三）项目联系人：</w:t>
      </w:r>
      <w:r>
        <w:rPr>
          <w:rFonts w:hint="eastAsia" w:ascii="宋体" w:hAnsi="宋体" w:cs="宋体"/>
          <w:color w:val="000000" w:themeColor="text1"/>
          <w:sz w:val="24"/>
          <w:lang w:eastAsia="zh-CN"/>
          <w14:textFill>
            <w14:solidFill>
              <w14:schemeClr w14:val="tx1"/>
            </w14:solidFill>
          </w14:textFill>
        </w:rPr>
        <w:t xml:space="preserve">乔坤</w:t>
      </w:r>
      <w:r>
        <w:rPr>
          <w:rFonts w:hint="eastAsia" w:ascii="宋体" w:hAnsi="宋体" w:cs="宋体"/>
          <w:color w:val="000000" w:themeColor="text1"/>
          <w:sz w:val="24"/>
          <w14:textFill>
            <w14:solidFill>
              <w14:schemeClr w14:val="tx1"/>
            </w14:solidFill>
          </w14:textFill>
        </w:rPr>
        <w:t xml:space="preserve">  联系电话：0516-67598336/</w:t>
      </w:r>
      <w:r>
        <w:rPr>
          <w:rFonts w:hint="eastAsia" w:ascii="宋体" w:hAnsi="宋体" w:cs="宋体"/>
          <w:color w:val="000000" w:themeColor="text1"/>
          <w:sz w:val="24"/>
          <w:lang w:eastAsia="zh-CN"/>
          <w14:textFill>
            <w14:solidFill>
              <w14:schemeClr w14:val="tx1"/>
            </w14:solidFill>
          </w14:textFill>
        </w:rPr>
        <w:t xml:space="preserve">13141505206</w:t>
      </w:r>
      <w:r/>
    </w:p>
    <w:p>
      <w:pPr>
        <w:pStyle w:val="774"/>
        <w:ind w:firstLine="600"/>
        <w:spacing w:line="36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spacing w:line="36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9"/>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9"/>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9"/>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9"/>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pPr>
      <w:r/>
      <w:r/>
    </w:p>
    <w:p>
      <w:pPr>
        <w:pStyle w:val="1000"/>
        <w:spacing w:line="360" w:lineRule="auto"/>
        <w:rPr>
          <w:rFonts w:hint="eastAsia" w:ascii="宋体" w:hAnsi="宋体" w:eastAsia="宋体" w:cs="宋体"/>
          <w:color w:val="000000" w:themeColor="text1"/>
          <w:sz w:val="28"/>
          <w:szCs w:val="28"/>
          <w14:textFill>
            <w14:solidFill>
              <w14:schemeClr w14:val="tx1"/>
            </w14:solidFill>
          </w14:textFill>
        </w:rPr>
        <w:sectPr>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bookmarkStart w:id="4" w:name="_Toc522790131"/>
      <w:r/>
      <w:bookmarkStart w:id="5" w:name="_Toc523404696"/>
      <w:r/>
      <w:r/>
    </w:p>
    <w:p>
      <w:pPr>
        <w:pStyle w:val="100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第二章  投标人须知</w:t>
      </w:r>
      <w:bookmarkEnd w:id="4"/>
      <w:r/>
      <w:bookmarkEnd w:id="5"/>
      <w:r/>
      <w:r/>
    </w:p>
    <w:p>
      <w:pPr>
        <w:pStyle w:val="774"/>
        <w:spacing w:line="520" w:lineRule="exact"/>
        <w:rPr>
          <w:rFonts w:ascii="宋体" w:hAnsi="宋体" w:cs="宋体"/>
          <w:color w:val="000000" w:themeColor="text1"/>
          <w:sz w:val="24"/>
          <w14:textFill>
            <w14:solidFill>
              <w14:schemeClr w14:val="tx1"/>
            </w14:solidFill>
          </w14:textFill>
        </w:rPr>
      </w:pPr>
      <w:r/>
      <w:bookmarkStart w:id="6" w:name="_Toc522790132"/>
      <w:r/>
      <w:bookmarkStart w:id="7" w:name="_Toc523404697"/>
      <w:r>
        <w:rPr>
          <w:rFonts w:hint="eastAsia" w:ascii="宋体" w:hAnsi="宋体" w:cs="宋体"/>
          <w:color w:val="000000" w:themeColor="text1"/>
          <w:sz w:val="24"/>
          <w14:textFill>
            <w14:solidFill>
              <w14:schemeClr w14:val="tx1"/>
            </w14:solidFill>
          </w14:textFill>
        </w:rPr>
        <w:t xml:space="preserve">一、总则</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（一）采购人。采购人即指依法进行政府采购的国家机关、事业单位和团体组织。</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（二）政府招标采购方式。政府采购货物或服务（以下简称“货物服务”）的招标方式，分为公开招标和邀请招标。</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（五）采购人委托采购代理机构代理招标的，采购代理机构必须在采购人委托的范围内依法开展采购活动。</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（六）投标人的资格条件：</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投标人是指响应招标、参加投标竞争的法人、其他组织或者自然人。</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2.投标人授权代表系指法定代表人或受法人委托的受托人。</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二、招标</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（八）招标文件应包括以下内容：</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第一章，投标邀请；</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第二章，投标人须知；</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第三章，投标资料表；</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第四章，评标标准；</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第五章，拟签订的合同文本；</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第六章，采购需求；</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第七章，投标文件相关格式。</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（九）招标文件澄清或者修改：</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2.现场考察以本文件第三章《投标资料表》中的要求为准。</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3.开标前答疑会以本文件第三章《投标资料表》中的要求为准。</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三、投标</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（十）投标人应当按照招标文件的要求编制投标文件。投标文件应对招标文件提出的要求和条件作出实质性响应。</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（十二）投标文件的构成：</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1.投标文件的构成以本文件第三章《投标资料表》中的要求为准。</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2.投标人应当提交的资格、资信证明文件，以本文件第三章《投标资料表》中的所提要求为准。</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（十三）投标函和价格表、商务条件、交货和提供服务的时间：</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1.投标函和价格表的要求见本章（十二）、（十三），格式见本文件第七章《投标文件相关格式》中《投标函》和《开标一览表》。</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2.商务条件以本文件第三章《投标资料表》中的要求为准。</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3.交货和提供服务的时间，以本文件第三章《投标资料表》中所提要求为准。</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（十四）投标报价要求：</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1.投标人应按照招标文件的要求报出分项价格和总价。</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2.投标人应按照招标文件的要求进行报价，如投标人作出偏离，应在《偏离表》中列出。</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3.采购人不支付报价以外的任何费用。</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5.投标人只能提交一个投标价格，投标人提交多个价格的投标文件，在资格性、符合性检查时按照无效投标处理。</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（十五）投标货币。以本文件第三章《投标资料表》中所提要求为准。</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（十六）投标有效期：</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1.投标有效期为开标之日后90天。采购人可以要求对投标有效期延长一次，但该延长期最长不得超过30天。</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（十七）投标文件的编制要求和签署要求</w:t>
      </w:r>
      <w:r/>
    </w:p>
    <w:p>
      <w:pPr>
        <w:pStyle w:val="774"/>
        <w:ind w:firstLine="482"/>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774"/>
        <w:ind w:firstLine="482"/>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2.投标人应对 CA 证书妥善保管，如被他人盗用投标，因此带来的结果均由投标人自行承担。</w:t>
      </w:r>
      <w:r/>
    </w:p>
    <w:p>
      <w:pPr>
        <w:pStyle w:val="774"/>
        <w:ind w:firstLine="482"/>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3.投标人应当对招标文件提出的要求和条件作出实质性响应，并在电子投标系统逐条应答。</w:t>
      </w:r>
      <w:r/>
    </w:p>
    <w:p>
      <w:pPr>
        <w:pStyle w:val="774"/>
        <w:ind w:firstLine="482"/>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（十八）投标文件的盖章要求：</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投标文件的盖章要求，以本文件第三章《投标资料表》中所提要求为准。</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74"/>
        <w:ind w:firstLine="600"/>
        <w:jc w:val="left"/>
        <w:spacing w:line="520" w:lineRule="exact"/>
        <w:widowControl/>
        <w:rPr>
          <w:rFonts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（二十二）分包</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在评标过程中发现投标人有上述情形的，评标委员会应当认定其投标无效，并书面报告本级财政部门。</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（二十四）有下列情形之一的，其投标无效。</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1.不同投标人的投标文件，由同一单位或者个人编制；</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2.不同投标人委托同一单位或者个人办理投标事宜；</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3.不同投标人的投标文件中，所载明的项目管理成员或联系人为同一人；</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4.不同投标人的投标文件，异常一致或者投标报价呈规律性差异；</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6.电子投标文件未按规定期限投标的；</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7.电子投标文件未按招标文件要求签章的；</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8.投标人未在规定时间内解密电子投标文件的；</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10.不具备招标文件中规定的资格要求的；</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11.报价超过招标文件中规定的预算金额或者最高限价的；</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12.投标文件含有采购人不能接受的附加条件的；</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13.法律、法规和招标文件规定的其他无效情形。</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四、开标</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（二十五）开标：</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74"/>
        <w:ind w:firstLine="600"/>
        <w:spacing w:line="520" w:lineRule="exact"/>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2.由电子招标投标交易平台主持，邀请投标人参加。</w:t>
      </w:r>
      <w:r/>
    </w:p>
    <w:p>
      <w:pPr>
        <w:pStyle w:val="774"/>
        <w:ind w:firstLine="600"/>
        <w:spacing w:line="520" w:lineRule="exact"/>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4.投标人原因造成投标文件未</w:t>
      </w:r>
      <w:r>
        <w:rPr>
          <w:rFonts w:hint="eastAsia" w:ascii="宋体" w:hAnsi="宋体" w:cs="宋体"/>
          <w:color w:val="000000" w:themeColor="text1"/>
          <w:sz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五、评标</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（二十六）公开招标采购项目开标结束后，采购人依法对投标人的资格进行审查。合格投标人不足3家的，不得评标。</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1.评标工作由采购代理机构负责组织，并履行下列职责：</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（2）宣布评标纪律；</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（3）公布投标人名单，告知评审专家应当回避的情形；</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（4）组织评标委员会推选评标组长（采购人代表不得担任组长）；</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（5）在评标期间采取必要的通讯管理措施，保证评标活动不受外界干扰；</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（6）根据评标委员会的要求介绍政府采购相关政策法规、招标文件；</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（8）核对评标结果，对有《</w:t>
      </w:r>
      <w:r>
        <w:fldChar w:fldCharType="begin"/>
      </w:r>
      <w:r>
        <w:instrText xml:space="preserve"> HYPERLINK "http://www.caigou2003.com/" \t "_blank" </w:instrText>
      </w:r>
      <w:r>
        <w:fldChar w:fldCharType="separate"/>
      </w:r>
      <w:r>
        <w:rPr>
          <w:rFonts w:hint="eastAsia" w:ascii="宋体" w:hAnsi="宋体" w:cs="宋体"/>
          <w:color w:val="000000" w:themeColor="text1"/>
          <w:sz w:val="24"/>
          <w14:textFill>
            <w14:solidFill>
              <w14:schemeClr w14:val="tx1"/>
            </w14:solidFill>
          </w14:textFill>
        </w:rPr>
        <w:t xml:space="preserve">政府采购</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（10）处理与评标有关的其他事项。</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2.评标委员会负责具体评标事务，并独立履行下列职责：</w:t>
      </w:r>
      <w:r/>
    </w:p>
    <w:p>
      <w:pPr>
        <w:pStyle w:val="774"/>
        <w:ind w:firstLine="45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（1）审查、评价投标文件是否符合招标文件的商务、技术等实质性要求；</w:t>
      </w:r>
      <w:r/>
    </w:p>
    <w:p>
      <w:pPr>
        <w:pStyle w:val="774"/>
        <w:ind w:firstLine="45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（2）要求投标人对投标文件有关事项作出澄清或者说明；</w:t>
      </w:r>
      <w:r/>
    </w:p>
    <w:p>
      <w:pPr>
        <w:pStyle w:val="774"/>
        <w:ind w:firstLine="45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（3）对投标文件进行比较和评价；</w:t>
      </w:r>
      <w:r/>
    </w:p>
    <w:p>
      <w:pPr>
        <w:pStyle w:val="774"/>
        <w:ind w:firstLine="45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（4）确定中标候选人名单，以及根据采购人委托直接确定中标人；</w:t>
      </w:r>
      <w:r/>
    </w:p>
    <w:p>
      <w:pPr>
        <w:pStyle w:val="774"/>
        <w:ind w:firstLine="45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（5）向采购人、采购代理机构或有关部门报告评标中发现的违法行为。</w:t>
      </w:r>
      <w:r/>
    </w:p>
    <w:p>
      <w:pPr>
        <w:pStyle w:val="774"/>
        <w:ind w:firstLine="45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（二十七）评标方法分为最低评标价法和综合评分法。</w:t>
      </w:r>
      <w:r/>
    </w:p>
    <w:p>
      <w:pPr>
        <w:pStyle w:val="774"/>
        <w:ind w:firstLine="45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（二十八）评标</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1.评标工作程序：</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（1）投标文件初审。</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①资格性审查。</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②符合性审查。</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（2）澄清有关问题。</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（3）比较与评价。</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（4）推荐中标候选供应商名单。</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（5）编写评审报告（评标报告）。</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3.采用</w:t>
      </w:r>
      <w:r>
        <w:fldChar w:fldCharType="begin"/>
      </w:r>
      <w:r>
        <w:instrText xml:space="preserve"> HYPERLINK "http://lilun.caigou2003.com/recijiedu/2365668.html" \t "_blank" </w:instrText>
      </w:r>
      <w:r>
        <w:fldChar w:fldCharType="separate"/>
      </w:r>
      <w:r>
        <w:rPr>
          <w:rFonts w:hint="eastAsia" w:ascii="宋体" w:hAnsi="宋体" w:cs="宋体"/>
          <w:color w:val="000000" w:themeColor="text1"/>
          <w:sz w:val="24"/>
          <w14:textFill>
            <w14:solidFill>
              <w14:schemeClr w14:val="tx1"/>
            </w14:solidFill>
          </w14:textFill>
        </w:rPr>
        <w:t xml:space="preserve">最低评标价法</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采用</w:t>
      </w:r>
      <w:r>
        <w:fldChar w:fldCharType="begin"/>
      </w:r>
      <w:r>
        <w:instrText xml:space="preserve"> HYPERLINK "http://lilun.caigou2003.com/recijiedu/2365667.html" \t "_blank" </w:instrText>
      </w:r>
      <w:r>
        <w:fldChar w:fldCharType="separate"/>
      </w:r>
      <w:r>
        <w:rPr>
          <w:rFonts w:hint="eastAsia" w:ascii="宋体" w:hAnsi="宋体" w:cs="宋体"/>
          <w:color w:val="000000" w:themeColor="text1"/>
          <w:sz w:val="24"/>
          <w14:textFill>
            <w14:solidFill>
              <w14:schemeClr w14:val="tx1"/>
            </w14:solidFill>
          </w14:textFill>
        </w:rPr>
        <w:t xml:space="preserve">综合评分法</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非单一产品采购项目，多家投标人提供的核心产品品牌相同的，按前两款规定处理。</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（二十九）投标文件报价出现前后不一致的，按照下列规定修正：</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1.投标文件中开标一览表（报价表）内容与投标文件中相应内容不一致的，以开标一览表（报价表）为准；</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2.大写金额和小写金额不一致的，以大写金额为准；</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3.单价金额小数点或者百分比有明显错位的，以开标一览表的总价为准，并修改单价；</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4.总价金额与按单价合计金额不一致的，以单价金额计算结果为准。</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74"/>
        <w:ind w:firstLine="600"/>
        <w:jc w:val="left"/>
        <w:spacing w:line="520" w:lineRule="exact"/>
        <w:widowControl/>
        <w:rPr>
          <w:rFonts w:ascii="宋体" w:hAnsi="宋体" w:cs="宋体"/>
          <w:i/>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774"/>
        <w:ind w:firstLine="600"/>
        <w:jc w:val="left"/>
        <w:spacing w:line="520" w:lineRule="exact"/>
        <w:widowControl/>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（三十）实施政府采购异常低价审查的有关要求：</w:t>
      </w:r>
      <w:r/>
    </w:p>
    <w:p>
      <w:pPr>
        <w:pStyle w:val="774"/>
        <w:ind w:firstLine="600"/>
        <w:jc w:val="left"/>
        <w:spacing w:line="52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（1）评审过程中出现下列情形之一的，评审委员会应当启动异常低价投标（响应）审查程序：</w:t>
      </w:r>
      <w:r/>
    </w:p>
    <w:p>
      <w:pPr>
        <w:pStyle w:val="774"/>
        <w:ind w:firstLine="600"/>
        <w:jc w:val="left"/>
        <w:spacing w:line="52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①投标(响应)报价低于全部通过符合性审查供应商投标(响应)报价平均值50%的，即投标(响应)报价＜全部通过符合性审查供应商投标(响应)报价平均值×50%；</w:t>
      </w:r>
      <w:r/>
    </w:p>
    <w:p>
      <w:pPr>
        <w:pStyle w:val="774"/>
        <w:ind w:firstLine="600"/>
        <w:jc w:val="left"/>
        <w:spacing w:line="52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p>
    <w:p>
      <w:pPr>
        <w:pStyle w:val="774"/>
        <w:ind w:firstLine="600"/>
        <w:jc w:val="left"/>
        <w:spacing w:line="52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③投标(响应)报价低于采购项目最高限价45%的，即投标(响应)报价＜采购项目最高限价×45%。</w:t>
      </w:r>
      <w:r/>
    </w:p>
    <w:p>
      <w:pPr>
        <w:pStyle w:val="774"/>
        <w:ind w:firstLine="600"/>
        <w:jc w:val="left"/>
        <w:spacing w:line="52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④评审委员会基于专业判断，认为供应商报价过低，有可能影响产品质量或者不能诚信履约的其他情形。</w:t>
      </w:r>
      <w:r/>
    </w:p>
    <w:p>
      <w:pPr>
        <w:pStyle w:val="774"/>
        <w:ind w:firstLine="600"/>
        <w:jc w:val="left"/>
        <w:spacing w:line="52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采购人可以结合具体项目实际情况，提高上述第1项至第3项中启动异常低价投标(响应)审查的数值标准，但是最高不得超过65%。</w:t>
      </w:r>
      <w:r/>
    </w:p>
    <w:p>
      <w:pPr>
        <w:pStyle w:val="774"/>
        <w:numPr>
          <w:ilvl w:val="0"/>
          <w:numId w:val="0"/>
        </w:numPr>
        <w:ind w:firstLine="600"/>
        <w:jc w:val="left"/>
        <w:spacing w:line="52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评审委员会启动异常低价投标(响应)审查后，属于前述第1项至第4项情形的，</w:t>
      </w:r>
      <w:r>
        <w:rPr>
          <w:rFonts w:hint="eastAsia" w:ascii="宋体" w:hAnsi="宋体" w:eastAsia="宋体" w:cs="宋体"/>
          <w:color w:val="auto"/>
          <w:sz w:val="24"/>
          <w:szCs w:val="24"/>
          <w:highlight w:val="none"/>
          <w:lang w:val="en-US" w:eastAsia="zh-CN" w:bidi="ar-SA"/>
        </w:rPr>
        <w:t xml:space="preserve">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color w:val="000000" w:themeColor="text1"/>
          <w:sz w:val="24"/>
          <w14:textFill>
            <w14:solidFill>
              <w14:schemeClr w14:val="tx1"/>
            </w14:solidFill>
          </w14:textFill>
        </w:rPr>
        <w:t xml:space="preserve">其中，属于第3项情形，供应商已随投标(响应)文件一并提交相关书面说明及必要的证明材料的，在评审现场可不再重复提交。</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（三十二）废标条款：</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出现下列情形之一的，应予废标。</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1.符合专业条件的供应商或者对招标文件作实质响应的供应商不足三家的；</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2.出现影响采购公正的违法、违规行为的；</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3.投标人的报价均超过了采购预算，采购人不能支付的；</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4.因重大变故，采购任务取消的。</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六、定标</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（三十三）采购代理机构应当在评标结束后2个工作日内将评标报告送采购人。</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（三十四）采购人应当自收到评标报告之日起5个工作日内，在评标报告确定的中标候选人名单中按顺序确定中标人。</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七、政府采购合同</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（三十六）签订政府采购合同（合同签订方式）：</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74"/>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采购人不得向中标人提出任何不合理的要求作为签订合同的条件。</w:t>
      </w:r>
      <w:r/>
    </w:p>
    <w:p>
      <w:pPr>
        <w:pStyle w:val="774"/>
        <w:ind w:firstLine="600"/>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74"/>
        <w:ind w:firstLine="600"/>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774"/>
        <w:ind w:firstLine="600"/>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（三十八）履约保证金：</w:t>
      </w:r>
      <w:r/>
    </w:p>
    <w:p>
      <w:pPr>
        <w:pStyle w:val="774"/>
        <w:ind w:firstLine="600"/>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1.中标人应当在评审结果公示日起三日内，向采购人提交本文件第三章《投标资料表》中规定金额的履约保证金。</w:t>
      </w:r>
      <w:r/>
    </w:p>
    <w:p>
      <w:pPr>
        <w:pStyle w:val="774"/>
        <w:ind w:firstLine="600"/>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74"/>
        <w:ind w:firstLine="600"/>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获得补偿。</w:t>
      </w:r>
      <w:r/>
    </w:p>
    <w:p>
      <w:pPr>
        <w:pStyle w:val="774"/>
        <w:ind w:firstLine="600"/>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（三十九）腐败和欺诈行为：</w:t>
      </w:r>
      <w:r/>
    </w:p>
    <w:p>
      <w:pPr>
        <w:pStyle w:val="774"/>
        <w:ind w:firstLine="600"/>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774"/>
        <w:ind w:firstLine="600"/>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（1）腐败和欺诈行为的含义：</w:t>
      </w:r>
      <w:r/>
    </w:p>
    <w:p>
      <w:pPr>
        <w:pStyle w:val="774"/>
        <w:ind w:firstLine="600"/>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①“腐败行为”系指在招标、采购和合同执行等过程中，为了谋求私利，影响相关人员提供、给予、接受或索取有价物品，并导致损害甲方、已方、采购代理机构和他人利益的行为。</w:t>
      </w:r>
      <w:r/>
    </w:p>
    <w:p>
      <w:pPr>
        <w:pStyle w:val="774"/>
        <w:ind w:firstLine="600"/>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②“欺诈行为”系指为了影响招标、采购和合同执行等过程，隐瞒事实真相，给甲方、已方、采购代理机构及他人造成损害的行为，其中包括投标人之间的串通行为。</w:t>
      </w:r>
      <w:r/>
    </w:p>
    <w:p>
      <w:pPr>
        <w:pStyle w:val="774"/>
        <w:ind w:firstLine="600"/>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（2）如果被推荐的中标人有腐败和欺诈行为，将取消其中标资格。</w:t>
      </w:r>
      <w:r/>
    </w:p>
    <w:p>
      <w:pPr>
        <w:pStyle w:val="774"/>
        <w:ind w:firstLine="600"/>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774"/>
        <w:ind w:firstLine="60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八、询问和质疑</w:t>
      </w:r>
      <w:r/>
    </w:p>
    <w:p>
      <w:pPr>
        <w:pStyle w:val="774"/>
        <w:ind w:firstLine="600"/>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（四十）询问和质疑</w:t>
      </w:r>
      <w:r/>
    </w:p>
    <w:p>
      <w:pPr>
        <w:pStyle w:val="774"/>
        <w:ind w:firstLine="600"/>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4"/>
        <w:ind w:firstLine="600"/>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九、电子招标投标交易平台</w:t>
      </w:r>
      <w:r/>
    </w:p>
    <w:p>
      <w:pPr>
        <w:pStyle w:val="774"/>
        <w:ind w:firstLine="600"/>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（四十一）电子招标投标交易平台（即“苏采云”系统，网址：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color w:val="000000" w:themeColor="text1"/>
          <w:sz w:val="24"/>
          <w14:textFill>
            <w14:solidFill>
              <w14:schemeClr w14:val="tx1"/>
            </w14:solidFill>
          </w14:textFill>
        </w:rPr>
        <w:t xml:space="preserve">http://jszfcg.jsczt.cn/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）相关要求是本招标文件的组成部分。</w:t>
      </w:r>
      <w:r/>
    </w:p>
    <w:p>
      <w:pPr>
        <w:pStyle w:val="100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color w:val="000000" w:themeColor="text1"/>
          <w:sz w:val="28"/>
          <w:szCs w:val="28"/>
          <w14:textFill>
            <w14:solidFill>
              <w14:schemeClr w14:val="tx1"/>
            </w14:solidFill>
          </w14:textFill>
        </w:rPr>
        <w:t xml:space="preserve">第三章  投标资料表</w:t>
      </w:r>
      <w:bookmarkEnd w:id="6"/>
      <w:r/>
      <w:bookmarkEnd w:id="7"/>
      <w:r/>
      <w:r/>
    </w:p>
    <w:p>
      <w:pPr>
        <w:pStyle w:val="1039"/>
        <w:ind w:firstLine="600"/>
        <w:spacing w:line="52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74"/>
        <w:spacing w:line="2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bl>
      <w:tblPr>
        <w:tblStyle w:val="763"/>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90"/>
        <w:gridCol w:w="8475"/>
      </w:tblGrid>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ind w:left="0" w:firstLine="0"/>
              <w:jc w:val="center"/>
              <w:spacing w:line="40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本项目采购人：徐州市水务局</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投标人的资格条件：</w:t>
            </w:r>
            <w:r/>
          </w:p>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一、符合《中华人民共和国政府采购法》第二十二条的规定；</w:t>
            </w:r>
            <w:r/>
          </w:p>
          <w:p>
            <w:pPr>
              <w:pStyle w:val="774"/>
              <w:spacing w:line="400" w:lineRule="exact"/>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二、此项目属于专门面向中小微企业采购的项目。</w:t>
            </w:r>
            <w:r/>
          </w:p>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同时明确相关事项如下：</w:t>
            </w:r>
            <w:r/>
          </w:p>
          <w:p>
            <w:pPr>
              <w:pStyle w:val="774"/>
              <w:ind w:firstLine="2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一、本项目不接受联合体参与采购活动。</w:t>
            </w:r>
            <w:r/>
          </w:p>
          <w:p>
            <w:pPr>
              <w:pStyle w:val="774"/>
              <w:ind w:left="559" w:hanging="2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二、单位负责人为同一人或者存在直接控股、管理关系的不同供应商，不得参加同一合同项下的政府采购活动。</w:t>
            </w:r>
            <w:r/>
          </w:p>
          <w:p>
            <w:pPr>
              <w:pStyle w:val="774"/>
              <w:ind w:left="559" w:hanging="2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774"/>
              <w:ind w:firstLine="2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四、查询及使用供应商信用记录：</w:t>
            </w:r>
            <w:r/>
          </w:p>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（一）由采购人查询信用信息。</w:t>
            </w:r>
            <w:r/>
          </w:p>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（二）查询渠道包括：</w:t>
            </w:r>
            <w:r/>
          </w:p>
          <w:p>
            <w:pPr>
              <w:pStyle w:val="774"/>
              <w:ind w:firstLine="70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t>
            </w:r>
            <w:r>
              <w:fldChar w:fldCharType="begin"/>
            </w:r>
            <w:r>
              <w:instrText xml:space="preserve"> HYPERLINK "http://www.creditchina.gov.cn/" </w:instrText>
            </w:r>
            <w:r>
              <w:fldChar w:fldCharType="separate"/>
            </w:r>
            <w:r>
              <w:rPr>
                <w:rFonts w:hint="eastAsia" w:ascii="宋体" w:hAnsi="宋体" w:cs="宋体"/>
                <w:color w:val="000000" w:themeColor="text1"/>
                <w:sz w:val="24"/>
                <w14:textFill>
                  <w14:solidFill>
                    <w14:schemeClr w14:val="tx1"/>
                  </w14:solidFill>
                </w14:textFill>
              </w:rPr>
              <w:t xml:space="preserve">www.creditchina.gov.cn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74"/>
              <w:ind w:firstLine="70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2.“中国政府采购”网（</w:t>
            </w:r>
            <w:r>
              <w:fldChar w:fldCharType="begin"/>
            </w:r>
            <w:r>
              <w:instrText xml:space="preserve"> HYPERLINK "http://www.ccgp.gov.cn/" </w:instrText>
            </w:r>
            <w:r>
              <w:fldChar w:fldCharType="separate"/>
            </w:r>
            <w:r>
              <w:rPr>
                <w:rFonts w:hint="eastAsia" w:ascii="宋体" w:hAnsi="宋体" w:cs="宋体"/>
                <w:color w:val="000000" w:themeColor="text1"/>
                <w:sz w:val="24"/>
                <w14:textFill>
                  <w14:solidFill>
                    <w14:schemeClr w14:val="tx1"/>
                  </w14:solidFill>
                </w14:textFill>
              </w:rPr>
              <w:t xml:space="preserve">www.ccgp.gov.cn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74"/>
              <w:ind w:firstLine="70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3.“信用江苏”网（www.jscredit.gov.cn）；</w:t>
            </w:r>
            <w:r/>
          </w:p>
          <w:p>
            <w:pPr>
              <w:pStyle w:val="774"/>
              <w:ind w:firstLine="70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4.“信用中国（江苏徐州）”网</w:t>
            </w:r>
            <w:r/>
          </w:p>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fldChar w:fldCharType="begin"/>
            </w:r>
            <w:r>
              <w:instrText xml:space="preserve"> HYPERLINK "http://www.xuzhoucredit.gov.cn/" </w:instrText>
            </w:r>
            <w:r>
              <w:fldChar w:fldCharType="separate"/>
            </w:r>
            <w:r>
              <w:rPr>
                <w:rFonts w:hint="eastAsia" w:ascii="宋体" w:hAnsi="宋体" w:cs="宋体"/>
                <w:color w:val="000000" w:themeColor="text1"/>
                <w:sz w:val="24"/>
                <w14:textFill>
                  <w14:solidFill>
                    <w14:schemeClr w14:val="tx1"/>
                  </w14:solidFill>
                </w14:textFill>
              </w:rPr>
              <w:t xml:space="preserve">http://www.xuzhoucredit.gov.cn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（三）截止时点（查询环节）：资格审查结束前。</w:t>
            </w:r>
            <w:r/>
          </w:p>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（四）信用信息查询记录和证据留存的具体方式：网页截屏打印，与其他采购文件一并保存。</w:t>
            </w:r>
            <w:r/>
          </w:p>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（五）信用信息的使用规则：</w:t>
            </w:r>
            <w:r/>
          </w:p>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招标代理服务费由中标人支</w:t>
            </w:r>
            <w:r>
              <w:rPr>
                <w:rFonts w:hint="eastAsia" w:ascii="宋体" w:hAnsi="宋体" w:eastAsia="宋体" w:cs="宋体"/>
                <w:color w:val="000000" w:themeColor="text1"/>
                <w:sz w:val="24"/>
                <w14:textFill>
                  <w14:solidFill>
                    <w14:schemeClr w14:val="tx1"/>
                  </w14:solidFill>
                </w14:textFill>
              </w:rPr>
              <w:t xml:space="preserve">付，标准见《招标代理服务收费标准》（见附件）。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八</w:t>
            </w:r>
            <w:r>
              <w:rPr>
                <w:rFonts w:hint="eastAsia" w:ascii="宋体" w:hAnsi="宋体" w:cs="宋体"/>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tabs>
                <w:tab w:val="left" w:pos="57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十</w:t>
            </w:r>
            <w:r>
              <w:rPr>
                <w:rFonts w:hint="eastAsia" w:ascii="宋体" w:hAnsi="宋体" w:cs="宋体"/>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（十二）1</w:t>
            </w:r>
            <w:r/>
          </w:p>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投标文件编制要求：</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请按照以下要求（包括但不限于以下要求）制作：</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一、基本目录</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1.《开标一览表》（加盖电子签章，政府采购客户端工具输入报价自动生成）；</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2.所投产品的环境标志产品认证证书原件的扫描件（如有）。</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（2）环境标志产品认证证书是否符合要求，采购人评标时查询中国政府采购网（www.ccgp.gov.cn）相关内容后确定。</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3.所投产品的节能产品认证证书原件的扫描件（如有）。</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（2）节能产品认证证书是否符合要求，采购人评标时查询中国政府采购网（www.ccgp.gov.cn）相关内容后确定。</w:t>
            </w:r>
            <w:r/>
          </w:p>
          <w:p>
            <w:pPr>
              <w:pStyle w:val="774"/>
              <w:spacing w:line="40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二、资格条件（必须提供，否则投标无效）</w:t>
            </w:r>
            <w:r/>
          </w:p>
          <w:p>
            <w:pPr>
              <w:pStyle w:val="774"/>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1.投标人合法有效的法人或者其他组织的营业执照等证明文件。以上证明文件提供原件的扫描件；</w:t>
            </w:r>
            <w:r/>
          </w:p>
          <w:p>
            <w:pPr>
              <w:pStyle w:val="774"/>
              <w:spacing w:line="400" w:lineRule="exact"/>
              <w:widowControl/>
              <w:rPr>
                <w:rFonts w:hint="eastAsia" w:ascii="宋体" w:hAnsi="宋体" w:eastAsia="宋体" w:cs="宋体"/>
                <w:color w:val="ff0000"/>
                <w:sz w:val="24"/>
                <w:highlight w:val="none"/>
                <w:lang w:eastAsia="zh-CN"/>
              </w:rPr>
            </w:pPr>
            <w:r>
              <w:rPr>
                <w:rFonts w:hint="eastAsia" w:ascii="宋体" w:hAnsi="宋体" w:cs="宋体"/>
                <w:color w:val="000000" w:themeColor="text1"/>
                <w:sz w:val="24"/>
                <w:highlight w:val="none"/>
                <w14:textFill>
                  <w14:solidFill>
                    <w14:schemeClr w14:val="tx1"/>
                  </w14:solidFill>
                </w14:textFill>
              </w:rPr>
              <w:t xml:space="preserve">2.财务状况报告：投标人的本项目开标时间前6个月内任何1月（不含开标当月）的资产负债表</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利润表月报表的扫描件1份</w:t>
            </w:r>
            <w:r>
              <w:rPr>
                <w:rFonts w:ascii="宋体" w:hAnsi="宋体" w:eastAsia="宋体" w:cs="宋体"/>
                <w:sz w:val="24"/>
                <w:szCs w:val="24"/>
                <w:highlight w:val="none"/>
              </w:rPr>
              <w:t xml:space="preserve">或提供投标人</w:t>
            </w:r>
            <w:r>
              <w:rPr>
                <w:rFonts w:hint="eastAsia" w:ascii="宋体" w:hAnsi="宋体" w:cs="宋体"/>
                <w:sz w:val="24"/>
                <w:szCs w:val="24"/>
                <w:highlight w:val="none"/>
                <w:lang w:val="en-US" w:eastAsia="zh-CN"/>
              </w:rPr>
              <w:t xml:space="preserve">上</w:t>
            </w:r>
            <w:r>
              <w:rPr>
                <w:rFonts w:hint="eastAsia" w:ascii="宋体" w:hAnsi="宋体" w:eastAsia="宋体" w:cs="宋体"/>
                <w:sz w:val="24"/>
                <w:szCs w:val="24"/>
                <w:highlight w:val="none"/>
              </w:rPr>
              <w:t xml:space="preserve">年度经审计的财务报告扫描件一份；或投标人的本项目开标时间前6个月内</w:t>
            </w:r>
            <w:r>
              <w:rPr>
                <w:rFonts w:hint="eastAsia" w:ascii="宋体" w:hAnsi="宋体" w:eastAsia="宋体" w:cs="宋体"/>
                <w:color w:val="auto"/>
                <w:highlight w:val="none"/>
                <w:lang w:val="en-US" w:eastAsia="zh-CN"/>
              </w:rPr>
              <w:t xml:space="preserve">（不含开标当月）</w:t>
            </w:r>
            <w:r>
              <w:rPr>
                <w:rFonts w:hint="eastAsia" w:ascii="宋体" w:hAnsi="宋体" w:eastAsia="宋体" w:cs="宋体"/>
                <w:sz w:val="24"/>
                <w:szCs w:val="24"/>
                <w:highlight w:val="none"/>
              </w:rPr>
              <w:t xml:space="preserve">银行出具的资信证明扫描件一份</w:t>
            </w:r>
            <w:r>
              <w:rPr>
                <w:rFonts w:hint="eastAsia" w:ascii="宋体" w:hAnsi="宋体" w:eastAsia="宋体" w:cs="宋体"/>
                <w:sz w:val="24"/>
                <w:szCs w:val="24"/>
                <w:highlight w:val="none"/>
                <w:lang w:eastAsia="zh-CN"/>
              </w:rPr>
              <w:t xml:space="preserve">。</w:t>
            </w:r>
            <w:r/>
          </w:p>
          <w:p>
            <w:pPr>
              <w:pStyle w:val="774"/>
              <w:spacing w:line="4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的本项目开标时间前6个月内任何1月（不含开标当月）的依法缴纳税收和社会保障资金的相关材料的扫描件（依法免税或不需要缴纳社会保障资金的供应商,应提供相应文件证明其依法免税或不需要缴纳社会保障资金)；</w:t>
            </w:r>
            <w:r/>
          </w:p>
          <w:p>
            <w:pPr>
              <w:pStyle w:val="774"/>
              <w:spacing w:line="400" w:lineRule="exact"/>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4.具备履行合同所必需的设备和专业技术能力的证明材料</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加盖电子签章，格式见招标文件第七章《投标文件相关格式》</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eastAsia="zh-CN"/>
                <w14:textFill>
                  <w14:solidFill>
                    <w14:schemeClr w14:val="tx1"/>
                  </w14:solidFill>
                </w14:textFill>
              </w:rPr>
              <w:t xml:space="preserve">，投标文件中提供《具备履行合同所必需的设备和专业技术能力的书面声明》（附证明材料扫描件）</w:t>
            </w:r>
            <w:r>
              <w:rPr>
                <w:rFonts w:hint="eastAsia" w:ascii="宋体" w:hAnsi="宋体" w:cs="宋体"/>
                <w:color w:val="000000" w:themeColor="text1"/>
                <w:sz w:val="24"/>
                <w:highlight w:val="none"/>
                <w14:textFill>
                  <w14:solidFill>
                    <w14:schemeClr w14:val="tx1"/>
                  </w14:solidFill>
                </w14:textFill>
              </w:rPr>
              <w:t xml:space="preserve">；</w:t>
            </w:r>
            <w:r/>
          </w:p>
          <w:p>
            <w:pPr>
              <w:pStyle w:val="774"/>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pStyle w:val="774"/>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6.提供投标人《中小企业声明函》（请填写完整，加盖电子签章，格式见招标文件第七章《投标文件相关格式》）。</w:t>
            </w:r>
            <w:r/>
          </w:p>
          <w:p>
            <w:pPr>
              <w:pStyle w:val="774"/>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查询渠道参考工业和信息化部发布的中小企业规模自测小程序。</w:t>
            </w:r>
            <w:r/>
          </w:p>
          <w:p>
            <w:pPr>
              <w:pStyle w:val="828"/>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注：</w:t>
            </w:r>
            <w:r/>
          </w:p>
          <w:p>
            <w:pPr>
              <w:pStyle w:val="828"/>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28"/>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828"/>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828"/>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pStyle w:val="828"/>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p>
          <w:p>
            <w:pPr>
              <w:pStyle w:val="774"/>
              <w:spacing w:line="40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三、符合条件（必须提供，否则投标无效）</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（一）报价</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1.《开标一览表》（加盖电子签章，格式见招标文件第七章《投标文件相关格式》。）</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2.《分项价格表》（加盖电子签章，格式见招标文件第七章《投标文件相关格式》。）</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（二）商务资信</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1.《投标函》（加盖电子签章，格式见招标文件第七章《投标文件相关格式》。）</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2.《授权委托书》（提供原件的扫描件，格式见招标文件第七章《投标文件相关格式》。）</w:t>
            </w:r>
            <w:r/>
          </w:p>
          <w:p>
            <w:pPr>
              <w:pStyle w:val="774"/>
              <w:keepLines w:val="0"/>
              <w:keepNext w:val="0"/>
              <w:pageBreakBefore w:val="0"/>
              <w:spacing w:line="24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（三）技术响应</w:t>
            </w:r>
            <w:r/>
          </w:p>
          <w:p>
            <w:pPr>
              <w:pStyle w:val="774"/>
              <w:keepLines w:val="0"/>
              <w:keepNext w:val="0"/>
              <w:pageBreakBefore w:val="0"/>
              <w:spacing w:line="24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1.《偏离表》（加盖电子签章，格式见招标文件第七章《投标文件相关格式》。）</w:t>
            </w:r>
            <w:r/>
          </w:p>
          <w:p>
            <w:pPr>
              <w:pStyle w:val="774"/>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2.《投标人对“工作人员配备要求”的承诺》（加盖电子签章，格式见招标文件第七章《投标文件相关格式》） </w:t>
            </w:r>
            <w:r/>
          </w:p>
          <w:p>
            <w:pPr>
              <w:jc w:val="both"/>
              <w:keepLines w:val="0"/>
              <w:keepNext w:val="0"/>
              <w:pageBreakBefore w:val="0"/>
              <w:spacing w:line="240" w:lineRule="auto"/>
              <w:widowControl/>
              <w:rPr>
                <w:rFonts w:hint="eastAsia"/>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3.《投标人对“管理设备配置”的承诺》（加盖电子签章，格式见招标文件第七章《投标文件相关格式》）。</w:t>
            </w:r>
            <w:r/>
          </w:p>
          <w:p>
            <w:pPr>
              <w:pStyle w:val="779"/>
              <w:ind w:left="0" w:firstLine="0"/>
              <w:keepLines w:val="0"/>
              <w:keepNext w:val="0"/>
              <w:pageBreakBefore w:val="0"/>
              <w:spacing w:line="24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四、综合评审评分项</w:t>
            </w:r>
            <w:r/>
          </w:p>
          <w:p>
            <w:pPr>
              <w:pStyle w:val="828"/>
              <w:keepLines w:val="0"/>
              <w:keepNext w:val="0"/>
              <w:pageBreakBefore w:val="0"/>
              <w:spacing w:line="240" w:lineRule="auto"/>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要求见招标文件第四章《评标标准》</w:t>
            </w:r>
            <w:r/>
          </w:p>
          <w:p>
            <w:pPr>
              <w:pStyle w:val="774"/>
              <w:keepLines w:val="0"/>
              <w:keepNext w:val="0"/>
              <w:pageBreakBefore w:val="0"/>
              <w:spacing w:line="24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828"/>
              <w:rPr>
                <w:rFonts w:hAnsi="宋体" w:eastAsia="宋体" w:cs="宋体"/>
                <w:bCs/>
                <w:color w:val="000000" w:themeColor="text1"/>
                <w:sz w:val="24"/>
                <w:szCs w:val="24"/>
                <w14:textFill>
                  <w14:solidFill>
                    <w14:schemeClr w14:val="tx1"/>
                  </w14:solidFill>
                </w14:textFill>
              </w:rPr>
            </w:pPr>
            <w:r>
              <w:rPr>
                <w:rFonts w:hint="eastAsia" w:hAnsi="宋体" w:eastAsia="宋体" w:cs="宋体"/>
                <w:bCs/>
                <w:color w:val="000000" w:themeColor="text1"/>
                <w:sz w:val="24"/>
                <w:szCs w:val="24"/>
                <w14:textFill>
                  <w14:solidFill>
                    <w14:schemeClr w14:val="tx1"/>
                  </w14:solidFill>
                </w14:textFill>
              </w:rPr>
              <w:t xml:space="preserve">企业报价折扣证明：无</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1.投标人应对以上文件的合法性、真实性负责。</w:t>
            </w:r>
            <w:r/>
          </w:p>
          <w:p>
            <w:pPr>
              <w:pStyle w:val="774"/>
              <w:spacing w:line="400" w:lineRule="exact"/>
              <w:rPr>
                <w:rFonts w:ascii="宋体" w:hAnsi="宋体" w:cs="宋体"/>
                <w:bCs/>
                <w:color w:val="000000" w:themeColor="text1"/>
                <w:sz w:val="24"/>
                <w:highlight w:val="yellow"/>
                <w14:textFill>
                  <w14:solidFill>
                    <w14:schemeClr w14:val="tx1"/>
                  </w14:solidFill>
                </w14:textFill>
              </w:rPr>
            </w:pPr>
            <w:r>
              <w:rPr>
                <w:rFonts w:hint="eastAsia" w:ascii="宋体" w:hAnsi="宋体" w:cs="宋体"/>
                <w:b/>
                <w:bCs w:val="0"/>
                <w:color w:val="000000" w:themeColor="text1"/>
                <w:sz w:val="24"/>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w:t>
            </w:r>
            <w:r>
              <w:rPr>
                <w:rFonts w:hint="eastAsia" w:ascii="宋体" w:hAnsi="宋体" w:cs="宋体"/>
                <w:color w:val="000000" w:themeColor="text1"/>
                <w:sz w:val="24"/>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商务条件见：</w:t>
            </w:r>
            <w:r/>
          </w:p>
          <w:p>
            <w:pPr>
              <w:pStyle w:val="774"/>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一、本文件第四章《评标标准》中《评分细则》。</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w:t>
            </w:r>
            <w:r>
              <w:rPr>
                <w:rFonts w:hint="eastAsia" w:ascii="宋体" w:hAnsi="宋体" w:cs="宋体"/>
                <w:color w:val="000000" w:themeColor="text1"/>
                <w:sz w:val="24"/>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（十四）</w:t>
            </w:r>
            <w:r>
              <w:rPr>
                <w:rFonts w:hint="eastAsia" w:ascii="宋体" w:hAnsi="宋体" w:cs="宋体"/>
                <w:color w:val="000000" w:themeColor="text1"/>
                <w:sz w:val="24"/>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本项目标段一</w:t>
            </w:r>
            <w:r>
              <w:rPr>
                <w:rFonts w:hint="eastAsia" w:ascii="宋体" w:hAnsi="宋体" w:cs="宋体"/>
                <w:b/>
                <w:bCs/>
                <w:color w:val="000000" w:themeColor="text1"/>
                <w:sz w:val="24"/>
                <w:lang w:eastAsia="zh-CN"/>
                <w14:textFill>
                  <w14:solidFill>
                    <w14:schemeClr w14:val="tx1"/>
                  </w14:solidFill>
                </w14:textFill>
              </w:rPr>
              <w:t xml:space="preserve">（采购包</w:t>
            </w:r>
            <w:r>
              <w:rPr>
                <w:rFonts w:hint="eastAsia" w:ascii="宋体" w:hAnsi="宋体" w:cs="宋体"/>
                <w:b/>
                <w:bCs/>
                <w:color w:val="000000" w:themeColor="text1"/>
                <w:sz w:val="24"/>
                <w:lang w:val="en-US" w:eastAsia="zh-CN"/>
                <w14:textFill>
                  <w14:solidFill>
                    <w14:schemeClr w14:val="tx1"/>
                  </w14:solidFill>
                </w14:textFill>
              </w:rPr>
              <w:t xml:space="preserve">1</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不接受超过</w:t>
            </w:r>
            <w:r>
              <w:rPr>
                <w:rFonts w:hint="eastAsia" w:ascii="宋体" w:hAnsi="宋体" w:cs="宋体"/>
                <w:b/>
                <w:bCs/>
                <w:color w:val="000000" w:themeColor="text1"/>
                <w:sz w:val="24"/>
                <w:highlight w:val="none"/>
                <w:lang w:eastAsia="zh-CN"/>
                <w14:textFill>
                  <w14:solidFill>
                    <w14:schemeClr w14:val="tx1"/>
                  </w14:solidFill>
                </w14:textFill>
              </w:rPr>
              <w:t xml:space="preserve">358.86</w:t>
            </w:r>
            <w:r>
              <w:rPr>
                <w:rFonts w:hint="eastAsia" w:ascii="宋体" w:hAnsi="宋体" w:cs="宋体"/>
                <w:b/>
                <w:bCs/>
                <w:color w:val="000000" w:themeColor="text1"/>
                <w:sz w:val="24"/>
                <w:highlight w:val="none"/>
                <w14:textFill>
                  <w14:solidFill>
                    <w14:schemeClr w14:val="tx1"/>
                  </w14:solidFill>
                </w14:textFill>
              </w:rPr>
              <w:t xml:space="preserve">万元（采购项目预算金额）的投标报价，标段二</w:t>
            </w:r>
            <w:r>
              <w:rPr>
                <w:rFonts w:hint="eastAsia" w:ascii="宋体" w:hAnsi="宋体" w:cs="宋体"/>
                <w:b/>
                <w:bCs/>
                <w:color w:val="000000" w:themeColor="text1"/>
                <w:sz w:val="24"/>
                <w:highlight w:val="none"/>
                <w:lang w:eastAsia="zh-CN"/>
                <w14:textFill>
                  <w14:solidFill>
                    <w14:schemeClr w14:val="tx1"/>
                  </w14:solidFill>
                </w14:textFill>
              </w:rPr>
              <w:t xml:space="preserve">（采购包</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不接受超过</w:t>
            </w:r>
            <w:r>
              <w:rPr>
                <w:rFonts w:hint="eastAsia" w:ascii="宋体" w:hAnsi="宋体" w:cs="宋体"/>
                <w:b/>
                <w:bCs/>
                <w:color w:val="000000" w:themeColor="text1"/>
                <w:sz w:val="24"/>
                <w:highlight w:val="none"/>
                <w:lang w:eastAsia="zh-CN"/>
                <w14:textFill>
                  <w14:solidFill>
                    <w14:schemeClr w14:val="tx1"/>
                  </w14:solidFill>
                </w14:textFill>
              </w:rPr>
              <w:t xml:space="preserve">215.85</w:t>
            </w:r>
            <w:r>
              <w:rPr>
                <w:rFonts w:hint="eastAsia" w:ascii="宋体" w:hAnsi="宋体" w:cs="宋体"/>
                <w:b/>
                <w:bCs/>
                <w:color w:val="000000" w:themeColor="text1"/>
                <w:sz w:val="24"/>
                <w:highlight w:val="none"/>
                <w14:textFill>
                  <w14:solidFill>
                    <w14:schemeClr w14:val="tx1"/>
                  </w14:solidFill>
                </w14:textFill>
              </w:rPr>
              <w:t xml:space="preserve">万元</w:t>
            </w:r>
            <w:r>
              <w:rPr>
                <w:rFonts w:hint="eastAsia" w:ascii="宋体" w:hAnsi="宋体" w:cs="宋体"/>
                <w:b/>
                <w:bCs/>
                <w:color w:val="000000" w:themeColor="text1"/>
                <w:sz w:val="24"/>
                <w14:textFill>
                  <w14:solidFill>
                    <w14:schemeClr w14:val="tx1"/>
                  </w14:solidFill>
                </w14:textFill>
              </w:rPr>
              <w:t xml:space="preserve">（采购项目预算金额）的投标报价。报价包含完成合同服务的全部费用。采购人不再支付报价以外的任何费用。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w:t>
            </w:r>
            <w:r>
              <w:rPr>
                <w:rFonts w:hint="eastAsia" w:ascii="宋体" w:hAnsi="宋体" w:cs="宋体"/>
                <w:color w:val="000000" w:themeColor="text1"/>
                <w:sz w:val="24"/>
                <w:lang w:eastAsia="zh-CN"/>
                <w14:textFill>
                  <w14:solidFill>
                    <w14:schemeClr w14:val="tx1"/>
                  </w14:solidFill>
                </w14:textFill>
              </w:rPr>
              <w:t xml:space="preserve">五</w:t>
            </w:r>
            <w:r>
              <w:rPr>
                <w:rFonts w:hint="eastAsia" w:ascii="宋体" w:hAnsi="宋体" w:cs="宋体"/>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w:t>
            </w:r>
            <w:r>
              <w:rPr>
                <w:rFonts w:hint="eastAsia" w:ascii="宋体" w:hAnsi="宋体" w:cs="宋体"/>
                <w:bCs/>
                <w:color w:val="000000" w:themeColor="text1"/>
                <w:sz w:val="24"/>
                <w:lang w:eastAsia="zh-CN"/>
                <w14:textFill>
                  <w14:solidFill>
                    <w14:schemeClr w14:val="tx1"/>
                  </w14:solidFill>
                </w14:textFill>
              </w:rPr>
              <w:t xml:space="preserve">六</w:t>
            </w:r>
            <w:r>
              <w:rPr>
                <w:rFonts w:hint="eastAsia" w:ascii="宋体" w:hAnsi="宋体" w:cs="宋体"/>
                <w:bCs/>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投标人应当通过“苏采云”系统提交数据电文形式的投标文件（即电子投标）。</w:t>
            </w:r>
            <w:r/>
          </w:p>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特别说明：通过“苏采云”系统提交政府采购客户端工具导出加密的投标文件（后缀名为zip）。投标文件不得超过150M！</w:t>
            </w:r>
            <w:r/>
          </w:p>
          <w:p>
            <w:pPr>
              <w:pStyle w:val="774"/>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w:t>
            </w:r>
            <w:r>
              <w:rPr>
                <w:rFonts w:hint="eastAsia" w:ascii="宋体" w:hAnsi="宋体" w:cs="宋体"/>
                <w:color w:val="000000" w:themeColor="text1"/>
                <w:sz w:val="24"/>
                <w:lang w:eastAsia="zh-CN"/>
                <w14:textFill>
                  <w14:solidFill>
                    <w14:schemeClr w14:val="tx1"/>
                  </w14:solidFill>
                </w14:textFill>
              </w:rPr>
              <w:t xml:space="preserve">七</w:t>
            </w:r>
            <w:r>
              <w:rPr>
                <w:rFonts w:hint="eastAsia" w:ascii="宋体" w:hAnsi="宋体" w:cs="宋体"/>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w:t>
            </w:r>
            <w:r>
              <w:rPr>
                <w:rFonts w:hint="eastAsia" w:ascii="宋体" w:hAnsi="宋体" w:cs="宋体"/>
                <w:color w:val="000000" w:themeColor="text1"/>
                <w:sz w:val="24"/>
                <w:lang w:eastAsia="zh-CN"/>
                <w14:textFill>
                  <w14:solidFill>
                    <w14:schemeClr w14:val="tx1"/>
                  </w14:solidFill>
                </w14:textFill>
              </w:rPr>
              <w:t xml:space="preserve">八</w:t>
            </w:r>
            <w:r>
              <w:rPr>
                <w:rFonts w:hint="eastAsia" w:ascii="宋体" w:hAnsi="宋体" w:cs="宋体"/>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jc w:val="left"/>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投标文件的提交与接收： </w:t>
            </w:r>
            <w:r/>
          </w:p>
          <w:p>
            <w:pPr>
              <w:pStyle w:val="774"/>
              <w:jc w:val="left"/>
              <w:spacing w:line="400" w:lineRule="exact"/>
              <w:rPr>
                <w:rFonts w:ascii="宋体" w:hAnsi="宋体" w:cs="宋体"/>
                <w:b/>
                <w:bCs/>
                <w:color w:val="ff0000"/>
                <w:sz w:val="24"/>
                <w:highlight w:val="none"/>
              </w:rPr>
            </w:pPr>
            <w:r>
              <w:rPr>
                <w:rFonts w:hint="eastAsia" w:ascii="宋体" w:hAnsi="宋体" w:cs="宋体"/>
                <w:color w:val="000000" w:themeColor="text1"/>
                <w:sz w:val="24"/>
                <w14:textFill>
                  <w14:solidFill>
                    <w14:schemeClr w14:val="tx1"/>
                  </w14:solidFill>
                </w14:textFill>
              </w:rPr>
              <w:t xml:space="preserve">1.投标文件提交与接收时间：</w:t>
            </w:r>
            <w:r>
              <w:rPr>
                <w:rFonts w:hint="eastAsia" w:ascii="宋体" w:hAnsi="宋体" w:cs="宋体"/>
                <w:b/>
                <w:bCs/>
                <w:sz w:val="24"/>
                <w:highlight w:val="none"/>
              </w:rPr>
              <w:t xml:space="preserve">提交投标文件截止时间（202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年</w:t>
            </w:r>
            <w:r>
              <w:rPr>
                <w:rFonts w:hint="eastAsia" w:ascii="宋体" w:hAnsi="宋体" w:cs="宋体"/>
                <w:b/>
                <w:bCs/>
                <w:sz w:val="24"/>
                <w:highlight w:val="none"/>
                <w:lang w:val="en-US" w:eastAsia="zh-CN"/>
              </w:rPr>
              <w:t xml:space="preserve">10</w:t>
            </w:r>
            <w:r>
              <w:rPr>
                <w:rFonts w:hint="eastAsia" w:ascii="宋体" w:hAnsi="宋体" w:cs="宋体"/>
                <w:b/>
                <w:bCs/>
                <w:sz w:val="24"/>
                <w:highlight w:val="none"/>
              </w:rPr>
              <w:t xml:space="preserve">月</w:t>
            </w:r>
            <w:r>
              <w:rPr>
                <w:rFonts w:hint="eastAsia" w:ascii="宋体" w:hAnsi="宋体" w:cs="宋体"/>
                <w:b/>
                <w:bCs/>
                <w:sz w:val="24"/>
                <w:highlight w:val="none"/>
              </w:rPr>
              <w:t xml:space="preserve">20日</w:t>
            </w:r>
            <w:r>
              <w:rPr>
                <w:rFonts w:hint="eastAsia" w:ascii="宋体" w:hAnsi="宋体" w:cs="宋体"/>
                <w:b/>
                <w:bCs/>
                <w:sz w:val="24"/>
                <w:highlight w:val="none"/>
                <w:lang w:val="en-US" w:eastAsia="zh-CN"/>
              </w:rPr>
              <w:t xml:space="preserve">09</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30</w:t>
            </w:r>
            <w:r>
              <w:rPr>
                <w:rFonts w:hint="eastAsia" w:ascii="宋体" w:hAnsi="宋体" w:cs="宋体"/>
                <w:b/>
                <w:bCs/>
                <w:sz w:val="24"/>
                <w:highlight w:val="none"/>
              </w:rPr>
              <w:t xml:space="preserve">）前。</w:t>
            </w:r>
            <w:r/>
          </w:p>
          <w:p>
            <w:pPr>
              <w:pStyle w:val="774"/>
              <w:spacing w:line="400" w:lineRule="exact"/>
              <w:rPr>
                <w:rFonts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十九</w:t>
            </w:r>
            <w:r>
              <w:rPr>
                <w:rFonts w:hint="eastAsia" w:ascii="宋体" w:hAnsi="宋体" w:cs="宋体"/>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开标时间及地点：</w:t>
            </w:r>
            <w:r/>
          </w:p>
          <w:p>
            <w:pPr>
              <w:pStyle w:val="774"/>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b/>
                <w:bCs/>
                <w:sz w:val="24"/>
                <w:highlight w:val="none"/>
              </w:rPr>
              <w:t xml:space="preserve">开标时间：202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年</w:t>
            </w:r>
            <w:r>
              <w:rPr>
                <w:rFonts w:hint="eastAsia" w:ascii="宋体" w:hAnsi="宋体" w:cs="宋体"/>
                <w:b/>
                <w:bCs/>
                <w:sz w:val="24"/>
                <w:highlight w:val="none"/>
                <w:lang w:val="en-US" w:eastAsia="zh-CN"/>
              </w:rPr>
              <w:t xml:space="preserve">10</w:t>
            </w:r>
            <w:r>
              <w:rPr>
                <w:rFonts w:hint="eastAsia" w:ascii="宋体" w:hAnsi="宋体" w:cs="宋体"/>
                <w:b/>
                <w:bCs/>
                <w:sz w:val="24"/>
                <w:highlight w:val="none"/>
              </w:rPr>
              <w:t xml:space="preserve">月</w:t>
            </w:r>
            <w:r>
              <w:rPr>
                <w:rFonts w:hint="eastAsia" w:ascii="宋体" w:hAnsi="宋体" w:cs="宋体"/>
                <w:b/>
                <w:bCs/>
                <w:sz w:val="24"/>
                <w:highlight w:val="none"/>
              </w:rPr>
              <w:t xml:space="preserve">20日</w:t>
            </w:r>
            <w:r>
              <w:rPr>
                <w:rFonts w:hint="eastAsia" w:ascii="宋体" w:hAnsi="宋体" w:cs="宋体"/>
                <w:b/>
                <w:bCs/>
                <w:sz w:val="24"/>
                <w:highlight w:val="none"/>
                <w:lang w:val="en-US" w:eastAsia="zh-CN"/>
              </w:rPr>
              <w:t xml:space="preserve">09</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30</w:t>
            </w:r>
            <w:r>
              <w:rPr>
                <w:rFonts w:hint="eastAsia" w:ascii="宋体" w:hAnsi="宋体" w:cs="宋体"/>
                <w:b/>
                <w:bCs/>
                <w:sz w:val="24"/>
                <w:highlight w:val="none"/>
              </w:rPr>
              <w:t xml:space="preserve">（标准时间）</w:t>
            </w:r>
            <w:r/>
          </w:p>
          <w:p>
            <w:pPr>
              <w:pStyle w:val="774"/>
              <w:jc w:val="left"/>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w:t>
            </w:r>
            <w:r>
              <w:rPr>
                <w:rFonts w:hint="eastAsia" w:ascii="宋体" w:hAnsi="宋体" w:cs="宋体"/>
                <w:color w:val="000000" w:themeColor="text1"/>
                <w:sz w:val="24"/>
                <w:lang w:eastAsia="zh-CN"/>
                <w14:textFill>
                  <w14:solidFill>
                    <w14:schemeClr w14:val="tx1"/>
                  </w14:solidFill>
                </w14:textFill>
              </w:rPr>
              <w:t xml:space="preserve">一</w:t>
            </w:r>
            <w:r>
              <w:rPr>
                <w:rFonts w:hint="eastAsia" w:ascii="宋体" w:hAnsi="宋体" w:cs="宋体"/>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二十</w:t>
            </w:r>
            <w:r>
              <w:rPr>
                <w:rFonts w:hint="eastAsia" w:ascii="宋体" w:hAnsi="宋体" w:cs="宋体"/>
                <w:color w:val="000000" w:themeColor="text1"/>
                <w:sz w:val="24"/>
                <w:lang w:eastAsia="zh-CN"/>
                <w14:textFill>
                  <w14:solidFill>
                    <w14:schemeClr w14:val="tx1"/>
                  </w14:solidFill>
                </w14:textFill>
              </w:rPr>
              <w:t xml:space="preserve">二</w:t>
            </w:r>
            <w:r>
              <w:rPr>
                <w:rFonts w:hint="eastAsia" w:ascii="宋体" w:hAnsi="宋体" w:cs="宋体"/>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本项目的评标方法：综合评分法。</w:t>
            </w:r>
            <w:r/>
          </w:p>
        </w:tc>
      </w:tr>
      <w:tr>
        <w:trPr>
          <w:jc w:val="center"/>
          <w:trHeight w:val="1949"/>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w:t>
            </w:r>
            <w:r>
              <w:rPr>
                <w:rFonts w:hint="eastAsia" w:ascii="宋体" w:hAnsi="宋体" w:cs="宋体"/>
                <w:color w:val="000000" w:themeColor="text1"/>
                <w:sz w:val="24"/>
                <w:highlight w:val="none"/>
                <w:lang w:eastAsia="zh-CN"/>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）1</w:t>
            </w:r>
            <w:r/>
          </w:p>
          <w:p>
            <w:pPr>
              <w:pStyle w:val="774"/>
              <w:ind w:left="0" w:firstLine="0"/>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w:t>
            </w:r>
            <w:r>
              <w:rPr>
                <w:rFonts w:hint="eastAsia" w:ascii="宋体" w:hAnsi="宋体" w:cs="宋体"/>
                <w:color w:val="000000" w:themeColor="text1"/>
                <w:sz w:val="24"/>
                <w:highlight w:val="none"/>
                <w:lang w:eastAsia="zh-CN"/>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一、推荐中标候选供应商名单。中标候选供应商数量应当根据采购需要确定，但必须按顺序排列中标候选供应商。</w:t>
            </w:r>
            <w:r/>
          </w:p>
          <w:p>
            <w:pPr>
              <w:pStyle w:val="774"/>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二、采用综合评分法的，按评审后得分由高到低顺序排列。得分相同的，按投标报价由低到高顺序排列。得分且投标报价相同的，按技术指标优劣得分顺序排列。</w:t>
            </w:r>
            <w:r/>
          </w:p>
          <w:p>
            <w:pPr>
              <w:pStyle w:val="774"/>
              <w:spacing w:line="400" w:lineRule="exact"/>
              <w:rPr>
                <w:highlight w:val="none"/>
              </w:rPr>
            </w:pPr>
            <w:r>
              <w:rPr>
                <w:rFonts w:hint="eastAsia" w:ascii="宋体" w:hAnsi="宋体" w:cs="宋体"/>
                <w:color w:val="000000" w:themeColor="text1"/>
                <w:sz w:val="24"/>
                <w:highlight w:val="none"/>
                <w14:textFill>
                  <w14:solidFill>
                    <w14:schemeClr w14:val="tx1"/>
                  </w14:solidFill>
                </w14:textFill>
              </w:rPr>
              <w:t xml:space="preserve">三、</w:t>
            </w:r>
            <w:r>
              <w:rPr>
                <w:rFonts w:hint="eastAsia" w:ascii="宋体" w:hAnsi="宋体" w:eastAsia="宋体" w:cs="宋体"/>
                <w:b/>
                <w:bCs w:val="0"/>
                <w:caps w:val="0"/>
                <w:color w:val="000000" w:themeColor="text1"/>
                <w:sz w:val="24"/>
                <w:szCs w:val="24"/>
                <w:highlight w:val="none"/>
                <w:lang w:val="en-US" w:eastAsia="zh-CN" w:bidi="ar-SA"/>
                <w14:textFill>
                  <w14:solidFill>
                    <w14:schemeClr w14:val="tx1"/>
                  </w14:solidFill>
                </w14:textFill>
              </w:rPr>
              <w:t xml:space="preserve">本项目共分2个采购包,兼投不兼中。每个投标人可以参与2个采购包的评审，但只允许成为1个采购包的中标人。本项目按照采购包1、采购包2的顺序进行评审定标。在前一采购包被确定为中标人的，可以参与下一采购包的评审，但不得再次成为中标人，不再作为后续采购包的有效投标人。</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w:t>
            </w:r>
            <w:r>
              <w:rPr>
                <w:rFonts w:hint="eastAsia" w:ascii="宋体" w:hAnsi="宋体" w:cs="宋体"/>
                <w:color w:val="000000" w:themeColor="text1"/>
                <w:sz w:val="24"/>
                <w:lang w:eastAsia="zh-CN"/>
                <w14:textFill>
                  <w14:solidFill>
                    <w14:schemeClr w14:val="tx1"/>
                  </w14:solidFill>
                </w14:textFill>
              </w:rPr>
              <w:t xml:space="preserve">四</w:t>
            </w:r>
            <w:r>
              <w:rPr>
                <w:rFonts w:hint="eastAsia" w:ascii="宋体" w:hAnsi="宋体" w:cs="宋体"/>
                <w:color w:val="000000" w:themeColor="text1"/>
                <w:sz w:val="24"/>
                <w14:textFill>
                  <w14:solidFill>
                    <w14:schemeClr w14:val="tx1"/>
                  </w14:solidFill>
                </w14:textFill>
              </w:rPr>
              <w:t xml:space="preserve">）</w:t>
            </w:r>
            <w:r/>
          </w:p>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二十五</w:t>
            </w:r>
            <w:r>
              <w:rPr>
                <w:rFonts w:hint="eastAsia" w:ascii="宋体" w:hAnsi="宋体" w:cs="宋体"/>
                <w:color w:val="000000" w:themeColor="text1"/>
                <w:sz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二十六</w:t>
            </w:r>
            <w:r>
              <w:rPr>
                <w:rFonts w:hint="eastAsia" w:ascii="宋体" w:hAnsi="宋体" w:cs="宋体"/>
                <w:color w:val="000000" w:themeColor="text1"/>
                <w:sz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828"/>
              <w:rPr>
                <w:rFonts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bidi="ar-SA"/>
              </w:rPr>
              <w:t xml:space="preserve">本项目履约保证金：中标人在签订合同之前向采购人交纳合同总价的5%</w:t>
            </w:r>
            <w:r>
              <w:rPr>
                <w:rFonts w:hint="eastAsia" w:ascii="宋体" w:hAnsi="宋体" w:cs="宋体"/>
                <w:color w:val="auto"/>
                <w:sz w:val="24"/>
                <w:szCs w:val="24"/>
                <w:highlight w:val="none"/>
                <w:lang w:val="en-US" w:eastAsia="zh-CN" w:bidi="ar-SA"/>
              </w:rPr>
              <w:t xml:space="preserve">作为</w:t>
            </w:r>
            <w:r>
              <w:rPr>
                <w:rFonts w:hint="eastAsia" w:ascii="宋体" w:hAnsi="宋体" w:eastAsia="宋体" w:cs="宋体"/>
                <w:color w:val="auto"/>
                <w:sz w:val="24"/>
                <w:szCs w:val="24"/>
                <w:highlight w:val="none"/>
                <w:lang w:val="en-US" w:eastAsia="zh-CN" w:bidi="ar-SA"/>
              </w:rPr>
              <w:t xml:space="preserve">履约保证金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履约保证金应当以金融机构、担保机构出具的保函等非现金形式提交。合同期满后，结算违约赔偿（如有）后7个工作日内无息退还给中标人。履约保证金在招标采购单位存放期间，不计利息。</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二十七</w:t>
            </w:r>
            <w:r>
              <w:rPr>
                <w:rFonts w:hint="eastAsia" w:ascii="宋体" w:hAnsi="宋体" w:cs="宋体"/>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28"/>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质疑接收人：</w:t>
            </w:r>
            <w:r>
              <w:rPr>
                <w:rFonts w:hint="eastAsia" w:ascii="宋体" w:hAnsi="宋体" w:cs="宋体"/>
                <w:color w:val="000000" w:themeColor="text1"/>
                <w:sz w:val="24"/>
                <w:lang w:eastAsia="zh-CN"/>
                <w14:textFill>
                  <w14:solidFill>
                    <w14:schemeClr w14:val="tx1"/>
                  </w14:solidFill>
                </w14:textFill>
              </w:rPr>
              <w:t xml:space="preserve">乔坤</w:t>
            </w:r>
            <w:r>
              <w:rPr>
                <w:rFonts w:hint="eastAsia" w:ascii="宋体" w:hAnsi="宋体" w:cs="宋体"/>
                <w:color w:val="000000" w:themeColor="text1"/>
                <w:sz w:val="24"/>
                <w14:textFill>
                  <w14:solidFill>
                    <w14:schemeClr w14:val="tx1"/>
                  </w14:solidFill>
                </w14:textFill>
              </w:rPr>
              <w:t xml:space="preserve">；联系电话：0516-67598336</w:t>
            </w:r>
            <w:r/>
          </w:p>
          <w:p>
            <w:pPr>
              <w:pStyle w:val="774"/>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74"/>
              <w:ind w:left="0" w:firstLine="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475" w:type="dxa"/>
            <w:textDirection w:val="lrTb"/>
            <w:noWrap w:val="false"/>
          </w:tcPr>
          <w:p>
            <w:pPr>
              <w:pStyle w:val="77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中标人在收到中标通知书时，须向采</w:t>
            </w:r>
            <w:r>
              <w:rPr>
                <w:rFonts w:hint="eastAsia" w:ascii="宋体" w:hAnsi="宋体" w:cs="宋体"/>
                <w:color w:val="000000" w:themeColor="text1"/>
                <w:sz w:val="24"/>
                <w:highlight w:val="none"/>
                <w14:textFill>
                  <w14:solidFill>
                    <w14:schemeClr w14:val="tx1"/>
                  </w14:solidFill>
                </w14:textFill>
              </w:rPr>
              <w:t xml:space="preserve">购代理机构提交《开标一览表》和《分项价格表》的数据文件（WORD格式</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并提供3份投标文件纸质版。</w:t>
            </w:r>
            <w:r/>
          </w:p>
        </w:tc>
      </w:tr>
    </w:tbl>
    <w:p>
      <w:pPr>
        <w:pStyle w:val="774"/>
        <w:ind w:firstLine="600"/>
        <w:spacing w:line="240" w:lineRule="exact"/>
        <w:widowControl/>
        <w:rPr>
          <w:rFonts w:ascii="宋体" w:hAnsi="宋体" w:cs="宋体"/>
          <w:color w:val="000000" w:themeColor="text1"/>
          <w:sz w:val="30"/>
          <w:szCs w:val="30"/>
          <w14:textFill>
            <w14:solidFill>
              <w14:schemeClr w14:val="tx1"/>
            </w14:solidFill>
          </w14:textFill>
        </w:rPr>
      </w:pPr>
      <w:r/>
      <w:bookmarkStart w:id="8" w:name="_Toc522790133"/>
      <w:r/>
      <w:r/>
    </w:p>
    <w:p>
      <w:pPr>
        <w:ind w:firstLine="600"/>
        <w:jc w:val="center"/>
        <w:rPr>
          <w:rStyle w:val="1061"/>
          <w:rFonts w:ascii="宋体" w:hAnsi="宋体" w:cs="宋体"/>
          <w:b/>
          <w:sz w:val="28"/>
          <w:szCs w:val="28"/>
          <w:highlight w:val="green"/>
        </w:rPr>
      </w:pPr>
      <w:r>
        <w:rPr>
          <w:rFonts w:hint="eastAsia" w:ascii="宋体" w:hAnsi="宋体" w:cs="宋体"/>
          <w:color w:val="000000" w:themeColor="text1"/>
          <w:sz w:val="30"/>
          <w:szCs w:val="30"/>
          <w14:textFill>
            <w14:solidFill>
              <w14:schemeClr w14:val="tx1"/>
            </w14:solidFill>
          </w14:textFill>
        </w:rPr>
        <w:br w:type="page" w:clear="all"/>
      </w:r>
      <w:bookmarkEnd w:id="8"/>
      <w:r/>
      <w:bookmarkStart w:id="9" w:name="_Toc523404698"/>
      <w:r>
        <w:rPr>
          <w:rFonts w:hint="eastAsia" w:ascii="宋体" w:hAnsi="宋体" w:cs="宋体"/>
          <w:color w:val="000000" w:themeColor="text1"/>
          <w:sz w:val="28"/>
          <w:szCs w:val="28"/>
          <w14:textFill>
            <w14:solidFill>
              <w14:schemeClr w14:val="tx1"/>
            </w14:solidFill>
          </w14:textFill>
        </w:rPr>
        <w:t xml:space="preserve">本章附件：</w:t>
      </w:r>
      <w:bookmarkEnd w:id="9"/>
      <w:r>
        <w:rPr>
          <w:rStyle w:val="1061"/>
          <w:rFonts w:hint="eastAsia" w:ascii="宋体" w:hAnsi="宋体" w:cs="宋体"/>
          <w:b/>
          <w:sz w:val="28"/>
          <w:szCs w:val="28"/>
        </w:rPr>
        <w:t xml:space="preserve">招标代理服务收费标准</w:t>
      </w:r>
      <w:r/>
    </w:p>
    <w:tbl>
      <w:tblPr>
        <w:tblStyle w:val="763"/>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50万元以下（含50万元）</w:t>
            </w:r>
            <w:r/>
          </w:p>
        </w:tc>
        <w:tc>
          <w:tcPr>
            <w:tcW w:w="3382" w:type="dxa"/>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50-400万元（含400万元）</w:t>
            </w:r>
            <w:r/>
          </w:p>
        </w:tc>
        <w:tc>
          <w:tcPr>
            <w:tcW w:w="3382" w:type="dxa"/>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400-1000万元（含1000万元）</w:t>
            </w:r>
            <w:r/>
          </w:p>
        </w:tc>
        <w:tc>
          <w:tcPr>
            <w:tcW w:w="3382" w:type="dxa"/>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5000-1亿元（含1亿元）</w:t>
            </w:r>
            <w:r/>
          </w:p>
        </w:tc>
        <w:tc>
          <w:tcPr>
            <w:tcW w:w="3382" w:type="dxa"/>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1-10亿元（含10亿元）</w:t>
            </w:r>
            <w:r/>
          </w:p>
        </w:tc>
        <w:tc>
          <w:tcPr>
            <w:tcW w:w="3382" w:type="dxa"/>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10-50亿元（含50亿元）</w:t>
            </w:r>
            <w:r/>
          </w:p>
        </w:tc>
        <w:tc>
          <w:tcPr>
            <w:tcW w:w="3382" w:type="dxa"/>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50亿元以上</w:t>
            </w:r>
            <w:r/>
          </w:p>
        </w:tc>
        <w:tc>
          <w:tcPr>
            <w:tcW w:w="3382" w:type="dxa"/>
            <w:textDirection w:val="lrTb"/>
            <w:noWrap w:val="false"/>
          </w:tcPr>
          <w:p>
            <w:pPr>
              <w:jc w:val="center"/>
              <w:spacing w:before="100" w:beforeAutospacing="1" w:after="100" w:afterAutospacing="1" w:line="360" w:lineRule="auto"/>
              <w:rPr>
                <w:rStyle w:val="1061"/>
                <w:rFonts w:ascii="宋体" w:hAnsi="宋体" w:cs="宋体"/>
                <w:sz w:val="24"/>
              </w:rPr>
            </w:pPr>
            <w:r>
              <w:rPr>
                <w:rStyle w:val="1061"/>
                <w:rFonts w:hint="eastAsia" w:ascii="宋体" w:hAnsi="宋体" w:cs="宋体"/>
                <w:sz w:val="24"/>
              </w:rPr>
              <w:t xml:space="preserve">0.005%</w:t>
            </w:r>
            <w:r/>
          </w:p>
        </w:tc>
      </w:tr>
    </w:tbl>
    <w:p>
      <w:pPr>
        <w:ind w:firstLine="480"/>
        <w:spacing w:line="360" w:lineRule="auto"/>
        <w:rPr>
          <w:rStyle w:val="1061"/>
          <w:rFonts w:ascii="宋体" w:hAnsi="宋体" w:cs="宋体"/>
          <w:sz w:val="22"/>
          <w:szCs w:val="22"/>
        </w:rPr>
      </w:pPr>
      <w:r>
        <w:rPr>
          <w:rFonts w:ascii="宋体" w:hAnsi="宋体" w:cs="宋体"/>
          <w:sz w:val="22"/>
          <w:szCs w:val="22"/>
        </w:rPr>
      </w:r>
      <w:r/>
    </w:p>
    <w:p>
      <w:pPr>
        <w:ind w:firstLine="480"/>
        <w:rPr>
          <w:rStyle w:val="1061"/>
          <w:rFonts w:ascii="宋体" w:hAnsi="宋体" w:cs="宋体"/>
          <w:sz w:val="24"/>
        </w:rPr>
      </w:pPr>
      <w:r>
        <w:rPr>
          <w:rStyle w:val="1061"/>
          <w:rFonts w:hint="eastAsia" w:ascii="宋体" w:hAnsi="宋体" w:cs="宋体"/>
          <w:sz w:val="24"/>
        </w:rPr>
        <w:t xml:space="preserve">说明:</w:t>
      </w:r>
      <w:r/>
    </w:p>
    <w:p>
      <w:pPr>
        <w:ind w:firstLine="480"/>
        <w:rPr>
          <w:rStyle w:val="1061"/>
          <w:rFonts w:ascii="宋体" w:hAnsi="宋体" w:cs="宋体"/>
          <w:sz w:val="24"/>
        </w:rPr>
      </w:pPr>
      <w:r>
        <w:rPr>
          <w:rStyle w:val="1061"/>
          <w:rFonts w:hint="eastAsia" w:ascii="宋体" w:hAnsi="宋体" w:cs="宋体"/>
          <w:sz w:val="24"/>
        </w:rPr>
        <w:t xml:space="preserve">1.按上表计算的收费为代理服务全过程的收费金额。代理机构不再收取采购文件制作售卖费用。</w:t>
      </w:r>
      <w:r/>
    </w:p>
    <w:p>
      <w:pPr>
        <w:ind w:firstLine="480"/>
        <w:rPr>
          <w:rStyle w:val="1061"/>
          <w:rFonts w:ascii="宋体" w:hAnsi="宋体" w:cs="宋体"/>
          <w:sz w:val="24"/>
        </w:rPr>
      </w:pPr>
      <w:r>
        <w:rPr>
          <w:rStyle w:val="1061"/>
          <w:rFonts w:hint="eastAsia" w:ascii="宋体" w:hAnsi="宋体" w:cs="宋体"/>
          <w:sz w:val="24"/>
        </w:rPr>
        <w:t xml:space="preserve">2.代理服务费按差额定率累进法计算。</w:t>
      </w:r>
      <w:r/>
    </w:p>
    <w:p>
      <w:pPr>
        <w:ind w:firstLine="480"/>
        <w:rPr>
          <w:rStyle w:val="1061"/>
          <w:rFonts w:ascii="宋体" w:hAnsi="宋体" w:cs="宋体"/>
          <w:sz w:val="24"/>
        </w:rPr>
      </w:pPr>
      <w:r>
        <w:rPr>
          <w:rStyle w:val="1061"/>
          <w:rFonts w:hint="eastAsia" w:ascii="宋体" w:hAnsi="宋体" w:cs="宋体"/>
          <w:sz w:val="24"/>
        </w:rPr>
        <w:t xml:space="preserve">3.代理服务费基准金额(按差额定率累进法计算的)=中标金额(按差额定率累进法计算的)*费率(%)。</w:t>
      </w:r>
      <w:r/>
    </w:p>
    <w:p>
      <w:pPr>
        <w:ind w:firstLine="480"/>
        <w:rPr>
          <w:rStyle w:val="1061"/>
          <w:rFonts w:ascii="宋体" w:hAnsi="宋体" w:cs="宋体"/>
          <w:sz w:val="24"/>
        </w:rPr>
      </w:pPr>
      <w:r>
        <w:rPr>
          <w:rStyle w:val="1061"/>
          <w:rFonts w:hint="eastAsia" w:ascii="宋体" w:hAnsi="宋体" w:cs="宋体"/>
          <w:sz w:val="24"/>
        </w:rPr>
        <w:t xml:space="preserve">4.代理服务费应收取金额=代理服务费基准金额(按差额定率累进法计算的)的合计数。</w:t>
      </w:r>
      <w:r/>
    </w:p>
    <w:p>
      <w:pPr>
        <w:ind w:firstLine="480"/>
        <w:rPr>
          <w:rStyle w:val="1061"/>
          <w:rFonts w:ascii="宋体" w:hAnsi="宋体" w:cs="宋体"/>
          <w:sz w:val="24"/>
        </w:rPr>
      </w:pPr>
      <w:r>
        <w:rPr>
          <w:rStyle w:val="1061"/>
          <w:rFonts w:hint="eastAsia" w:ascii="宋体" w:hAnsi="宋体" w:cs="宋体"/>
          <w:sz w:val="24"/>
        </w:rPr>
        <w:t xml:space="preserve">5.定点类等无金额或事先不能计算出价格总额的项目，按中标(成交)金额100万元计算。</w:t>
      </w:r>
      <w:r/>
    </w:p>
    <w:p>
      <w:pPr>
        <w:ind w:firstLine="480"/>
        <w:rPr>
          <w:rStyle w:val="1061"/>
          <w:rFonts w:ascii="宋体" w:hAnsi="宋体" w:cs="宋体"/>
          <w:sz w:val="24"/>
        </w:rPr>
      </w:pPr>
      <w:r>
        <w:rPr>
          <w:rStyle w:val="1061"/>
          <w:rFonts w:hint="eastAsia" w:ascii="宋体" w:hAnsi="宋体" w:cs="宋体"/>
          <w:sz w:val="24"/>
        </w:rPr>
        <w:t xml:space="preserve">6.有分包(分标段)的按一个项目计算。</w:t>
      </w:r>
      <w:r/>
    </w:p>
    <w:p>
      <w:pPr>
        <w:ind w:firstLine="480"/>
        <w:rPr>
          <w:rStyle w:val="1061"/>
          <w:rFonts w:ascii="宋体" w:hAnsi="宋体" w:cs="宋体"/>
          <w:sz w:val="24"/>
        </w:rPr>
      </w:pPr>
      <w:r>
        <w:rPr>
          <w:rStyle w:val="1061"/>
          <w:rFonts w:hint="eastAsia" w:ascii="宋体" w:hAnsi="宋体" w:cs="宋体"/>
          <w:sz w:val="24"/>
        </w:rPr>
        <w:t xml:space="preserve">7.以上价格为协会指导价，双方可根据项目难易程度和优质优价原则协商确定。</w:t>
      </w:r>
      <w:r/>
    </w:p>
    <w:p>
      <w:pPr>
        <w:pStyle w:val="793"/>
        <w:ind w:firstLine="480"/>
      </w:pPr>
      <w:r>
        <w:rPr>
          <w:rStyle w:val="1061"/>
          <w:rFonts w:hint="eastAsia" w:ascii="宋体" w:hAnsi="宋体" w:cs="宋体"/>
          <w:sz w:val="24"/>
        </w:rPr>
        <w:t xml:space="preserve">8.根据苏财规[2026]1号文件有关规定，本项目代理服务费由中标人支付，各投标人在投标报价时应充分考虑在内。</w:t>
      </w:r>
      <w:r/>
    </w:p>
    <w:p>
      <w:pPr>
        <w:ind w:firstLine="480"/>
        <w:rPr>
          <w:rStyle w:val="1061"/>
          <w:rFonts w:ascii="宋体" w:hAnsi="宋体" w:cs="宋体"/>
          <w:sz w:val="24"/>
        </w:rPr>
      </w:pPr>
      <w:r>
        <w:rPr>
          <w:rFonts w:ascii="宋体" w:hAnsi="宋体" w:cs="宋体"/>
          <w:sz w:val="24"/>
        </w:rPr>
      </w:r>
      <w:r/>
    </w:p>
    <w:p>
      <w:pPr>
        <w:ind w:firstLine="480"/>
        <w:rPr>
          <w:rStyle w:val="1061"/>
          <w:rFonts w:ascii="宋体" w:hAnsi="宋体" w:cs="宋体"/>
          <w:sz w:val="24"/>
        </w:rPr>
      </w:pPr>
      <w:r>
        <w:rPr>
          <w:rStyle w:val="1061"/>
          <w:rFonts w:hint="eastAsia" w:ascii="宋体" w:hAnsi="宋体" w:cs="宋体"/>
          <w:sz w:val="24"/>
        </w:rPr>
        <w:t xml:space="preserve">9.账户信息：</w:t>
      </w:r>
      <w:r/>
    </w:p>
    <w:p>
      <w:pPr>
        <w:ind w:firstLine="480"/>
        <w:rPr>
          <w:rStyle w:val="1061"/>
          <w:rFonts w:ascii="宋体" w:hAnsi="宋体" w:cs="宋体"/>
          <w:sz w:val="24"/>
        </w:rPr>
      </w:pPr>
      <w:r>
        <w:rPr>
          <w:rStyle w:val="1061"/>
          <w:rFonts w:hint="eastAsia" w:ascii="宋体" w:hAnsi="宋体" w:cs="宋体"/>
          <w:sz w:val="24"/>
        </w:rPr>
        <w:t xml:space="preserve">收款人：徐州国信招标有限公司</w:t>
      </w:r>
      <w:r/>
    </w:p>
    <w:p>
      <w:pPr>
        <w:ind w:firstLine="480"/>
        <w:rPr>
          <w:rStyle w:val="1061"/>
          <w:rFonts w:ascii="宋体" w:hAnsi="宋体" w:cs="宋体"/>
          <w:sz w:val="24"/>
        </w:rPr>
      </w:pPr>
      <w:r>
        <w:rPr>
          <w:rStyle w:val="1061"/>
          <w:rFonts w:hint="eastAsia" w:ascii="宋体" w:hAnsi="宋体" w:cs="宋体"/>
          <w:sz w:val="24"/>
        </w:rPr>
        <w:t xml:space="preserve">开户银行：江苏银行徐州彭城支行</w:t>
      </w:r>
      <w:r/>
    </w:p>
    <w:p>
      <w:pPr>
        <w:ind w:firstLine="482"/>
        <w:rPr>
          <w:rStyle w:val="1061"/>
          <w:rFonts w:ascii="宋体" w:hAnsi="宋体" w:cs="宋体"/>
          <w:sz w:val="24"/>
        </w:rPr>
      </w:pPr>
      <w:r>
        <w:rPr>
          <w:rStyle w:val="1061"/>
          <w:rFonts w:hint="eastAsia" w:ascii="宋体" w:hAnsi="宋体" w:cs="宋体"/>
          <w:sz w:val="24"/>
        </w:rPr>
        <w:t xml:space="preserve">账号：60060188000345346 </w:t>
      </w:r>
      <w:r/>
    </w:p>
    <w:p>
      <w:pPr>
        <w:ind w:firstLine="480"/>
        <w:spacing w:line="360" w:lineRule="auto"/>
        <w:rPr>
          <w:rStyle w:val="1061"/>
          <w:rFonts w:ascii="宋体" w:hAnsi="宋体" w:cs="宋体"/>
          <w:sz w:val="24"/>
        </w:rPr>
      </w:pPr>
      <w:r>
        <w:rPr>
          <w:rFonts w:ascii="宋体" w:hAnsi="宋体" w:cs="宋体"/>
          <w:sz w:val="24"/>
        </w:rPr>
      </w:r>
      <w:r/>
    </w:p>
    <w:p>
      <w:pPr>
        <w:pStyle w:val="774"/>
        <w:ind w:firstLine="630"/>
        <w:spacing w:line="420" w:lineRule="exact"/>
        <w:rPr>
          <w:rFonts w:ascii="宋体" w:hAnsi="宋体" w:cs="宋体"/>
          <w:color w:val="000000" w:themeColor="text1"/>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000000" w:themeColor="text1"/>
          <w14:textFill>
            <w14:solidFill>
              <w14:schemeClr w14:val="tx1"/>
            </w14:solidFill>
          </w14:textFill>
        </w:rPr>
      </w:r>
      <w:r/>
    </w:p>
    <w:p>
      <w:pPr>
        <w:pStyle w:val="753"/>
        <w:jc w:val="center"/>
        <w:spacing w:before="0" w:after="0"/>
        <w:rPr>
          <w:rFonts w:hint="eastAsia" w:ascii="宋体" w:hAnsi="宋体" w:eastAsia="宋体" w:cs="宋体"/>
          <w:b/>
          <w:bCs/>
          <w:color w:val="000000" w:themeColor="text1"/>
          <w:sz w:val="28"/>
          <w:szCs w:val="28"/>
          <w:lang w:val="en-US" w:eastAsia="zh-CN" w:bidi="ar-SA"/>
          <w14:textFill>
            <w14:solidFill>
              <w14:schemeClr w14:val="tx1"/>
            </w14:solidFill>
          </w14:textFill>
        </w:rPr>
      </w:pP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第四章 评标标准</w:t>
      </w:r>
      <w:r/>
    </w:p>
    <w:p>
      <w:pPr>
        <w:rPr>
          <w:rFonts w:hint="eastAsia" w:eastAsia="宋体"/>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标段</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lang w:eastAsia="zh-CN"/>
          <w14:textFill>
            <w14:solidFill>
              <w14:schemeClr w14:val="tx1"/>
            </w14:solidFill>
          </w14:textFill>
        </w:rPr>
        <w:t xml:space="preserve">、标段</w:t>
      </w:r>
      <w:r>
        <w:rPr>
          <w:rFonts w:hint="eastAsia"/>
          <w:color w:val="000000" w:themeColor="text1"/>
          <w:sz w:val="24"/>
          <w:szCs w:val="24"/>
          <w:lang w:val="en-US" w:eastAsia="zh-CN"/>
          <w14:textFill>
            <w14:solidFill>
              <w14:schemeClr w14:val="tx1"/>
            </w14:solidFill>
          </w14:textFill>
        </w:rPr>
        <w:t xml:space="preserve">2</w:t>
      </w:r>
      <w:r/>
    </w:p>
    <w:tbl>
      <w:tblPr>
        <w:tblStyle w:val="803"/>
        <w:tblW w:w="9328" w:type="dxa"/>
        <w:tblInd w:w="-38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3"/>
        <w:gridCol w:w="1380"/>
        <w:gridCol w:w="6645"/>
      </w:tblGrid>
      <w:tr>
        <w:trPr>
          <w:trHeight w:val="54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3" w:type="dxa"/>
            <w:vAlign w:val="center"/>
            <w:textDirection w:val="lrTb"/>
            <w:noWrap w:val="false"/>
          </w:tcPr>
          <w:p>
            <w:pPr>
              <w:jc w:val="center"/>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评分</w:t>
            </w:r>
            <w:r/>
          </w:p>
          <w:p>
            <w:pPr>
              <w:jc w:val="center"/>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5" w:type="dxa"/>
            <w:vAlign w:val="center"/>
            <w:textDirection w:val="lrTb"/>
            <w:noWrap w:val="false"/>
          </w:tcPr>
          <w:p>
            <w:pPr>
              <w:jc w:val="center"/>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评分依据</w:t>
            </w:r>
            <w:r/>
          </w:p>
        </w:tc>
      </w:tr>
      <w:tr>
        <w:trPr>
          <w:trHeight w:val="12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3" w:type="dxa"/>
            <w:vAlign w:val="center"/>
            <w:textDirection w:val="lrTb"/>
            <w:noWrap w:val="false"/>
          </w:tcPr>
          <w:p>
            <w:pPr>
              <w:jc w:val="center"/>
              <w:rPr>
                <w:rFonts w:hint="eastAsia" w:ascii="宋体" w:hAnsi="宋体" w:eastAsia="宋体" w:cs="宋体"/>
                <w:sz w:val="22"/>
                <w:szCs w:val="21"/>
                <w:lang w:val="en-US" w:eastAsia="zh-CN"/>
              </w:rPr>
            </w:pPr>
            <w:r>
              <w:rPr>
                <w:rFonts w:hint="eastAsia" w:ascii="宋体" w:hAnsi="宋体" w:eastAsia="宋体" w:cs="宋体"/>
                <w:sz w:val="22"/>
                <w:szCs w:val="21"/>
              </w:rPr>
              <w:t xml:space="preserve">价格</w:t>
            </w:r>
            <w:r>
              <w:rPr>
                <w:rFonts w:hint="eastAsia" w:ascii="宋体" w:hAnsi="宋体" w:cs="宋体"/>
                <w:sz w:val="22"/>
                <w:szCs w:val="21"/>
                <w:lang w:val="en-US" w:eastAsia="zh-CN"/>
              </w:rPr>
              <w:t xml:space="preserve">部分</w:t>
            </w:r>
            <w:r/>
          </w:p>
          <w:p>
            <w:pPr>
              <w:jc w:val="center"/>
              <w:rPr>
                <w:rFonts w:hint="eastAsia" w:ascii="宋体" w:hAnsi="宋体" w:eastAsia="宋体" w:cs="宋体"/>
                <w:sz w:val="22"/>
                <w:szCs w:val="21"/>
              </w:rPr>
            </w:pPr>
            <w:r>
              <w:rPr>
                <w:rFonts w:hint="eastAsia" w:ascii="宋体" w:hAnsi="宋体" w:eastAsia="宋体" w:cs="宋体"/>
                <w:sz w:val="22"/>
                <w:szCs w:val="21"/>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2"/>
                <w:szCs w:val="21"/>
              </w:rPr>
            </w:pPr>
            <w:r>
              <w:rPr>
                <w:rFonts w:hint="eastAsia" w:ascii="宋体" w:hAnsi="宋体" w:eastAsia="宋体" w:cs="宋体"/>
                <w:sz w:val="22"/>
                <w:szCs w:val="21"/>
              </w:rPr>
              <w:t xml:space="preserve">价格</w:t>
            </w:r>
            <w:r/>
          </w:p>
          <w:p>
            <w:pPr>
              <w:jc w:val="center"/>
              <w:rPr>
                <w:rFonts w:hint="eastAsia" w:ascii="宋体" w:hAnsi="宋体" w:eastAsia="宋体" w:cs="宋体"/>
                <w:sz w:val="22"/>
                <w:szCs w:val="21"/>
              </w:rPr>
            </w:pPr>
            <w:r>
              <w:rPr>
                <w:rFonts w:hint="eastAsia" w:ascii="宋体" w:hAnsi="宋体" w:eastAsia="宋体" w:cs="宋体"/>
                <w:sz w:val="22"/>
                <w:szCs w:val="21"/>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5" w:type="dxa"/>
            <w:vAlign w:val="center"/>
            <w:textDirection w:val="lrTb"/>
            <w:noWrap w:val="false"/>
          </w:tcPr>
          <w:p>
            <w:pPr>
              <w:keepLines w:val="0"/>
              <w:keepNext w:val="0"/>
              <w:pageBreakBefore w:val="0"/>
              <w:rPr>
                <w:rFonts w:hint="eastAsia" w:ascii="宋体" w:hAnsi="宋体" w:eastAsia="宋体" w:cs="宋体"/>
                <w:sz w:val="22"/>
                <w:szCs w:val="22"/>
              </w:rPr>
            </w:pPr>
            <w:r>
              <w:rPr>
                <w:rFonts w:hint="eastAsia" w:ascii="宋体" w:hAnsi="宋体" w:eastAsia="宋体" w:cs="宋体"/>
                <w:sz w:val="22"/>
                <w:szCs w:val="22"/>
              </w:rPr>
              <w:t xml:space="preserve">采用低价优先法计算，即满足招标文件要求且投标人评审价格最低的投标报价为评标基准价，其价格得分为满分。</w:t>
            </w:r>
            <w:r/>
          </w:p>
          <w:p>
            <w:pPr>
              <w:keepLines w:val="0"/>
              <w:keepNext w:val="0"/>
              <w:pageBreakBefore w:val="0"/>
              <w:rPr>
                <w:rFonts w:hint="eastAsia" w:ascii="宋体" w:hAnsi="宋体" w:eastAsia="宋体" w:cs="宋体"/>
                <w:sz w:val="22"/>
                <w:szCs w:val="21"/>
              </w:rPr>
            </w:pPr>
            <w:r>
              <w:rPr>
                <w:rFonts w:hint="eastAsia" w:ascii="宋体" w:hAnsi="宋体" w:eastAsia="宋体" w:cs="宋体"/>
                <w:sz w:val="22"/>
                <w:szCs w:val="22"/>
              </w:rPr>
              <w:t xml:space="preserve">各投标人价格得分=最低报价（投标人的最低评审价格）÷各投标人评审价格×10。（按四舍五入取至小数点后两位）</w:t>
            </w:r>
            <w:r/>
          </w:p>
        </w:tc>
      </w:tr>
      <w:tr>
        <w:trPr>
          <w:trHeight w:val="2163"/>
        </w:trPr>
        <w:tc>
          <w:tcPr>
            <w:tcBorders>
              <w:top w:val="single" w:color="000000" w:sz="4" w:space="0"/>
              <w:left w:val="single" w:color="000000" w:sz="4" w:space="0"/>
              <w:right w:val="single" w:color="000000" w:sz="4" w:space="0"/>
            </w:tcBorders>
            <w:tcW w:w="1303" w:type="dxa"/>
            <w:vAlign w:val="center"/>
            <w:vMerge w:val="restart"/>
            <w:textDirection w:val="lrTb"/>
            <w:noWrap w:val="false"/>
          </w:tcPr>
          <w:p>
            <w:pPr>
              <w:jc w:val="center"/>
              <w:rPr>
                <w:rFonts w:hint="eastAsia" w:ascii="宋体" w:hAnsi="宋体" w:eastAsia="宋体" w:cs="宋体"/>
                <w:sz w:val="22"/>
                <w:szCs w:val="21"/>
              </w:rPr>
            </w:pPr>
            <w:r>
              <w:rPr>
                <w:rFonts w:hint="eastAsia" w:ascii="宋体" w:hAnsi="宋体" w:cs="宋体"/>
                <w:sz w:val="22"/>
                <w:szCs w:val="21"/>
                <w:lang w:val="en-US" w:eastAsia="zh-CN"/>
              </w:rPr>
              <w:t xml:space="preserve">商务部分</w:t>
            </w:r>
            <w:r>
              <w:rPr>
                <w:rFonts w:hint="eastAsia" w:ascii="宋体" w:hAnsi="宋体" w:eastAsia="宋体" w:cs="宋体"/>
                <w:sz w:val="22"/>
                <w:szCs w:val="21"/>
              </w:rPr>
              <w:t xml:space="preserve">（</w:t>
            </w:r>
            <w:r>
              <w:rPr>
                <w:rFonts w:hint="eastAsia" w:ascii="宋体" w:hAnsi="宋体" w:cs="宋体"/>
                <w:sz w:val="22"/>
                <w:szCs w:val="21"/>
                <w:lang w:val="en-US" w:eastAsia="zh-CN"/>
              </w:rPr>
              <w:t xml:space="preserve">8</w:t>
            </w:r>
            <w:r>
              <w:rPr>
                <w:rFonts w:hint="eastAsia" w:ascii="宋体" w:hAnsi="宋体" w:eastAsia="宋体" w:cs="宋体"/>
                <w:sz w:val="22"/>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2"/>
                <w:szCs w:val="21"/>
                <w:highlight w:val="none"/>
              </w:rPr>
            </w:pPr>
            <w:r>
              <w:rPr>
                <w:rFonts w:hint="eastAsia" w:ascii="宋体" w:hAnsi="宋体" w:cs="宋体"/>
                <w:sz w:val="22"/>
                <w:szCs w:val="21"/>
                <w:highlight w:val="none"/>
                <w:lang w:val="en-US" w:eastAsia="zh-CN"/>
              </w:rPr>
              <w:t xml:space="preserve">投标人评价</w:t>
            </w:r>
            <w:r>
              <w:rPr>
                <w:rFonts w:hint="eastAsia" w:ascii="宋体" w:hAnsi="宋体" w:eastAsia="宋体" w:cs="宋体"/>
                <w:sz w:val="22"/>
                <w:szCs w:val="21"/>
                <w:highlight w:val="none"/>
              </w:rPr>
              <w:t xml:space="preserve">(</w:t>
            </w:r>
            <w:r>
              <w:rPr>
                <w:rFonts w:hint="eastAsia" w:ascii="宋体" w:hAnsi="宋体" w:cs="宋体"/>
                <w:sz w:val="22"/>
                <w:szCs w:val="21"/>
                <w:highlight w:val="none"/>
                <w:lang w:val="en-US" w:eastAsia="zh-CN"/>
              </w:rPr>
              <w:t xml:space="preserve">4</w:t>
            </w:r>
            <w:r>
              <w:rPr>
                <w:rFonts w:hint="eastAsia" w:ascii="宋体" w:hAnsi="宋体" w:eastAsia="宋体" w:cs="宋体"/>
                <w:sz w:val="22"/>
                <w:szCs w:val="21"/>
                <w:highlight w:val="none"/>
              </w:rPr>
              <w:t xml:space="preserve">分)</w:t>
            </w:r>
            <w:r/>
          </w:p>
          <w:p>
            <w:pPr>
              <w:jc w:val="both"/>
              <w:rPr>
                <w:rFonts w:hint="eastAsia" w:ascii="Times New Roman" w:hAnsi="Times New Roman" w:eastAsia="宋体" w:cs="Times New Roman"/>
                <w:highlight w:val="none"/>
                <w:lang w:val="en-US" w:eastAsia="zh-CN" w:bidi="ar-SA"/>
              </w:rPr>
            </w:pPr>
            <w:r>
              <w:rPr>
                <w:rFonts w:hint="eastAsia" w:ascii="Times New Roman" w:hAnsi="Times New Roman" w:eastAsia="宋体" w:cs="Times New Roman"/>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5" w:type="dxa"/>
            <w:vAlign w:val="center"/>
            <w:textDirection w:val="lrTb"/>
            <w:noWrap w:val="false"/>
          </w:tcPr>
          <w:p>
            <w:pPr>
              <w:keepLines w:val="0"/>
              <w:keepNext w:val="0"/>
              <w:pageBreakBefore w:val="0"/>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bidi="ar-SA"/>
              </w:rPr>
              <w:t xml:space="preserve">（</w:t>
            </w:r>
            <w:r>
              <w:rPr>
                <w:rFonts w:hint="eastAsia" w:ascii="宋体" w:hAnsi="宋体" w:eastAsia="宋体" w:cs="宋体"/>
                <w:sz w:val="22"/>
                <w:szCs w:val="22"/>
                <w:highlight w:val="none"/>
                <w:lang w:val="en-US" w:eastAsia="zh-CN" w:bidi="ar-SA"/>
              </w:rPr>
              <w:t xml:space="preserve">1）拟派项目负责人（项目经理）自2023年</w:t>
            </w:r>
            <w:r>
              <w:rPr>
                <w:rFonts w:hint="eastAsia" w:ascii="宋体" w:hAnsi="宋体" w:cs="宋体"/>
                <w:sz w:val="22"/>
                <w:szCs w:val="22"/>
                <w:highlight w:val="none"/>
                <w:lang w:val="en-US" w:eastAsia="zh-CN" w:bidi="ar-SA"/>
              </w:rPr>
              <w:t xml:space="preserve">9</w:t>
            </w:r>
            <w:r>
              <w:rPr>
                <w:rFonts w:hint="eastAsia" w:ascii="宋体" w:hAnsi="宋体" w:eastAsia="宋体" w:cs="宋体"/>
                <w:sz w:val="22"/>
                <w:szCs w:val="22"/>
                <w:highlight w:val="none"/>
                <w:lang w:val="en-US" w:eastAsia="zh-CN" w:bidi="ar-SA"/>
              </w:rPr>
              <w:t xml:space="preserve">月1日（含）以来承担过城市公共绿地养护管理项目业绩的得2分。</w:t>
            </w:r>
            <w:r/>
          </w:p>
          <w:p>
            <w:pPr>
              <w:keepLines w:val="0"/>
              <w:keepNext w:val="0"/>
              <w:pageBreakBefore w:val="0"/>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（2）技术员具有园林绿化初级及以上职称证书或者园林绿化中级工及以上资格证书的得2分。</w:t>
            </w:r>
            <w:r/>
          </w:p>
          <w:p>
            <w:pPr>
              <w:keepLines w:val="0"/>
              <w:keepNext w:val="0"/>
              <w:pageBreakBefore w:val="0"/>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注：须提供项目负责人（项目经理）证明材料彩色扫描件，项目负责人业绩由项目合同甲方出具合同履约情况证明及相关信息（加盖甲方公章）方为有效，否则该项不得分。</w:t>
            </w:r>
            <w:r/>
          </w:p>
          <w:p>
            <w:pPr>
              <w:keepLines w:val="0"/>
              <w:keepNext w:val="0"/>
              <w:pageBreakBefore w:val="0"/>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技术员须提供专业技术职称或资格证书的彩色扫描件，否则该项不得分。</w:t>
            </w:r>
            <w:r/>
          </w:p>
          <w:p>
            <w:pPr>
              <w:keepLines w:val="0"/>
              <w:keepNext w:val="0"/>
              <w:pageBreakBefore w:val="0"/>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项目负责人、技术员须提供投标前6个月内任意一个月（不含开标当月）的社保缴费证明，否则该项不得分。</w:t>
            </w:r>
            <w:r/>
          </w:p>
          <w:p>
            <w:pPr>
              <w:keepLines w:val="0"/>
              <w:keepNext w:val="0"/>
              <w:pageBreakBefore w:val="0"/>
              <w:rPr>
                <w:rFonts w:hint="eastAsia" w:ascii="宋体" w:hAnsi="宋体" w:eastAsia="宋体" w:cs="宋体"/>
                <w:sz w:val="22"/>
                <w:szCs w:val="21"/>
                <w:highlight w:val="none"/>
                <w:lang w:val="en-US" w:eastAsia="zh-CN" w:bidi="ar-SA"/>
              </w:rPr>
            </w:pPr>
            <w:r>
              <w:rPr>
                <w:rFonts w:hint="eastAsia" w:ascii="宋体" w:hAnsi="宋体" w:eastAsia="宋体" w:cs="宋体"/>
                <w:sz w:val="22"/>
                <w:szCs w:val="22"/>
                <w:highlight w:val="none"/>
                <w:lang w:val="en-US" w:eastAsia="zh-CN" w:bidi="ar-SA"/>
              </w:rPr>
              <w:t xml:space="preserve">此项最高得4分，最低为0分。</w:t>
            </w:r>
            <w:r/>
          </w:p>
        </w:tc>
      </w:tr>
      <w:tr>
        <w:trPr>
          <w:trHeight w:val="1288"/>
        </w:trPr>
        <w:tc>
          <w:tcPr>
            <w:tcBorders>
              <w:left w:val="single" w:color="000000" w:sz="4" w:space="0"/>
              <w:right w:val="single" w:color="000000" w:sz="4" w:space="0"/>
            </w:tcBorders>
            <w:tcW w:w="1303" w:type="dxa"/>
            <w:vAlign w:val="center"/>
            <w:vMerge w:val="continue"/>
            <w:textDirection w:val="lrTb"/>
            <w:noWrap w:val="false"/>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投标人业绩</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（4分）</w:t>
            </w:r>
            <w:r/>
          </w:p>
          <w:p>
            <w:pPr>
              <w:jc w:val="both"/>
              <w:rPr>
                <w:rFonts w:hint="eastAsia" w:ascii="宋体" w:hAnsi="宋体" w:eastAsia="宋体" w:cs="宋体"/>
                <w:sz w:val="22"/>
                <w:szCs w:val="21"/>
                <w:highlight w:val="none"/>
                <w:lang w:val="en-US" w:eastAsia="zh-CN" w:bidi="ar-SA"/>
              </w:rPr>
            </w:pPr>
            <w:r>
              <w:rPr>
                <w:rFonts w:hint="eastAsia" w:ascii="宋体" w:hAnsi="宋体" w:eastAsia="宋体" w:cs="宋体"/>
                <w:sz w:val="22"/>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5" w:type="dxa"/>
            <w:vAlign w:val="center"/>
            <w:textDirection w:val="lrTb"/>
            <w:noWrap w:val="false"/>
          </w:tcPr>
          <w:p>
            <w:pPr>
              <w:keepLines w:val="0"/>
              <w:keepNext w:val="0"/>
              <w:pageBreakBefore w:val="0"/>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投标人于202</w:t>
            </w:r>
            <w:r>
              <w:rPr>
                <w:rFonts w:hint="eastAsia" w:ascii="宋体" w:hAnsi="宋体" w:eastAsia="宋体" w:cs="宋体"/>
                <w:sz w:val="22"/>
                <w:szCs w:val="21"/>
                <w:highlight w:val="none"/>
                <w:lang w:val="en-US" w:eastAsia="zh-CN"/>
              </w:rPr>
              <w:t xml:space="preserve">3</w:t>
            </w:r>
            <w:r>
              <w:rPr>
                <w:rFonts w:hint="eastAsia" w:ascii="宋体" w:hAnsi="宋体" w:eastAsia="宋体" w:cs="宋体"/>
                <w:sz w:val="22"/>
                <w:szCs w:val="21"/>
                <w:highlight w:val="none"/>
              </w:rPr>
              <w:t xml:space="preserve">年</w:t>
            </w:r>
            <w:r>
              <w:rPr>
                <w:rFonts w:hint="eastAsia" w:ascii="宋体" w:hAnsi="宋体" w:cs="宋体"/>
                <w:sz w:val="22"/>
                <w:szCs w:val="21"/>
                <w:highlight w:val="none"/>
                <w:lang w:val="en-US" w:eastAsia="zh-CN"/>
              </w:rPr>
              <w:t xml:space="preserve">9</w:t>
            </w:r>
            <w:r>
              <w:rPr>
                <w:rFonts w:hint="eastAsia" w:ascii="宋体" w:hAnsi="宋体" w:eastAsia="宋体" w:cs="宋体"/>
                <w:sz w:val="22"/>
                <w:szCs w:val="21"/>
                <w:highlight w:val="none"/>
              </w:rPr>
              <w:t xml:space="preserve">月1日之后（以合同签订日期为准）签订的合同内容为城市公共绿地养护</w:t>
            </w:r>
            <w:r>
              <w:rPr>
                <w:rFonts w:hint="eastAsia" w:ascii="宋体" w:hAnsi="宋体" w:cs="宋体"/>
                <w:sz w:val="22"/>
                <w:szCs w:val="21"/>
                <w:highlight w:val="none"/>
                <w:lang w:eastAsia="zh-CN"/>
              </w:rPr>
              <w:t xml:space="preserve">类</w:t>
            </w:r>
            <w:r>
              <w:rPr>
                <w:rFonts w:hint="eastAsia" w:ascii="宋体" w:hAnsi="宋体" w:eastAsia="宋体" w:cs="宋体"/>
                <w:sz w:val="22"/>
                <w:szCs w:val="21"/>
                <w:highlight w:val="none"/>
              </w:rPr>
              <w:t xml:space="preserve">项目业绩，每份得2分。</w:t>
            </w:r>
            <w:r/>
          </w:p>
          <w:p>
            <w:pPr>
              <w:jc w:val="both"/>
              <w:keepLines w:val="0"/>
              <w:keepNext w:val="0"/>
              <w:pageBreakBefore w:val="0"/>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投标人须提供业绩项目中标通知书、双方签订的合同、合同履行期与业主的结算发票、合同甲方出具的投标人履约情况证明(加盖甲方公章)的彩色扫描件(四者须同时具备，否则该项业绩不得分)。</w:t>
            </w:r>
            <w:r/>
          </w:p>
          <w:p>
            <w:pPr>
              <w:jc w:val="both"/>
              <w:keepLines w:val="0"/>
              <w:keepNext w:val="0"/>
              <w:pageBreakBefore w:val="0"/>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注:发票须提供开票时间在2026年9月(含9月)之前的合同期内任意一期发票，否则该项业绩不得分。</w:t>
            </w:r>
            <w:r/>
          </w:p>
          <w:p>
            <w:pPr>
              <w:keepLines w:val="0"/>
              <w:keepNext w:val="0"/>
              <w:pageBreakBefore w:val="0"/>
              <w:rPr>
                <w:rFonts w:hint="eastAsia" w:ascii="宋体" w:hAnsi="宋体" w:eastAsia="宋体" w:cs="宋体"/>
                <w:sz w:val="22"/>
                <w:szCs w:val="21"/>
                <w:highlight w:val="none"/>
                <w:lang w:val="en-US" w:eastAsia="zh-CN" w:bidi="ar-SA"/>
              </w:rPr>
            </w:pPr>
            <w:r>
              <w:rPr>
                <w:rFonts w:hint="eastAsia" w:ascii="宋体" w:hAnsi="宋体" w:eastAsia="宋体" w:cs="宋体"/>
                <w:sz w:val="22"/>
                <w:szCs w:val="22"/>
                <w:highlight w:val="none"/>
              </w:rPr>
              <w:t xml:space="preserve">此项最高得4分，最低为0分。</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3" w:type="dxa"/>
            <w:vAlign w:val="center"/>
            <w:vMerge w:val="restart"/>
            <w:textDirection w:val="lrTb"/>
            <w:noWrap w:val="false"/>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br w:type="page" w:clear="all"/>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服务方案（</w:t>
            </w:r>
            <w:r>
              <w:rPr>
                <w:rFonts w:hint="eastAsia" w:ascii="宋体" w:hAnsi="宋体" w:cs="宋体"/>
                <w:sz w:val="22"/>
                <w:szCs w:val="21"/>
                <w:highlight w:val="none"/>
                <w:lang w:val="en-US" w:eastAsia="zh-CN"/>
              </w:rPr>
              <w:t xml:space="preserve">82</w:t>
            </w:r>
            <w:r>
              <w:rPr>
                <w:rFonts w:hint="eastAsia" w:ascii="宋体" w:hAnsi="宋体" w:eastAsia="宋体" w:cs="宋体"/>
                <w:sz w:val="22"/>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0" w:type="dxa"/>
            <w:textDirection w:val="lrTb"/>
            <w:noWrap w:val="false"/>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公司组织结构</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w:t>
            </w:r>
            <w:r>
              <w:rPr>
                <w:rFonts w:hint="eastAsia" w:ascii="宋体" w:hAnsi="宋体" w:cs="宋体"/>
                <w:sz w:val="22"/>
                <w:szCs w:val="21"/>
                <w:highlight w:val="none"/>
                <w:lang w:val="en-US" w:eastAsia="zh-CN"/>
              </w:rPr>
              <w:t xml:space="preserve">8</w:t>
            </w:r>
            <w:r>
              <w:rPr>
                <w:rFonts w:hint="eastAsia" w:ascii="宋体" w:hAnsi="宋体" w:eastAsia="宋体" w:cs="宋体"/>
                <w:sz w:val="22"/>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5" w:type="dxa"/>
            <w:textDirection w:val="lrTb"/>
            <w:noWrap w:val="false"/>
          </w:tcPr>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针对组织机构、项目经理部等设置方面进行评价。</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(1)内容完整详细具体，科学合理，符合项目特点，针对性强，得8分；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(2)内容较为详细具体，科学合理性、针对性较好的，得6分；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(3)内容不够详细具体，科学合理性、针对性一般的，得4分；</w:t>
            </w:r>
            <w:r/>
          </w:p>
          <w:p>
            <w:pPr>
              <w:keepLines w:val="0"/>
              <w:keepNext w:val="0"/>
              <w:pageBreakBefore w:val="0"/>
              <w:rPr>
                <w:rFonts w:hint="default" w:eastAsia="宋体"/>
                <w:highlight w:val="none"/>
                <w:lang w:val="en-US" w:eastAsia="zh-CN"/>
              </w:rPr>
            </w:pPr>
            <w:r>
              <w:rPr>
                <w:rFonts w:hint="eastAsia" w:ascii="宋体" w:hAnsi="宋体" w:cs="宋体"/>
                <w:color w:val="000000" w:themeColor="text1"/>
                <w:sz w:val="22"/>
                <w:szCs w:val="21"/>
                <w:highlight w:val="none"/>
                <w:lang w:val="en-US" w:eastAsia="zh-CN"/>
                <w14:textFill>
                  <w14:solidFill>
                    <w14:schemeClr w14:val="tx1"/>
                  </w14:solidFill>
                </w14:textFill>
              </w:rPr>
              <w:t xml:space="preserve">(4)内容简略空泛，科学合理性、针对性较差的，</w:t>
            </w:r>
            <w:r>
              <w:rPr>
                <w:rFonts w:hint="eastAsia" w:ascii="宋体" w:hAnsi="宋体" w:eastAsia="宋体" w:cs="宋体"/>
                <w:color w:val="000000" w:themeColor="text1"/>
                <w:sz w:val="22"/>
                <w:szCs w:val="21"/>
                <w:highlight w:val="none"/>
                <w14:textFill>
                  <w14:solidFill>
                    <w14:schemeClr w14:val="tx1"/>
                  </w14:solidFill>
                </w14:textFill>
              </w:rPr>
              <w:t xml:space="preserve">得</w:t>
            </w:r>
            <w:r>
              <w:rPr>
                <w:rFonts w:hint="eastAsia" w:ascii="宋体" w:hAnsi="宋体" w:cs="宋体"/>
                <w:color w:val="000000" w:themeColor="text1"/>
                <w:sz w:val="22"/>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1"/>
                <w:highlight w:val="none"/>
                <w14:textFill>
                  <w14:solidFill>
                    <w14:schemeClr w14:val="tx1"/>
                  </w14:solidFill>
                </w14:textFill>
              </w:rPr>
              <w:t xml:space="preserve">分。</w:t>
            </w:r>
            <w:r/>
          </w:p>
          <w:p>
            <w:pPr>
              <w:keepLines w:val="0"/>
              <w:keepNext w:val="0"/>
              <w:pageBreakBefore w:val="0"/>
              <w:rPr>
                <w:rFonts w:hint="eastAsia" w:ascii="宋体" w:hAnsi="宋体" w:eastAsia="宋体" w:cs="宋体"/>
                <w:sz w:val="18"/>
                <w:szCs w:val="18"/>
                <w:highlight w:val="none"/>
              </w:rPr>
            </w:pPr>
            <w:r>
              <w:rPr>
                <w:rFonts w:hint="eastAsia" w:ascii="宋体" w:hAnsi="宋体" w:eastAsia="宋体" w:cs="宋体"/>
                <w:color w:val="000000" w:themeColor="text1"/>
                <w:sz w:val="22"/>
                <w:szCs w:val="21"/>
                <w:highlight w:val="none"/>
                <w14:textFill>
                  <w14:solidFill>
                    <w14:schemeClr w14:val="tx1"/>
                  </w14:solidFill>
                </w14:textFill>
              </w:rPr>
              <w:t xml:space="preserve">不提供的不得分。此项最高得</w:t>
            </w:r>
            <w:r>
              <w:rPr>
                <w:rFonts w:hint="eastAsia" w:ascii="宋体" w:hAnsi="宋体" w:cs="宋体"/>
                <w:color w:val="000000" w:themeColor="text1"/>
                <w:sz w:val="22"/>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2"/>
                <w:szCs w:val="21"/>
                <w:highlight w:val="none"/>
                <w14:textFill>
                  <w14:solidFill>
                    <w14:schemeClr w14:val="tx1"/>
                  </w14:solidFill>
                </w14:textFill>
              </w:rPr>
              <w:t xml:space="preserve">分，最低为0分。</w:t>
            </w:r>
            <w:r/>
          </w:p>
        </w:tc>
      </w:tr>
      <w:tr>
        <w:trPr>
          <w:trHeight w:val="20"/>
        </w:trPr>
        <w:tc>
          <w:tcPr>
            <w:tcBorders>
              <w:top w:val="single" w:color="000000" w:sz="4" w:space="0"/>
              <w:left w:val="single" w:color="000000" w:sz="4" w:space="0"/>
              <w:bottom w:val="single" w:color="000000" w:sz="4" w:space="0"/>
              <w:right w:val="single" w:color="000000" w:sz="4" w:space="0"/>
            </w:tcBorders>
            <w:tcW w:w="1303" w:type="dxa"/>
            <w:vMerge w:val="continue"/>
            <w:textDirection w:val="lrTb"/>
            <w:noWrap w:val="false"/>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0" w:type="dxa"/>
            <w:textDirection w:val="lrTb"/>
            <w:noWrap w:val="false"/>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养护管理实施方案</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5" w:type="dxa"/>
            <w:textDirection w:val="lrTb"/>
            <w:noWrap w:val="false"/>
          </w:tcPr>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针对本项目养护综合管理工作实施方案进行评价。</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(1)科学合理，措施可行，符合本项目特点，针对性强的，得8分；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(2)内容较完整，措施较可行，</w:t>
            </w:r>
            <w:r>
              <w:rPr>
                <w:rFonts w:hint="eastAsia" w:ascii="宋体" w:hAnsi="宋体" w:cs="宋体"/>
                <w:color w:val="000000" w:themeColor="text1"/>
                <w:sz w:val="22"/>
                <w:szCs w:val="21"/>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2"/>
                <w:szCs w:val="21"/>
                <w:highlight w:val="none"/>
                <w14:textFill>
                  <w14:solidFill>
                    <w14:schemeClr w14:val="tx1"/>
                  </w14:solidFill>
                </w14:textFill>
              </w:rPr>
              <w:t xml:space="preserve">符合本项目特点，针对性较好的，得6分；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(3)内容不够完整，措施基本可行，针对性一般的，得4分；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(4)内容简略空泛，措施可行性较差，缺乏针对性的，得2分。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不提供的不得分。此项最高得8分，最低为0分。</w:t>
            </w:r>
            <w:r/>
          </w:p>
        </w:tc>
      </w:tr>
      <w:tr>
        <w:trPr>
          <w:trHeight w:val="20"/>
        </w:trPr>
        <w:tc>
          <w:tcPr>
            <w:tcBorders>
              <w:top w:val="single" w:color="000000" w:sz="4" w:space="0"/>
              <w:left w:val="single" w:color="000000" w:sz="4" w:space="0"/>
              <w:bottom w:val="single" w:color="000000" w:sz="4" w:space="0"/>
              <w:right w:val="single" w:color="000000" w:sz="4" w:space="0"/>
            </w:tcBorders>
            <w:tcW w:w="1303" w:type="dxa"/>
            <w:vMerge w:val="continue"/>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0" w:type="dxa"/>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养护管理保障措施</w:t>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w:t>
            </w:r>
            <w:r>
              <w:rPr>
                <w:rFonts w:hint="eastAsia" w:ascii="宋体" w:hAnsi="宋体" w:cs="宋体"/>
                <w:color w:val="000000" w:themeColor="text1"/>
                <w:sz w:val="22"/>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2"/>
                <w:szCs w:val="21"/>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5" w:type="dxa"/>
            <w:textDirection w:val="lrTb"/>
            <w:noWrap w:val="false"/>
          </w:tcPr>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针对本项目综合管理的各项保障措施进行评价。</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(1)保障措施全面到位，符合绿化养护管理需要，针对性强的，得8分；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(2)保障措施较全面到位，</w:t>
            </w:r>
            <w:r>
              <w:rPr>
                <w:rFonts w:hint="eastAsia" w:ascii="宋体" w:hAnsi="宋体" w:cs="宋体"/>
                <w:color w:val="000000" w:themeColor="text1"/>
                <w:sz w:val="22"/>
                <w:szCs w:val="21"/>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2"/>
                <w:szCs w:val="21"/>
                <w:highlight w:val="none"/>
                <w14:textFill>
                  <w14:solidFill>
                    <w14:schemeClr w14:val="tx1"/>
                  </w14:solidFill>
                </w14:textFill>
              </w:rPr>
              <w:t xml:space="preserve">符合绿化养护管理需要，针对性较好的，得6分；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(3)保障措施基本到位，符合绿化养护管理需要一般，针对性一般的，得4分；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(4)保障措施简略空泛，可行性较差，缺乏针对性的，得2分。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不提供的不得分。此项最高得</w:t>
            </w:r>
            <w:r>
              <w:rPr>
                <w:rFonts w:hint="eastAsia" w:ascii="宋体" w:hAnsi="宋体" w:cs="宋体"/>
                <w:color w:val="000000" w:themeColor="text1"/>
                <w:sz w:val="22"/>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2"/>
                <w:szCs w:val="21"/>
                <w:highlight w:val="none"/>
                <w14:textFill>
                  <w14:solidFill>
                    <w14:schemeClr w14:val="tx1"/>
                  </w14:solidFill>
                </w14:textFill>
              </w:rPr>
              <w:t xml:space="preserve">分，最低为0分。</w:t>
            </w:r>
            <w:r/>
          </w:p>
        </w:tc>
      </w:tr>
      <w:tr>
        <w:trPr>
          <w:trHeight w:val="2489"/>
        </w:trPr>
        <w:tc>
          <w:tcPr>
            <w:tcBorders>
              <w:top w:val="single" w:color="000000" w:sz="4" w:space="0"/>
              <w:left w:val="single" w:color="000000" w:sz="4" w:space="0"/>
              <w:bottom w:val="single" w:color="000000" w:sz="4" w:space="0"/>
              <w:right w:val="single" w:color="000000" w:sz="4" w:space="0"/>
            </w:tcBorders>
            <w:tcW w:w="1303" w:type="dxa"/>
            <w:vMerge w:val="continue"/>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0" w:type="dxa"/>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质量管理目标及措施</w:t>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w:t>
            </w:r>
            <w:r>
              <w:rPr>
                <w:rFonts w:hint="eastAsia" w:ascii="宋体" w:hAnsi="宋体" w:cs="宋体"/>
                <w:color w:val="000000" w:themeColor="text1"/>
                <w:sz w:val="22"/>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1"/>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5" w:type="dxa"/>
            <w:textDirection w:val="lrTb"/>
            <w:noWrap w:val="false"/>
          </w:tcPr>
          <w:p>
            <w:pPr>
              <w:keepLines w:val="0"/>
              <w:keepNext w:val="0"/>
              <w:pageBreakBefore w:val="0"/>
              <w:rPr>
                <w:rFonts w:hint="eastAsia" w:ascii="宋体" w:hAnsi="宋体" w:eastAsia="宋体" w:cs="宋体"/>
                <w:color w:val="000000" w:themeColor="text1"/>
                <w:sz w:val="22"/>
                <w:szCs w:val="21"/>
                <w:highlight w:val="none"/>
                <w:lang w:eastAsia="zh-CN"/>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按照DB3203/T502-2008《园林绿化养护管理规范》制定合理可行措施</w:t>
            </w:r>
            <w:r>
              <w:rPr>
                <w:rFonts w:hint="eastAsia" w:ascii="宋体" w:hAnsi="宋体" w:eastAsia="宋体" w:cs="宋体"/>
                <w:color w:val="auto"/>
                <w:sz w:val="22"/>
                <w:szCs w:val="21"/>
                <w:highlight w:val="none"/>
              </w:rPr>
              <w:t xml:space="preserve">，承诺始终保持苗木存活率、设施完好率98—100%的。</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(1)目标明确，措施合理可行，符合标段特点，针对性强的，得6分；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(2)目标较明确，措施较合理可行，</w:t>
            </w:r>
            <w:r>
              <w:rPr>
                <w:rFonts w:hint="eastAsia" w:ascii="宋体" w:hAnsi="宋体" w:cs="宋体"/>
                <w:color w:val="000000" w:themeColor="text1"/>
                <w:sz w:val="22"/>
                <w:szCs w:val="21"/>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2"/>
                <w:szCs w:val="21"/>
                <w:highlight w:val="none"/>
                <w14:textFill>
                  <w14:solidFill>
                    <w14:schemeClr w14:val="tx1"/>
                  </w14:solidFill>
                </w14:textFill>
              </w:rPr>
              <w:t xml:space="preserve">符合标段特点，针对性较好的，得4分；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(3)目标基本明确，措施基本合理可行，符合标段特点一般，针对性一般的，得2分；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(4)目标不明确，措施欠合理，缺乏针对性的，得1分。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不提供的不得分。此项最高得</w:t>
            </w:r>
            <w:r>
              <w:rPr>
                <w:rFonts w:hint="eastAsia" w:ascii="宋体" w:hAnsi="宋体" w:cs="宋体"/>
                <w:color w:val="000000" w:themeColor="text1"/>
                <w:sz w:val="22"/>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1"/>
                <w:highlight w:val="none"/>
                <w14:textFill>
                  <w14:solidFill>
                    <w14:schemeClr w14:val="tx1"/>
                  </w14:solidFill>
                </w14:textFill>
              </w:rPr>
              <w:t xml:space="preserve">分，最低为0分。</w:t>
            </w:r>
            <w:r/>
          </w:p>
        </w:tc>
      </w:tr>
      <w:tr>
        <w:trPr>
          <w:trHeight w:val="20"/>
        </w:trPr>
        <w:tc>
          <w:tcPr>
            <w:tcBorders>
              <w:top w:val="single" w:color="000000" w:sz="4" w:space="0"/>
              <w:left w:val="single" w:color="000000" w:sz="4" w:space="0"/>
              <w:bottom w:val="single" w:color="000000" w:sz="4" w:space="0"/>
              <w:right w:val="single" w:color="000000" w:sz="4" w:space="0"/>
            </w:tcBorders>
            <w:tcW w:w="1303" w:type="dxa"/>
            <w:vMerge w:val="continue"/>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0" w:type="dxa"/>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组织实施程序及养护工作流程</w:t>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5" w:type="dxa"/>
            <w:textDirection w:val="lrTb"/>
            <w:noWrap w:val="false"/>
          </w:tcPr>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针对本项目日常养护和综合管理工作程序和流程进行评价。</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(1)程序规范，流程清晰，合理可行，针对性强的，得8分；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(2)程序较规范，流程较清晰，合理可行性较好，针对性较好的，得6分；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(3)程序基本规范，流程基本清晰，合理可行性一般，针对性一般的，得4分；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(4)程序不规范，流程不清晰，合理可行性较差，缺乏针对性的，得2分。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不提供的不得分。此项最高得8分，最低为0分。</w:t>
            </w:r>
            <w:r/>
          </w:p>
        </w:tc>
      </w:tr>
      <w:tr>
        <w:trPr>
          <w:trHeight w:val="20"/>
        </w:trPr>
        <w:tc>
          <w:tcPr>
            <w:tcBorders>
              <w:top w:val="single" w:color="000000" w:sz="4" w:space="0"/>
              <w:left w:val="single" w:color="000000" w:sz="4" w:space="0"/>
              <w:bottom w:val="single" w:color="000000" w:sz="4" w:space="0"/>
              <w:right w:val="single" w:color="000000" w:sz="4" w:space="0"/>
            </w:tcBorders>
            <w:tcW w:w="1303" w:type="dxa"/>
            <w:vMerge w:val="continue"/>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0" w:type="dxa"/>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人员配置方案</w:t>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5" w:type="dxa"/>
            <w:textDirection w:val="lrTb"/>
            <w:noWrap w:val="false"/>
          </w:tcPr>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针对本项目人员路段分段配置是否科学合理进行评价。</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(1)人员配置科学合理，能针对项目各段特点，满足实际养护需要的，得8分；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(2)人员配置较科学合理，能较好针对项目各段特点，较好满足实际养护需要的，得6分；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(3)人员配置基本合理，能基本针对项目各段特点，基本满足实际养护需要的，得4分；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(4)人员配置不合理，未能针对项目各段特点，难以满足实际养护需要的，得2分。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不提供的不得分。此项最高得8分，最低为0分。</w:t>
            </w:r>
            <w:r/>
          </w:p>
        </w:tc>
      </w:tr>
      <w:tr>
        <w:trPr>
          <w:trHeight w:val="318"/>
        </w:trPr>
        <w:tc>
          <w:tcPr>
            <w:tcBorders>
              <w:top w:val="single" w:color="000000" w:sz="4" w:space="0"/>
              <w:left w:val="single" w:color="000000" w:sz="4" w:space="0"/>
              <w:bottom w:val="single" w:color="000000" w:sz="4" w:space="0"/>
              <w:right w:val="single" w:color="000000" w:sz="4" w:space="0"/>
            </w:tcBorders>
            <w:tcW w:w="1303" w:type="dxa"/>
            <w:vMerge w:val="continue"/>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0" w:type="dxa"/>
            <w:vAlign w:val="top"/>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设备配置方案</w:t>
            </w:r>
            <w:r/>
          </w:p>
          <w:p>
            <w:pPr>
              <w:jc w:val="center"/>
              <w:rPr>
                <w:rFonts w:hint="eastAsia" w:ascii="宋体" w:hAnsi="宋体" w:eastAsia="宋体" w:cs="宋体"/>
                <w:color w:val="000000" w:themeColor="text1"/>
                <w:sz w:val="22"/>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5" w:type="dxa"/>
            <w:vAlign w:val="top"/>
            <w:textDirection w:val="lrTb"/>
            <w:noWrap w:val="false"/>
          </w:tcPr>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针对本项目</w:t>
            </w:r>
            <w:r>
              <w:rPr>
                <w:rFonts w:hint="eastAsia" w:ascii="宋体" w:hAnsi="宋体" w:cs="宋体"/>
                <w:color w:val="000000" w:themeColor="text1"/>
                <w:sz w:val="22"/>
                <w:szCs w:val="21"/>
                <w:highlight w:val="none"/>
                <w:lang w:val="en-US" w:eastAsia="zh-CN"/>
                <w14:textFill>
                  <w14:solidFill>
                    <w14:schemeClr w14:val="tx1"/>
                  </w14:solidFill>
                </w14:textFill>
              </w:rPr>
              <w:t xml:space="preserve">设备</w:t>
            </w:r>
            <w:r>
              <w:rPr>
                <w:rFonts w:hint="eastAsia" w:ascii="宋体" w:hAnsi="宋体" w:eastAsia="宋体" w:cs="宋体"/>
                <w:color w:val="000000" w:themeColor="text1"/>
                <w:sz w:val="22"/>
                <w:szCs w:val="21"/>
                <w:highlight w:val="none"/>
                <w14:textFill>
                  <w14:solidFill>
                    <w14:schemeClr w14:val="tx1"/>
                  </w14:solidFill>
                </w14:textFill>
              </w:rPr>
              <w:t xml:space="preserve">配置是否科学合理进行评价。</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(1)人员配置科学合理，能针对项目各段特点，满足实际养护需要的，得8分；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(2)人员配置较科学合理，能较好针对项目各段特点，较好满足实际养护需要的，得6分；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(3)人员配置基本合理，能基本针对项目各段特点，基本满足实际养护需要的，得4分；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(4)人员配置不合理，未能针对项目各段特点，难以满足实际养护需要的，得2分。</w:t>
            </w:r>
            <w:r/>
          </w:p>
          <w:p>
            <w:pPr>
              <w:keepLines w:val="0"/>
              <w:keepNext w:val="0"/>
              <w:pageBreakBefore w:val="0"/>
              <w:spacing w:line="240" w:lineRule="auto"/>
              <w:widowControl/>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不提供的不得分。此项最高得8分，最低为0分。</w:t>
            </w:r>
            <w:r/>
          </w:p>
          <w:p>
            <w:pPr>
              <w:keepLines w:val="0"/>
              <w:keepNext w:val="0"/>
              <w:pageBreakBefore w:val="0"/>
              <w:spacing w:line="240" w:lineRule="auto"/>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eastAsia="zh-CN"/>
              </w:rPr>
              <w:t xml:space="preserve">注：</w:t>
            </w:r>
            <w:r>
              <w:rPr>
                <w:rFonts w:hint="eastAsia" w:ascii="宋体" w:hAnsi="宋体" w:eastAsia="宋体" w:cs="宋体"/>
                <w:b/>
                <w:color w:val="auto"/>
                <w:sz w:val="22"/>
                <w:szCs w:val="22"/>
                <w:highlight w:val="none"/>
              </w:rPr>
              <w:t xml:space="preserve">投标人必须在投标文件中提供“养护管理设备配置清单”，设备必须为公司自有设备</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投标文件中需提供</w:t>
            </w:r>
            <w:r>
              <w:rPr>
                <w:rFonts w:hint="eastAsia" w:ascii="宋体" w:hAnsi="宋体" w:eastAsia="宋体" w:cs="宋体"/>
                <w:b/>
                <w:color w:val="auto"/>
                <w:sz w:val="22"/>
                <w:szCs w:val="22"/>
                <w:highlight w:val="none"/>
                <w:lang w:val="en-US" w:eastAsia="zh-CN"/>
              </w:rPr>
              <w:t xml:space="preserve">所有设备</w:t>
            </w:r>
            <w:r>
              <w:rPr>
                <w:rFonts w:hint="eastAsia" w:ascii="宋体" w:hAnsi="宋体" w:eastAsia="宋体" w:cs="宋体"/>
                <w:b/>
                <w:color w:val="auto"/>
                <w:sz w:val="22"/>
                <w:szCs w:val="22"/>
                <w:highlight w:val="none"/>
              </w:rPr>
              <w:t xml:space="preserve">实物图片、设备购买发票原件扫描件</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水车和货车</w:t>
            </w:r>
            <w:r>
              <w:rPr>
                <w:rFonts w:hint="eastAsia" w:ascii="宋体" w:hAnsi="宋体" w:eastAsia="宋体" w:cs="宋体"/>
                <w:b/>
                <w:color w:val="auto"/>
                <w:sz w:val="22"/>
                <w:szCs w:val="22"/>
                <w:highlight w:val="none"/>
                <w:lang w:val="en-US" w:eastAsia="zh-CN"/>
              </w:rPr>
              <w:t xml:space="preserve">还</w:t>
            </w:r>
            <w:r>
              <w:rPr>
                <w:rFonts w:hint="eastAsia" w:ascii="宋体" w:hAnsi="宋体" w:eastAsia="宋体" w:cs="宋体"/>
                <w:b/>
                <w:color w:val="auto"/>
                <w:sz w:val="22"/>
                <w:szCs w:val="22"/>
                <w:highlight w:val="none"/>
              </w:rPr>
              <w:t xml:space="preserve">需另附</w:t>
            </w:r>
            <w:r>
              <w:rPr>
                <w:rFonts w:hint="eastAsia" w:ascii="宋体" w:hAnsi="宋体" w:eastAsia="宋体" w:cs="宋体"/>
                <w:b/>
                <w:color w:val="auto"/>
                <w:sz w:val="22"/>
                <w:szCs w:val="22"/>
                <w:highlight w:val="none"/>
                <w:lang w:val="en-US" w:eastAsia="zh-CN"/>
              </w:rPr>
              <w:t xml:space="preserve">有效期内的</w:t>
            </w:r>
            <w:r>
              <w:rPr>
                <w:rFonts w:hint="eastAsia" w:ascii="宋体" w:hAnsi="宋体" w:eastAsia="宋体" w:cs="宋体"/>
                <w:b/>
                <w:color w:val="auto"/>
                <w:sz w:val="22"/>
                <w:szCs w:val="22"/>
                <w:highlight w:val="none"/>
              </w:rPr>
              <w:t xml:space="preserve">机动车行驶证原件扫描件。</w:t>
            </w:r>
            <w:r/>
          </w:p>
          <w:p>
            <w:pPr>
              <w:pStyle w:val="770"/>
              <w:keepLines w:val="0"/>
              <w:keepNext w:val="0"/>
              <w:pageBreakBefore w:val="0"/>
              <w:rPr>
                <w:rFonts w:hint="eastAsia" w:ascii="宋体" w:hAnsi="宋体" w:eastAsia="宋体" w:cs="宋体"/>
                <w:color w:val="000000" w:themeColor="text1"/>
                <w:sz w:val="22"/>
                <w:szCs w:val="21"/>
                <w:highlight w:val="none"/>
                <w:lang w:val="en-US" w:eastAsia="zh-CN" w:bidi="ar-SA"/>
                <w14:textFill>
                  <w14:solidFill>
                    <w14:schemeClr w14:val="tx1"/>
                  </w14:solidFill>
                </w14:textFill>
              </w:rPr>
            </w:pPr>
            <w:r>
              <w:rPr>
                <w:rFonts w:hint="eastAsia" w:ascii="宋体" w:hAnsi="宋体" w:eastAsia="宋体" w:cs="宋体"/>
                <w:b/>
                <w:color w:val="auto"/>
                <w:sz w:val="22"/>
                <w:szCs w:val="22"/>
                <w:highlight w:val="none"/>
              </w:rPr>
              <w:t xml:space="preserve">凡是投入使用的三轮电动车、四轮电动车必须为新国标车辆，并保证可以正常上路作业。（需提供实物图片、购买发票扫描件、车辆一致性认证证书和车辆在工业和信息化部（工信部）网站查询截图，查询网址https://service.miit-eidc.org.cn/miitxxgk/gonggao/xxgk/index）</w:t>
            </w:r>
            <w:r/>
          </w:p>
        </w:tc>
      </w:tr>
      <w:tr>
        <w:trPr>
          <w:trHeight w:val="20"/>
        </w:trPr>
        <w:tc>
          <w:tcPr>
            <w:tcBorders>
              <w:top w:val="single" w:color="000000" w:sz="4" w:space="0"/>
              <w:left w:val="single" w:color="000000" w:sz="4" w:space="0"/>
              <w:bottom w:val="single" w:color="000000" w:sz="4" w:space="0"/>
              <w:right w:val="single" w:color="000000" w:sz="4" w:space="0"/>
            </w:tcBorders>
            <w:tcW w:w="1303" w:type="dxa"/>
            <w:vMerge w:val="continue"/>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0" w:type="dxa"/>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环境卫生保洁方案</w:t>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5" w:type="dxa"/>
            <w:textDirection w:val="lrTb"/>
            <w:noWrap w:val="false"/>
          </w:tcPr>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针对本项目环境卫生保洁制度和措施方面进行评价。</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(1)符合环境卫生作业规范，内容全面，措施到位，针对养护管理特点的，得8分；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(2)符合环境卫生作业规范，内容较全面，措施较到位，针对养护管理特点较好的，得6分；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(3)基本符合环境卫生作业规范，内容基本全面，措施基本到位，针对养护管理特点一般的，得4分；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(4)不符合环境卫生作业规范，内容不全面，措施不到位，缺乏针对性的，得2分。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不提供的不得分。此项最高得8分，最低为0分。</w:t>
            </w:r>
            <w:r/>
          </w:p>
        </w:tc>
      </w:tr>
      <w:tr>
        <w:trPr>
          <w:trHeight w:val="1933"/>
        </w:trPr>
        <w:tc>
          <w:tcPr>
            <w:tcBorders>
              <w:top w:val="single" w:color="000000" w:sz="4" w:space="0"/>
              <w:left w:val="single" w:color="000000" w:sz="4" w:space="0"/>
              <w:bottom w:val="single" w:color="000000" w:sz="4" w:space="0"/>
              <w:right w:val="single" w:color="000000" w:sz="4" w:space="0"/>
            </w:tcBorders>
            <w:tcW w:w="1303" w:type="dxa"/>
            <w:vMerge w:val="continue"/>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设施看护和巡查安保方案</w:t>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5" w:type="dxa"/>
            <w:textDirection w:val="lrTb"/>
            <w:noWrap w:val="false"/>
          </w:tcPr>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针对现有设施设备情况登记管理、日常巡查看护方案和措施进行评价。</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(1)内容全面，切实可行，符合特点，针对性强的，得8分；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(2)内容较全面，较切实可行，符合特点较好，针对性较好的，得6分；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(3)内容基本全面，基本切实可行，符合特点一般，针对性一般的，得4分；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(4)内容不全面，可行性较差，缺乏针对性的，得2分。</w:t>
            </w:r>
            <w:r/>
          </w:p>
          <w:p>
            <w:pPr>
              <w:keepLines w:val="0"/>
              <w:keepNext w:val="0"/>
              <w:pageBreakBefore w:val="0"/>
              <w:rPr>
                <w:rFonts w:hint="eastAsia" w:ascii="宋体" w:hAnsi="宋体" w:eastAsia="宋体" w:cs="宋体"/>
                <w:sz w:val="18"/>
                <w:szCs w:val="18"/>
                <w:highlight w:val="none"/>
              </w:rPr>
            </w:pPr>
            <w:r>
              <w:rPr>
                <w:rFonts w:hint="eastAsia" w:ascii="宋体" w:hAnsi="宋体" w:eastAsia="宋体" w:cs="宋体"/>
                <w:color w:val="000000" w:themeColor="text1"/>
                <w:sz w:val="22"/>
                <w:szCs w:val="21"/>
                <w:highlight w:val="none"/>
                <w14:textFill>
                  <w14:solidFill>
                    <w14:schemeClr w14:val="tx1"/>
                  </w14:solidFill>
                </w14:textFill>
              </w:rPr>
              <w:t xml:space="preserve">不提供的不得分。此项最高得8分，最低为0分。</w:t>
            </w:r>
            <w:r/>
          </w:p>
        </w:tc>
      </w:tr>
      <w:tr>
        <w:trPr>
          <w:trHeight w:val="20"/>
        </w:trPr>
        <w:tc>
          <w:tcPr>
            <w:tcBorders>
              <w:top w:val="single" w:color="000000" w:sz="4" w:space="0"/>
              <w:left w:val="single" w:color="000000" w:sz="4" w:space="0"/>
              <w:bottom w:val="single" w:color="000000" w:sz="4" w:space="0"/>
              <w:right w:val="single" w:color="000000" w:sz="4" w:space="0"/>
            </w:tcBorders>
            <w:tcW w:w="1303" w:type="dxa"/>
            <w:vMerge w:val="continue"/>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0" w:type="dxa"/>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安全生产和应急管理措施</w:t>
            </w:r>
            <w:r/>
          </w:p>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w:t>
            </w:r>
            <w:r>
              <w:rPr>
                <w:rFonts w:hint="eastAsia" w:ascii="宋体" w:hAnsi="宋体" w:cs="宋体"/>
                <w:color w:val="000000" w:themeColor="text1"/>
                <w:sz w:val="22"/>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1"/>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5" w:type="dxa"/>
            <w:textDirection w:val="lrTb"/>
            <w:noWrap w:val="false"/>
          </w:tcPr>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针对本项目安全施工制度及措施方面，各项应急预案（雨雪大风天气、病虫害等）等进行评价。</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(1)内容全面，措施到位，符合本项目养护管理特点，针对性强的，得6分；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(2)内容较全面，措施较到位，符合本项目养护管理特点较好，针对性较好的，得4分；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(3)内容基本全面，措施基本到位，符合本项目养护管理特点一般，针对性一般的，得2分；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(4)内容不全面，措施不到位，应急预案简单，缺乏针对性的，得1分。</w:t>
            </w:r>
            <w:r/>
          </w:p>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不提供的不得分。此项最高得</w:t>
            </w:r>
            <w:r>
              <w:rPr>
                <w:rFonts w:hint="eastAsia" w:ascii="宋体" w:hAnsi="宋体" w:cs="宋体"/>
                <w:color w:val="000000" w:themeColor="text1"/>
                <w:sz w:val="22"/>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1"/>
                <w:highlight w:val="none"/>
                <w14:textFill>
                  <w14:solidFill>
                    <w14:schemeClr w14:val="tx1"/>
                  </w14:solidFill>
                </w14:textFill>
              </w:rPr>
              <w:t xml:space="preserve">分，最低为0分。</w:t>
            </w:r>
            <w:r/>
          </w:p>
        </w:tc>
      </w:tr>
      <w:tr>
        <w:trPr>
          <w:trHeight w:val="20"/>
        </w:trPr>
        <w:tc>
          <w:tcPr>
            <w:tcBorders>
              <w:top w:val="single" w:color="000000" w:sz="4" w:space="0"/>
              <w:left w:val="single" w:color="000000" w:sz="4" w:space="0"/>
              <w:bottom w:val="single" w:color="000000" w:sz="4" w:space="0"/>
              <w:right w:val="single" w:color="000000" w:sz="4" w:space="0"/>
            </w:tcBorders>
            <w:tcW w:w="1303" w:type="dxa"/>
            <w:vMerge w:val="continue"/>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文明施工（6分）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5" w:type="dxa"/>
            <w:textDirection w:val="lrTb"/>
            <w:noWrap w:val="false"/>
          </w:tcPr>
          <w:p>
            <w:pPr>
              <w:keepLines w:val="0"/>
              <w:keepNext w:val="0"/>
              <w:pageBreakBefore w:val="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针对本项目文明作业制度及措施方面进行评价。</w:t>
            </w:r>
            <w:r/>
          </w:p>
          <w:p>
            <w:pPr>
              <w:pStyle w:val="812"/>
              <w:ind w:firstLine="0"/>
              <w:keepLines w:val="0"/>
              <w:keepNext w:val="0"/>
              <w:pageBreakBefore w:val="0"/>
              <w:spacing w:after="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(1)符合相关规范和要求，能够针对养护管理需要，内容完备，措施到位的，得6分；</w:t>
            </w:r>
            <w:r/>
          </w:p>
          <w:p>
            <w:pPr>
              <w:pStyle w:val="812"/>
              <w:ind w:firstLine="0"/>
              <w:keepLines w:val="0"/>
              <w:keepNext w:val="0"/>
              <w:pageBreakBefore w:val="0"/>
              <w:spacing w:after="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(2)符合相关规范和要求，能够较好针对养护管理需要，内容较完备，措施较到位的，得4分；</w:t>
            </w:r>
            <w:r/>
          </w:p>
          <w:p>
            <w:pPr>
              <w:pStyle w:val="812"/>
              <w:ind w:firstLine="0"/>
              <w:keepLines w:val="0"/>
              <w:keepNext w:val="0"/>
              <w:pageBreakBefore w:val="0"/>
              <w:spacing w:after="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(3)基本符合相关规范和要求，能够基本针对养护管理需要，内容基本完备，措施基本到位的，得2分；</w:t>
            </w:r>
            <w:r/>
          </w:p>
          <w:p>
            <w:pPr>
              <w:pStyle w:val="812"/>
              <w:ind w:firstLine="0"/>
              <w:keepLines w:val="0"/>
              <w:keepNext w:val="0"/>
              <w:pageBreakBefore w:val="0"/>
              <w:spacing w:after="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(4)不符合相关规范和要求，内容不完整，措施较差，缺乏针对性的，得1分。</w:t>
            </w:r>
            <w:r/>
          </w:p>
          <w:p>
            <w:pPr>
              <w:pStyle w:val="812"/>
              <w:ind w:firstLine="0"/>
              <w:keepLines w:val="0"/>
              <w:keepNext w:val="0"/>
              <w:pageBreakBefore w:val="0"/>
              <w:spacing w:after="0"/>
              <w:rPr>
                <w:rFonts w:hint="eastAsia" w:ascii="宋体" w:hAnsi="宋体" w:eastAsia="宋体" w:cs="宋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14:textFill>
                  <w14:solidFill>
                    <w14:schemeClr w14:val="tx1"/>
                  </w14:solidFill>
                </w14:textFill>
              </w:rPr>
              <w:t xml:space="preserve">不提供的不得分。此项最高得6分，最低为0分。</w:t>
            </w:r>
            <w:r/>
          </w:p>
        </w:tc>
      </w:tr>
    </w:tbl>
    <w:p>
      <w:pPr>
        <w:pStyle w:val="774"/>
        <w:rPr>
          <w:rFonts w:hint="eastAsia" w:ascii="宋体" w:hAnsi="宋体" w:eastAsia="宋体" w:cs="宋体"/>
          <w:color w:val="000000" w:themeColor="text1"/>
          <w:sz w:val="24"/>
          <w:lang w:val="en-US" w:eastAsia="zh-CN"/>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000000" w:themeColor="text1"/>
          <w:sz w:val="24"/>
          <w:highlight w:val="none"/>
          <w14:textFill>
            <w14:solidFill>
              <w14:schemeClr w14:val="tx1"/>
            </w14:solidFill>
          </w14:textFill>
        </w:rPr>
        <w:t xml:space="preserve">注：本项目采用综合评分</w:t>
      </w:r>
      <w:r>
        <w:rPr>
          <w:rFonts w:hint="eastAsia" w:ascii="宋体" w:hAnsi="宋体" w:cs="宋体"/>
          <w:color w:val="000000" w:themeColor="text1"/>
          <w:sz w:val="24"/>
          <w:highlight w:val="none"/>
          <w:lang w:val="en-US" w:eastAsia="zh-CN"/>
          <w14:textFill>
            <w14:solidFill>
              <w14:schemeClr w14:val="tx1"/>
            </w14:solidFill>
          </w14:textFill>
        </w:rPr>
        <w:t xml:space="preserve">法。</w:t>
      </w:r>
      <w:r/>
    </w:p>
    <w:p>
      <w:pPr>
        <w:keepLines/>
        <w:keepNext/>
        <w:rPr>
          <w:rFonts w:ascii="宋体" w:hAnsi="宋体" w:cs="宋体"/>
          <w:b/>
          <w:bCs/>
          <w:color w:val="000000" w:themeColor="text1"/>
          <w:sz w:val="32"/>
          <w:szCs w:val="32"/>
          <w14:textFill>
            <w14:solidFill>
              <w14:schemeClr w14:val="tx1"/>
            </w14:solidFill>
          </w14:textFill>
        </w:rPr>
      </w:pPr>
      <w:r/>
      <w:bookmarkStart w:id="10" w:name="_Toc15691"/>
      <w:r/>
      <w:bookmarkStart w:id="11" w:name="_Toc523404700"/>
      <w:r/>
      <w:bookmarkStart w:id="12" w:name="_Toc522790135"/>
      <w:r/>
      <w:r/>
    </w:p>
    <w:p>
      <w:pPr>
        <w:pStyle w:val="1000"/>
        <w:spacing w:line="52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第五章  拟签订的合同文本</w:t>
      </w:r>
      <w:bookmarkEnd w:id="10"/>
      <w:r/>
      <w:r/>
    </w:p>
    <w:p>
      <w:pPr>
        <w:pStyle w:val="1000"/>
        <w:jc w:val="both"/>
        <w:spacing w:line="520" w:lineRule="exact"/>
        <w:rPr>
          <w:rFonts w:ascii="宋体" w:hAnsi="宋体" w:eastAsia="宋体" w:cs="宋体"/>
          <w:color w:val="000000" w:themeColor="text1"/>
          <w:sz w:val="36"/>
          <w:szCs w:val="36"/>
          <w:highlight w:val="none"/>
          <w14:textFill>
            <w14:solidFill>
              <w14:schemeClr w14:val="tx1"/>
            </w14:solidFill>
          </w14:textFill>
        </w:rPr>
        <w:outlineLvl w:val="9"/>
      </w:pPr>
      <w:r>
        <w:rPr>
          <w:rFonts w:ascii="宋体" w:hAnsi="宋体" w:eastAsia="宋体" w:cs="宋体"/>
          <w:color w:val="000000" w:themeColor="text1"/>
          <w:sz w:val="36"/>
          <w:szCs w:val="36"/>
          <w:highlight w:val="none"/>
          <w14:textFill>
            <w14:solidFill>
              <w14:schemeClr w14:val="tx1"/>
            </w14:solidFill>
          </w14:textFill>
        </w:rPr>
      </w:r>
      <w:r/>
    </w:p>
    <w:p>
      <w:pPr>
        <w:pStyle w:val="828"/>
        <w:jc w:val="center"/>
        <w:rPr>
          <w:rFonts w:hAnsi="宋体" w:eastAsia="宋体"/>
          <w:b/>
          <w:sz w:val="72"/>
          <w:szCs w:val="44"/>
        </w:rPr>
      </w:pPr>
      <w:r>
        <w:rPr>
          <w:rFonts w:hAnsi="宋体" w:eastAsia="宋体"/>
          <w:b/>
          <w:sz w:val="72"/>
          <w:szCs w:val="44"/>
        </w:rPr>
      </w:r>
      <w:r/>
    </w:p>
    <w:p>
      <w:pPr>
        <w:pStyle w:val="774"/>
        <w:rPr>
          <w:rFonts w:hAnsi="宋体"/>
          <w:b/>
          <w:sz w:val="72"/>
          <w:szCs w:val="44"/>
        </w:rPr>
      </w:pPr>
      <w:r>
        <w:rPr>
          <w:rFonts w:hAnsi="宋体"/>
          <w:b/>
          <w:sz w:val="72"/>
          <w:szCs w:val="44"/>
        </w:rPr>
      </w:r>
      <w:r/>
    </w:p>
    <w:p>
      <w:pPr>
        <w:pStyle w:val="779"/>
      </w:pPr>
      <w:r/>
      <w:r/>
    </w:p>
    <w:p>
      <w:pPr>
        <w:pStyle w:val="828"/>
        <w:jc w:val="center"/>
        <w:rPr>
          <w:rFonts w:hAnsi="宋体" w:eastAsia="宋体"/>
          <w:b/>
          <w:sz w:val="72"/>
          <w:szCs w:val="44"/>
        </w:rPr>
      </w:pPr>
      <w:r>
        <w:rPr>
          <w:rFonts w:hAnsi="宋体" w:eastAsia="宋体"/>
          <w:b/>
          <w:sz w:val="72"/>
          <w:szCs w:val="44"/>
        </w:rPr>
        <w:t xml:space="preserve">政 府 采 购 合 同</w:t>
      </w:r>
      <w:r/>
    </w:p>
    <w:p>
      <w:pPr>
        <w:pStyle w:val="828"/>
        <w:rPr>
          <w:rFonts w:hAnsi="宋体" w:eastAsia="宋体"/>
          <w:sz w:val="24"/>
          <w:szCs w:val="24"/>
        </w:rPr>
      </w:pPr>
      <w:r>
        <w:rPr>
          <w:rFonts w:hAnsi="宋体" w:eastAsia="宋体"/>
          <w:sz w:val="24"/>
          <w:szCs w:val="24"/>
        </w:rPr>
      </w:r>
      <w:r/>
    </w:p>
    <w:p>
      <w:pPr>
        <w:pStyle w:val="828"/>
        <w:rPr>
          <w:rFonts w:hAnsi="宋体" w:eastAsia="宋体"/>
          <w:sz w:val="24"/>
          <w:szCs w:val="24"/>
        </w:rPr>
      </w:pPr>
      <w:r>
        <w:rPr>
          <w:rFonts w:hAnsi="宋体" w:eastAsia="宋体"/>
          <w:sz w:val="24"/>
          <w:szCs w:val="24"/>
        </w:rPr>
      </w:r>
      <w:r/>
    </w:p>
    <w:p>
      <w:pPr>
        <w:pStyle w:val="828"/>
        <w:rPr>
          <w:rFonts w:hAnsi="宋体" w:eastAsia="宋体"/>
          <w:sz w:val="24"/>
          <w:szCs w:val="24"/>
        </w:rPr>
      </w:pPr>
      <w:r>
        <w:rPr>
          <w:rFonts w:hAnsi="宋体" w:eastAsia="宋体"/>
          <w:sz w:val="24"/>
          <w:szCs w:val="24"/>
        </w:rPr>
      </w:r>
      <w:r/>
    </w:p>
    <w:p>
      <w:pPr>
        <w:pStyle w:val="828"/>
        <w:rPr>
          <w:rFonts w:hAnsi="宋体" w:eastAsia="宋体"/>
          <w:sz w:val="32"/>
          <w:szCs w:val="32"/>
        </w:rPr>
      </w:pPr>
      <w:r>
        <w:rPr>
          <w:rFonts w:hAnsi="宋体" w:eastAsia="宋体"/>
          <w:sz w:val="32"/>
          <w:szCs w:val="32"/>
        </w:rPr>
      </w:r>
      <w:r/>
    </w:p>
    <w:p>
      <w:pPr>
        <w:pStyle w:val="828"/>
        <w:rPr>
          <w:rFonts w:hAnsi="宋体" w:eastAsia="宋体"/>
          <w:sz w:val="32"/>
          <w:szCs w:val="32"/>
        </w:rPr>
      </w:pPr>
      <w:r>
        <w:rPr>
          <w:rFonts w:hAnsi="宋体" w:eastAsia="宋体"/>
          <w:sz w:val="32"/>
          <w:szCs w:val="32"/>
        </w:rPr>
      </w:r>
      <w:r/>
    </w:p>
    <w:p>
      <w:pPr>
        <w:pStyle w:val="828"/>
        <w:ind w:firstLine="317"/>
        <w:keepLines w:val="0"/>
        <w:keepNext w:val="0"/>
        <w:pageBreakBefore w:val="0"/>
        <w:spacing w:line="360" w:lineRule="auto"/>
        <w:widowControl w:val="off"/>
        <w:rPr>
          <w:rFonts w:hAnsi="宋体" w:eastAsia="宋体"/>
          <w:sz w:val="28"/>
          <w:szCs w:val="28"/>
        </w:rPr>
      </w:pPr>
      <w:r>
        <w:rPr>
          <w:rFonts w:hAnsi="宋体" w:eastAsia="宋体"/>
          <w:sz w:val="28"/>
          <w:szCs w:val="28"/>
        </w:rPr>
        <w:t xml:space="preserve">项目编号：</w:t>
      </w:r>
      <w:r/>
    </w:p>
    <w:p>
      <w:pPr>
        <w:pStyle w:val="828"/>
        <w:ind w:firstLine="317"/>
        <w:keepLines w:val="0"/>
        <w:keepNext w:val="0"/>
        <w:pageBreakBefore w:val="0"/>
        <w:spacing w:line="360" w:lineRule="auto"/>
        <w:widowControl w:val="off"/>
        <w:rPr>
          <w:rFonts w:hAnsi="宋体" w:eastAsia="宋体"/>
          <w:sz w:val="28"/>
          <w:szCs w:val="28"/>
        </w:rPr>
      </w:pPr>
      <w:r>
        <w:rPr>
          <w:rFonts w:hAnsi="宋体" w:eastAsia="宋体"/>
          <w:sz w:val="28"/>
          <w:szCs w:val="28"/>
        </w:rPr>
        <w:t xml:space="preserve">项目名称：</w:t>
      </w:r>
      <w:r>
        <w:rPr>
          <w:rFonts w:hint="eastAsia" w:hAnsi="宋体" w:eastAsia="宋体"/>
          <w:sz w:val="28"/>
          <w:szCs w:val="16"/>
        </w:rPr>
        <w:t xml:space="preserve">奎河市区段绿地综合养护项目</w:t>
      </w:r>
      <w:r/>
    </w:p>
    <w:p>
      <w:pPr>
        <w:pStyle w:val="828"/>
        <w:ind w:firstLine="317"/>
        <w:keepLines w:val="0"/>
        <w:keepNext w:val="0"/>
        <w:pageBreakBefore w:val="0"/>
        <w:spacing w:line="360" w:lineRule="auto"/>
        <w:widowControl w:val="off"/>
        <w:rPr>
          <w:rFonts w:hAnsi="宋体" w:eastAsia="宋体"/>
          <w:sz w:val="28"/>
          <w:szCs w:val="28"/>
        </w:rPr>
      </w:pPr>
      <w:r>
        <w:rPr>
          <w:rFonts w:hAnsi="宋体" w:eastAsia="宋体"/>
          <w:sz w:val="28"/>
          <w:szCs w:val="28"/>
        </w:rPr>
        <w:t xml:space="preserve">采购单位：</w:t>
      </w:r>
      <w:r>
        <w:rPr>
          <w:rFonts w:hint="eastAsia" w:hAnsi="宋体" w:eastAsia="宋体"/>
          <w:sz w:val="28"/>
          <w:szCs w:val="28"/>
        </w:rPr>
        <w:t xml:space="preserve">徐州市水务局</w:t>
      </w:r>
      <w:r/>
    </w:p>
    <w:p>
      <w:pPr>
        <w:pStyle w:val="828"/>
        <w:ind w:firstLine="317"/>
        <w:keepLines w:val="0"/>
        <w:keepNext w:val="0"/>
        <w:pageBreakBefore w:val="0"/>
        <w:spacing w:line="360" w:lineRule="auto"/>
        <w:widowControl w:val="off"/>
        <w:rPr>
          <w:rFonts w:hAnsi="宋体" w:eastAsia="宋体"/>
          <w:sz w:val="28"/>
          <w:szCs w:val="28"/>
        </w:rPr>
      </w:pPr>
      <w:r>
        <w:rPr>
          <w:rFonts w:hAnsi="宋体" w:eastAsia="宋体"/>
          <w:sz w:val="28"/>
          <w:szCs w:val="28"/>
        </w:rPr>
        <w:t xml:space="preserve">成交供应商：</w:t>
      </w:r>
      <w:r/>
    </w:p>
    <w:p>
      <w:pPr>
        <w:pStyle w:val="828"/>
        <w:ind w:firstLine="317"/>
        <w:keepLines w:val="0"/>
        <w:keepNext w:val="0"/>
        <w:pageBreakBefore w:val="0"/>
        <w:spacing w:line="360" w:lineRule="auto"/>
        <w:widowControl w:val="off"/>
        <w:rPr>
          <w:rFonts w:hAnsi="宋体" w:eastAsia="宋体"/>
          <w:sz w:val="32"/>
          <w:szCs w:val="32"/>
        </w:rPr>
      </w:pPr>
      <w:r>
        <w:rPr>
          <w:rFonts w:hAnsi="宋体" w:eastAsia="宋体"/>
          <w:sz w:val="28"/>
          <w:szCs w:val="28"/>
        </w:rPr>
        <w:t xml:space="preserve">签订日期：    年 </w:t>
      </w:r>
      <w:r>
        <w:rPr>
          <w:rFonts w:hint="eastAsia" w:hAnsi="宋体" w:eastAsia="宋体"/>
          <w:sz w:val="28"/>
          <w:szCs w:val="28"/>
        </w:rPr>
        <w:t xml:space="preserve">  </w:t>
      </w:r>
      <w:r>
        <w:rPr>
          <w:rFonts w:hAnsi="宋体" w:eastAsia="宋体"/>
          <w:sz w:val="28"/>
          <w:szCs w:val="28"/>
        </w:rPr>
        <w:t xml:space="preserve"> 月 </w:t>
      </w:r>
      <w:r>
        <w:rPr>
          <w:rFonts w:hint="eastAsia" w:hAnsi="宋体" w:eastAsia="宋体"/>
          <w:sz w:val="28"/>
          <w:szCs w:val="28"/>
        </w:rPr>
        <w:t xml:space="preserve">  </w:t>
      </w:r>
      <w:r>
        <w:rPr>
          <w:rFonts w:hAnsi="宋体" w:eastAsia="宋体"/>
          <w:sz w:val="28"/>
          <w:szCs w:val="28"/>
        </w:rPr>
        <w:t xml:space="preserve"> 日</w:t>
      </w:r>
      <w:r/>
    </w:p>
    <w:p>
      <w:pPr>
        <w:pStyle w:val="829"/>
      </w:pPr>
      <w:r/>
      <w:r/>
    </w:p>
    <w:p>
      <w:pPr>
        <w:pStyle w:val="828"/>
        <w:ind w:firstLine="280"/>
        <w:rPr>
          <w:rFonts w:hAnsi="宋体" w:eastAsia="宋体"/>
          <w:sz w:val="28"/>
          <w:szCs w:val="24"/>
        </w:rPr>
      </w:pPr>
      <w:r>
        <w:rPr>
          <w:rFonts w:hAnsi="宋体" w:eastAsia="宋体"/>
          <w:sz w:val="28"/>
          <w:szCs w:val="24"/>
        </w:rPr>
      </w:r>
      <w:r/>
    </w:p>
    <w:p>
      <w:pPr>
        <w:pStyle w:val="828"/>
        <w:ind w:firstLine="280"/>
        <w:rPr>
          <w:rFonts w:hAnsi="宋体" w:eastAsia="宋体"/>
          <w:sz w:val="28"/>
          <w:szCs w:val="24"/>
        </w:rPr>
      </w:pPr>
      <w:r>
        <w:rPr>
          <w:rFonts w:hAnsi="宋体" w:eastAsia="宋体"/>
          <w:sz w:val="28"/>
          <w:szCs w:val="24"/>
        </w:rPr>
      </w:r>
      <w:r/>
    </w:p>
    <w:p>
      <w:pPr>
        <w:pStyle w:val="829"/>
      </w:pPr>
      <w:r/>
      <w:r/>
    </w:p>
    <w:p>
      <w:pPr>
        <w:pStyle w:val="828"/>
        <w:ind w:firstLine="280"/>
        <w:rPr>
          <w:rFonts w:hAnsi="宋体" w:eastAsia="宋体"/>
          <w:sz w:val="28"/>
          <w:szCs w:val="24"/>
        </w:rPr>
      </w:pPr>
      <w:r>
        <w:rPr>
          <w:rFonts w:hAnsi="宋体" w:eastAsia="宋体"/>
          <w:sz w:val="28"/>
          <w:szCs w:val="24"/>
        </w:rPr>
      </w:r>
      <w:r/>
    </w:p>
    <w:p>
      <w:pPr>
        <w:pStyle w:val="828"/>
        <w:ind w:firstLine="560"/>
        <w:rPr>
          <w:rFonts w:hAnsi="宋体" w:eastAsia="宋体"/>
          <w:sz w:val="28"/>
          <w:szCs w:val="24"/>
        </w:rPr>
      </w:pPr>
      <w:r>
        <w:rPr>
          <w:rFonts w:hAnsi="宋体" w:eastAsia="宋体"/>
          <w:sz w:val="28"/>
          <w:szCs w:val="24"/>
        </w:rPr>
      </w:r>
      <w:r/>
    </w:p>
    <w:p>
      <w:pPr>
        <w:pStyle w:val="828"/>
        <w:ind w:firstLine="560"/>
        <w:rPr>
          <w:rFonts w:hAnsi="宋体" w:eastAsia="宋体"/>
          <w:sz w:val="24"/>
          <w:szCs w:val="24"/>
        </w:rPr>
      </w:pPr>
      <w:r>
        <w:rPr>
          <w:rFonts w:hint="eastAsia" w:hAnsi="宋体" w:eastAsia="宋体"/>
          <w:sz w:val="24"/>
          <w:szCs w:val="22"/>
        </w:rPr>
        <w:t xml:space="preserve">友</w:t>
      </w:r>
      <w:r>
        <w:rPr>
          <w:rFonts w:hAnsi="宋体" w:eastAsia="宋体"/>
          <w:sz w:val="24"/>
          <w:szCs w:val="22"/>
        </w:rPr>
        <w:t xml:space="preserve">情提醒：采购人与中标、成交供应商应当在中标、成交通知书 发出之日起三十日内，按照采购文件确定的事项签订政府采购合同。 采购人应当自政府采购合同签订之日起 2 个工作日内，将政府采购合 同在省级以上人民政府财政部门指定的媒体上公告，但政府采购合同 中涉及国家秘密、商业秘密的内容除外。</w:t>
      </w:r>
      <w:r/>
    </w:p>
    <w:p>
      <w:pPr>
        <w:pStyle w:val="828"/>
        <w:rPr>
          <w:rFonts w:eastAsia="宋体"/>
        </w:rPr>
      </w:pPr>
      <w:r>
        <w:rPr>
          <w:rFonts w:eastAsia="宋体"/>
        </w:rPr>
      </w:r>
      <w:r/>
    </w:p>
    <w:p>
      <w:pPr>
        <w:rPr>
          <w:rFonts w:ascii="宋体" w:hAnsi="宋体" w:cs="宋体"/>
          <w:b/>
          <w:sz w:val="24"/>
          <w:szCs w:val="24"/>
        </w:rPr>
      </w:pPr>
      <w:r>
        <w:rPr>
          <w:rFonts w:hint="eastAsia" w:ascii="宋体" w:hAnsi="宋体" w:cs="宋体"/>
          <w:b/>
          <w:sz w:val="24"/>
          <w:szCs w:val="24"/>
        </w:rPr>
        <w:br w:type="page" w:clear="all"/>
      </w:r>
      <w:r/>
    </w:p>
    <w:p>
      <w:pPr>
        <w:ind w:right="0"/>
        <w:keepLines w:val="0"/>
        <w:keepNext w:val="0"/>
        <w:pageBreakBefore w:val="0"/>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甲方： 徐州市水务局                               </w:t>
      </w:r>
      <w:r/>
    </w:p>
    <w:p>
      <w:pPr>
        <w:ind w:right="0"/>
        <w:keepLines w:val="0"/>
        <w:keepNext w:val="0"/>
        <w:pageBreakBefore w:val="0"/>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乙方：                                            </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项目的采购结果，按照《中华人民共和国政府采购法》、《民法典》的规定，经双方协商，本着平等互利和诚实信用的原则，一致同意签订本合同如下。</w:t>
      </w:r>
      <w:r/>
    </w:p>
    <w:p>
      <w:pPr>
        <w:ind w:left="0" w:right="0" w:firstLine="482"/>
        <w:jc w:val="center"/>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合同期限</w:t>
      </w:r>
      <w:r/>
    </w:p>
    <w:p>
      <w:pPr>
        <w:ind w:left="0" w:right="0" w:firstLine="480"/>
        <w:keepLines w:val="0"/>
        <w:keepNext w:val="0"/>
        <w:pageBreakBefore w:val="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本合同期限为</w:t>
      </w:r>
      <w:r>
        <w:rPr>
          <w:rFonts w:hint="eastAsia" w:ascii="宋体" w:hAnsi="宋体" w:eastAsia="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年，从202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年11月1日至 202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年10月31日。</w:t>
      </w:r>
      <w:r/>
    </w:p>
    <w:p>
      <w:pPr>
        <w:ind w:left="0" w:right="0" w:firstLine="482"/>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482"/>
        <w:jc w:val="center"/>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项目情况</w:t>
      </w:r>
      <w:r/>
    </w:p>
    <w:p>
      <w:pPr>
        <w:ind w:left="0" w:right="0" w:firstLine="482"/>
        <w:keepLines w:val="0"/>
        <w:keepNext w:val="0"/>
        <w:pageBreakBefore w:val="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一、项目名称</w:t>
      </w:r>
      <w:r/>
    </w:p>
    <w:p>
      <w:pPr>
        <w:pStyle w:val="881"/>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奎河市区段绿地综合养护</w:t>
      </w:r>
      <w:r/>
    </w:p>
    <w:p>
      <w:pPr>
        <w:ind w:left="0" w:right="0" w:firstLine="482"/>
        <w:keepLines w:val="0"/>
        <w:keepNext w:val="0"/>
        <w:pageBreakBefore w:val="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bookmarkStart w:id="13" w:name="_Hlk173399163"/>
      <w:r>
        <w:rPr>
          <w:rFonts w:hint="eastAsia" w:ascii="宋体" w:hAnsi="宋体" w:eastAsia="宋体" w:cs="宋体"/>
          <w:b/>
          <w:bCs/>
          <w:color w:val="000000"/>
          <w:sz w:val="24"/>
          <w:szCs w:val="24"/>
        </w:rPr>
        <w:t xml:space="preserve">二、位置范围</w:t>
      </w:r>
      <w:r/>
    </w:p>
    <w:p>
      <w:pPr>
        <w:ind w:left="0" w:right="0"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苏堤路桥向北至道平桥；兴隆桥向南至欣欣路桥铜泉交界处（含迎宾游园临河段、泰奎大沟调蓄池区域绿</w:t>
      </w:r>
      <w:r>
        <w:rPr>
          <w:rFonts w:hint="eastAsia" w:ascii="宋体" w:hAnsi="宋体" w:eastAsia="宋体" w:cs="宋体"/>
          <w:sz w:val="24"/>
          <w:szCs w:val="24"/>
          <w:highlight w:val="none"/>
        </w:rPr>
        <w:t xml:space="preserve">化、</w:t>
      </w:r>
      <w:r>
        <w:rPr>
          <w:rFonts w:hint="eastAsia" w:ascii="宋体" w:hAnsi="宋体" w:cs="宋体"/>
          <w:sz w:val="24"/>
          <w:szCs w:val="24"/>
          <w:highlight w:val="none"/>
          <w:lang w:val="en-US" w:eastAsia="zh-CN"/>
        </w:rPr>
        <w:t xml:space="preserve">市内</w:t>
      </w:r>
      <w:r>
        <w:rPr>
          <w:rFonts w:hint="eastAsia" w:ascii="宋体" w:hAnsi="宋体" w:eastAsia="宋体" w:cs="宋体"/>
          <w:sz w:val="24"/>
          <w:szCs w:val="24"/>
          <w:highlight w:val="none"/>
        </w:rPr>
        <w:t xml:space="preserve">段桥头盖板绿化</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种植槽</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溢洪道云龙山出口向东至溢洪桥）两岸管理范围内绿化</w:t>
      </w:r>
      <w:r>
        <w:rPr>
          <w:rFonts w:hint="eastAsia" w:ascii="宋体" w:hAnsi="宋体" w:eastAsia="宋体" w:cs="宋体"/>
          <w:color w:val="000000"/>
          <w:sz w:val="24"/>
          <w:szCs w:val="24"/>
        </w:rPr>
        <w:t xml:space="preserve">综合养护项目。</w:t>
      </w:r>
      <w:r/>
    </w:p>
    <w:p>
      <w:pPr>
        <w:ind w:left="0" w:right="0" w:firstLine="482"/>
        <w:keepLines w:val="0"/>
        <w:keepNext w:val="0"/>
        <w:pageBreakBefore w:val="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w:t>
      </w:r>
      <w:r>
        <w:rPr>
          <w:rFonts w:hint="eastAsia" w:ascii="宋体" w:hAnsi="宋体" w:eastAsia="宋体" w:cs="宋体"/>
          <w:b/>
          <w:bCs/>
          <w:sz w:val="24"/>
          <w:szCs w:val="24"/>
        </w:rPr>
        <w:t xml:space="preserve">项目内容</w:t>
      </w:r>
      <w:r/>
    </w:p>
    <w:p>
      <w:pPr>
        <w:pStyle w:val="781"/>
        <w:ind w:left="0" w:righ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本合同项目内容：奎河市区段</w:t>
      </w:r>
      <w:r>
        <w:rPr>
          <w:rFonts w:hint="eastAsia" w:ascii="宋体" w:hAnsi="宋体" w:eastAsia="宋体" w:cs="宋体"/>
          <w:color w:val="000000"/>
          <w:sz w:val="24"/>
          <w:szCs w:val="24"/>
        </w:rPr>
        <w:t xml:space="preserve">绿地综合养护</w:t>
      </w:r>
      <w:r>
        <w:rPr>
          <w:rFonts w:hint="eastAsia" w:ascii="宋体" w:hAnsi="宋体" w:eastAsia="宋体" w:cs="宋体"/>
          <w:sz w:val="24"/>
          <w:szCs w:val="24"/>
        </w:rPr>
        <w:t xml:space="preserve">[项目编号：</w:t>
      </w:r>
      <w:r>
        <w:rPr>
          <w:rFonts w:hint="eastAsia" w:ascii="宋体" w:hAnsi="宋体" w:eastAsia="宋体" w:cs="宋体"/>
          <w:strike w:val="0"/>
          <w:color w:val="ff0000"/>
          <w:sz w:val="24"/>
          <w:szCs w:val="24"/>
          <w:lang w:val="en-US" w:eastAsia="zh-CN"/>
        </w:rPr>
        <w:t xml:space="preserve">               </w:t>
      </w:r>
      <w:r>
        <w:rPr>
          <w:rFonts w:hint="eastAsia" w:ascii="宋体" w:hAnsi="宋体" w:eastAsia="宋体" w:cs="宋体"/>
          <w:sz w:val="24"/>
          <w:szCs w:val="24"/>
        </w:rPr>
        <w:t xml:space="preserve">]标段</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。详见招标文件[项目编号：</w:t>
      </w:r>
      <w:r>
        <w:rPr>
          <w:rFonts w:hint="eastAsia" w:ascii="宋体" w:hAnsi="宋体" w:eastAsia="宋体" w:cs="宋体"/>
          <w:strike w:val="0"/>
          <w:color w:val="ff0000"/>
          <w:sz w:val="24"/>
          <w:szCs w:val="24"/>
          <w:lang w:val="en-US" w:eastAsia="zh-CN"/>
        </w:rPr>
        <w:t xml:space="preserve">                </w:t>
      </w:r>
      <w:r>
        <w:rPr>
          <w:rFonts w:hint="eastAsia" w:ascii="宋体" w:hAnsi="宋体" w:eastAsia="宋体" w:cs="宋体"/>
          <w:sz w:val="24"/>
          <w:szCs w:val="24"/>
        </w:rPr>
        <w:t xml:space="preserve">]第六章《采购需求》。</w:t>
      </w:r>
      <w:bookmarkEnd w:id="13"/>
      <w:r/>
      <w:r/>
    </w:p>
    <w:p>
      <w:pPr>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标段一:(欣欣路桥—金山东路桥）绿地面积148980平方米；行道树1990株；种植槽、水生植物面积16200平方米；游步道、广场等硬化铺装面积21680平方米。奎河市区段管理范围内水利工程，灌溉排水设备，庭院灯、草坪灯等亮化照明</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亭</w:t>
      </w:r>
      <w:r>
        <w:rPr>
          <w:rFonts w:hint="eastAsia" w:ascii="宋体" w:hAnsi="宋体" w:eastAsia="宋体" w:cs="宋体"/>
          <w:color w:val="000000"/>
          <w:sz w:val="24"/>
          <w:szCs w:val="24"/>
          <w:highlight w:val="none"/>
        </w:rPr>
        <w:t xml:space="preserve">廊座椅、健身器材、安全警示设施等公共基础设施巡查看护。</w:t>
      </w:r>
      <w:r/>
    </w:p>
    <w:p>
      <w:pPr>
        <w:ind w:left="0" w:righ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标段二:(金山东路桥—苏堤路桥，含溢洪道段、迎宾游园段、泰奎大沟调蓄池</w:t>
      </w:r>
      <w:r>
        <w:rPr>
          <w:rFonts w:hint="eastAsia" w:ascii="宋体" w:hAnsi="宋体" w:eastAsia="宋体" w:cs="宋体"/>
          <w:sz w:val="24"/>
          <w:szCs w:val="24"/>
          <w:highlight w:val="none"/>
        </w:rPr>
        <w:t xml:space="preserve">；建国路段桥头盖板绿化）绿地面</w:t>
      </w:r>
      <w:r>
        <w:rPr>
          <w:rFonts w:hint="eastAsia" w:ascii="宋体" w:hAnsi="宋体" w:eastAsia="宋体" w:cs="宋体"/>
          <w:color w:val="000000"/>
          <w:sz w:val="24"/>
          <w:szCs w:val="24"/>
          <w:highlight w:val="none"/>
        </w:rPr>
        <w:t xml:space="preserve">积95382平方米；行道树2423株；种植槽、水生植物面积4245平方米；游步道、广场等硬化铺装面积7833平方米。奎河市区段管理范围内水利工程，灌溉排水设备，庭院灯、草坪灯等亮化照明，</w:t>
      </w:r>
      <w:r>
        <w:rPr>
          <w:rFonts w:hint="eastAsia" w:ascii="宋体" w:hAnsi="宋体" w:cs="宋体"/>
          <w:color w:val="000000"/>
          <w:sz w:val="24"/>
          <w:szCs w:val="24"/>
          <w:highlight w:val="none"/>
          <w:lang w:val="en-US" w:eastAsia="zh-CN"/>
        </w:rPr>
        <w:t xml:space="preserve">亭</w:t>
      </w:r>
      <w:r>
        <w:rPr>
          <w:rFonts w:hint="eastAsia" w:ascii="宋体" w:hAnsi="宋体" w:eastAsia="宋体" w:cs="宋体"/>
          <w:color w:val="000000"/>
          <w:sz w:val="24"/>
          <w:szCs w:val="24"/>
          <w:highlight w:val="none"/>
        </w:rPr>
        <w:t xml:space="preserve">廊座椅、健身器材、安全警示设施等</w:t>
      </w:r>
      <w:r>
        <w:rPr>
          <w:rFonts w:hint="eastAsia" w:ascii="宋体" w:hAnsi="宋体" w:eastAsia="宋体" w:cs="宋体"/>
          <w:color w:val="000000"/>
          <w:sz w:val="24"/>
          <w:szCs w:val="24"/>
        </w:rPr>
        <w:t xml:space="preserve">公共基础设施巡查看护。</w:t>
      </w:r>
      <w:r/>
    </w:p>
    <w:p>
      <w:pPr>
        <w:ind w:left="0" w:right="0" w:firstLine="482"/>
        <w:keepLines w:val="0"/>
        <w:keepNext w:val="0"/>
        <w:pageBreakBefore w:val="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四、养护标准</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一级乙类</w:t>
      </w:r>
      <w:r/>
    </w:p>
    <w:p>
      <w:pPr>
        <w:ind w:left="0" w:right="0" w:firstLine="482"/>
        <w:keepLines w:val="0"/>
        <w:keepNext w:val="0"/>
        <w:pageBreakBefore w:val="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五、养护期限</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同招标期：</w:t>
      </w:r>
      <w:r>
        <w:rPr>
          <w:rFonts w:hint="eastAsia" w:ascii="宋体" w:hAnsi="宋体" w:eastAsia="宋体" w:cs="宋体"/>
          <w:color w:val="000000"/>
          <w:sz w:val="24"/>
          <w:szCs w:val="24"/>
          <w:lang w:val="en-US" w:eastAsia="zh-CN"/>
        </w:rPr>
        <w:t xml:space="preserve">叁</w:t>
      </w:r>
      <w:r>
        <w:rPr>
          <w:rFonts w:hint="eastAsia" w:ascii="宋体" w:hAnsi="宋体" w:eastAsia="宋体" w:cs="宋体"/>
          <w:color w:val="000000"/>
          <w:sz w:val="24"/>
          <w:szCs w:val="24"/>
        </w:rPr>
        <w:t xml:space="preserve">年</w:t>
      </w:r>
      <w:r/>
    </w:p>
    <w:p>
      <w:pPr>
        <w:ind w:left="0" w:right="0" w:firstLine="482"/>
        <w:jc w:val="center"/>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合同价款与支付</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一、合同价款的确定：</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合同总价：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（大写）。每月养护管理费为合同总价的1/</w:t>
      </w:r>
      <w:r>
        <w:rPr>
          <w:rFonts w:hint="eastAsia" w:ascii="宋体" w:hAnsi="宋体" w:cs="宋体"/>
          <w:color w:val="000000"/>
          <w:sz w:val="24"/>
          <w:szCs w:val="24"/>
          <w:lang w:val="en-US" w:eastAsia="zh-CN"/>
        </w:rPr>
        <w:t xml:space="preserve">36</w:t>
      </w:r>
      <w:r>
        <w:rPr>
          <w:rFonts w:hint="eastAsia" w:ascii="宋体" w:hAnsi="宋体" w:eastAsia="宋体" w:cs="宋体"/>
          <w:color w:val="000000"/>
          <w:sz w:val="24"/>
          <w:szCs w:val="24"/>
        </w:rPr>
        <w:t xml:space="preserve">，为：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二、合同价款的支付：</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（一）付款方式一：提交预付款保函的</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合同价款的百分之三十(30%)即￥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元整，在双方签订合同后15天内，乙方向甲方出具等额预付款保函后，办理政府采购资金结算手续支付给乙方。</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甲方于每月月底前对乙方当月管理情况，按照合同附件进行考核汇总，次月按月度考核结果据实支付乙方上月服务费。</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乙方需提交的支付文件包括：</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乙方出具的等额正式发票；</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（二）付款方式二：不提交预付款保函的</w:t>
      </w:r>
      <w:r/>
    </w:p>
    <w:p>
      <w:pPr>
        <w:ind w:left="0" w:right="0" w:firstLine="480"/>
        <w:keepLines w:val="0"/>
        <w:keepNext w:val="0"/>
        <w:pageBreakBefore w:val="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合同价款的百分之十(10%)即￥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，在双方签订合同后15天内，乙方提供对应金额的发票,甲方支付预付款给乙方。</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甲方于每月月底前根据乙方当月管理情况进行考核汇总，按月度考核结果结算乙方当月绿化养护费。从签订合同次月开始，每月</w:t>
      </w:r>
      <w:r>
        <w:rPr>
          <w:rFonts w:hint="eastAsia" w:ascii="宋体" w:hAnsi="宋体" w:eastAsia="宋体" w:cs="宋体"/>
          <w:sz w:val="24"/>
          <w:szCs w:val="24"/>
        </w:rPr>
        <w:t xml:space="preserve">支付绿化养护费。预付款从第一次支付绿化养护费时开始扣除。</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①</w:t>
      </w:r>
      <w:r>
        <w:rPr>
          <w:rFonts w:hint="eastAsia" w:ascii="宋体" w:hAnsi="宋体" w:eastAsia="宋体" w:cs="宋体"/>
          <w:bCs/>
          <w:color w:val="000000" w:themeColor="text1"/>
          <w:sz w:val="24"/>
          <w:highlight w:val="none"/>
          <w14:textFill>
            <w14:solidFill>
              <w14:schemeClr w14:val="tx1"/>
            </w14:solidFill>
          </w14:textFill>
        </w:rPr>
        <w:t xml:space="preserve">当月考核成绩在95分以上（含95分），全额支付当月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管理经费；</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②</w:t>
      </w:r>
      <w:r>
        <w:rPr>
          <w:rFonts w:hint="eastAsia" w:ascii="宋体" w:hAnsi="宋体" w:eastAsia="宋体" w:cs="宋体"/>
          <w:bCs/>
          <w:color w:val="000000" w:themeColor="text1"/>
          <w:sz w:val="24"/>
          <w:highlight w:val="none"/>
          <w14:textFill>
            <w14:solidFill>
              <w14:schemeClr w14:val="tx1"/>
            </w14:solidFill>
          </w14:textFill>
        </w:rPr>
        <w:t xml:space="preserve">当月考核成绩在95-90分（含90分）之间的，当月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管理经费扣除金额为：（95-考核成绩）/100*当月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管理费；</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③</w:t>
      </w:r>
      <w:r>
        <w:rPr>
          <w:rFonts w:hint="eastAsia" w:ascii="宋体" w:hAnsi="宋体" w:eastAsia="宋体" w:cs="宋体"/>
          <w:bCs/>
          <w:color w:val="000000" w:themeColor="text1"/>
          <w:sz w:val="24"/>
          <w:highlight w:val="none"/>
          <w14:textFill>
            <w14:solidFill>
              <w14:schemeClr w14:val="tx1"/>
            </w14:solidFill>
          </w14:textFill>
        </w:rPr>
        <w:t xml:space="preserve">当月考核成绩在90-80分（含80分）之间的，当月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管理经费扣除金额为：（95-考核成绩）/100*当月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管理费*2；</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④</w:t>
      </w:r>
      <w:r>
        <w:rPr>
          <w:rFonts w:hint="eastAsia" w:ascii="宋体" w:hAnsi="宋体" w:eastAsia="宋体" w:cs="宋体"/>
          <w:bCs/>
          <w:color w:val="000000" w:themeColor="text1"/>
          <w:sz w:val="24"/>
          <w:highlight w:val="none"/>
          <w14:textFill>
            <w14:solidFill>
              <w14:schemeClr w14:val="tx1"/>
            </w14:solidFill>
          </w14:textFill>
        </w:rPr>
        <w:t xml:space="preserve">当月考核成绩在80分以下为不合格，当月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管理经费扣除金额为：当月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管理费*50%；</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⑤</w:t>
      </w:r>
      <w:r>
        <w:rPr>
          <w:rFonts w:hint="eastAsia" w:ascii="宋体" w:hAnsi="宋体" w:eastAsia="宋体" w:cs="宋体"/>
          <w:bCs/>
          <w:color w:val="000000" w:themeColor="text1"/>
          <w:sz w:val="24"/>
          <w:highlight w:val="none"/>
          <w14:textFill>
            <w14:solidFill>
              <w14:schemeClr w14:val="tx1"/>
            </w14:solidFill>
          </w14:textFill>
        </w:rPr>
        <w:t xml:space="preserve">连续2个月考核不合格或一年内累计3个月考核不合格，甲方有权解除</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乙方的合同。</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在签订合同时，如乙方明确表示无需预付款的，服务费用按月进行考核，根据考核得分情况，按月减去考核扣除金额进行支付。(注:此条符合苏财购(2020)52号文件要求)</w:t>
      </w:r>
      <w:r/>
    </w:p>
    <w:p>
      <w:pPr>
        <w:pStyle w:val="764"/>
        <w:rPr>
          <w:rFonts w:hint="eastAsia"/>
          <w:highlight w:val="none"/>
          <w:lang w:val="en-US" w:eastAsia="zh-CN"/>
        </w:rPr>
      </w:pPr>
      <w:r>
        <w:rPr>
          <w:rFonts w:hint="eastAsia"/>
          <w:highlight w:val="none"/>
          <w:lang w:val="en-US" w:eastAsia="zh-CN"/>
        </w:rPr>
      </w:r>
      <w:r/>
    </w:p>
    <w:p>
      <w:pPr>
        <w:jc w:val="center"/>
        <w:keepLines w:val="0"/>
        <w:keepNext w:val="0"/>
        <w:pageBreakBefore w:val="0"/>
        <w:spacing w:beforeAutospacing="0" w:afterAutospacing="0" w:line="480" w:lineRule="exact"/>
        <w:widowControl/>
        <w:tabs>
          <w:tab w:val="left" w:pos="294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履约保证金</w:t>
      </w:r>
      <w:r/>
    </w:p>
    <w:p>
      <w:pPr>
        <w:ind w:firstLine="480"/>
        <w:jc w:val="left"/>
        <w:keepLines w:val="0"/>
        <w:keepNext w:val="0"/>
        <w:pageBreakBefore w:val="0"/>
        <w:spacing w:beforeAutospacing="0" w:afterAutospacing="0" w:line="480" w:lineRule="exact"/>
        <w:widowControl/>
        <w:tabs>
          <w:tab w:val="left" w:pos="2940" w:leader="none"/>
        </w:tabs>
        <w:rPr>
          <w:rFonts w:hint="default"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乙方应在签订合同之前向甲方交纳合同总价的</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highlight w:val="none"/>
          <w14:textFill>
            <w14:solidFill>
              <w14:schemeClr w14:val="tx1"/>
            </w14:solidFill>
          </w14:textFill>
        </w:rPr>
        <w:t xml:space="preserve">%作为履约保证金，</w:t>
      </w:r>
      <w:r>
        <w:rPr>
          <w:rFonts w:hint="eastAsia" w:ascii="宋体" w:hAnsi="宋体" w:eastAsia="宋体" w:cs="宋体"/>
          <w:bCs/>
          <w:color w:val="000000" w:themeColor="text1"/>
          <w:sz w:val="24"/>
          <w:highlight w:val="none"/>
          <w:lang w:eastAsia="zh-CN"/>
          <w14:textFill>
            <w14:solidFill>
              <w14:schemeClr w14:val="tx1"/>
            </w14:solidFill>
          </w14:textFill>
        </w:rPr>
        <w:t xml:space="preserve">履约保证金应当以金融机构、担保机构出具的保函等非现金形式提交。</w:t>
      </w:r>
      <w:r>
        <w:rPr>
          <w:rFonts w:hint="eastAsia" w:ascii="宋体" w:hAnsi="宋体" w:eastAsia="宋体" w:cs="宋体"/>
          <w:bCs/>
          <w:color w:val="000000" w:themeColor="text1"/>
          <w:sz w:val="24"/>
          <w:highlight w:val="none"/>
          <w14:textFill>
            <w14:solidFill>
              <w14:schemeClr w14:val="tx1"/>
            </w14:solidFill>
          </w14:textFill>
        </w:rPr>
        <w:t xml:space="preserve">合同期内一旦履约保证金被扣完，甲方有权终止合同。合同期满后，</w:t>
      </w:r>
      <w:r>
        <w:rPr>
          <w:rFonts w:hint="eastAsia" w:ascii="宋体" w:hAnsi="宋体" w:eastAsia="宋体" w:cs="宋体"/>
          <w:bCs/>
          <w:color w:val="000000" w:themeColor="text1"/>
          <w:sz w:val="24"/>
          <w:highlight w:val="none"/>
          <w:lang w:eastAsia="zh-CN"/>
          <w14:textFill>
            <w14:solidFill>
              <w14:schemeClr w14:val="tx1"/>
            </w14:solidFill>
          </w14:textFill>
        </w:rPr>
        <w:t xml:space="preserve">结算违约赔偿（如有）后</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7个工作日内无息退还给乙方。乙方需出具甲方提供的《验收书》，如未提供，履约保证金不予退还。</w:t>
      </w:r>
      <w:r/>
    </w:p>
    <w:p>
      <w:pPr>
        <w:ind w:right="0"/>
        <w:jc w:val="center"/>
        <w:keepLines w:val="0"/>
        <w:keepNext w:val="0"/>
        <w:pageBreakBefore w:val="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质量与考核</w:t>
      </w:r>
      <w:r/>
    </w:p>
    <w:p>
      <w:pPr>
        <w:pStyle w:val="77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w:t>
      </w:r>
      <w:r>
        <w:rPr>
          <w:rFonts w:hint="eastAsia" w:ascii="宋体" w:hAnsi="宋体" w:eastAsia="宋体" w:cs="宋体"/>
          <w:bCs/>
          <w:color w:val="000000" w:themeColor="text1"/>
          <w:sz w:val="24"/>
          <w:highlight w:val="none"/>
          <w14:textFill>
            <w14:solidFill>
              <w14:schemeClr w14:val="tx1"/>
            </w14:solidFill>
          </w14:textFill>
        </w:rPr>
        <w:t xml:space="preserve">徐州市地方标准DB 3203/502-20</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highlight w:val="none"/>
          <w14:textFill>
            <w14:solidFill>
              <w14:schemeClr w14:val="tx1"/>
            </w14:solidFill>
          </w14:textFill>
        </w:rPr>
        <w:t xml:space="preserve">《园林绿化养护管理规范》</w:t>
      </w:r>
      <w:r>
        <w:rPr>
          <w:rFonts w:hint="eastAsia" w:ascii="宋体" w:hAnsi="宋体" w:eastAsia="宋体" w:cs="宋体"/>
          <w:color w:val="000000"/>
          <w:sz w:val="24"/>
          <w:szCs w:val="24"/>
          <w:highlight w:val="none"/>
        </w:rPr>
        <w:t xml:space="preserve">和徐州市相关规定为准。</w:t>
      </w:r>
      <w:r/>
    </w:p>
    <w:p>
      <w:pPr>
        <w:ind w:left="0" w:right="0" w:firstLine="480"/>
        <w:keepLines w:val="0"/>
        <w:keepNext w:val="0"/>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绿地养护管理要点及内容</w:t>
      </w:r>
      <w:r/>
    </w:p>
    <w:p>
      <w:pPr>
        <w:ind w:left="0" w:right="0" w:firstLine="480"/>
        <w:keepLines w:val="0"/>
        <w:keepNext w:val="0"/>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一、园艺管理、病虫害防治部分</w:t>
      </w:r>
      <w:r/>
    </w:p>
    <w:p>
      <w:pPr>
        <w:ind w:left="0" w:right="0" w:firstLine="480"/>
        <w:keepLines w:val="0"/>
        <w:keepNext w:val="0"/>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严格按照</w:t>
      </w:r>
      <w:r>
        <w:rPr>
          <w:rFonts w:hint="eastAsia" w:ascii="宋体" w:hAnsi="宋体" w:eastAsia="宋体" w:cs="宋体"/>
          <w:bCs/>
          <w:color w:val="000000" w:themeColor="text1"/>
          <w:sz w:val="24"/>
          <w:highlight w:val="none"/>
          <w14:textFill>
            <w14:solidFill>
              <w14:schemeClr w14:val="tx1"/>
            </w14:solidFill>
          </w14:textFill>
        </w:rPr>
        <w:t xml:space="preserve">徐州市地方标准DB 3203/502-20</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highlight w:val="none"/>
          <w14:textFill>
            <w14:solidFill>
              <w14:schemeClr w14:val="tx1"/>
            </w14:solidFill>
          </w14:textFill>
        </w:rPr>
        <w:t xml:space="preserve">《园林绿化养护管理规范》</w:t>
      </w:r>
      <w:r>
        <w:rPr>
          <w:rFonts w:hint="eastAsia" w:ascii="宋体" w:hAnsi="宋体" w:eastAsia="宋体" w:cs="宋体"/>
          <w:color w:val="000000"/>
          <w:sz w:val="24"/>
          <w:szCs w:val="24"/>
          <w:highlight w:val="none"/>
        </w:rPr>
        <w:t xml:space="preserve">进行养护管理。</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其他</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奎河市区段沿线绿地内设施完好无损，无乱贴乱画现象，安排专门秩序巡查人员，负责对管理区域内的座凳、木质铺装、PVC护栏、亮化、大理石护栏等公共设施和闸门、泵站等水利工程设施的日常看护和夜间巡视，对管理区域内因管理不善造成人为破坏的座凳、木质铺装等公共设施负责修缮、维护。保持公共设施完好无损。</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负责对管理区域内绿地，游步道、广场等硬化铺装，道路、桥梁等的垃圾捡拾（市区奎河苏堤桥至奎河津浦铁路桥、泄洪道两侧原已经招标的道路保洁面积除外），奎河津浦铁路桥至欣欣路桥南铜泉交界处两岸堤坝管理范围内，做到无垃圾杂物，无干枯枝叶，捡拾垃圾能及时清运，重点地区随产随清，其他地区日产日清。捡拾垃圾清运到市环卫部门指定的倾放处。</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3、负责对管理区域内的秩序管理，无设摊摆卖，无拴挂、无宠物入绿地，无自行车、机动车、电动车入绿地，无践踏绿地和其他破坏绿化的行为；绿地内秩序井然，水面无垂钓、游泳现象。</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4、台账记录详细如实。</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5、确保甲方在上级各种检查以及各类创建评比活动中不失分，做到批评投诉少。</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6、履行合同承诺，每个分区绿地内有固定养护人员进行日常养护。</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7、养护单位须配备必要的种植、运输工具，负责养护范围内的树林修补、种植、迁移工作。</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8、负责养护范围内的绿地、树木、球类、模纹等及水生植物的修剪、施肥、除草、浇水等日常养护工作。</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9、负责对养护管理范围内绿地养护并对养护管理范围内因养护管理不当造成死亡的树木、草坪、地被等，由乙方及时补种、完善。</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10、按要求每月将苗林生长情况及日常养护计划</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人员安排计划上报徐州市河湖管理中心。</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11、如遇市政工程、重大活动时，乙方应派人员，做好绿地的维护管理工作，保证绿化及设施完好。</w:t>
      </w:r>
      <w:r/>
    </w:p>
    <w:p>
      <w:pPr>
        <w:ind w:left="0" w:right="0" w:firstLine="482"/>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w:t>
      </w:r>
      <w:r>
        <w:rPr>
          <w:rFonts w:hint="eastAsia" w:ascii="宋体" w:hAnsi="宋体" w:eastAsia="宋体" w:cs="宋体"/>
          <w:sz w:val="24"/>
          <w:szCs w:val="24"/>
        </w:rPr>
        <w:t xml:space="preserve">工作人员要求：</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工作人员人数见乙方投标文件承诺，在不低于总人数的情况下，合理安排标段内重要位置的工作人员数量。工作人员具体要求如下；</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1、工作人员应穿戴统一服装，遵守徐州市河湖管理中心奎河市区段绿地管护有关规定，施工现场有明显标志，有管理人员管理。</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2、确保24小时应急服务和承诺服务工作，值班人员及联系电话保持24小时畅通。</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3、项目负责人必须常年在现场，并且不得同时担任其他任何项目的项目负责人。</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三、考核验收标准：</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以《徐州市河湖管理中心奎河市区段绿地管护考核办法》（附件一）和《徐州市河湖管理中心奎河市区段绿地管护检查评分考核细则》（附件二）为依据。</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2"/>
        <w:jc w:val="center"/>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甲乙双方的权利和义务</w:t>
      </w:r>
      <w:r/>
    </w:p>
    <w:p>
      <w:pPr>
        <w:ind w:left="0" w:right="0" w:firstLine="482"/>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一、甲方的权利和义务</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1、甲方对乙方成交项目有实施日常检查、考核、管理的权利。</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2、甲方可对乙方存在问题作限期整改要求，整改费用由乙方承担。</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3、甲方需确保乙方成交项目费用（按照甲方出具的考核结果）次月按时到位。</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4、甲方检查人员必须公平、公开、公正检查考核。</w:t>
      </w:r>
      <w:r/>
    </w:p>
    <w:p>
      <w:pPr>
        <w:ind w:left="0" w:right="0" w:firstLine="482"/>
        <w:keepLines w:val="0"/>
        <w:keepNext w:val="0"/>
        <w:pageBreakBefore w:val="0"/>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二、乙方的权利和义务</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1、乙方与甲方签订合同后15日内，应按照中标金额的5%提供履约保函。</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2、乙方应自觉接受甲方的检查、考核、指导和监督。</w:t>
      </w:r>
      <w:r/>
    </w:p>
    <w:p>
      <w:pPr>
        <w:ind w:left="0" w:right="0"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3、乙方必须保证不得雇用18周岁以下和6</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周岁（女5</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周岁）以上的养护人员，如出现乙方雇用18周岁以下和6</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周岁（女</w:t>
      </w:r>
      <w:r>
        <w:rPr>
          <w:rFonts w:hint="eastAsia" w:ascii="宋体" w:hAnsi="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rPr>
        <w:t xml:space="preserve">周岁）以上的养护人员，甲方有权单方终止合同。</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4、乙方必须</w:t>
      </w:r>
      <w:r>
        <w:rPr>
          <w:rFonts w:hint="eastAsia" w:ascii="宋体" w:hAnsi="宋体" w:eastAsia="宋体" w:cs="宋体"/>
          <w:sz w:val="24"/>
          <w:szCs w:val="24"/>
        </w:rPr>
        <w:t xml:space="preserve">按照投标文件承诺配备相关人员</w:t>
      </w:r>
      <w:r>
        <w:rPr>
          <w:rFonts w:hint="eastAsia" w:ascii="宋体" w:hAnsi="宋体" w:eastAsia="宋体" w:cs="宋体"/>
          <w:color w:val="000000"/>
          <w:sz w:val="24"/>
          <w:szCs w:val="24"/>
        </w:rPr>
        <w:t xml:space="preserve">，如发现相关人员到岗率低于90%，甲方有权单方终止，造成的损失从乙方履约保函中扣除。</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5、成交项目养护期间内，乙方所需要的作业、管理、机具停放等用房、用地由乙方自行解决。</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6、乙方要加强工作人员的安全教育，完善相关措施，成交项目养护期间内如遇人身伤亡事故，均由乙方负责，与甲方无关。</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2"/>
        <w:jc w:val="center"/>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违约责任</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一、乙方须指定专人分区负责养护管理，如违约或因养护管理不善而造成绿化大面积伤亡损失的，由乙方赔偿相应损失，并承担全部违约责任。</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二、在养护管理责任期内，如乙方10日内不进行日常养护管理或单方中途退出养护管理的，对甲方造成的任何损失由乙方承担。</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对某些需紧急处置的情况，在接到甲方通知后，乙方应无条件在规定时间内完成。乙方如处置不及时，甲方有权指派其他队伍进场，乙方连续2次整改不合格或连续2次考核80分以下或全年累计3次考核80分以下的，甲方有权清退乙方，并由乙方承担所有损失。</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四、上级部门考核评比等活动中一旦出现严重失分或受到上级问责，甲方有权终止合同，并由乙方承担所有损失。</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五、乙方未经甲方书面同意擅自转包，甲方有权终止合</w:t>
      </w:r>
      <w:r>
        <w:rPr>
          <w:rFonts w:hint="eastAsia" w:ascii="宋体" w:hAnsi="宋体" w:eastAsia="宋体" w:cs="宋体"/>
          <w:sz w:val="24"/>
          <w:szCs w:val="24"/>
        </w:rPr>
        <w:t xml:space="preserve">同，造成的损失从乙方履约保函中扣除。</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六、合同期满后，甲乙双方共同清点苗木及设施，对照接收时的清单若发生苗木缺株或设施被盗。按清点当月市场价赔偿，并在履约保函和</w:t>
      </w:r>
      <w:r>
        <w:rPr>
          <w:rFonts w:hint="eastAsia" w:ascii="宋体" w:hAnsi="宋体" w:eastAsia="宋体" w:cs="宋体"/>
          <w:color w:val="000000"/>
          <w:sz w:val="24"/>
          <w:szCs w:val="24"/>
        </w:rPr>
        <w:t xml:space="preserve">合同价款中扣除。</w:t>
      </w:r>
      <w:r/>
    </w:p>
    <w:p>
      <w:pPr>
        <w:ind w:right="0"/>
        <w:jc w:val="both"/>
        <w:keepLines w:val="0"/>
        <w:keepNext w:val="0"/>
        <w:pageBreakBefore w:val="0"/>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right="0"/>
        <w:jc w:val="center"/>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其它</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一、养护管理中，如出现人身伤亡事故，由乙方承担全部责任，与甲方无涉。</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二、乙方中标后，签订合同之前，甲、乙双方应及时清点养护范围内的树木，本合同一式</w:t>
      </w:r>
      <w:r>
        <w:rPr>
          <w:rFonts w:hint="eastAsia" w:ascii="宋体" w:hAnsi="宋体" w:cs="宋体"/>
          <w:color w:val="000000"/>
          <w:sz w:val="24"/>
          <w:szCs w:val="24"/>
          <w:lang w:val="en-US" w:eastAsia="zh-CN"/>
        </w:rPr>
        <w:t xml:space="preserve">贰</w:t>
      </w:r>
      <w:r>
        <w:rPr>
          <w:rFonts w:hint="eastAsia" w:ascii="宋体" w:hAnsi="宋体" w:eastAsia="宋体" w:cs="宋体"/>
          <w:color w:val="000000"/>
          <w:sz w:val="24"/>
          <w:szCs w:val="24"/>
        </w:rPr>
        <w:t xml:space="preserve">份，具有同等法律效力，甲方一份，乙方一份。承包期满后，树木应保持现有数量和正常生长状态。</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三、在日常养护管理中，发现由于乙方养护或管理不当造成园林树木失去正常生长形态或死亡，乙方应及时进行处置、补植、补植的品种、规格应与原树木相同。同时，甲方将在月考核总评分中加以惩罚性扣分。</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四、承包面积若因故发生增减则承包款根据合同单价同比例增减。因工程建设或其它原因导致工程量增减较大的，经请示上级主管和财政部门后，另行核算养护经费。</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五、合同执行过程中，如国家、省、市等有关部门对养护管理标准和要求等作出重大调整的，按调整后的标准和要求执行。</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六、发生下列情况之一的将终止合同：</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1、检查考核过程中，发现有转包或分包行为的；</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2、合同期内不服从甲方或相关检查考核单位管理的；</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3、乙方连续2次整改不合格或连续2次考核80分以下或全年累计3次考核80分以下的；</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4、因养护管理措施不当，全年累计被市级及以上新闻媒体曝光2次或被上级问责的。</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甲方（签章）：_____________________________</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____________________________________</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邮编： ____________________________________</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 ____________________________________ </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____________________________________ </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法定代表人或授权代表(签名)： ______________ </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乙方（签章）： ____________________________</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____________________________________ </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邮编： ____________________________________ </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 ____________________________________ </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____________________________________ </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开户银行：________________________________       </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银行帐号： ________________________________  </w:t>
      </w:r>
      <w:r/>
    </w:p>
    <w:p>
      <w:pPr>
        <w:ind w:left="0" w:right="0" w:firstLine="480"/>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法定代表人或授权代表(签名)： ______________</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                           </w:t>
      </w:r>
      <w:r/>
    </w:p>
    <w:p>
      <w:pPr>
        <w:ind w:left="0" w:right="0" w:firstLine="482"/>
        <w:jc w:val="center"/>
        <w:keepLines w:val="0"/>
        <w:keepNext w:val="0"/>
        <w:pageBreakBefore w:val="0"/>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482"/>
        <w:jc w:val="center"/>
        <w:keepLines w:val="0"/>
        <w:keepNext w:val="0"/>
        <w:pageBreakBefore w:val="0"/>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482"/>
        <w:jc w:val="center"/>
        <w:keepLines w:val="0"/>
        <w:keepNext w:val="0"/>
        <w:pageBreakBefore w:val="0"/>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482"/>
        <w:jc w:val="center"/>
        <w:keepLines w:val="0"/>
        <w:keepNext w:val="0"/>
        <w:pageBreakBefore w:val="0"/>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szCs w:val="24"/>
        </w:rPr>
      </w:r>
      <w:r/>
    </w:p>
    <w:p>
      <w:pPr>
        <w:ind w:right="0"/>
        <w:jc w:val="center"/>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合同附件</w:t>
      </w:r>
      <w:r/>
    </w:p>
    <w:p>
      <w:pPr>
        <w:ind w:left="0" w:right="0" w:firstLine="482"/>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附件1：徐州市河湖管理中心奎河市区段绿地管护考核办法</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为加强对绿化中标公司的管理考核，进一步推行绿化养护市场化运行,根据《徐州市主城区绿地养护管理以奖代补考核暂行办法》，特制定本办法。</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一、考核对象</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通过政府采购确定承担市管绿地养护管理的各中标单位。</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二、考核程序</w:t>
      </w:r>
      <w:r/>
    </w:p>
    <w:p>
      <w:pPr>
        <w:ind w:left="0" w:right="0" w:firstLine="480"/>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（一）管理部门：徐州市河湖管理中心</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根据中心相关职责分工规定，由奎河管理所考核占比60%</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安全管理科考核占比40%开展该项目的管理考核。按月考核并建立健全的日常全面巡查、不定期抽查和</w:t>
      </w:r>
      <w:r>
        <w:rPr>
          <w:rFonts w:hint="eastAsia" w:ascii="宋体" w:hAnsi="宋体" w:eastAsia="宋体" w:cs="宋体"/>
          <w:sz w:val="24"/>
          <w:szCs w:val="24"/>
        </w:rPr>
        <w:t xml:space="preserve">社会监督：结合数字化、新闻媒体等反映情况进行扣分</w:t>
      </w:r>
      <w:r>
        <w:rPr>
          <w:rFonts w:hint="eastAsia" w:ascii="宋体" w:hAnsi="宋体" w:eastAsia="宋体" w:cs="宋体"/>
          <w:color w:val="000000"/>
          <w:sz w:val="24"/>
          <w:szCs w:val="24"/>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1、日常全面检查：奎河管理所安排专人检查，</w:t>
      </w:r>
      <w:r>
        <w:rPr>
          <w:rFonts w:hint="eastAsia" w:ascii="宋体" w:hAnsi="宋体" w:eastAsia="宋体" w:cs="宋体"/>
          <w:color w:val="000000" w:themeColor="text1"/>
          <w:sz w:val="24"/>
          <w:szCs w:val="24"/>
          <w14:textFill>
            <w14:solidFill>
              <w14:schemeClr w14:val="tx1"/>
            </w14:solidFill>
          </w14:textFill>
        </w:rPr>
        <w:t xml:space="preserve">每天对各标段的管理情况（包括人员到岗到位、统一着装、养护管理、保洁管理、垃圾清理等）进行巡查，发现问题记录存档；每周根据巡查记录和考核扣分标准，结合工作任务单完成情况、整改任务落实情况等，对各公司养护情况进行打分或者扣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sz w:val="24"/>
          <w:szCs w:val="24"/>
        </w:rPr>
        <w:t xml:space="preserve">确定无误经分管负责人签字后，交至安全管理科。</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2、抽查：安全管理科人员不定期对该项目服务质量进行抽检，并对每月考核成绩进行汇总，形成加权成绩。两方加权考核成绩的总和是每个月的最终成绩，作</w:t>
      </w:r>
      <w:r>
        <w:rPr>
          <w:rFonts w:hint="eastAsia" w:ascii="宋体" w:hAnsi="宋体" w:eastAsia="宋体" w:cs="宋体"/>
          <w:color w:val="auto"/>
          <w:sz w:val="24"/>
          <w:szCs w:val="24"/>
          <w:highlight w:val="none"/>
        </w:rPr>
        <w:t xml:space="preserve">为养护经费支付的依据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由安全管理科</w:t>
      </w:r>
      <w:r>
        <w:rPr>
          <w:rFonts w:hint="eastAsia" w:ascii="宋体" w:hAnsi="宋体" w:eastAsia="宋体" w:cs="宋体"/>
          <w:color w:val="auto"/>
          <w:sz w:val="24"/>
          <w:szCs w:val="24"/>
          <w:highlight w:val="none"/>
        </w:rPr>
        <w:t xml:space="preserve">报市财政申请支付管护经费。</w:t>
      </w:r>
      <w:r/>
    </w:p>
    <w:p>
      <w:pPr>
        <w:pStyle w:val="781"/>
        <w:ind w:left="0" w:righ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3、社会监督：结合数字化、新闻媒体等反映情况进行扣分。</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三、经费兑现方式</w:t>
      </w:r>
      <w:r/>
    </w:p>
    <w:p>
      <w:pPr>
        <w:pStyle w:val="781"/>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1、将合同养护经费平均分配到每个月中，按月支付兑现。</w:t>
      </w:r>
      <w:r/>
    </w:p>
    <w:p>
      <w:pPr>
        <w:ind w:left="0" w:right="0" w:firstLine="480"/>
        <w:keepLines w:val="0"/>
        <w:keepNext w:val="0"/>
        <w:pageBreakBefore w:val="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奎河管理所按月考核，并将考核结果汇总报至安全管理科，由安全管理科审核后按支付流程向财政申请经费，</w:t>
      </w:r>
      <w:r>
        <w:rPr>
          <w:rFonts w:hint="eastAsia" w:ascii="宋体" w:hAnsi="宋体" w:eastAsia="宋体" w:cs="宋体"/>
          <w:sz w:val="24"/>
          <w:szCs w:val="24"/>
          <w:highlight w:val="none"/>
        </w:rPr>
        <w:t xml:space="preserve">将根据财政资金拨付情况据实支付养护经费。</w:t>
      </w:r>
      <w:r/>
    </w:p>
    <w:p>
      <w:pPr>
        <w:ind w:left="0" w:right="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2、管理部门根据中标单位对所在标段养护内容的完成情况，完成效果及绿地维护等进行综合评定打分。</w:t>
      </w:r>
      <w:r/>
    </w:p>
    <w:p>
      <w:pPr>
        <w:ind w:left="0" w:right="0" w:firstLine="480"/>
        <w:keepLines w:val="0"/>
        <w:keepNext w:val="0"/>
        <w:pageBreakBefore w:val="0"/>
        <w:spacing w:line="360" w:lineRule="auto"/>
        <w:rPr>
          <w:rFonts w:hint="eastAsia" w:ascii="宋体" w:hAnsi="宋体" w:eastAsia="宋体" w:cs="宋体"/>
          <w:strike/>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3、每月月底前对当月养护管理情况进行考核汇总，次月月底前按照甲方出具的考核结果据实支付。</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①</w:t>
      </w:r>
      <w:r>
        <w:rPr>
          <w:rFonts w:hint="eastAsia" w:ascii="宋体" w:hAnsi="宋体" w:eastAsia="宋体" w:cs="宋体"/>
          <w:bCs/>
          <w:color w:val="000000" w:themeColor="text1"/>
          <w:sz w:val="24"/>
          <w:highlight w:val="none"/>
          <w14:textFill>
            <w14:solidFill>
              <w14:schemeClr w14:val="tx1"/>
            </w14:solidFill>
          </w14:textFill>
        </w:rPr>
        <w:t xml:space="preserve">当月考核成绩在95分以上（含95分），全额支付当月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管理经费；</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②</w:t>
      </w:r>
      <w:r>
        <w:rPr>
          <w:rFonts w:hint="eastAsia" w:ascii="宋体" w:hAnsi="宋体" w:eastAsia="宋体" w:cs="宋体"/>
          <w:bCs/>
          <w:color w:val="000000" w:themeColor="text1"/>
          <w:sz w:val="24"/>
          <w:highlight w:val="none"/>
          <w14:textFill>
            <w14:solidFill>
              <w14:schemeClr w14:val="tx1"/>
            </w14:solidFill>
          </w14:textFill>
        </w:rPr>
        <w:t xml:space="preserve">当月考核成绩在95-90分（含90分）之间的，当月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管理经费扣除金额为：（95-考核成绩）/100*当月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管理费；</w:t>
      </w:r>
      <w:r/>
    </w:p>
    <w:p>
      <w:pPr>
        <w:ind w:firstLine="480"/>
        <w:jc w:val="left"/>
        <w:keepLines w:val="0"/>
        <w:keepNext w:val="0"/>
        <w:pageBreakBefore w:val="0"/>
        <w:spacing w:beforeAutospacing="0" w:afterAutospacing="0" w:line="480" w:lineRule="exact"/>
        <w:widowControl/>
        <w:tabs>
          <w:tab w:val="left" w:pos="294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③</w:t>
      </w:r>
      <w:r>
        <w:rPr>
          <w:rFonts w:hint="eastAsia" w:ascii="宋体" w:hAnsi="宋体" w:eastAsia="宋体" w:cs="宋体"/>
          <w:bCs/>
          <w:color w:val="000000" w:themeColor="text1"/>
          <w:sz w:val="24"/>
          <w:highlight w:val="none"/>
          <w14:textFill>
            <w14:solidFill>
              <w14:schemeClr w14:val="tx1"/>
            </w14:solidFill>
          </w14:textFill>
        </w:rPr>
        <w:t xml:space="preserve">当月考核成绩在90-80分（含80分）之间的，当月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管理经费扣除金额为：（95-考核成绩）/100*当月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管理费*2；</w:t>
      </w:r>
      <w:r/>
    </w:p>
    <w:p>
      <w:pPr>
        <w:ind w:firstLine="480"/>
        <w:jc w:val="left"/>
        <w:keepLines w:val="0"/>
        <w:keepNext w:val="0"/>
        <w:pageBreakBefore w:val="0"/>
        <w:spacing w:beforeAutospacing="0" w:afterAutospacing="0" w:line="480" w:lineRule="exact"/>
        <w:widowControl/>
        <w:tabs>
          <w:tab w:val="left" w:pos="2940" w:leader="none"/>
        </w:tabs>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④</w:t>
      </w:r>
      <w:r>
        <w:rPr>
          <w:rFonts w:hint="eastAsia" w:ascii="宋体" w:hAnsi="宋体" w:eastAsia="宋体" w:cs="宋体"/>
          <w:bCs/>
          <w:color w:val="000000" w:themeColor="text1"/>
          <w:sz w:val="24"/>
          <w:highlight w:val="none"/>
          <w14:textFill>
            <w14:solidFill>
              <w14:schemeClr w14:val="tx1"/>
            </w14:solidFill>
          </w14:textFill>
        </w:rPr>
        <w:t xml:space="preserve">当月考核成绩在80分以下为不合格，当月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管理经费扣除金额为：当月</w:t>
      </w:r>
      <w:r>
        <w:rPr>
          <w:rFonts w:hint="eastAsia" w:ascii="宋体" w:hAnsi="宋体" w:eastAsia="宋体" w:cs="宋体"/>
          <w:bCs/>
          <w:color w:val="000000" w:themeColor="text1"/>
          <w:sz w:val="24"/>
          <w:highlight w:val="none"/>
          <w:lang w:eastAsia="zh-CN"/>
          <w14:textFill>
            <w14:solidFill>
              <w14:schemeClr w14:val="tx1"/>
            </w14:solidFill>
          </w14:textFill>
        </w:rPr>
        <w:t xml:space="preserve">养护</w:t>
      </w:r>
      <w:r>
        <w:rPr>
          <w:rFonts w:hint="eastAsia" w:ascii="宋体" w:hAnsi="宋体" w:eastAsia="宋体" w:cs="宋体"/>
          <w:bCs/>
          <w:color w:val="000000" w:themeColor="text1"/>
          <w:sz w:val="24"/>
          <w:highlight w:val="none"/>
          <w14:textFill>
            <w14:solidFill>
              <w14:schemeClr w14:val="tx1"/>
            </w14:solidFill>
          </w14:textFill>
        </w:rPr>
        <w:t xml:space="preserve">管理费*50%</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br w:type="page" w:clear="all"/>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附件2：    徐州市河湖管理中心奎河市区段绿地管护检查评分考核细则</w:t>
      </w:r>
      <w:r/>
    </w:p>
    <w:p>
      <w:pPr>
        <w:ind w:left="420"/>
        <w:jc w:val="cente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color w:val="000000"/>
          <w:sz w:val="24"/>
        </w:rPr>
        <w:t xml:space="preserve"> </w:t>
      </w:r>
      <w:r/>
    </w:p>
    <w:tbl>
      <w:tblPr>
        <w:tblStyle w:val="803"/>
        <w:tblW w:w="93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022"/>
        <w:gridCol w:w="3313"/>
        <w:gridCol w:w="872"/>
        <w:gridCol w:w="3313"/>
      </w:tblGrid>
      <w:tr>
        <w:trPr>
          <w:jc w:val="center"/>
          <w:trHeight w:val="469"/>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ind w:firstLine="482"/>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考核内容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基本分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ind w:firstLine="482"/>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考核标准</w:t>
            </w:r>
            <w:r/>
          </w:p>
        </w:tc>
      </w:tr>
      <w:tr>
        <w:trPr>
          <w:jc w:val="center"/>
          <w:trHeight w:val="7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vMerge w:val="restart"/>
            <w:textDirection w:val="lrTb"/>
            <w:noWrap w:val="false"/>
          </w:tcPr>
          <w:p>
            <w:pPr>
              <w:jc w:val="righ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一、</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园</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林</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养</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护</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管</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理</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（70分）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2" w:type="dxa"/>
            <w:vAlign w:val="center"/>
            <w:vMerge w:val="restart"/>
            <w:textDirection w:val="lrTb"/>
            <w:noWrap w:val="false"/>
          </w:tcPr>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（一）</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树</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木</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养</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护</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1、树木在干旱的环境中应及时进行灌溉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1、树木周围土壤有板结现象，嫩叶发生枯焦每起扣分1分</w:t>
            </w:r>
            <w:r/>
          </w:p>
        </w:tc>
      </w:tr>
      <w:tr>
        <w:trPr>
          <w:jc w:val="center"/>
          <w:trHeight w:val="767"/>
        </w:trPr>
        <w:tc>
          <w:tcPr>
            <w:tcBorders>
              <w:top w:val="single" w:color="000000" w:sz="4" w:space="0"/>
              <w:left w:val="single" w:color="000000" w:sz="4" w:space="0"/>
              <w:bottom w:val="single" w:color="000000" w:sz="4" w:space="0"/>
              <w:right w:val="single" w:color="000000" w:sz="4" w:space="0"/>
            </w:tcBorders>
            <w:tcW w:w="825"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2、树木体眠期前要求施肥，树木生长期时根据长势施追肥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2、树木生长势不良，树叶枯黄，未按规定养护施肥的，每起扣分1分</w:t>
            </w:r>
            <w:r/>
          </w:p>
        </w:tc>
      </w:tr>
      <w:tr>
        <w:trPr>
          <w:jc w:val="center"/>
          <w:trHeight w:val="1387"/>
        </w:trPr>
        <w:tc>
          <w:tcPr>
            <w:tcBorders>
              <w:top w:val="single" w:color="000000" w:sz="4" w:space="0"/>
              <w:left w:val="single" w:color="000000" w:sz="4" w:space="0"/>
              <w:bottom w:val="single" w:color="000000" w:sz="4" w:space="0"/>
              <w:right w:val="single" w:color="000000" w:sz="4" w:space="0"/>
            </w:tcBorders>
            <w:tcW w:w="825"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3、树木应通过修剪调整树形，均衡树势，根据观赏要求经常对树木整形，修剪。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3、未对树木的徒长枝、病虫枝、扭伤枝及枯枝为烂头进行修剪，每起扣分1-3分，有观赏要求应经常修剪而未修剪的，每起扣分1-3分</w:t>
            </w:r>
            <w:r/>
          </w:p>
        </w:tc>
      </w:tr>
      <w:tr>
        <w:trPr>
          <w:jc w:val="center"/>
          <w:trHeight w:val="1167"/>
        </w:trPr>
        <w:tc>
          <w:tcPr>
            <w:tcBorders>
              <w:top w:val="single" w:color="000000" w:sz="4" w:space="0"/>
              <w:left w:val="single" w:color="000000" w:sz="4" w:space="0"/>
              <w:bottom w:val="single" w:color="000000" w:sz="4" w:space="0"/>
              <w:right w:val="single" w:color="000000" w:sz="4" w:space="0"/>
            </w:tcBorders>
            <w:tcW w:w="825"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4、树木在灾难性气候来临前，应采取立支柱、疏枝、打地桩等措施。风暴后抢救工作要及时。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4、灾难性气候来临前未进行有效防护的扣1-2分；灾后，24小时内未清理现场，对刮倒或歪斜的树木末进行修正处理的，每起扣分1-2分</w:t>
            </w:r>
            <w:r/>
          </w:p>
        </w:tc>
      </w:tr>
      <w:tr>
        <w:trPr>
          <w:jc w:val="center"/>
          <w:trHeight w:val="1163"/>
        </w:trPr>
        <w:tc>
          <w:tcPr>
            <w:tcBorders>
              <w:top w:val="single" w:color="000000" w:sz="4" w:space="0"/>
              <w:left w:val="single" w:color="000000" w:sz="4" w:space="0"/>
              <w:bottom w:val="single" w:color="000000" w:sz="4" w:space="0"/>
              <w:right w:val="single" w:color="000000" w:sz="4" w:space="0"/>
            </w:tcBorders>
            <w:tcW w:w="825"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5、树木缺株，无故死亡的要及时挖除并补种，补植的树木应适用原来树种、规格也应相近。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5、发现死树及死树未及时进行更换处理，每株扣2分，实种树木与原来树种差别较大而影响景观，每株扣3分</w:t>
            </w:r>
            <w:r/>
          </w:p>
        </w:tc>
      </w:tr>
      <w:tr>
        <w:trPr>
          <w:jc w:val="center"/>
        </w:trPr>
        <w:tc>
          <w:tcPr>
            <w:tcBorders>
              <w:top w:val="single" w:color="000000" w:sz="4" w:space="0"/>
              <w:left w:val="single" w:color="000000" w:sz="4" w:space="0"/>
              <w:bottom w:val="single" w:color="000000" w:sz="4" w:space="0"/>
              <w:right w:val="single" w:color="000000" w:sz="4" w:space="0"/>
            </w:tcBorders>
            <w:tcW w:w="825"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6、树上有影响生长的附着物（铁丝、钉子、杂藤等）要及时清除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6、发现树木上的附着物，每起扣1分</w:t>
            </w:r>
            <w:r/>
          </w:p>
        </w:tc>
      </w:tr>
      <w:tr>
        <w:trPr>
          <w:jc w:val="center"/>
          <w:trHeight w:val="1367"/>
        </w:trPr>
        <w:tc>
          <w:tcPr>
            <w:tcBorders>
              <w:top w:val="single" w:color="000000" w:sz="4" w:space="0"/>
              <w:left w:val="single" w:color="000000" w:sz="4" w:space="0"/>
              <w:bottom w:val="single" w:color="000000" w:sz="4" w:space="0"/>
              <w:right w:val="single" w:color="000000" w:sz="4" w:space="0"/>
            </w:tcBorders>
            <w:tcW w:w="825"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2" w:type="dxa"/>
            <w:vAlign w:val="center"/>
            <w:vMerge w:val="restart"/>
            <w:textDirection w:val="lrTb"/>
            <w:noWrap w:val="false"/>
          </w:tcPr>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（二）</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草</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坪</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地</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被</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养</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护</w:t>
            </w:r>
            <w:r/>
          </w:p>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(25分）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1、地被、色块植物每年应及时中耕除草、对枯死植物进行补种，植物叶面的灰尘应适时冲刷。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1、地被、色块植物内发现明显杂草，每起扣1-4分，发现地被植物枯死或未及时补植，每起扣2分，灰尘未适时冲刷</w:t>
            </w:r>
            <w:r>
              <w:rPr>
                <w:rFonts w:hint="eastAsia" w:ascii="宋体" w:hAnsi="宋体" w:cs="宋体"/>
                <w:i/>
                <w:color w:val="000000"/>
                <w:sz w:val="21"/>
                <w:szCs w:val="21"/>
              </w:rPr>
              <w:t xml:space="preserve">，</w:t>
            </w:r>
            <w:r>
              <w:rPr>
                <w:rFonts w:hint="eastAsia" w:ascii="宋体" w:hAnsi="宋体" w:cs="宋体"/>
                <w:color w:val="000000"/>
                <w:sz w:val="21"/>
                <w:szCs w:val="21"/>
              </w:rPr>
              <w:t xml:space="preserve">每起扣2分</w:t>
            </w:r>
            <w:r/>
          </w:p>
        </w:tc>
      </w:tr>
      <w:tr>
        <w:trPr>
          <w:jc w:val="center"/>
          <w:trHeight w:val="1091"/>
        </w:trPr>
        <w:tc>
          <w:tcPr>
            <w:tcBorders>
              <w:top w:val="single" w:color="000000" w:sz="4" w:space="0"/>
              <w:left w:val="single" w:color="000000" w:sz="4" w:space="0"/>
              <w:bottom w:val="single" w:color="000000" w:sz="4" w:space="0"/>
              <w:right w:val="single" w:color="000000" w:sz="4" w:space="0"/>
            </w:tcBorders>
            <w:tcW w:w="825"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2、控制地被，色块高度，及时修剪，遇干旱天气，要求适时，适量进行浇水，旱春发芽前要普遍进行施肥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2、未及时修剪，影响整体效果，每起起扣2-5分；未按作业标准进行抗旱、浇水、每起扣2-4分，未在早春发芽前施肥扣2-3分</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825"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3、草坪中杂草应及时挑除。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3、草坪中发现有明显的杂草每起扣2-4分</w:t>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825"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4、干旱季节应及时进行浇水，防止草坪枯黄；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4、每100m</w:t>
            </w:r>
            <w:r>
              <w:rPr>
                <w:rFonts w:hint="eastAsia" w:ascii="宋体" w:hAnsi="宋体" w:cs="宋体"/>
                <w:color w:val="000000"/>
                <w:szCs w:val="21"/>
                <w:vertAlign w:val="superscript"/>
              </w:rPr>
              <w:t xml:space="preserve">2</w:t>
            </w:r>
            <w:r>
              <w:rPr>
                <w:rFonts w:hint="eastAsia" w:ascii="宋体" w:hAnsi="宋体" w:cs="宋体"/>
                <w:color w:val="000000"/>
                <w:sz w:val="21"/>
                <w:szCs w:val="21"/>
              </w:rPr>
              <w:t xml:space="preserve">内草坪因缺水造成明显枯黄，每起扣2-3分</w:t>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825"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5、适时修剪。草坪的高度控制在8cm左右，路边和树根边的草坪要修剪整平；要求修剪平整，边角无遗漏，草屑及时除净。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5、每100m</w:t>
            </w:r>
            <w:r>
              <w:rPr>
                <w:rFonts w:hint="eastAsia" w:ascii="宋体" w:hAnsi="宋体" w:cs="宋体"/>
                <w:color w:val="000000"/>
                <w:szCs w:val="21"/>
                <w:vertAlign w:val="superscript"/>
              </w:rPr>
              <w:t xml:space="preserve">2</w:t>
            </w:r>
            <w:r>
              <w:rPr>
                <w:rFonts w:hint="eastAsia" w:ascii="宋体" w:hAnsi="宋体" w:cs="宋体"/>
                <w:color w:val="000000"/>
                <w:sz w:val="21"/>
                <w:szCs w:val="21"/>
              </w:rPr>
              <w:t xml:space="preserve">内草坪超过要求高度、每起扣1-2分；修剪不平整，边角有遗漏，草屑未按要求处理，每起扣1-2分。</w:t>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825"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22" w:type="dxa"/>
            <w:vMerge w:val="continue"/>
            <w:textDirection w:val="lrTb"/>
            <w:noWrap w:val="false"/>
          </w:tcPr>
          <w:p>
            <w:pP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0"/>
                <w:sz w:val="21"/>
                <w:szCs w:val="21"/>
              </w:rPr>
              <w:t xml:space="preserve">6、</w:t>
            </w:r>
            <w:r>
              <w:rPr>
                <w:rFonts w:hint="eastAsia" w:ascii="宋体" w:hAnsi="宋体" w:cs="宋体"/>
                <w:color w:val="000000"/>
                <w:sz w:val="21"/>
                <w:szCs w:val="21"/>
              </w:rPr>
              <w:t xml:space="preserve">早春草坪发芽前要进行一次施肥</w:t>
            </w:r>
            <w:r>
              <w:rPr>
                <w:rFonts w:hint="eastAsia" w:ascii="宋体" w:hAnsi="宋体" w:cs="宋体"/>
                <w:color w:val="000000"/>
                <w:spacing w:val="-20"/>
                <w:sz w:val="21"/>
                <w:szCs w:val="21"/>
              </w:rPr>
              <w:t xml:space="preserve">、</w:t>
            </w:r>
            <w:r>
              <w:rPr>
                <w:rFonts w:hint="eastAsia" w:ascii="宋体" w:hAnsi="宋体" w:cs="宋体"/>
                <w:color w:val="000000"/>
                <w:sz w:val="21"/>
                <w:szCs w:val="21"/>
              </w:rPr>
              <w:t xml:space="preserve">打孔</w:t>
            </w:r>
            <w:r>
              <w:rPr>
                <w:rFonts w:hint="eastAsia" w:ascii="宋体" w:hAnsi="宋体" w:cs="宋体"/>
                <w:color w:val="000000"/>
                <w:spacing w:val="-20"/>
                <w:sz w:val="21"/>
                <w:szCs w:val="21"/>
              </w:rPr>
              <w:t xml:space="preserve">，</w:t>
            </w:r>
            <w:r>
              <w:rPr>
                <w:rFonts w:hint="eastAsia" w:ascii="宋体" w:hAnsi="宋体" w:cs="宋体"/>
                <w:color w:val="000000"/>
                <w:sz w:val="21"/>
                <w:szCs w:val="21"/>
              </w:rPr>
              <w:t xml:space="preserve">生长季节根据情况追施肥。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3"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6、未按作业标准执行，发现一起扣1-2分。</w:t>
            </w:r>
            <w:r/>
          </w:p>
        </w:tc>
      </w:tr>
    </w:tbl>
    <w:p>
      <w:pPr>
        <w:ind w:left="420"/>
        <w:jc w:val="center"/>
        <w:pBdr>
          <w:top w:val="none" w:color="000000" w:sz="0" w:space="0"/>
          <w:left w:val="none" w:color="000000" w:sz="0" w:space="0"/>
          <w:bottom w:val="none" w:color="000000" w:sz="0" w:space="0"/>
          <w:right w:val="none" w:color="000000" w:sz="0" w:space="0"/>
        </w:pBdr>
      </w:pPr>
      <w:r>
        <w:br w:type="page" w:clear="all"/>
      </w:r>
      <w:r/>
    </w:p>
    <w:p>
      <w:pPr>
        <w:jc w:val="center"/>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徐州市河湖管理中心奎河市区段绿地管护检查评分考核细则</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bl>
      <w:tblPr>
        <w:tblStyle w:val="803"/>
        <w:tblW w:w="93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021"/>
        <w:gridCol w:w="3307"/>
        <w:gridCol w:w="871"/>
        <w:gridCol w:w="3307"/>
      </w:tblGrid>
      <w:tr>
        <w:trPr>
          <w:jc w:val="center"/>
          <w:trHeight w:val="52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0" w:type="dxa"/>
            <w:vAlign w:val="center"/>
            <w:textDirection w:val="lrTb"/>
            <w:noWrap w:val="false"/>
          </w:tcPr>
          <w:p>
            <w:pPr>
              <w:ind w:firstLine="422"/>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ind w:firstLine="422"/>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rPr>
              <w:t xml:space="preserve">考 核 内 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val="false"/>
          </w:tcPr>
          <w:p>
            <w:pP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rPr>
              <w:t xml:space="preserve">基本分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ind w:firstLine="422"/>
              <w:jc w:val="center"/>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rPr>
              <w:t xml:space="preserve">考核标准</w:t>
            </w:r>
            <w:r/>
          </w:p>
        </w:tc>
      </w:tr>
      <w:tr>
        <w:trPr>
          <w:jc w:val="center"/>
          <w:trHeight w:val="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9" w:type="dxa"/>
            <w:vAlign w:val="center"/>
            <w:vMerge w:val="restart"/>
            <w:textDirection w:val="lrTb"/>
            <w:noWrap w:val="false"/>
          </w:tcPr>
          <w:p>
            <w:pPr>
              <w:jc w:val="right"/>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一、</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园</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林</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养</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护</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管</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理</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（70分）</w:t>
            </w:r>
            <w:r/>
          </w:p>
          <w:p>
            <w:pPr>
              <w:ind w:firstLine="422"/>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szCs w:val="22"/>
              </w:rPr>
              <w:t xml:space="preserve"> </w:t>
            </w:r>
            <w:r/>
          </w:p>
          <w:p>
            <w:pPr>
              <w:ind w:firstLine="422"/>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szCs w:val="22"/>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vAlign w:val="center"/>
            <w:vMerge w:val="restart"/>
            <w:textDirection w:val="lrTb"/>
            <w:noWrap w:val="false"/>
          </w:tcPr>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（三）</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病</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虫</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害</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防</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治</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1、加强测报网络作用，责任制落实到位，各段网络人员在病虫害发生期要坚持每天“踏查”，适时有效进行防治。针对病虫害发生情况，要提前上报并拿出处理措施和农药品种及用量。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val="false"/>
          </w:tcPr>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1、发现落实不到位每起扣2-5分</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839" w:type="dxa"/>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1" w:type="dxa"/>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2、每次防治、观察记录要详细，有时间，有地点，有人员。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val="false"/>
          </w:tcPr>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2、若发现记录不全、不实，每起扣2-4分</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839" w:type="dxa"/>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1" w:type="dxa"/>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3、认真执行防治措施，防治效果良好，树木、草坪不被病虫危害、不发生药害。如未按防治方案或不积极、认真、及时防治，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val="false"/>
          </w:tcPr>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3、由于防治不力出现病虫害造成树木、花草长势不好和损失的每起扣2-6分，并无偿补植。草坪每10平方米扣1分，花灌木每株扣2—4分。</w:t>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839" w:type="dxa"/>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1" w:type="dxa"/>
            <w:vAlign w:val="center"/>
            <w:vMerge w:val="restart"/>
            <w:textDirection w:val="lrTb"/>
            <w:noWrap w:val="false"/>
          </w:tcPr>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(四)</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养</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护</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管</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理</w:t>
            </w:r>
            <w:r/>
          </w:p>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1、遵纪守法，举止文明，行为规范。佩证上岗，统一着装。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val="false"/>
          </w:tcPr>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1、举止不文明，与游客、保洁人员发生争吵，有损河道管理单位形象的扣1-2分。未按规定佩证上岗，统一着装，扣1-2分。</w:t>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839" w:type="dxa"/>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1" w:type="dxa"/>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2、按要求，专管负责人、固定养护人员、巡视人员必须按要求进行日常养护。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val="false"/>
          </w:tcPr>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2、每周不定期检查一次，发现区域负责人及固定养护工人不到位的，扣2-3分。</w:t>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839" w:type="dxa"/>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1" w:type="dxa"/>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3、绿化生产垃圾（如：树枝、树叶、草沫等）重点地段能做到随产随清，不乱丢；其它地区做到日产日清；绿地整洁。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val="false"/>
          </w:tcPr>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3、未按规定执行的扣1-3分</w:t>
            </w:r>
            <w:r/>
          </w:p>
        </w:tc>
      </w:tr>
      <w:tr>
        <w:trPr>
          <w:jc w:val="center"/>
          <w:trHeight w:val="676"/>
        </w:trPr>
        <w:tc>
          <w:tcPr>
            <w:tcBorders>
              <w:top w:val="single" w:color="000000" w:sz="4" w:space="0"/>
              <w:left w:val="single" w:color="000000" w:sz="4" w:space="0"/>
              <w:bottom w:val="single" w:color="000000" w:sz="4" w:space="0"/>
              <w:right w:val="single" w:color="000000" w:sz="4" w:space="0"/>
            </w:tcBorders>
            <w:tcW w:w="839" w:type="dxa"/>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1" w:type="dxa"/>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4、每周一养护标段负责人向管理单位提交本周工作、人员安排计划。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val="false"/>
          </w:tcPr>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4、未按规定执行的扣1分</w:t>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839" w:type="dxa"/>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1" w:type="dxa"/>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5、每月初养护标段负责人向管理办提交本月内的养护计划，以及上个月的养护情况汇报材料。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val="false"/>
          </w:tcPr>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5、未按规定执行的扣1分</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839" w:type="dxa"/>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1" w:type="dxa"/>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38"/>
                <w:sz w:val="22"/>
                <w:szCs w:val="22"/>
              </w:rPr>
              <w:t xml:space="preserve">6、</w:t>
            </w:r>
            <w:r>
              <w:rPr>
                <w:rFonts w:hint="eastAsia" w:ascii="宋体" w:hAnsi="宋体" w:cs="宋体"/>
                <w:color w:val="000000"/>
                <w:spacing w:val="-12"/>
                <w:sz w:val="22"/>
                <w:szCs w:val="22"/>
              </w:rPr>
              <w:t xml:space="preserve">对巡查员提出的整改意见能及时整改。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val="false"/>
          </w:tcPr>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6、未按规定执行的扣1-3分</w:t>
            </w:r>
            <w:r/>
          </w:p>
        </w:tc>
      </w:tr>
      <w:tr>
        <w:trPr>
          <w:jc w:val="center"/>
          <w:trHeight w:val="761"/>
        </w:trPr>
        <w:tc>
          <w:tcPr>
            <w:tcBorders>
              <w:top w:val="single" w:color="000000" w:sz="4" w:space="0"/>
              <w:left w:val="single" w:color="000000" w:sz="4" w:space="0"/>
              <w:bottom w:val="single" w:color="000000" w:sz="4" w:space="0"/>
              <w:right w:val="single" w:color="000000" w:sz="4" w:space="0"/>
            </w:tcBorders>
            <w:tcW w:w="839" w:type="dxa"/>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21" w:type="dxa"/>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7、对人为攀摘树木、花果未有效制止或制止不力的。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1" w:type="dxa"/>
            <w:vAlign w:val="center"/>
            <w:textDirection w:val="lrTb"/>
            <w:noWrap w:val="false"/>
          </w:tcPr>
          <w:p>
            <w:pPr>
              <w:jc w:val="cente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7、未按规定执行的扣1-2分</w:t>
            </w:r>
            <w:r/>
          </w:p>
        </w:tc>
      </w:tr>
      <w:tr>
        <w:trPr>
          <w:jc w:val="center"/>
          <w:trHeight w:val="1253"/>
        </w:trPr>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45"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 </w:t>
            </w:r>
            <w:r/>
          </w:p>
        </w:tc>
      </w:tr>
    </w:tbl>
    <w:p>
      <w:pPr>
        <w:ind w:left="420"/>
        <w:jc w:val="center"/>
        <w:pBdr>
          <w:top w:val="none" w:color="000000" w:sz="0" w:space="0"/>
          <w:left w:val="none" w:color="000000" w:sz="0" w:space="0"/>
          <w:bottom w:val="none" w:color="000000" w:sz="0" w:space="0"/>
          <w:right w:val="none" w:color="000000" w:sz="0" w:space="0"/>
        </w:pBdr>
      </w:pPr>
      <w:r>
        <w:br w:type="page" w:clear="all"/>
      </w:r>
      <w:r/>
    </w:p>
    <w:p>
      <w:pPr>
        <w:jc w:val="center"/>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徐州市河湖管理中心奎河沿线园林绿化管护检查评分考核细则</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bl>
      <w:tblPr>
        <w:tblStyle w:val="803"/>
        <w:tblW w:w="93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4"/>
        <w:gridCol w:w="3785"/>
        <w:gridCol w:w="872"/>
        <w:gridCol w:w="3314"/>
      </w:tblGrid>
      <w:tr>
        <w:trPr>
          <w:jc w:val="center"/>
          <w:trHeight w:val="5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考核内容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基本分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考核标准</w:t>
            </w:r>
            <w:r/>
          </w:p>
        </w:tc>
      </w:tr>
      <w:tr>
        <w:trPr>
          <w:jc w:val="center"/>
          <w:trHeight w:val="7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vMerge w:val="restar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二、卫生环境及日常秩序管理（15分）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1、卫生环境：管理范围内无垃圾杂物，无干枯枝叶，捡拾垃圾能及时清运，重点地区随产随清，其他地区日产日清。捡拾垃圾清运到市环卫部门指定的倾放处。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4"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绿化带、游步道、硬化道路、广场、桥面等发现垃圾杂物和绿化产生垃圾未清理一处扣1分；管理范围内有建筑垃圾未及时清运每次扣2分；未做到随产随清或日产日清每次扣2分；垃圾未运至指定地点每次扣2分。</w:t>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137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5" w:type="dxa"/>
            <w:vAlign w:val="center"/>
            <w:textDirection w:val="lrTb"/>
            <w:noWrap w:val="false"/>
          </w:tcPr>
          <w:p>
            <w:pPr>
              <w:ind w:left="-2" w:hanging="22"/>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巡查看护：管理范围内设施完好无损，无乱贴乱画现象；有专门秩序巡查人员，负责对管理区域内的座凳、木质铺装、PVC护栏、亮化、大理石护栏等公共设施和闸门、泵站等水利工程设施的日常看护和夜间巡视；保持公共设施完好无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4"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2、发现乱贴乱画未及时清理每处扣1分；公共设施或水利工程设施发现损毁每次扣2-4分；发现秩序巡查人员不在岗每次扣5分。</w:t>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137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3、秩序管理：无设摊摆卖，无拴挂、无宠物入绿地，无自行车、机动车、电动车入绿地，无践踏绿地和其他破坏绿化的行为；绿地内秩序井然，水面无垂钓、游泳现象。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4"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3、发现摆摊设点、栓挂、晾晒、车辆等进入践踏或破坏绿地，每次扣2分；发现垂钓、下河游泳、捕鱼等每次扣2分。</w:t>
            </w:r>
            <w:r/>
          </w:p>
        </w:tc>
      </w:tr>
      <w:tr>
        <w:trPr>
          <w:jc w:val="center"/>
          <w:trHeight w:val="7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三、其他（5分）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1、对某些需紧急处置的情况，在接到甲方通知后，乙方应无条件在规定时间内突击完成。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4"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未按采购人要求落实的，每发生一起扣2-5分</w:t>
            </w:r>
            <w:r/>
          </w:p>
        </w:tc>
      </w:tr>
      <w:tr>
        <w:trPr>
          <w:jc w:val="center"/>
          <w:trHeight w:val="10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vMerge w:val="restar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四、月考评分</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1、不发生新闻暴光、城管和市政热线群众投拆事件。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4"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经查系因乙方工作不当或管理不善造成的新闻暴光或群众投拆事件，每发生一起在月汇总考核分中直接扣2-4分</w:t>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137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2、按考核要求做好相应工作，在徐州市河湖管理中心历次检查中情况良好。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4"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在检查中，每发现一起未按考核要求做好相应工作的在月汇总考核中直接扣2-3分</w:t>
            </w:r>
            <w:r/>
          </w:p>
        </w:tc>
      </w:tr>
      <w:tr>
        <w:trPr>
          <w:jc w:val="center"/>
          <w:trHeight w:val="798"/>
        </w:trPr>
        <w:tc>
          <w:tcPr>
            <w:tcBorders>
              <w:top w:val="single" w:color="000000" w:sz="4" w:space="0"/>
              <w:left w:val="single" w:color="000000" w:sz="4" w:space="0"/>
              <w:bottom w:val="single" w:color="000000" w:sz="4" w:space="0"/>
              <w:right w:val="single" w:color="000000" w:sz="4" w:space="0"/>
            </w:tcBorders>
            <w:tcW w:w="137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3、每月日常养护的效果情况良好，达到质量标准的要求。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4"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在月汇总评分中，经过上述考核认为本月养护效果情况较好、一般、较差、差的，按等级直接扣0-3分。</w:t>
            </w:r>
            <w:r/>
          </w:p>
        </w:tc>
      </w:tr>
    </w:tbl>
    <w:p>
      <w:pPr>
        <w:ind w:firstLine="480"/>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bookmarkEnd w:id="11"/>
      <w:r/>
      <w:bookmarkEnd w:id="12"/>
      <w:r/>
      <w:r/>
    </w:p>
    <w:p>
      <w:pPr>
        <w:pStyle w:val="1000"/>
        <w:spacing w:line="360" w:lineRule="auto"/>
        <w:rPr>
          <w:rFonts w:ascii="宋体" w:hAnsi="宋体" w:eastAsia="宋体" w:cs="宋体"/>
          <w:color w:val="000000" w:themeColor="text1"/>
          <w:sz w:val="28"/>
          <w:szCs w:val="40"/>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bookmarkStart w:id="14" w:name="_Toc522790136"/>
      <w:r/>
      <w:bookmarkStart w:id="15" w:name="_Toc523404701"/>
      <w:r/>
      <w:r/>
    </w:p>
    <w:p>
      <w:pPr>
        <w:pStyle w:val="1000"/>
        <w:ind w:firstLine="420"/>
        <w:keepLines/>
        <w:keepNext/>
        <w:pageBreakBefore w:val="0"/>
        <w:spacing w:line="360" w:lineRule="auto"/>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第六章  采购需求</w:t>
      </w:r>
      <w:r/>
    </w:p>
    <w:p>
      <w:pPr>
        <w:ind w:firstLine="482"/>
        <w:keepLines w:val="0"/>
        <w:keepNext w:val="0"/>
        <w:pageBreakBefore w:val="0"/>
        <w:spacing w:line="360" w:lineRule="auto"/>
        <w:widowControl/>
        <w:rPr>
          <w:rFonts w:hint="eastAsia" w:ascii="宋体" w:hAnsi="宋体" w:eastAsia="宋体" w:cs="宋体"/>
          <w:b/>
          <w:color w:val="auto"/>
          <w:sz w:val="24"/>
          <w:szCs w:val="24"/>
        </w:rPr>
      </w:pPr>
      <w:r>
        <w:rPr>
          <w:rFonts w:hint="eastAsia" w:ascii="宋体" w:hAnsi="宋体" w:eastAsia="宋体" w:cs="宋体"/>
          <w:b/>
          <w:color w:val="000000"/>
          <w:sz w:val="24"/>
          <w:szCs w:val="24"/>
        </w:rPr>
        <w:t xml:space="preserve">一、本项目标</w:t>
      </w:r>
      <w:r>
        <w:rPr>
          <w:rFonts w:hint="eastAsia" w:ascii="宋体" w:hAnsi="宋体" w:eastAsia="宋体" w:cs="宋体"/>
          <w:b/>
          <w:color w:val="auto"/>
          <w:sz w:val="24"/>
          <w:szCs w:val="24"/>
        </w:rPr>
        <w:t xml:space="preserve">段一不接受超过</w:t>
      </w:r>
      <w:r>
        <w:rPr>
          <w:rFonts w:hint="eastAsia" w:ascii="宋体" w:hAnsi="宋体" w:eastAsia="宋体" w:cs="宋体"/>
          <w:b/>
          <w:color w:val="auto"/>
          <w:sz w:val="24"/>
          <w:szCs w:val="24"/>
          <w:lang w:val="en-US" w:eastAsia="zh-CN"/>
        </w:rPr>
        <w:t xml:space="preserve">358.86</w:t>
      </w:r>
      <w:r>
        <w:rPr>
          <w:rFonts w:hint="eastAsia" w:ascii="宋体" w:hAnsi="宋体" w:eastAsia="宋体" w:cs="宋体"/>
          <w:b/>
          <w:color w:val="auto"/>
          <w:sz w:val="24"/>
          <w:szCs w:val="24"/>
        </w:rPr>
        <w:t xml:space="preserve">万元（采购项目预算金额）的投标报价，标段二不接受超过</w:t>
      </w:r>
      <w:r>
        <w:rPr>
          <w:rFonts w:hint="eastAsia" w:ascii="宋体" w:hAnsi="宋体" w:eastAsia="宋体" w:cs="宋体"/>
          <w:b/>
          <w:color w:val="auto"/>
          <w:sz w:val="24"/>
          <w:szCs w:val="24"/>
          <w:lang w:val="en-US" w:eastAsia="zh-CN"/>
        </w:rPr>
        <w:t xml:space="preserve">215.85</w:t>
      </w:r>
      <w:r>
        <w:rPr>
          <w:rFonts w:hint="eastAsia" w:ascii="宋体" w:hAnsi="宋体" w:eastAsia="宋体" w:cs="宋体"/>
          <w:b/>
          <w:color w:val="auto"/>
          <w:sz w:val="24"/>
          <w:szCs w:val="24"/>
        </w:rPr>
        <w:t xml:space="preserve">万元（采购项目预算金额）的投标报价。</w:t>
      </w:r>
      <w:r>
        <w:rPr>
          <w:rFonts w:hint="eastAsia" w:ascii="宋体" w:hAnsi="宋体" w:eastAsia="宋体" w:cs="宋体"/>
          <w:color w:val="auto"/>
          <w:sz w:val="24"/>
          <w:szCs w:val="24"/>
        </w:rPr>
        <w:t xml:space="preserve">报价包括但不限于税金、运费、保险、培训、投标人的利润等全部费用。采购人不再支付报价以外的任何费用。</w:t>
      </w:r>
      <w:r/>
    </w:p>
    <w:p>
      <w:pPr>
        <w:ind w:firstLine="482"/>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二、项目内容</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1．项目名称：奎河市区段绿地综合养护</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2．项目服务期：</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3．养护级别：一级乙类</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4．项目服务范围及内容：</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奎河市区段管理范围：</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苏堤路桥向北至道平桥；兴隆桥向南至欣欣路桥铜泉交界处（含迎宾游园临河段、泰奎大沟调蓄池区域绿化</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市内</w:t>
      </w:r>
      <w:r>
        <w:rPr>
          <w:rFonts w:hint="eastAsia" w:ascii="宋体" w:hAnsi="宋体" w:eastAsia="宋体" w:cs="宋体"/>
          <w:sz w:val="24"/>
          <w:szCs w:val="24"/>
          <w:highlight w:val="none"/>
        </w:rPr>
        <w:t xml:space="preserve">段桥头盖板绿化</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种植槽</w:t>
      </w:r>
      <w:r>
        <w:rPr>
          <w:rFonts w:hint="eastAsia" w:ascii="宋体" w:hAnsi="宋体" w:eastAsia="宋体" w:cs="宋体"/>
          <w:color w:val="auto"/>
          <w:sz w:val="24"/>
          <w:szCs w:val="24"/>
          <w:highlight w:val="none"/>
        </w:rPr>
        <w:t xml:space="preserve">；溢洪道云龙山出口向东至溢洪桥）两岸管理范围内绿化综合养护项目。</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奎河市区段管理内容：</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一:(欣欣路桥—金山东路桥）绿地面积148980平方米；行道树1990株；种植槽、水生植物面积16200平方米；游步道、广场等硬化铺装面积21680平方米。奎河市区段管理范围内水利工程，灌溉排水设备，庭院灯、草坪灯等亮化照明，</w:t>
      </w:r>
      <w:r>
        <w:rPr>
          <w:rFonts w:hint="eastAsia" w:ascii="宋体" w:hAnsi="宋体" w:cs="宋体"/>
          <w:color w:val="auto"/>
          <w:sz w:val="24"/>
          <w:szCs w:val="24"/>
          <w:highlight w:val="none"/>
          <w:lang w:val="en-US" w:eastAsia="zh-CN"/>
        </w:rPr>
        <w:t xml:space="preserve">亭</w:t>
      </w:r>
      <w:r>
        <w:rPr>
          <w:rFonts w:hint="eastAsia" w:ascii="宋体" w:hAnsi="宋体" w:eastAsia="宋体" w:cs="宋体"/>
          <w:color w:val="auto"/>
          <w:sz w:val="24"/>
          <w:szCs w:val="24"/>
          <w:highlight w:val="none"/>
        </w:rPr>
        <w:t xml:space="preserve">廊座椅、健身器材、安全警示设施等公共基础设施巡查看护。</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标段二:(金山东路桥—苏堤路桥，含溢洪道段、迎宾游园段、泰奎大沟调蓄池；建国路段桥头盖板绿化）绿地面积95382平方米；行道树2423株；种植槽、水生植物面积4245平方米；游步道、广场等硬化铺装面积7833平方米。奎河市区段管理范围内水利工程，灌溉排水设备，庭院灯、草坪灯等亮化照明，</w:t>
      </w:r>
      <w:r>
        <w:rPr>
          <w:rFonts w:hint="eastAsia" w:ascii="宋体" w:hAnsi="宋体" w:cs="宋体"/>
          <w:color w:val="auto"/>
          <w:sz w:val="24"/>
          <w:szCs w:val="24"/>
          <w:highlight w:val="none"/>
          <w:lang w:val="en-US" w:eastAsia="zh-CN"/>
        </w:rPr>
        <w:t xml:space="preserve">亭</w:t>
      </w:r>
      <w:r>
        <w:rPr>
          <w:rFonts w:hint="eastAsia" w:ascii="宋体" w:hAnsi="宋体" w:eastAsia="宋体" w:cs="宋体"/>
          <w:color w:val="auto"/>
          <w:sz w:val="24"/>
          <w:szCs w:val="24"/>
          <w:highlight w:val="none"/>
        </w:rPr>
        <w:t xml:space="preserve">廊座椅、健身器材、安全警示设施等公共基础设施巡查看</w:t>
      </w:r>
      <w:r>
        <w:rPr>
          <w:rFonts w:hint="eastAsia" w:ascii="宋体" w:hAnsi="宋体" w:eastAsia="宋体" w:cs="宋体"/>
          <w:color w:val="auto"/>
          <w:sz w:val="24"/>
          <w:szCs w:val="24"/>
        </w:rPr>
        <w:t xml:space="preserve">护。</w:t>
      </w:r>
      <w:r/>
    </w:p>
    <w:p>
      <w:pPr>
        <w:ind w:firstLine="482"/>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color w:val="000000"/>
          <w:sz w:val="24"/>
          <w:szCs w:val="24"/>
        </w:rPr>
        <w:t xml:space="preserve">三、服务要求</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（一）服务基本要求：</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1、绿地、行道树及河滩生态滩地严格按照</w:t>
      </w:r>
      <w:r>
        <w:rPr>
          <w:rFonts w:hint="eastAsia" w:ascii="宋体" w:hAnsi="宋体" w:eastAsia="宋体" w:cs="宋体"/>
          <w:color w:val="000000"/>
          <w:sz w:val="24"/>
          <w:szCs w:val="24"/>
          <w:highlight w:val="none"/>
        </w:rPr>
        <w:t xml:space="preserve">徐州市地方标准DB 3203/502-2023《园林绿化养护管理规范》和以下关于草坪、树木、</w:t>
      </w:r>
      <w:r>
        <w:rPr>
          <w:rFonts w:hint="eastAsia" w:ascii="宋体" w:hAnsi="宋体" w:eastAsia="宋体" w:cs="宋体"/>
          <w:color w:val="000000"/>
          <w:sz w:val="24"/>
          <w:szCs w:val="24"/>
        </w:rPr>
        <w:t xml:space="preserve">花、灌木的养护要求进行养护管理。</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（1）草坪：</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1）浇水：保持地表10CM深度土壤含水量在13%以上,忌中午酷热时浇水。</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2）施肥：每年施肥6次,第一次和最后一次肥料应选用N、P、K复合肥。一般在3—9月，每月施肥一次。每次每公顷施用折合标准N肥300KG的化肥，一般于修剪或打孔后进行，施后浇透水。新建草坪应加大P、K肥用量，施N、P、K比例大致为1：1：1。</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3）修剪：①修剪高度不应超过8CM，夏季和入冬前的最后一次修剪应提高留茬高度4-5CM，以增强草坪抗性。②修剪次数，生长旺季10天左右修剪一次，每次剪去量不超过总长度的三分之一。③修剪下的草叶，短的可以留在草坪内，长的应及时清除。④修剪时间应选在早晨或傍晚，避免剪湿草。</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4）清除杂草及枯草层：①草坪杂草应随长随除，每平方米可见杂草不得超过大草2株，小草5株。②疏松土壤，土壤板结时应打孔松土输氧。枯草层厚度在1.5CM以上时，易产生病虫害，水不易渗入土壤，因此大于1.5CM时应及时清除。</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5）病虫害防治：①病害：易发病期无论发病与否都应进行预防，一般需打药三次以上，发病后应立即防治，将病害控制在初发期，将危害降至最低。②虫害：根据不同害虫发生规律，视情况适时防治，不能出现因虫害造成较大面积秃坪或死坪。</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6）草坪养护中发现死苗大于0.5平方米时，应及时补栽。</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7）养护标准：草坪在养护过程中无大面积秃裸斑块，无因病虫造成的大面积死苗，颜色无大面积枯黄，景观效果良好。</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（2）树木：</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1）浇水：每年至少浇水10次以上，每次不低于50KG/株。</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2）施肥：每年至少应于春、秋各施肥一次，每次不低于标准N肥0.5KG/株。</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3）修剪整形：每年至少应根据不同树种的生长特性和周围环境，进行一次修剪整形，修剪锯口应平齐不劈不裂，尽可能减少大锯口，较大的截口应涂防腐剂，修剪后达到整齐一致。树穴平整、无杂草、杂物。</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4）病虫害防治：①病害：根据不同树种易感染的病害，在发病前，至少防治三次以上；发病后，应于发病初期，立即防治，防止蔓延。②虫害：根据不同害虫习性进行适期防治。③做好检疫性病虫害的观测与防治。</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5）如不发生人为破坏或自然灾害，树木保存率应达到98%以上。</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6）树木达不到保存率应于春、秋季节补植。</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7）养护标准：树木生长良好，死亡植株不影响绿化效果，单株树木无大范围枯枝，保持树木的良好观赏效果，无明显病虫害。</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（3）花、灌木：</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1）浇水、施肥：根据不同品种进行养护管理，不得因缺水、肥造成枝叶萎蔫、枯黄。</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2）病虫害防治：①病害应进行不少于三次的预防性防治，发病后，应于发病初期立即防治，并要求诊断准确用药合理。②发生虫害，应适期用药，但应尽可能避免使用高毒和刺激性气味大的农药。</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3）修剪整形：①应根据不同植物生育特性进行修剪整形。②常绿、观叶灌木根据生长速度快慢修剪，一般为2—6次/年。③观花灌木应根据花芽分化类型进行修剪，次数视不同品种而定。④应注意随时剪除病、虫枝和干枯枝，生长旺盛的应注意疏枝。⑤老化枝应有计划的更新。</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4）如不发生人为破坏或自然灾害，灌木保存率应达到95%以上。</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5）达不到保存率应于春季补植。</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6）养护标准：花、灌木生长正常，花木生长季节有花可观，无徒长现象，常绿植物不影响其观赏效果，无明显病虫害。</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（4）注意事项：</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①绿化养护要注意与行人、车辆及周围环境的关系。</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②修剪后的枝条等物要及时清理干净，做到日剪日清。</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③技术管理人员应熟悉养护管理规程及不同植物特性。</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④维护人员应按安全操作规程施工，注意劳动安全。</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⑤绿化施工及养护产生的草叶、枯枝等禁止燃烧，必须在甲方指定地点清倒或运往垃圾填埋场或发酵成有机肥。</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⑥绿化施工中产生的废墟要运往指定地点，要附合环保要求。</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⑦绿化养护中施用的农药必须是国家法规使用的农药，不得使用国家法规禁止使用的农药。要尽量施用高效低毒农药，减少对大气的污染。同时，对能够使用生物防治的害虫要采取生物防治方法，减少农药的施用量。</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⑧使用完的农药包装物属于危险固体废物，要按环保有关规定进行处理。避免对环境造成污染，损害人们的身体健康。没有使用完的农药，要妥善保管，要进行有效封存。</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⑨绿化养护作业中，在有条件的地方要采用节水灌溉方式，比如：喷灌、滴灌。尽量节约水资源，同时应多种植耐旱的植物品种。</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2、游步道、广场、道路、桥梁等卫生管理。</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奎河津浦铁路桥至欣欣路桥南铜泉交界处两岸堤坝管理范围内，做到无垃圾杂物，无干枯枝叶，捡拾垃圾能及时清运，重点地区随产随清，其他地区日产日清。捡拾垃圾清运到市环卫部门指定的倾放处。</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3、管理范围内日常秩序管理。</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管理范围内无设摊摆卖，无拴挂、无宠物入绿地，无自行车、机动车、电动车入绿地，无践踏绿地和其他破坏绿化的行为，保持绿地内秩序井然。</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管理范围内设施完好无损，无乱贴乱画现象，安排专门秩序巡查人员，负责对管理区域内的座凳、木质铺装、PVC护栏、亮化设施、大理石护栏等公共设施和闸门、泵站等水利工程设施的日常看护和夜间巡视，因看护不力造成管理区域内人为破坏的座凳、木质铺装等公共设施负责修缮、维护。水面无垂钓、游泳现象。</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（二）服务实施要求</w:t>
      </w:r>
      <w:r/>
    </w:p>
    <w:p>
      <w:pPr>
        <w:ind w:firstLine="480"/>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color w:val="000000"/>
          <w:sz w:val="24"/>
          <w:szCs w:val="24"/>
        </w:rPr>
        <w:t xml:space="preserve">1、工作人员配备要求</w:t>
      </w:r>
      <w:r>
        <w:rPr>
          <w:rFonts w:hint="eastAsia" w:ascii="宋体" w:hAnsi="宋体" w:eastAsia="宋体" w:cs="宋体"/>
          <w:b/>
          <w:bCs/>
          <w:color w:val="000000"/>
          <w:sz w:val="24"/>
          <w:szCs w:val="24"/>
          <w:highlight w:val="none"/>
        </w:rPr>
        <w:t xml:space="preserve">（本条为实质性响应指标，如不满足，投标将被拒绝）</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（1）最低人数要求：</w:t>
      </w:r>
      <w:r/>
    </w:p>
    <w:tbl>
      <w:tblPr>
        <w:tblStyle w:val="763"/>
        <w:tblW w:w="9147" w:type="dxa"/>
        <w:jc w:val="center"/>
        <w:tblLayout w:type="fixed"/>
        <w:tblCellMar>
          <w:left w:w="108" w:type="dxa"/>
          <w:top w:w="0" w:type="dxa"/>
          <w:right w:w="108" w:type="dxa"/>
          <w:bottom w:w="0" w:type="dxa"/>
        </w:tblCellMar>
        <w:tblLook w:val="04A0" w:firstRow="1" w:lastRow="0" w:firstColumn="1" w:lastColumn="0" w:noHBand="0" w:noVBand="1"/>
      </w:tblPr>
      <w:tblGrid>
        <w:gridCol w:w="993"/>
        <w:gridCol w:w="1215"/>
        <w:gridCol w:w="1500"/>
        <w:gridCol w:w="1905"/>
        <w:gridCol w:w="1605"/>
        <w:gridCol w:w="1929"/>
      </w:tblGrid>
      <w:tr>
        <w:trPr>
          <w:jc w:val="center"/>
          <w:trHeight w:val="527"/>
        </w:trPr>
        <w:tc>
          <w:tcPr>
            <w:gridSpan w:val="6"/>
            <w:tcBorders>
              <w:top w:val="single" w:color="000000" w:sz="8" w:space="0"/>
              <w:left w:val="single" w:color="000000" w:sz="8" w:space="0"/>
              <w:bottom w:val="single" w:color="000000" w:sz="8" w:space="0"/>
              <w:right w:val="single" w:color="000000" w:sz="8" w:space="0"/>
            </w:tcBorders>
            <w:tcW w:w="9147" w:type="dxa"/>
            <w:textDirection w:val="lrTb"/>
            <w:noWrap w:val="false"/>
          </w:tcPr>
          <w:p>
            <w:pPr>
              <w:jc w:val="center"/>
              <w:spacing w:line="40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人员配置要求（人）</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993" w:type="dxa"/>
            <w:vAlign w:val="center"/>
            <w:textDirection w:val="lrTb"/>
            <w:noWrap w:val="false"/>
          </w:tcPr>
          <w:p>
            <w:pPr>
              <w:jc w:val="center"/>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jc w:val="center"/>
              <w:spacing w:line="40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项目经理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line="40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技术负责人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jc w:val="center"/>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现场绿地养护人员最低限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jc w:val="center"/>
              <w:spacing w:line="40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现场保洁人员最低限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jc w:val="center"/>
              <w:spacing w:line="40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秩序巡查人员最低限</w:t>
            </w:r>
            <w:r/>
          </w:p>
        </w:tc>
      </w:tr>
      <w:tr>
        <w:trPr>
          <w:jc w:val="center"/>
          <w:trHeight w:val="648"/>
        </w:trPr>
        <w:tc>
          <w:tcPr>
            <w:tcBorders>
              <w:top w:val="none" w:color="000000" w:sz="4" w:space="0"/>
              <w:left w:val="single" w:color="000000" w:sz="8" w:space="0"/>
              <w:bottom w:val="single" w:color="000000" w:sz="8" w:space="0"/>
              <w:right w:val="single" w:color="000000" w:sz="8" w:space="0"/>
            </w:tcBorders>
            <w:tcW w:w="993" w:type="dxa"/>
            <w:vAlign w:val="center"/>
            <w:textDirection w:val="lrTb"/>
            <w:noWrap w:val="false"/>
          </w:tcPr>
          <w:p>
            <w:pPr>
              <w:jc w:val="center"/>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标段一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jc w:val="center"/>
              <w:spacing w:line="40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line="40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jc w:val="center"/>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jc w:val="center"/>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r>
      <w:tr>
        <w:trPr>
          <w:jc w:val="center"/>
          <w:trHeight w:val="648"/>
        </w:trPr>
        <w:tc>
          <w:tcPr>
            <w:tcBorders>
              <w:top w:val="none" w:color="000000" w:sz="4" w:space="0"/>
              <w:left w:val="single" w:color="000000" w:sz="8" w:space="0"/>
              <w:bottom w:val="single" w:color="000000" w:sz="8" w:space="0"/>
              <w:right w:val="single" w:color="000000" w:sz="8" w:space="0"/>
            </w:tcBorders>
            <w:tcW w:w="993" w:type="dxa"/>
            <w:vAlign w:val="center"/>
            <w:textDirection w:val="lrTb"/>
            <w:noWrap w:val="false"/>
          </w:tcPr>
          <w:p>
            <w:pPr>
              <w:jc w:val="center"/>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标段二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jc w:val="center"/>
              <w:spacing w:line="40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line="40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jc w:val="center"/>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jc w:val="center"/>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r>
    </w:tbl>
    <w:p>
      <w:pPr>
        <w:ind w:firstLine="560"/>
        <w:spacing w:line="400" w:lineRule="atLeast"/>
        <w:rPr>
          <w:rFonts w:ascii="宋体" w:hAnsi="宋体"/>
          <w:color w:val="000000"/>
          <w:sz w:val="28"/>
          <w:highlight w:val="none"/>
        </w:rPr>
      </w:pPr>
      <w:r>
        <w:rPr>
          <w:rFonts w:ascii="宋体" w:hAnsi="宋体"/>
          <w:color w:val="000000"/>
          <w:sz w:val="28"/>
          <w:highlight w:val="none"/>
        </w:rPr>
      </w:r>
      <w:r/>
    </w:p>
    <w:p>
      <w:pPr>
        <w:numPr>
          <w:ilvl w:val="0"/>
          <w:numId w:val="1"/>
        </w:num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需提供项目负责人、技术负责人投标前6个月内任意一个月（不含开标当月）的社保缴费证明。</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2、养护管理设备最低配置要求</w:t>
      </w:r>
      <w:r>
        <w:rPr>
          <w:rFonts w:hint="eastAsia" w:ascii="宋体" w:hAnsi="宋体" w:eastAsia="宋体" w:cs="宋体"/>
          <w:b/>
          <w:bCs/>
          <w:color w:val="000000"/>
          <w:sz w:val="24"/>
          <w:szCs w:val="24"/>
          <w:highlight w:val="none"/>
        </w:rPr>
        <w:t xml:space="preserve">（本条为实质性响应指标，如不满足，投标将被拒绝）</w:t>
      </w:r>
      <w:r/>
    </w:p>
    <w:tbl>
      <w:tblPr>
        <w:tblStyle w:val="763"/>
        <w:tblW w:w="9019" w:type="dxa"/>
        <w:tblInd w:w="0" w:type="dxa"/>
        <w:tblLayout w:type="fixed"/>
        <w:tblCellMar>
          <w:left w:w="108" w:type="dxa"/>
          <w:top w:w="0" w:type="dxa"/>
          <w:right w:w="108" w:type="dxa"/>
          <w:bottom w:w="0" w:type="dxa"/>
        </w:tblCellMar>
        <w:tblLook w:val="04A0" w:firstRow="1" w:lastRow="0" w:firstColumn="1" w:lastColumn="0" w:noHBand="0" w:noVBand="1"/>
      </w:tblPr>
      <w:tblGrid>
        <w:gridCol w:w="567"/>
        <w:gridCol w:w="567"/>
        <w:gridCol w:w="567"/>
        <w:gridCol w:w="992"/>
        <w:gridCol w:w="567"/>
        <w:gridCol w:w="817"/>
        <w:gridCol w:w="851"/>
        <w:gridCol w:w="709"/>
        <w:gridCol w:w="1017"/>
        <w:gridCol w:w="967"/>
        <w:gridCol w:w="1398"/>
      </w:tblGrid>
      <w:tr>
        <w:trPr>
          <w:trHeight w:val="1025"/>
        </w:trPr>
        <w:tc>
          <w:tcPr>
            <w:tcBorders>
              <w:top w:val="single" w:color="000000" w:sz="8" w:space="0"/>
              <w:left w:val="single" w:color="000000" w:sz="8" w:space="0"/>
              <w:bottom w:val="none" w:color="000000" w:sz="4" w:space="0"/>
              <w:right w:val="single" w:color="000000" w:sz="8" w:space="0"/>
            </w:tcBorders>
            <w:tcW w:w="567" w:type="dxa"/>
            <w:vAlign w:val="center"/>
            <w:vMerge w:val="restart"/>
            <w:textDirection w:val="lrTb"/>
            <w:noWrap w:val="false"/>
          </w:tcPr>
          <w:p>
            <w:pPr>
              <w:jc w:val="center"/>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标段</w:t>
            </w:r>
            <w:r/>
          </w:p>
        </w:tc>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b/>
                <w:color w:val="000000"/>
                <w:sz w:val="22"/>
                <w:szCs w:val="22"/>
              </w:rPr>
              <w:t xml:space="preserve">绿地养护设备（辆或台）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b/>
                <w:color w:val="000000"/>
                <w:sz w:val="22"/>
                <w:szCs w:val="22"/>
              </w:rPr>
              <w:t xml:space="preserve">秩序巡查设备（部）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b/>
                <w:color w:val="000000"/>
                <w:sz w:val="22"/>
                <w:szCs w:val="22"/>
              </w:rPr>
              <w:t xml:space="preserve">保洁设备（辆）</w:t>
            </w:r>
            <w:r/>
          </w:p>
        </w:tc>
      </w:tr>
      <w:tr>
        <w:trPr>
          <w:trHeight w:val="1134"/>
        </w:trPr>
        <w:tc>
          <w:tcPr>
            <w:tcBorders>
              <w:top w:val="none" w:color="000000" w:sz="4" w:space="0"/>
              <w:left w:val="single" w:color="000000" w:sz="8" w:space="0"/>
              <w:bottom w:val="single" w:color="000000" w:sz="8" w:space="0"/>
              <w:right w:val="single" w:color="000000" w:sz="8" w:space="0"/>
            </w:tcBorders>
            <w:tcW w:w="567" w:type="dxa"/>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水车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货车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打药车或喷药设备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水泵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绿篱修剪机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草坪修剪机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割灌机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对讲机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其它必要工具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捡拾垃圾车</w:t>
            </w:r>
            <w:r/>
          </w:p>
        </w:tc>
      </w:tr>
      <w:tr>
        <w:trPr>
          <w:trHeight w:val="957"/>
        </w:trPr>
        <w:tc>
          <w:tcPr>
            <w:tcBorders>
              <w:top w:val="none" w:color="000000" w:sz="4" w:space="0"/>
              <w:left w:val="single" w:color="000000" w:sz="8" w:space="0"/>
              <w:bottom w:val="single" w:color="auto" w:sz="4" w:space="0"/>
              <w:right w:val="single" w:color="000000" w:sz="8" w:space="0"/>
            </w:tcBorders>
            <w:tcW w:w="567" w:type="dxa"/>
            <w:textDirection w:val="lrTb"/>
            <w:noWrap w:val="false"/>
          </w:tcPr>
          <w:p>
            <w:pPr>
              <w:jc w:val="center"/>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标段一</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2"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6</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4</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4</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851"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6</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09"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6</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017"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10</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67"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若干</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398"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color w:val="000000"/>
                <w:sz w:val="22"/>
                <w:szCs w:val="22"/>
              </w:rPr>
              <w:t xml:space="preserve">9</w:t>
            </w:r>
            <w:r/>
          </w:p>
        </w:tc>
      </w:tr>
      <w:tr>
        <w:trPr>
          <w:trHeight w:val="957"/>
        </w:trPr>
        <w:tc>
          <w:tcPr>
            <w:tcBorders>
              <w:top w:val="single" w:color="auto" w:sz="4" w:space="0"/>
              <w:left w:val="single" w:color="000000" w:sz="8" w:space="0"/>
              <w:bottom w:val="single" w:color="000000" w:sz="8" w:space="0"/>
              <w:right w:val="single" w:color="000000" w:sz="8" w:space="0"/>
            </w:tcBorders>
            <w:tcW w:w="567" w:type="dxa"/>
            <w:textDirection w:val="lrTb"/>
            <w:noWrap w:val="false"/>
          </w:tcPr>
          <w:p>
            <w:pPr>
              <w:jc w:val="center"/>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标段二</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若干</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p>
        </w:tc>
      </w:tr>
    </w:tbl>
    <w:p>
      <w:pPr>
        <w:ind w:firstLine="482"/>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r/>
    </w:p>
    <w:p>
      <w:pPr>
        <w:ind w:firstLine="482"/>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人必须在投标文件中提供“养护管理设备配置清单”，设备必须为公司自有设备。注：投标文件中需提供所有设备实物图片、设备购买发票原件扫描件，水车和货车还需另附有效期内的机动车行驶证原件扫描件。</w:t>
      </w:r>
      <w:r/>
    </w:p>
    <w:p>
      <w:pPr>
        <w:ind w:firstLine="482"/>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凡是投入使用的三轮电动车、四轮电动车必须为新国标车辆，并保证可以正常上路作业。（需提供实物图片、购买发票扫描件、车辆一致性认证证书和车辆在工业和信息化部（工信部）网站查询截图，查询网址</w:t>
      </w:r>
      <w:r>
        <w:rPr>
          <w:rFonts w:hint="eastAsia" w:ascii="宋体" w:hAnsi="宋体" w:eastAsia="宋体" w:cs="宋体"/>
          <w:b/>
          <w:color w:val="000000"/>
          <w:sz w:val="24"/>
          <w:szCs w:val="24"/>
          <w:highlight w:val="none"/>
        </w:rPr>
        <w:fldChar w:fldCharType="begin"/>
      </w:r>
      <w:r>
        <w:rPr>
          <w:rFonts w:hint="eastAsia" w:ascii="宋体" w:hAnsi="宋体" w:eastAsia="宋体" w:cs="宋体"/>
          <w:b/>
          <w:color w:val="000000"/>
          <w:sz w:val="24"/>
          <w:szCs w:val="24"/>
          <w:highlight w:val="none"/>
        </w:rPr>
        <w:instrText xml:space="preserve"> HYPERLINK "https://service.miit-eidc.org.cn/miitxxgk/gonggao/xxgk/index）" </w:instrText>
      </w:r>
      <w:r>
        <w:rPr>
          <w:rFonts w:hint="eastAsia" w:ascii="宋体" w:hAnsi="宋体" w:eastAsia="宋体" w:cs="宋体"/>
          <w:b/>
          <w:color w:val="000000"/>
          <w:sz w:val="24"/>
          <w:szCs w:val="24"/>
          <w:highlight w:val="none"/>
        </w:rPr>
        <w:fldChar w:fldCharType="separate"/>
      </w:r>
      <w:r>
        <w:rPr>
          <w:rStyle w:val="805"/>
          <w:rFonts w:hint="eastAsia" w:ascii="宋体" w:hAnsi="宋体" w:eastAsia="宋体" w:cs="宋体"/>
          <w:b/>
          <w:sz w:val="24"/>
          <w:szCs w:val="24"/>
          <w:highlight w:val="none"/>
        </w:rPr>
        <w:t xml:space="preserve">https://service.miit-eidc.org.cn/miitxxgk/gonggao/xxgk/index）</w:t>
      </w:r>
      <w:r>
        <w:rPr>
          <w:rFonts w:hint="eastAsia" w:ascii="宋体" w:hAnsi="宋体" w:eastAsia="宋体" w:cs="宋体"/>
          <w:b/>
          <w:color w:val="000000"/>
          <w:sz w:val="24"/>
          <w:szCs w:val="24"/>
          <w:highlight w:val="none"/>
        </w:rPr>
        <w:fldChar w:fldCharType="end"/>
      </w:r>
      <w:r/>
    </w:p>
    <w:p>
      <w:pPr>
        <w:ind w:firstLine="482"/>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color w:val="000000"/>
          <w:sz w:val="24"/>
          <w:szCs w:val="24"/>
        </w:rPr>
        <w:t xml:space="preserve">说明：投标文件中必须提供 “工作人员配备及养护管理设备”的承诺文件。否则按照无效投标处理。（格式见第七章）</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（三）服务考核标准</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合同期内考核以《徐州市河湖管理中心奎河市区段绿地管护考核办法》、《徐州市河湖管理中心奎河市区段绿地管护检查评分考核细则》、《徐州市河湖管理中心奎河沿线园林绿化管护检查评分考核细则》为准，采购人按绿地养护管理合同对本项目进行考评，如未达到考评标准或发生重大管理失误等现象，则可终止委托合同，由中标人承担违约和赔偿责任。考评标准按第五章合同附件1、附件2执行。</w:t>
      </w:r>
      <w:r/>
    </w:p>
    <w:p>
      <w:pPr>
        <w:ind w:firstLine="482"/>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color w:val="000000"/>
          <w:sz w:val="24"/>
          <w:szCs w:val="24"/>
        </w:rPr>
        <w:t xml:space="preserve">四、其他要求：见招标文件第五章《拟签订的合同文本》。</w:t>
      </w:r>
      <w:r/>
    </w:p>
    <w:p>
      <w:pPr>
        <w:spacing w:line="400" w:lineRule="atLeast"/>
        <w:rPr>
          <w:sz w:val="24"/>
          <w:szCs w:val="24"/>
        </w:rPr>
      </w:pPr>
      <w:r>
        <w:rPr>
          <w:sz w:val="24"/>
          <w:szCs w:val="24"/>
        </w:rPr>
      </w:r>
      <w:r/>
    </w:p>
    <w:p>
      <w:pPr>
        <w:jc w:val="center"/>
        <w:rPr>
          <w:rFonts w:ascii="宋体" w:hAnsi="宋体" w:cs="宋体"/>
          <w:b/>
          <w:bCs/>
          <w:color w:val="000000" w:themeColor="text1"/>
          <w:sz w:val="28"/>
          <w:szCs w:val="28"/>
          <w14:textFill>
            <w14:solidFill>
              <w14:schemeClr w14:val="tx1"/>
            </w14:solidFill>
          </w14:textFill>
        </w:rPr>
        <w:outlineLvl w:val="9"/>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outlineLvl w:val="9"/>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outlineLvl w:val="9"/>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outlineLvl w:val="9"/>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outlineLvl w:val="9"/>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outlineLvl w:val="9"/>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64"/>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jc w:val="center"/>
        <w:rPr>
          <w:rFonts w:ascii="宋体" w:hAnsi="宋体" w:cs="宋体"/>
          <w:b/>
          <w:bCs/>
          <w:color w:val="000000" w:themeColor="text1"/>
          <w:sz w:val="28"/>
          <w:szCs w:val="28"/>
          <w14:textFill>
            <w14:solidFill>
              <w14:schemeClr w14:val="tx1"/>
            </w14:solidFill>
          </w14:textFill>
        </w:rPr>
        <w:outlineLvl w:val="9"/>
      </w:pPr>
      <w:r>
        <w:rPr>
          <w:rFonts w:ascii="宋体" w:hAnsi="宋体" w:cs="宋体"/>
          <w:b/>
          <w:bCs/>
          <w:color w:val="000000" w:themeColor="text1"/>
          <w:sz w:val="28"/>
          <w:szCs w:val="28"/>
          <w14:textFill>
            <w14:solidFill>
              <w14:schemeClr w14:val="tx1"/>
            </w14:solidFill>
          </w14:textFill>
        </w:rPr>
      </w:r>
      <w:r/>
    </w:p>
    <w:p>
      <w:pPr>
        <w:jc w:val="center"/>
        <w:keepLines w:val="0"/>
        <w:keepNext w:val="0"/>
        <w:pageBreakBefore w:val="0"/>
        <w:spacing w:line="360" w:lineRule="auto"/>
        <w:rPr>
          <w:rFonts w:hint="eastAsia" w:ascii="宋体" w:hAnsi="宋体" w:eastAsia="宋体" w:cs="宋体"/>
          <w:b/>
          <w:bCs/>
          <w:color w:val="000000" w:themeColor="text1"/>
          <w:sz w:val="28"/>
          <w:szCs w:val="28"/>
          <w:lang w:val="en-US" w:eastAsia="zh-CN" w:bidi="ar-SA"/>
          <w14:textFill>
            <w14:solidFill>
              <w14:schemeClr w14:val="tx1"/>
            </w14:solidFill>
          </w14:textFill>
        </w:rPr>
        <w:outlineLvl w:val="9"/>
      </w:pPr>
      <w:r>
        <w:rPr>
          <w:rFonts w:hint="eastAsia" w:ascii="宋体" w:hAnsi="宋体" w:eastAsia="宋体" w:cs="宋体"/>
          <w:b/>
          <w:bCs/>
          <w:color w:val="000000" w:themeColor="text1"/>
          <w:sz w:val="28"/>
          <w:szCs w:val="28"/>
          <w:lang w:val="en-US" w:eastAsia="zh-CN" w:bidi="ar-SA"/>
          <w14:textFill>
            <w14:solidFill>
              <w14:schemeClr w14:val="tx1"/>
            </w14:solidFill>
          </w14:textFill>
        </w:rPr>
      </w:r>
      <w:r/>
    </w:p>
    <w:p>
      <w:pPr>
        <w:jc w:val="center"/>
        <w:keepLines w:val="0"/>
        <w:keepNext w:val="0"/>
        <w:pageBreakBefore w:val="0"/>
        <w:spacing w:line="360" w:lineRule="auto"/>
        <w:rPr>
          <w:rFonts w:hint="eastAsia" w:ascii="宋体" w:hAnsi="宋体" w:eastAsia="宋体" w:cs="宋体"/>
          <w:b/>
          <w:bCs/>
          <w:color w:val="000000" w:themeColor="text1"/>
          <w:sz w:val="28"/>
          <w:szCs w:val="28"/>
          <w:lang w:val="en-US" w:eastAsia="zh-CN" w:bidi="ar-SA"/>
          <w14:textFill>
            <w14:solidFill>
              <w14:schemeClr w14:val="tx1"/>
            </w14:solidFill>
          </w14:textFill>
        </w:rPr>
        <w:outlineLvl w:val="9"/>
      </w:pPr>
      <w:r>
        <w:rPr>
          <w:rFonts w:hint="eastAsia" w:ascii="宋体" w:hAnsi="宋体" w:eastAsia="宋体" w:cs="宋体"/>
          <w:b/>
          <w:bCs/>
          <w:color w:val="000000" w:themeColor="text1"/>
          <w:sz w:val="28"/>
          <w:szCs w:val="28"/>
          <w:lang w:val="en-US" w:eastAsia="zh-CN" w:bidi="ar-SA"/>
          <w14:textFill>
            <w14:solidFill>
              <w14:schemeClr w14:val="tx1"/>
            </w14:solidFill>
          </w14:textFill>
        </w:rPr>
      </w:r>
      <w:r/>
    </w:p>
    <w:p>
      <w:pPr>
        <w:jc w:val="center"/>
        <w:keepLines w:val="0"/>
        <w:keepNext w:val="0"/>
        <w:pageBreakBefore w:val="0"/>
        <w:spacing w:line="360" w:lineRule="auto"/>
        <w:rPr>
          <w:rFonts w:hint="eastAsia" w:ascii="宋体" w:hAnsi="宋体" w:eastAsia="宋体" w:cs="宋体"/>
          <w:b/>
          <w:bCs/>
          <w:color w:val="000000" w:themeColor="text1"/>
          <w:sz w:val="28"/>
          <w:szCs w:val="28"/>
          <w:lang w:val="en-US" w:eastAsia="zh-CN" w:bidi="ar-SA"/>
          <w14:textFill>
            <w14:solidFill>
              <w14:schemeClr w14:val="tx1"/>
            </w14:solidFill>
          </w14:textFill>
        </w:rPr>
        <w:outlineLvl w:val="9"/>
      </w:pPr>
      <w:r>
        <w:rPr>
          <w:rFonts w:hint="eastAsia" w:ascii="宋体" w:hAnsi="宋体" w:eastAsia="宋体" w:cs="宋体"/>
          <w:b/>
          <w:bCs/>
          <w:color w:val="000000" w:themeColor="text1"/>
          <w:sz w:val="28"/>
          <w:szCs w:val="28"/>
          <w:lang w:val="en-US" w:eastAsia="zh-CN" w:bidi="ar-SA"/>
          <w14:textFill>
            <w14:solidFill>
              <w14:schemeClr w14:val="tx1"/>
            </w14:solidFill>
          </w14:textFill>
        </w:rPr>
      </w:r>
      <w:r/>
    </w:p>
    <w:p>
      <w:pPr>
        <w:jc w:val="center"/>
        <w:keepLines w:val="0"/>
        <w:keepNext w:val="0"/>
        <w:pageBreakBefore w:val="0"/>
        <w:spacing w:line="360" w:lineRule="auto"/>
        <w:rPr>
          <w:rFonts w:hint="eastAsia" w:ascii="宋体" w:hAnsi="宋体" w:eastAsia="宋体" w:cs="宋体"/>
          <w:b/>
          <w:bCs/>
          <w:color w:val="000000" w:themeColor="text1"/>
          <w:sz w:val="28"/>
          <w:szCs w:val="28"/>
          <w:lang w:val="en-US" w:eastAsia="zh-CN" w:bidi="ar-SA"/>
          <w14:textFill>
            <w14:solidFill>
              <w14:schemeClr w14:val="tx1"/>
            </w14:solidFill>
          </w14:textFill>
        </w:rPr>
        <w:outlineLvl w:val="9"/>
      </w:pPr>
      <w:r>
        <w:rPr>
          <w:rFonts w:hint="eastAsia" w:ascii="宋体" w:hAnsi="宋体" w:eastAsia="宋体" w:cs="宋体"/>
          <w:b/>
          <w:bCs/>
          <w:color w:val="000000" w:themeColor="text1"/>
          <w:sz w:val="28"/>
          <w:szCs w:val="28"/>
          <w:lang w:val="en-US" w:eastAsia="zh-CN" w:bidi="ar-SA"/>
          <w14:textFill>
            <w14:solidFill>
              <w14:schemeClr w14:val="tx1"/>
            </w14:solidFill>
          </w14:textFill>
        </w:rPr>
      </w:r>
      <w:r/>
    </w:p>
    <w:p>
      <w:pPr>
        <w:jc w:val="center"/>
        <w:keepLines w:val="0"/>
        <w:keepNext w:val="0"/>
        <w:pageBreakBefore w:val="0"/>
        <w:spacing w:line="360" w:lineRule="auto"/>
        <w:rPr>
          <w:rFonts w:hint="eastAsia" w:ascii="宋体" w:hAnsi="宋体" w:eastAsia="宋体" w:cs="宋体"/>
          <w:b/>
          <w:bCs/>
          <w:color w:val="000000" w:themeColor="text1"/>
          <w:sz w:val="28"/>
          <w:szCs w:val="28"/>
          <w:lang w:val="en-US" w:eastAsia="zh-CN" w:bidi="ar-SA"/>
          <w14:textFill>
            <w14:solidFill>
              <w14:schemeClr w14:val="tx1"/>
            </w14:solidFill>
          </w14:textFill>
        </w:rPr>
        <w:outlineLvl w:val="9"/>
      </w:pPr>
      <w:r>
        <w:rPr>
          <w:rFonts w:hint="eastAsia" w:ascii="宋体" w:hAnsi="宋体" w:eastAsia="宋体" w:cs="宋体"/>
          <w:b/>
          <w:bCs/>
          <w:color w:val="000000" w:themeColor="text1"/>
          <w:sz w:val="28"/>
          <w:szCs w:val="28"/>
          <w:lang w:val="en-US" w:eastAsia="zh-CN" w:bidi="ar-SA"/>
          <w14:textFill>
            <w14:solidFill>
              <w14:schemeClr w14:val="tx1"/>
            </w14:solidFill>
          </w14:textFill>
        </w:rPr>
      </w:r>
      <w:r/>
    </w:p>
    <w:p>
      <w:pPr>
        <w:jc w:val="center"/>
        <w:keepLines w:val="0"/>
        <w:keepNext w:val="0"/>
        <w:pageBreakBefore w:val="0"/>
        <w:spacing w:line="360" w:lineRule="auto"/>
        <w:rPr>
          <w:rFonts w:hint="eastAsia" w:ascii="宋体" w:hAnsi="宋体" w:eastAsia="宋体" w:cs="宋体"/>
          <w:b/>
          <w:bCs/>
          <w:color w:val="000000" w:themeColor="text1"/>
          <w:sz w:val="28"/>
          <w:szCs w:val="28"/>
          <w:lang w:val="en-US" w:eastAsia="zh-CN" w:bidi="ar-SA"/>
          <w14:textFill>
            <w14:solidFill>
              <w14:schemeClr w14:val="tx1"/>
            </w14:solidFill>
          </w14:textFill>
        </w:rPr>
        <w:outlineLvl w:val="0"/>
      </w:pP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第七章  投标文件相关格式</w:t>
      </w:r>
      <w:bookmarkEnd w:id="14"/>
      <w:r/>
      <w:bookmarkEnd w:id="15"/>
      <w:r/>
      <w:r/>
    </w:p>
    <w:p>
      <w:pPr>
        <w:pStyle w:val="774"/>
        <w:ind w:firstLine="2850"/>
        <w:keepLines w:val="0"/>
        <w:keepNext w:val="0"/>
        <w:pageBreakBefore w:val="0"/>
        <w:spacing w:line="360" w:lineRule="auto"/>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一、投标函格式</w:t>
      </w:r>
      <w:r/>
    </w:p>
    <w:p>
      <w:pPr>
        <w:pStyle w:val="774"/>
        <w:spacing w:line="44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致：</w:t>
      </w:r>
      <w:r>
        <w:rPr>
          <w:rFonts w:hint="eastAsia" w:ascii="宋体" w:hAnsi="宋体" w:cs="宋体"/>
          <w:color w:val="000000" w:themeColor="text1"/>
          <w:sz w:val="24"/>
          <w:u w:val="single"/>
          <w14:textFill>
            <w14:solidFill>
              <w14:schemeClr w14:val="tx1"/>
            </w14:solidFill>
          </w14:textFill>
        </w:rPr>
        <w:t xml:space="preserve"> 徐州国信招标有限公司</w:t>
      </w:r>
      <w:r/>
    </w:p>
    <w:p>
      <w:pPr>
        <w:pStyle w:val="774"/>
        <w:ind w:firstLine="60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项目[项目编号：</w:t>
      </w:r>
      <w:r>
        <w:rPr>
          <w:rFonts w:hint="eastAsia" w:ascii="宋体" w:hAnsi="宋体" w:cs="宋体"/>
          <w:color w:val="000000" w:themeColor="text1"/>
          <w:sz w:val="24"/>
          <w:lang w:eastAsia="zh-CN"/>
          <w14:textFill>
            <w14:solidFill>
              <w14:schemeClr w14:val="tx1"/>
            </w14:solidFill>
          </w14:textFill>
        </w:rPr>
        <w:t xml:space="preserve">JSZC-320300-XZGX-G2026-0024</w:t>
      </w:r>
      <w:r>
        <w:rPr>
          <w:rFonts w:hint="eastAsia" w:ascii="宋体" w:hAnsi="宋体" w:cs="宋体"/>
          <w:color w:val="000000" w:themeColor="text1"/>
          <w:sz w:val="24"/>
          <w14:textFill>
            <w14:solidFill>
              <w14:schemeClr w14:val="tx1"/>
            </w14:solidFill>
          </w14:textFill>
        </w:rPr>
        <w:t xml:space="preserve">]招标文件，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姓名）代表我方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（投标人的名称）全权处理本次投标的有关事宜。</w:t>
      </w:r>
      <w:r/>
    </w:p>
    <w:p>
      <w:pPr>
        <w:pStyle w:val="774"/>
        <w:ind w:firstLine="60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据此函，投标人承诺并同意如下： </w:t>
      </w:r>
      <w:r/>
    </w:p>
    <w:p>
      <w:pPr>
        <w:pStyle w:val="774"/>
        <w:ind w:firstLine="60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1.投标人唯一投标报价见《开标一览表》。</w:t>
      </w:r>
      <w:r/>
    </w:p>
    <w:p>
      <w:pPr>
        <w:pStyle w:val="774"/>
        <w:ind w:firstLine="60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2.投标人将按招标文件的规定履行合同责任和义务。</w:t>
      </w:r>
      <w:r/>
    </w:p>
    <w:p>
      <w:pPr>
        <w:pStyle w:val="774"/>
        <w:ind w:firstLine="60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774"/>
        <w:ind w:firstLine="60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4.投标有效期为开标之日后90天。</w:t>
      </w:r>
      <w:r/>
    </w:p>
    <w:p>
      <w:pPr>
        <w:pStyle w:val="774"/>
        <w:ind w:firstLine="60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774"/>
        <w:ind w:firstLine="60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6.投标人同意在授予合同后，按照有关规定支付公证费（如有）。</w:t>
      </w:r>
      <w:r/>
    </w:p>
    <w:p>
      <w:pPr>
        <w:pStyle w:val="774"/>
        <w:ind w:right="29" w:firstLine="60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774"/>
        <w:ind w:right="29" w:firstLine="60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4"/>
        <w:ind w:firstLine="60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9.与本投标有关的一切正式往来信函请寄：</w:t>
      </w:r>
      <w:r/>
    </w:p>
    <w:p>
      <w:pPr>
        <w:pStyle w:val="774"/>
        <w:ind w:firstLine="120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w:t>
      </w:r>
      <w:r/>
    </w:p>
    <w:p>
      <w:pPr>
        <w:pStyle w:val="774"/>
        <w:ind w:firstLine="120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w:t>
      </w:r>
      <w:r/>
    </w:p>
    <w:p>
      <w:pPr>
        <w:pStyle w:val="774"/>
        <w:ind w:firstLine="120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传真：</w:t>
      </w:r>
      <w:r/>
    </w:p>
    <w:p>
      <w:pPr>
        <w:pStyle w:val="774"/>
        <w:ind w:firstLine="2700"/>
        <w:spacing w:line="4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4"/>
        <w:ind w:firstLine="270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74"/>
        <w:ind w:firstLine="60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投标人授权代表：</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（签字或盖章）  </w:t>
      </w:r>
      <w:r/>
    </w:p>
    <w:p>
      <w:pPr>
        <w:pStyle w:val="774"/>
        <w:ind w:firstLine="450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jc w:val="center"/>
        <w:spacing w:line="48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二、开标一览表格式</w:t>
      </w:r>
      <w:r/>
    </w:p>
    <w:p>
      <w:pPr>
        <w:pStyle w:val="774"/>
        <w:ind w:left="0" w:firstLine="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74"/>
        <w:ind w:left="0" w:firstLine="0"/>
        <w:spacing w:line="52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奎河市区段绿地综合养护项目</w:t>
      </w:r>
      <w:r>
        <w:rPr>
          <w:rFonts w:hint="eastAsia" w:ascii="宋体" w:hAnsi="宋体" w:cs="宋体"/>
          <w:color w:val="000000" w:themeColor="text1"/>
          <w:sz w:val="24"/>
          <w14:textFill>
            <w14:solidFill>
              <w14:schemeClr w14:val="tx1"/>
            </w14:solidFill>
          </w14:textFill>
        </w:rPr>
        <w:t xml:space="preserve"> </w:t>
      </w:r>
      <w:r/>
    </w:p>
    <w:p>
      <w:pPr>
        <w:pStyle w:val="774"/>
        <w:ind w:left="0" w:firstLine="0"/>
        <w:spacing w:line="52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JSZC-320300-XZGX-G2026-0024</w:t>
      </w:r>
      <w:r/>
    </w:p>
    <w:p>
      <w:pPr>
        <w:pStyle w:val="774"/>
        <w:jc w:val="righ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763"/>
        <w:tblW w:w="882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420"/>
        <w:gridCol w:w="2411"/>
        <w:gridCol w:w="2994"/>
      </w:tblGrid>
      <w:tr>
        <w:trPr>
          <w:cantSplit/>
          <w:jc w:val="center"/>
          <w:trHeight w:val="1163"/>
        </w:trPr>
        <w:tc>
          <w:tcPr>
            <w:tcW w:w="3420" w:type="dxa"/>
            <w:vAlign w:val="center"/>
            <w:textDirection w:val="lrTb"/>
            <w:noWrap w:val="false"/>
          </w:tcPr>
          <w:p>
            <w:pPr>
              <w:pStyle w:val="774"/>
              <w:ind w:left="0"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c>
        <w:tc>
          <w:tcPr>
            <w:tcW w:w="2411" w:type="dxa"/>
            <w:vAlign w:val="center"/>
            <w:textDirection w:val="lrTb"/>
            <w:noWrap w:val="false"/>
          </w:tcPr>
          <w:p>
            <w:pPr>
              <w:pStyle w:val="774"/>
              <w:ind w:left="0"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项目内容</w:t>
            </w:r>
            <w:r/>
          </w:p>
        </w:tc>
        <w:tc>
          <w:tcPr>
            <w:tcW w:w="2994" w:type="dxa"/>
            <w:vAlign w:val="center"/>
            <w:textDirection w:val="lrTb"/>
            <w:noWrap w:val="false"/>
          </w:tcPr>
          <w:p>
            <w:pPr>
              <w:pStyle w:val="774"/>
              <w:ind w:left="0"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总价（小写）</w:t>
            </w:r>
            <w:r/>
          </w:p>
        </w:tc>
      </w:tr>
      <w:tr>
        <w:trPr>
          <w:cantSplit/>
          <w:jc w:val="center"/>
          <w:trHeight w:val="1214"/>
        </w:trPr>
        <w:tc>
          <w:tcPr>
            <w:tcW w:w="3420" w:type="dxa"/>
            <w:vAlign w:val="center"/>
            <w:textDirection w:val="lrTb"/>
            <w:noWrap w:val="false"/>
          </w:tcPr>
          <w:p>
            <w:pPr>
              <w:pStyle w:val="774"/>
              <w:ind w:left="0"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奎河市区段绿地综合养护项目</w:t>
            </w:r>
            <w:r>
              <w:rPr>
                <w:rFonts w:hint="eastAsia" w:ascii="宋体" w:hAnsi="宋体" w:cs="宋体"/>
                <w:color w:val="000000" w:themeColor="text1"/>
                <w:sz w:val="24"/>
                <w14:textFill>
                  <w14:solidFill>
                    <w14:schemeClr w14:val="tx1"/>
                  </w14:solidFill>
                </w14:textFill>
              </w:rPr>
              <w:t xml:space="preserve">（采购包X）</w:t>
            </w:r>
            <w:r/>
          </w:p>
        </w:tc>
        <w:tc>
          <w:tcPr>
            <w:tcW w:w="2411" w:type="dxa"/>
            <w:vAlign w:val="center"/>
            <w:textDirection w:val="lrTb"/>
            <w:noWrap w:val="false"/>
          </w:tcPr>
          <w:p>
            <w:pPr>
              <w:pStyle w:val="774"/>
              <w:ind w:left="0"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详见投标文件</w:t>
            </w:r>
            <w:r/>
          </w:p>
        </w:tc>
        <w:tc>
          <w:tcPr>
            <w:tcW w:w="2994" w:type="dxa"/>
            <w:vAlign w:val="center"/>
            <w:textDirection w:val="lrTb"/>
            <w:noWrap w:val="false"/>
          </w:tcPr>
          <w:p>
            <w:pPr>
              <w:pStyle w:val="774"/>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1452"/>
        </w:trPr>
        <w:tc>
          <w:tcPr>
            <w:tcW w:w="3420" w:type="dxa"/>
            <w:vAlign w:val="center"/>
            <w:textDirection w:val="lrTb"/>
            <w:noWrap w:val="false"/>
          </w:tcPr>
          <w:p>
            <w:pPr>
              <w:pStyle w:val="774"/>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总价（大写）：</w:t>
            </w:r>
            <w:r/>
          </w:p>
        </w:tc>
        <w:tc>
          <w:tcPr>
            <w:gridSpan w:val="2"/>
            <w:tcW w:w="5405" w:type="dxa"/>
            <w:vAlign w:val="center"/>
            <w:textDirection w:val="lrTb"/>
            <w:noWrap w:val="false"/>
          </w:tcPr>
          <w:p>
            <w:pPr>
              <w:pStyle w:val="774"/>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pStyle w:val="774"/>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pStyle w:val="774"/>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ind w:firstLine="276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ind w:firstLine="315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ind w:firstLine="315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ind w:firstLine="315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ind w:firstLine="392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74"/>
        <w:ind w:firstLine="6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74"/>
        <w:ind w:firstLine="495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74"/>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4"/>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jc w:val="center"/>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jc w:val="center"/>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jc w:val="center"/>
        <w:spacing w:line="480" w:lineRule="exact"/>
        <w:rPr>
          <w:rFonts w:ascii="宋体" w:hAnsi="宋体" w:cs="宋体"/>
          <w:color w:val="000000" w:themeColor="text1"/>
          <w:sz w:val="28"/>
          <w:szCs w:val="28"/>
          <w14:textFill>
            <w14:solidFill>
              <w14:schemeClr w14:val="tx1"/>
            </w14:solidFill>
          </w14:textFill>
        </w:rPr>
        <w:outlineLvl w:val="9"/>
      </w:pPr>
      <w:r>
        <w:rPr>
          <w:rFonts w:ascii="宋体" w:hAnsi="宋体" w:cs="宋体"/>
          <w:color w:val="000000" w:themeColor="text1"/>
          <w:sz w:val="28"/>
          <w:szCs w:val="28"/>
          <w14:textFill>
            <w14:solidFill>
              <w14:schemeClr w14:val="tx1"/>
            </w14:solidFill>
          </w14:textFill>
        </w:rPr>
      </w:r>
      <w:r/>
    </w:p>
    <w:p>
      <w:pPr>
        <w:pStyle w:val="774"/>
        <w:jc w:val="center"/>
        <w:spacing w:line="480" w:lineRule="exact"/>
        <w:rPr>
          <w:rFonts w:ascii="宋体" w:hAnsi="宋体" w:cs="宋体"/>
          <w:color w:val="000000" w:themeColor="text1"/>
          <w:sz w:val="28"/>
          <w:szCs w:val="28"/>
          <w14:textFill>
            <w14:solidFill>
              <w14:schemeClr w14:val="tx1"/>
            </w14:solidFill>
          </w14:textFill>
        </w:rPr>
        <w:outlineLvl w:val="9"/>
      </w:pPr>
      <w:r>
        <w:rPr>
          <w:rFonts w:ascii="宋体" w:hAnsi="宋体" w:cs="宋体"/>
          <w:color w:val="000000" w:themeColor="text1"/>
          <w:sz w:val="28"/>
          <w:szCs w:val="28"/>
          <w14:textFill>
            <w14:solidFill>
              <w14:schemeClr w14:val="tx1"/>
            </w14:solidFill>
          </w14:textFill>
        </w:rPr>
      </w:r>
      <w:r/>
    </w:p>
    <w:p>
      <w:pPr>
        <w:pStyle w:val="774"/>
        <w:jc w:val="center"/>
        <w:spacing w:line="480" w:lineRule="exact"/>
        <w:rPr>
          <w:rFonts w:ascii="宋体" w:hAnsi="宋体" w:cs="宋体"/>
          <w:color w:val="000000" w:themeColor="text1"/>
          <w:sz w:val="28"/>
          <w:szCs w:val="28"/>
          <w14:textFill>
            <w14:solidFill>
              <w14:schemeClr w14:val="tx1"/>
            </w14:solidFill>
          </w14:textFill>
        </w:rPr>
        <w:outlineLvl w:val="9"/>
      </w:pPr>
      <w:r>
        <w:rPr>
          <w:rFonts w:ascii="宋体" w:hAnsi="宋体" w:cs="宋体"/>
          <w:color w:val="000000" w:themeColor="text1"/>
          <w:sz w:val="28"/>
          <w:szCs w:val="28"/>
          <w14:textFill>
            <w14:solidFill>
              <w14:schemeClr w14:val="tx1"/>
            </w14:solidFill>
          </w14:textFill>
        </w:rPr>
      </w:r>
      <w:r/>
    </w:p>
    <w:p>
      <w:pPr>
        <w:pStyle w:val="774"/>
        <w:jc w:val="center"/>
        <w:spacing w:line="48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三、分项价格表格式</w:t>
      </w:r>
      <w:r/>
    </w:p>
    <w:p>
      <w:pPr>
        <w:pStyle w:val="774"/>
        <w:ind w:firstLine="60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ind w:firstLine="6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奎河市区段绿地综合养护项目</w:t>
      </w:r>
      <w:r>
        <w:rPr>
          <w:rFonts w:hint="eastAsia" w:ascii="宋体" w:hAnsi="宋体" w:cs="宋体"/>
          <w:color w:val="000000" w:themeColor="text1"/>
          <w:sz w:val="24"/>
          <w14:textFill>
            <w14:solidFill>
              <w14:schemeClr w14:val="tx1"/>
            </w14:solidFill>
          </w14:textFill>
        </w:rPr>
        <w:t xml:space="preserve">  </w:t>
      </w:r>
      <w:r/>
    </w:p>
    <w:p>
      <w:pPr>
        <w:pStyle w:val="774"/>
        <w:ind w:firstLine="6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JSZC-320300-XZGX-G2026-0024</w:t>
      </w:r>
      <w:r>
        <w:rPr>
          <w:rFonts w:hint="eastAsia" w:ascii="宋体" w:hAnsi="宋体" w:cs="宋体"/>
          <w:color w:val="000000" w:themeColor="text1"/>
          <w:sz w:val="24"/>
          <w14:textFill>
            <w14:solidFill>
              <w14:schemeClr w14:val="tx1"/>
            </w14:solidFill>
          </w14:textFill>
        </w:rPr>
        <w:t xml:space="preserve">   </w:t>
      </w:r>
      <w:r/>
    </w:p>
    <w:p>
      <w:pPr>
        <w:pStyle w:val="774"/>
        <w:ind w:firstLine="6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p>
      <w:pPr>
        <w:pStyle w:val="774"/>
        <w:jc w:val="center"/>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9"/>
      </w:pPr>
      <w:r/>
      <w:r/>
    </w:p>
    <w:p>
      <w:pPr>
        <w:pStyle w:val="774"/>
        <w:ind w:firstLine="720"/>
        <w:jc w:val="left"/>
        <w:spacing w:line="48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格式自拟</w:t>
      </w:r>
      <w:r/>
    </w:p>
    <w:p>
      <w:pPr>
        <w:pStyle w:val="774"/>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ind w:firstLine="285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ind w:firstLine="285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9"/>
      </w:pPr>
      <w:r/>
      <w:r/>
    </w:p>
    <w:p>
      <w:pPr>
        <w:pStyle w:val="774"/>
        <w:ind w:firstLine="285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ind w:firstLine="2850"/>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9"/>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77"/>
      </w:pPr>
      <w:r/>
      <w:r/>
    </w:p>
    <w:p>
      <w:pPr>
        <w:pStyle w:val="774"/>
        <w:ind w:firstLine="285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74"/>
        <w:ind w:firstLine="6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74"/>
        <w:ind w:firstLine="39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74"/>
        <w:ind w:firstLine="600"/>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4"/>
        <w:ind w:firstLine="6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注：①如果不提供详细分项报价的，将视为没有实质性响应招标文件。</w:t>
      </w:r>
      <w:r/>
    </w:p>
    <w:p>
      <w:pPr>
        <w:pStyle w:val="774"/>
        <w:ind w:firstLine="112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②投标人对以上数据的真实性负责。</w:t>
      </w:r>
      <w:r/>
    </w:p>
    <w:p>
      <w:pPr>
        <w:pStyle w:val="774"/>
        <w:ind w:firstLine="6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b/>
          <w:bCs/>
          <w:i/>
          <w:iCs/>
          <w:color w:val="000000" w:themeColor="text1"/>
          <w:sz w:val="24"/>
          <w14:textFill>
            <w14:solidFill>
              <w14:schemeClr w14:val="tx1"/>
            </w14:solidFill>
          </w14:textFill>
        </w:rPr>
        <w:t xml:space="preserve">徐州国信招标有限公司有权将以上内容进行公示。</w:t>
      </w:r>
      <w:r/>
    </w:p>
    <w:p>
      <w:pPr>
        <w:pStyle w:val="774"/>
        <w:jc w:val="center"/>
        <w:spacing w:line="48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四、偏离表格式</w:t>
      </w:r>
      <w:r/>
    </w:p>
    <w:p>
      <w:pPr>
        <w:pStyle w:val="774"/>
        <w:ind w:firstLine="60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ind w:firstLine="600"/>
        <w:spacing w:line="48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奎河市区段绿地综合养护项目</w:t>
      </w:r>
      <w:r/>
    </w:p>
    <w:p>
      <w:pPr>
        <w:pStyle w:val="774"/>
        <w:ind w:firstLine="600"/>
        <w:spacing w:line="48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JSZC-320300-XZGX-G2026-0024</w:t>
      </w:r>
      <w:r/>
    </w:p>
    <w:p>
      <w:pPr>
        <w:pStyle w:val="774"/>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tbl>
      <w:tblPr>
        <w:tblStyle w:val="763"/>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74"/>
              <w:ind w:left="0" w:firstLine="0"/>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74"/>
              <w:ind w:left="0" w:firstLine="0"/>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74"/>
              <w:ind w:left="0" w:firstLine="0"/>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74"/>
              <w:ind w:left="0" w:firstLine="0"/>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74"/>
              <w:ind w:left="0" w:firstLine="0"/>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74"/>
              <w:ind w:left="0" w:firstLine="0"/>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pStyle w:val="774"/>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pStyle w:val="774"/>
        <w:ind w:firstLine="562"/>
        <w:spacing w:line="44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rPr>
          <w:rFonts w:hint="eastAsia" w:ascii="宋体" w:hAnsi="宋体" w:cs="宋体"/>
          <w:color w:val="000000" w:themeColor="text1"/>
          <w:sz w:val="24"/>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774"/>
        <w:ind w:firstLine="285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74"/>
        <w:ind w:firstLine="60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74"/>
        <w:ind w:firstLine="39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74"/>
        <w:ind w:firstLine="600"/>
        <w:spacing w:line="480" w:lineRule="exact"/>
        <w:rPr>
          <w:rFonts w:ascii="宋体" w:hAnsi="宋体" w:cs="宋体"/>
          <w:bCs/>
          <w:color w:val="000000" w:themeColor="text1"/>
          <w:sz w:val="28"/>
          <w:szCs w:val="28"/>
          <w14:textFill>
            <w14:solidFill>
              <w14:schemeClr w14:val="tx1"/>
            </w14:solidFill>
          </w14:textFill>
        </w:rPr>
      </w:pPr>
      <w:r>
        <w:rPr>
          <w:rFonts w:ascii="宋体" w:hAnsi="宋体" w:cs="宋体"/>
          <w:bCs/>
          <w:color w:val="000000" w:themeColor="text1"/>
          <w:sz w:val="28"/>
          <w:szCs w:val="28"/>
          <w14:textFill>
            <w14:solidFill>
              <w14:schemeClr w14:val="tx1"/>
            </w14:solidFill>
          </w14:textFill>
        </w:rPr>
      </w:r>
      <w:r/>
    </w:p>
    <w:p>
      <w:pPr>
        <w:pStyle w:val="774"/>
        <w:spacing w:line="480" w:lineRule="exact"/>
        <w:rPr>
          <w:rFonts w:ascii="宋体" w:hAnsi="宋体" w:cs="宋体"/>
          <w:bCs/>
          <w:color w:val="000000" w:themeColor="text1"/>
          <w:sz w:val="28"/>
          <w:szCs w:val="28"/>
          <w14:textFill>
            <w14:solidFill>
              <w14:schemeClr w14:val="tx1"/>
            </w14:solidFill>
          </w14:textFill>
        </w:rPr>
      </w:pPr>
      <w:r>
        <w:rPr>
          <w:rFonts w:ascii="宋体" w:hAnsi="宋体" w:cs="宋体"/>
          <w:bCs/>
          <w:color w:val="000000" w:themeColor="text1"/>
          <w:sz w:val="28"/>
          <w:szCs w:val="28"/>
          <w14:textFill>
            <w14:solidFill>
              <w14:schemeClr w14:val="tx1"/>
            </w14:solidFill>
          </w14:textFill>
        </w:rPr>
      </w:r>
      <w:r/>
    </w:p>
    <w:p>
      <w:pPr>
        <w:pStyle w:val="774"/>
        <w:jc w:val="center"/>
        <w:spacing w:line="48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bCs/>
          <w:color w:val="000000" w:themeColor="text1"/>
          <w:sz w:val="28"/>
          <w:szCs w:val="28"/>
          <w14:textFill>
            <w14:solidFill>
              <w14:schemeClr w14:val="tx1"/>
            </w14:solidFill>
          </w14:textFill>
        </w:rPr>
        <w:br w:type="page" w:clear="all"/>
      </w:r>
      <w:r>
        <w:rPr>
          <w:rFonts w:hint="eastAsia" w:ascii="宋体" w:hAnsi="宋体" w:cs="宋体"/>
          <w:bCs/>
          <w:color w:val="000000" w:themeColor="text1"/>
          <w:sz w:val="28"/>
          <w:szCs w:val="28"/>
          <w14:textFill>
            <w14:solidFill>
              <w14:schemeClr w14:val="tx1"/>
            </w14:solidFill>
          </w14:textFill>
        </w:rPr>
        <w:t xml:space="preserve">五、法定代表人授权书格式</w:t>
      </w:r>
      <w:r/>
    </w:p>
    <w:p>
      <w:pPr>
        <w:pStyle w:val="774"/>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w:t>
      </w:r>
      <w:r/>
    </w:p>
    <w:p>
      <w:pPr>
        <w:pStyle w:val="774"/>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p>
    <w:p>
      <w:pPr>
        <w:pStyle w:val="774"/>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               职务：</w:t>
      </w:r>
      <w:r/>
    </w:p>
    <w:p>
      <w:pPr>
        <w:pStyle w:val="774"/>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统一社会信用代码：</w:t>
      </w:r>
      <w:r/>
    </w:p>
    <w:p>
      <w:pPr>
        <w:pStyle w:val="774"/>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                   性别：男（女）  </w:t>
      </w:r>
      <w:r/>
    </w:p>
    <w:p>
      <w:pPr>
        <w:pStyle w:val="774"/>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  岁                 民族：   族</w:t>
      </w:r>
      <w:r/>
    </w:p>
    <w:p>
      <w:pPr>
        <w:pStyle w:val="774"/>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职务：</w:t>
      </w:r>
      <w:r/>
    </w:p>
    <w:p>
      <w:pPr>
        <w:pStyle w:val="774"/>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p>
    <w:p>
      <w:pPr>
        <w:pStyle w:val="774"/>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受托人联系电话：</w:t>
      </w:r>
      <w:r/>
    </w:p>
    <w:p>
      <w:pPr>
        <w:pStyle w:val="774"/>
        <w:ind w:firstLine="6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兹委托（      ）全权代表我企业（公司）参与</w:t>
      </w:r>
      <w:r>
        <w:rPr>
          <w:rFonts w:hint="eastAsia" w:ascii="宋体" w:hAnsi="宋体" w:cs="宋体"/>
          <w:color w:val="000000" w:themeColor="text1"/>
          <w:sz w:val="24"/>
          <w:lang w:eastAsia="zh-CN"/>
          <w14:textFill>
            <w14:solidFill>
              <w14:schemeClr w14:val="tx1"/>
            </w14:solidFill>
          </w14:textFill>
        </w:rPr>
        <w:t xml:space="preserve">奎河市区段绿地综合养护项目</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JSZC-320300-XZGX-G2026-0024</w:t>
      </w:r>
      <w:r>
        <w:rPr>
          <w:rFonts w:hint="eastAsia" w:ascii="宋体" w:hAnsi="宋体" w:cs="宋体"/>
          <w:color w:val="000000" w:themeColor="text1"/>
          <w:sz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74"/>
        <w:ind w:firstLine="63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特此授权委托。</w:t>
      </w:r>
      <w:r/>
    </w:p>
    <w:p>
      <w:pPr>
        <w:pStyle w:val="774"/>
        <w:ind w:firstLine="6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委托人（盖章）：               受托人（签字）：</w:t>
      </w:r>
      <w:r/>
    </w:p>
    <w:p>
      <w:pPr>
        <w:pStyle w:val="774"/>
        <w:ind w:firstLine="6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法定代表人（签字）： </w:t>
      </w:r>
      <w:r/>
    </w:p>
    <w:p>
      <w:pPr>
        <w:pStyle w:val="774"/>
        <w:ind w:firstLine="615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   月   日 </w:t>
      </w:r>
      <w:r/>
    </w:p>
    <w:p>
      <w:pPr>
        <w:pStyle w:val="774"/>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（受托人身份证复印件附后）</w:t>
      </w:r>
      <w:r/>
    </w:p>
    <w:p>
      <w:pPr>
        <w:pStyle w:val="774"/>
        <w:ind w:firstLine="447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74"/>
        <w:ind w:firstLine="4470"/>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ind w:firstLine="4470"/>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ind w:firstLine="4470"/>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774"/>
        <w:jc w:val="center"/>
        <w:spacing w:before="100" w:beforeAutospacing="1" w:after="100" w:afterAutospacing="1" w:line="480" w:lineRule="exact"/>
        <w:widowControl/>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六、中小企业声明函格式</w:t>
      </w:r>
      <w:r/>
    </w:p>
    <w:p>
      <w:pPr>
        <w:pStyle w:val="829"/>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04"/>
        <w:spacing w:line="360" w:lineRule="auto"/>
        <w:rPr>
          <w:rStyle w:val="1061"/>
          <w:rFonts w:ascii="宋体" w:hAnsi="宋体" w:cs="宋体"/>
          <w:spacing w:val="6"/>
          <w:sz w:val="24"/>
          <w:u w:val="single"/>
        </w:rPr>
      </w:pPr>
      <w:r>
        <w:rPr>
          <w:rStyle w:val="1061"/>
          <w:rFonts w:hint="eastAsia" w:ascii="宋体" w:hAnsi="宋体" w:cs="宋体"/>
          <w:spacing w:val="6"/>
          <w:sz w:val="24"/>
        </w:rPr>
        <w:t xml:space="preserve">项目编号：</w:t>
      </w:r>
      <w:r>
        <w:rPr>
          <w:rStyle w:val="1061"/>
          <w:rFonts w:hint="eastAsia" w:ascii="宋体" w:hAnsi="宋体" w:cs="宋体"/>
          <w:spacing w:val="6"/>
          <w:sz w:val="24"/>
          <w:u w:val="single"/>
        </w:rPr>
        <w:t xml:space="preserve"> JSZC-320300-XZGX-G2026-0024              </w:t>
      </w:r>
      <w:r/>
    </w:p>
    <w:p>
      <w:pPr>
        <w:ind w:firstLine="504"/>
        <w:spacing w:line="360" w:lineRule="auto"/>
        <w:rPr>
          <w:rStyle w:val="1061"/>
          <w:rFonts w:ascii="宋体" w:hAnsi="宋体" w:cs="宋体"/>
          <w:sz w:val="24"/>
        </w:rPr>
      </w:pPr>
      <w:r>
        <w:rPr>
          <w:rStyle w:val="1061"/>
          <w:rFonts w:hint="eastAsia" w:ascii="宋体" w:hAnsi="宋体" w:cs="宋体"/>
          <w:spacing w:val="6"/>
          <w:sz w:val="24"/>
        </w:rPr>
        <w:t xml:space="preserve">项目名称：</w:t>
      </w:r>
      <w:r>
        <w:rPr>
          <w:rStyle w:val="1061"/>
          <w:rFonts w:hint="eastAsia" w:ascii="宋体" w:hAnsi="宋体" w:cs="宋体"/>
          <w:spacing w:val="6"/>
          <w:sz w:val="24"/>
          <w:u w:val="single"/>
        </w:rPr>
        <w:t xml:space="preserve"> 奎河市区段绿地综合养护项目              </w:t>
      </w:r>
      <w:r/>
    </w:p>
    <w:p>
      <w:pPr>
        <w:pStyle w:val="777"/>
        <w:ind w:firstLine="48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77"/>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本公司郑重声明，根据《政府采购促进中小企业发展管理办法》（财库﹝2020﹞46号）的规定，本公司参加</w:t>
      </w:r>
      <w:r>
        <w:rPr>
          <w:rFonts w:hint="eastAsia" w:ascii="宋体" w:hAnsi="宋体" w:cs="宋体"/>
          <w:color w:val="000000" w:themeColor="text1"/>
          <w:u w:val="single"/>
          <w14:textFill>
            <w14:solidFill>
              <w14:schemeClr w14:val="tx1"/>
            </w14:solidFill>
          </w14:textFill>
        </w:rPr>
        <w:t xml:space="preserve">（单位名称）</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u w:val="single"/>
          <w14:textFill>
            <w14:solidFill>
              <w14:schemeClr w14:val="tx1"/>
            </w14:solidFill>
          </w14:textFill>
        </w:rPr>
        <w:t xml:space="preserve">（项目名称）</w:t>
      </w:r>
      <w:r>
        <w:rPr>
          <w:rFonts w:hint="eastAsia" w:ascii="宋体" w:hAnsi="宋体" w:cs="宋体"/>
          <w:color w:val="000000" w:themeColor="text1"/>
          <w14:textFill>
            <w14:solidFill>
              <w14:schemeClr w14:val="tx1"/>
            </w14:solidFill>
          </w14:textFill>
        </w:rPr>
        <w:t xml:space="preserve">采购活动，服务全部由符合政策要求的中小企业承接。相关企业的具体情况如下：</w:t>
      </w:r>
      <w:r/>
    </w:p>
    <w:p>
      <w:pPr>
        <w:pStyle w:val="777"/>
        <w:ind w:firstLine="480"/>
        <w:rPr>
          <w:rFonts w:ascii="宋体" w:hAnsi="宋体" w:cs="宋体"/>
          <w:color w:val="000000" w:themeColor="text1"/>
          <w:spacing w:val="6"/>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（标的名称）</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（采购文件中明确的所属行业）</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万元，属于</w:t>
      </w:r>
      <w:r>
        <w:rPr>
          <w:rFonts w:hint="eastAsia" w:ascii="宋体" w:hAnsi="宋体" w:cs="宋体"/>
        </w:rPr>
        <w:t xml:space="preserve">（</w:t>
      </w:r>
      <w:r>
        <w:rPr>
          <w:rStyle w:val="1061"/>
          <w:rFonts w:hint="eastAsia" w:ascii="宋体" w:hAnsi="宋体" w:cs="宋体"/>
          <w:b/>
          <w:sz w:val="24"/>
        </w:rPr>
        <w:t xml:space="preserve">□中型企业、□小型企业、□微型企业，请勾选！</w:t>
      </w:r>
      <w:r>
        <w:rPr>
          <w:rFonts w:hint="eastAsia" w:ascii="宋体" w:hAnsi="宋体" w:cs="宋体"/>
        </w:rPr>
        <w:t xml:space="preserve">）；</w:t>
      </w:r>
      <w:r/>
    </w:p>
    <w:p>
      <w:pPr>
        <w:pStyle w:val="777"/>
        <w:ind w:firstLine="482"/>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777"/>
        <w:ind w:firstLine="480"/>
        <w:rPr>
          <w:rFonts w:ascii="宋体" w:hAnsi="宋体" w:cs="宋体"/>
          <w:bCs/>
          <w:color w:val="000000" w:themeColor="text1"/>
          <w:spacing w:val="6"/>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777"/>
        <w:ind w:firstLine="480"/>
        <w:jc w:val="lef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w:t>
      </w:r>
      <w:r/>
    </w:p>
    <w:p>
      <w:pPr>
        <w:spacing w:line="360" w:lineRule="auto"/>
        <w:rPr>
          <w:rStyle w:val="1061"/>
          <w:rFonts w:ascii="宋体" w:hAnsi="宋体" w:cs="宋体"/>
          <w:b/>
          <w:bCs/>
          <w:sz w:val="24"/>
        </w:rPr>
      </w:pPr>
      <w:r>
        <w:rPr>
          <w:rStyle w:val="1061"/>
          <w:rFonts w:hint="eastAsia" w:ascii="宋体" w:hAnsi="宋体" w:cs="宋体"/>
          <w:b/>
          <w:bCs/>
          <w:sz w:val="24"/>
        </w:rPr>
        <w:t xml:space="preserve">注：本项目采购的服务属于</w:t>
      </w:r>
      <w:r>
        <w:rPr>
          <w:rStyle w:val="1061"/>
          <w:rFonts w:hint="eastAsia" w:ascii="宋体" w:hAnsi="宋体" w:cs="宋体"/>
          <w:b/>
          <w:bCs/>
          <w:sz w:val="24"/>
          <w:u w:val="single"/>
        </w:rPr>
        <w:t xml:space="preserve">其他未列明行业</w:t>
      </w:r>
      <w:r>
        <w:rPr>
          <w:rStyle w:val="1061"/>
          <w:rFonts w:hint="eastAsia" w:ascii="宋体" w:hAnsi="宋体" w:cs="宋体"/>
          <w:b/>
          <w:bCs/>
          <w:sz w:val="24"/>
        </w:rPr>
        <w:t xml:space="preserve">。</w:t>
      </w:r>
      <w:r/>
    </w:p>
    <w:p>
      <w:pPr>
        <w:spacing w:line="360" w:lineRule="auto"/>
        <w:rPr>
          <w:rStyle w:val="1061"/>
          <w:rFonts w:ascii="宋体" w:hAnsi="宋体" w:cs="宋体"/>
          <w:b/>
          <w:bCs/>
          <w:sz w:val="24"/>
        </w:rPr>
      </w:pPr>
      <w:r>
        <w:rPr>
          <w:rFonts w:ascii="宋体" w:hAnsi="宋体" w:cs="宋体"/>
          <w:b/>
          <w:bCs/>
          <w:sz w:val="24"/>
        </w:rPr>
      </w:r>
      <w:r/>
    </w:p>
    <w:p>
      <w:pPr>
        <w:ind w:firstLine="600"/>
        <w:spacing w:line="360" w:lineRule="auto"/>
        <w:rPr>
          <w:rStyle w:val="1061"/>
          <w:rFonts w:ascii="宋体" w:hAnsi="宋体" w:cs="宋体"/>
          <w:sz w:val="24"/>
        </w:rPr>
      </w:pPr>
      <w:r>
        <w:rPr>
          <w:rFonts w:ascii="宋体" w:hAnsi="宋体" w:cs="宋体"/>
          <w:sz w:val="24"/>
        </w:rPr>
      </w:r>
      <w:r/>
    </w:p>
    <w:p>
      <w:pPr>
        <w:ind w:firstLine="480"/>
        <w:spacing w:line="360" w:lineRule="auto"/>
        <w:rPr>
          <w:rStyle w:val="1061"/>
          <w:rFonts w:ascii="宋体" w:hAnsi="宋体" w:cs="宋体"/>
          <w:sz w:val="24"/>
        </w:rPr>
      </w:pPr>
      <w:r>
        <w:rPr>
          <w:rStyle w:val="1061"/>
          <w:rFonts w:hint="eastAsia" w:ascii="宋体" w:hAnsi="宋体" w:cs="宋体"/>
          <w:sz w:val="24"/>
        </w:rPr>
        <w:t xml:space="preserve">                         企业名称（电子签章）：</w:t>
      </w:r>
      <w:r/>
    </w:p>
    <w:p>
      <w:pPr>
        <w:ind w:firstLine="480"/>
        <w:spacing w:line="360" w:lineRule="auto"/>
        <w:rPr>
          <w:rStyle w:val="1061"/>
          <w:rFonts w:ascii="宋体" w:hAnsi="宋体" w:cs="宋体"/>
          <w:sz w:val="24"/>
        </w:rPr>
      </w:pPr>
      <w:r>
        <w:rPr>
          <w:rStyle w:val="1061"/>
          <w:rFonts w:hint="eastAsia" w:ascii="宋体" w:hAnsi="宋体" w:cs="宋体"/>
          <w:sz w:val="24"/>
        </w:rPr>
        <w:t xml:space="preserve">                         日期：      年      月     日</w:t>
      </w:r>
      <w:r/>
    </w:p>
    <w:p>
      <w:pPr>
        <w:ind w:firstLine="480"/>
        <w:spacing w:line="360" w:lineRule="auto"/>
        <w:rPr>
          <w:rStyle w:val="1061"/>
          <w:rFonts w:ascii="宋体" w:hAnsi="宋体" w:cs="宋体"/>
          <w:szCs w:val="28"/>
        </w:rPr>
      </w:pPr>
      <w:r>
        <w:rPr>
          <w:rFonts w:ascii="宋体" w:hAnsi="宋体" w:cs="宋体"/>
          <w:szCs w:val="28"/>
        </w:rPr>
      </w:r>
      <w:r/>
    </w:p>
    <w:p>
      <w:pPr>
        <w:pStyle w:val="1081"/>
        <w:ind w:left="0"/>
        <w:rPr>
          <w:rStyle w:val="1061"/>
          <w:rFonts w:ascii="宋体" w:hAnsi="宋体" w:cs="宋体"/>
          <w:szCs w:val="28"/>
        </w:rPr>
      </w:pPr>
      <w:r>
        <w:rPr>
          <w:rFonts w:ascii="宋体" w:hAnsi="宋体" w:cs="宋体"/>
          <w:szCs w:val="28"/>
        </w:rPr>
      </w:r>
      <w:r/>
    </w:p>
    <w:p>
      <w:pPr>
        <w:ind w:firstLine="482"/>
        <w:spacing w:line="360" w:lineRule="auto"/>
        <w:rPr>
          <w:rStyle w:val="1061"/>
          <w:rFonts w:ascii="宋体" w:hAnsi="宋体" w:cs="宋体"/>
          <w:bCs/>
          <w:sz w:val="24"/>
        </w:rPr>
      </w:pPr>
      <w:r>
        <w:rPr>
          <w:rStyle w:val="1061"/>
          <w:rFonts w:hint="eastAsia" w:ascii="宋体" w:hAnsi="宋体" w:cs="宋体"/>
          <w:bCs/>
          <w:sz w:val="24"/>
        </w:rPr>
        <w:t xml:space="preserve">备注：从业人员、营业收入、资产总额填报上一年度数据，无上一年度数据的新成立企业可不填报。</w:t>
      </w:r>
      <w:r/>
    </w:p>
    <w:p>
      <w:pPr>
        <w:pStyle w:val="774"/>
        <w:ind w:firstLine="600"/>
        <w:spacing w:line="480" w:lineRule="exact"/>
        <w:rPr>
          <w:rFonts w:ascii="宋体" w:hAnsi="宋体" w:cs="宋体"/>
          <w:bCs/>
          <w:sz w:val="24"/>
        </w:rPr>
      </w:pPr>
      <w:r>
        <w:rPr>
          <w:rFonts w:hint="eastAsia" w:ascii="宋体" w:hAnsi="宋体" w:cs="宋体"/>
          <w:bCs/>
          <w:sz w:val="24"/>
        </w:rPr>
        <w:t xml:space="preserve">“中小企业声明函” 查询渠道用微信搜索“中小企业规模类型自测小程序”。</w:t>
      </w:r>
      <w:r/>
    </w:p>
    <w:p>
      <w:pPr>
        <w:pStyle w:val="774"/>
        <w:ind w:firstLine="600"/>
        <w:spacing w:line="480" w:lineRule="exact"/>
        <w:rPr>
          <w:rFonts w:ascii="宋体" w:hAnsi="宋体" w:cs="宋体"/>
          <w:b/>
          <w:sz w:val="28"/>
          <w:szCs w:val="28"/>
        </w:rPr>
      </w:pPr>
      <w:r>
        <w:rPr>
          <w:rFonts w:ascii="宋体" w:hAnsi="宋体" w:cs="宋体"/>
          <w:b/>
          <w:sz w:val="28"/>
          <w:szCs w:val="28"/>
        </w:rPr>
      </w:r>
      <w:r/>
    </w:p>
    <w:p>
      <w:pPr>
        <w:pStyle w:val="774"/>
        <w:jc w:val="center"/>
        <w:rPr>
          <w:rFonts w:hint="eastAsia" w:ascii="宋体" w:hAnsi="宋体" w:eastAsia="宋体" w:cs="宋体"/>
          <w:b/>
          <w:color w:val="000000" w:themeColor="text1"/>
          <w:spacing w:val="6"/>
          <w:sz w:val="28"/>
          <w:szCs w:val="28"/>
          <w:lang w:eastAsia="zh-CN"/>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2799080" cy="5761990"/>
                <wp:effectExtent l="0" t="0" r="1270" b="10160"/>
                <wp:docPr id="4"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片1"/>
                        <pic:cNvPicPr>
                          <a:picLocks noChangeAspect="1"/>
                        </pic:cNvPicPr>
                        <pic:nvPr/>
                      </pic:nvPicPr>
                      <pic:blipFill>
                        <a:blip r:embed="rId15"/>
                        <a:stretch/>
                      </pic:blipFill>
                      <pic:spPr bwMode="auto">
                        <a:xfrm>
                          <a:off x="0" y="0"/>
                          <a:ext cx="2799079" cy="5761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0.4pt;height:453.7pt;mso-wrap-distance-left:0.0pt;mso-wrap-distance-top:0.0pt;mso-wrap-distance-right:0.0pt;mso-wrap-distance-bottom:0.0pt;" stroked="false">
                <v:path textboxrect="0,0,0,0"/>
                <v:imagedata r:id="rId15" o:title=""/>
              </v:shape>
            </w:pict>
          </mc:Fallback>
        </mc:AlternateContent>
      </w: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七、残疾人福利性单位声明函格式</w:t>
      </w:r>
      <w:r>
        <w:rPr>
          <w:rFonts w:hint="eastAsia" w:ascii="宋体" w:hAnsi="宋体" w:cs="宋体"/>
          <w:color w:val="000000" w:themeColor="text1"/>
          <w:sz w:val="28"/>
          <w:szCs w:val="28"/>
          <w:lang w:eastAsia="zh-CN"/>
          <w14:textFill>
            <w14:solidFill>
              <w14:schemeClr w14:val="tx1"/>
            </w14:solidFill>
          </w14:textFill>
        </w:rPr>
        <w:t xml:space="preserve">（如有）</w:t>
      </w:r>
      <w:r/>
    </w:p>
    <w:p>
      <w:pPr>
        <w:pStyle w:val="774"/>
        <w:ind w:firstLine="624"/>
        <w:spacing w:line="480" w:lineRule="exact"/>
        <w:rPr>
          <w:rFonts w:ascii="宋体" w:hAnsi="宋体" w:cs="宋体"/>
          <w:color w:val="000000" w:themeColor="text1"/>
          <w:spacing w:val="6"/>
          <w:sz w:val="28"/>
          <w:szCs w:val="28"/>
          <w14:textFill>
            <w14:solidFill>
              <w14:schemeClr w14:val="tx1"/>
            </w14:solidFill>
          </w14:textFill>
        </w:rPr>
      </w:pPr>
      <w:r>
        <w:rPr>
          <w:rFonts w:ascii="宋体" w:hAnsi="宋体" w:cs="宋体"/>
          <w:color w:val="000000" w:themeColor="text1"/>
          <w:spacing w:val="6"/>
          <w:sz w:val="28"/>
          <w:szCs w:val="28"/>
          <w14:textFill>
            <w14:solidFill>
              <w14:schemeClr w14:val="tx1"/>
            </w14:solidFill>
          </w14:textFill>
        </w:rPr>
      </w:r>
      <w:r/>
    </w:p>
    <w:p>
      <w:pPr>
        <w:pStyle w:val="774"/>
        <w:ind w:firstLine="624"/>
        <w:spacing w:line="480" w:lineRule="exact"/>
        <w:rPr>
          <w:rFonts w:hint="eastAsia" w:ascii="宋体" w:hAnsi="宋体" w:eastAsia="宋体" w:cs="宋体"/>
          <w:color w:val="000000" w:themeColor="text1"/>
          <w:spacing w:val="6"/>
          <w:sz w:val="24"/>
          <w:lang w:eastAsia="zh-CN"/>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项目名称：</w:t>
      </w:r>
      <w:r>
        <w:rPr>
          <w:rFonts w:hint="eastAsia" w:ascii="宋体" w:hAnsi="宋体" w:cs="宋体"/>
          <w:color w:val="000000" w:themeColor="text1"/>
          <w:spacing w:val="6"/>
          <w:sz w:val="24"/>
          <w:lang w:eastAsia="zh-CN"/>
          <w14:textFill>
            <w14:solidFill>
              <w14:schemeClr w14:val="tx1"/>
            </w14:solidFill>
          </w14:textFill>
        </w:rPr>
        <w:t xml:space="preserve">奎河市区段绿地综合养护项目</w:t>
      </w:r>
      <w:r/>
    </w:p>
    <w:p>
      <w:pPr>
        <w:pStyle w:val="774"/>
        <w:ind w:firstLine="624"/>
        <w:spacing w:line="480" w:lineRule="exact"/>
        <w:rPr>
          <w:rFonts w:hint="eastAsia" w:ascii="宋体" w:hAnsi="宋体" w:eastAsia="宋体" w:cs="宋体"/>
          <w:color w:val="000000" w:themeColor="text1"/>
          <w:spacing w:val="6"/>
          <w:sz w:val="24"/>
          <w:lang w:eastAsia="zh-CN"/>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项目编号：</w:t>
      </w:r>
      <w:r>
        <w:rPr>
          <w:rFonts w:hint="eastAsia" w:ascii="宋体" w:hAnsi="宋体" w:cs="宋体"/>
          <w:color w:val="000000" w:themeColor="text1"/>
          <w:spacing w:val="6"/>
          <w:sz w:val="24"/>
          <w:lang w:eastAsia="zh-CN"/>
          <w14:textFill>
            <w14:solidFill>
              <w14:schemeClr w14:val="tx1"/>
            </w14:solidFill>
          </w14:textFill>
        </w:rPr>
        <w:t xml:space="preserve">JSZC-320300-XZGX-G2026-0024</w:t>
      </w:r>
      <w:r/>
    </w:p>
    <w:p>
      <w:pPr>
        <w:pStyle w:val="774"/>
        <w:ind w:firstLine="624"/>
        <w:spacing w:line="48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 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4"/>
          <w:u w:val="single"/>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单位的</w:t>
      </w:r>
      <w:r>
        <w:rPr>
          <w:rFonts w:hint="eastAsia" w:ascii="宋体" w:hAnsi="宋体" w:cs="宋体"/>
          <w:color w:val="000000" w:themeColor="text1"/>
          <w:sz w:val="24"/>
          <w:u w:val="single"/>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774"/>
        <w:ind w:firstLine="624"/>
        <w:spacing w:line="48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pStyle w:val="774"/>
        <w:ind w:firstLine="624"/>
        <w:spacing w:line="480" w:lineRule="exact"/>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pStyle w:val="774"/>
        <w:ind w:firstLine="624"/>
        <w:spacing w:line="480" w:lineRule="exact"/>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pStyle w:val="774"/>
        <w:ind w:firstLine="255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74"/>
        <w:ind w:firstLine="6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74"/>
        <w:ind w:firstLine="4500"/>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4"/>
        <w:ind w:firstLine="45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74"/>
        <w:ind w:firstLine="450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ind w:firstLine="60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jc w:val="center"/>
        <w:spacing w:line="48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八、投标人参加政府采购活动前3年内在经营活动中没有重大违法记录的书面声明格式</w:t>
      </w:r>
      <w:r/>
    </w:p>
    <w:p>
      <w:pPr>
        <w:pStyle w:val="774"/>
        <w:ind w:firstLine="60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74"/>
        <w:ind w:firstLine="6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我单位在参加</w:t>
      </w:r>
      <w:r>
        <w:rPr>
          <w:rFonts w:hint="eastAsia" w:ascii="宋体" w:hAnsi="宋体" w:cs="宋体"/>
          <w:color w:val="000000" w:themeColor="text1"/>
          <w:sz w:val="24"/>
          <w:lang w:eastAsia="zh-CN"/>
          <w14:textFill>
            <w14:solidFill>
              <w14:schemeClr w14:val="tx1"/>
            </w14:solidFill>
          </w14:textFill>
        </w:rPr>
        <w:t xml:space="preserve">奎河市区段绿地综合养护项目</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JSZC-320300-XZGX-G2026-0024</w:t>
      </w:r>
      <w:r>
        <w:rPr>
          <w:rFonts w:hint="eastAsia" w:ascii="宋体" w:hAnsi="宋体" w:cs="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63"/>
        <w:ind w:firstLine="600"/>
        <w:spacing w:before="0" w:beforeAutospacing="0" w:after="0" w:afterAutospacing="0" w:line="480" w:lineRule="exac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我单位对上述声明的真实性负责。如有虚假，将依法承担相应责任。</w:t>
      </w:r>
      <w:r/>
    </w:p>
    <w:p>
      <w:pPr>
        <w:pStyle w:val="774"/>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4"/>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4"/>
        <w:ind w:firstLine="285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74"/>
        <w:ind w:firstLine="6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74"/>
        <w:ind w:firstLine="4500"/>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4"/>
        <w:ind w:firstLine="4950"/>
        <w:spacing w:line="480" w:lineRule="exact"/>
        <w:rPr>
          <w:color w:val="000000" w:themeColor="text1"/>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themeColor="text1"/>
          <w:sz w:val="24"/>
          <w14:textFill>
            <w14:solidFill>
              <w14:schemeClr w14:val="tx1"/>
            </w14:solidFill>
          </w14:textFill>
        </w:rPr>
        <w:t xml:space="preserve">日期：   年    月   日</w:t>
      </w:r>
      <w:r/>
    </w:p>
    <w:p>
      <w:pPr>
        <w:pStyle w:val="808"/>
        <w:jc w:val="center"/>
        <w:spacing w:line="360" w:lineRule="auto"/>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九、具备履行合同所必需的设备和专业技术能力的书面声明</w:t>
      </w:r>
      <w:r/>
    </w:p>
    <w:p>
      <w:pPr>
        <w:pStyle w:val="808"/>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（附证明材料）</w:t>
      </w:r>
      <w:r/>
    </w:p>
    <w:p>
      <w:pPr>
        <w:pStyle w:val="808"/>
        <w:jc w:val="cente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808"/>
        <w:ind w:firstLine="480"/>
        <w:spacing w:line="480" w:lineRule="exact"/>
        <w:rPr>
          <w:rFonts w:ascii="宋体" w:hAnsi="宋体" w:cs="宋体"/>
          <w:sz w:val="24"/>
        </w:rPr>
      </w:pPr>
      <w:r>
        <w:rPr>
          <w:rFonts w:ascii="宋体" w:hAnsi="宋体" w:cs="宋体"/>
          <w:sz w:val="24"/>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p>
      <w:pPr>
        <w:pStyle w:val="808"/>
        <w:ind w:firstLine="48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设备：</w:t>
      </w:r>
      <w:r/>
    </w:p>
    <w:p>
      <w:pPr>
        <w:ind w:firstLine="47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（证明材料附后）</w:t>
      </w:r>
      <w:r/>
    </w:p>
    <w:p>
      <w:pPr>
        <w:ind w:firstLine="47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（证明材料附后）</w:t>
      </w:r>
      <w:r/>
    </w:p>
    <w:p>
      <w:pPr>
        <w:ind w:firstLine="47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ind w:firstLine="47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专业技术能力：</w:t>
      </w:r>
      <w:r/>
    </w:p>
    <w:p>
      <w:pPr>
        <w:ind w:firstLine="47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（证明材料附后）</w:t>
      </w:r>
      <w:r/>
    </w:p>
    <w:p>
      <w:pPr>
        <w:ind w:firstLine="47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（证明材料附后）</w:t>
      </w:r>
      <w:r/>
    </w:p>
    <w:p>
      <w:pPr>
        <w:ind w:firstLine="47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pStyle w:val="808"/>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特此声明。</w:t>
      </w:r>
      <w:r/>
    </w:p>
    <w:p>
      <w:pPr>
        <w:pStyle w:val="808"/>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响应供应商对上述声明的真实性负责。如有虚假，将依法承担相应责任。</w:t>
      </w:r>
      <w:r/>
    </w:p>
    <w:p>
      <w:pPr>
        <w:pStyle w:val="808"/>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1680"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供应商：（电子签章）</w:t>
      </w:r>
      <w:r/>
    </w:p>
    <w:p>
      <w:pPr>
        <w:ind w:left="1680"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供应商法定代表人或授权代表：（签字或电子签章）  </w:t>
      </w:r>
      <w:r/>
    </w:p>
    <w:p>
      <w:pPr>
        <w:ind w:left="1680"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808"/>
        <w:jc w:val="center"/>
        <w:spacing w:line="360" w:lineRule="auto"/>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十、项目负责人简历表</w:t>
      </w:r>
      <w:r/>
    </w:p>
    <w:p>
      <w:pPr>
        <w:rPr>
          <w:rFonts w:ascii="仿宋_GB2312" w:eastAsia="仿宋_GB2312"/>
          <w:sz w:val="24"/>
        </w:rPr>
      </w:pPr>
      <w:r>
        <w:rPr>
          <w:rFonts w:ascii="仿宋_GB2312" w:eastAsia="仿宋_GB2312"/>
          <w:sz w:val="24"/>
        </w:rPr>
      </w:r>
      <w:r/>
    </w:p>
    <w:p>
      <w:pPr>
        <w:ind w:firstLine="504"/>
        <w:spacing w:line="588" w:lineRule="exact"/>
        <w:rPr>
          <w:rFonts w:ascii="宋体" w:hAnsi="宋体"/>
          <w:spacing w:val="6"/>
          <w:sz w:val="24"/>
        </w:rPr>
      </w:pPr>
      <w:r>
        <w:rPr>
          <w:rFonts w:hint="eastAsia" w:ascii="宋体" w:hAnsi="宋体"/>
          <w:spacing w:val="6"/>
          <w:sz w:val="24"/>
        </w:rPr>
        <w:t xml:space="preserve">项目名称：奎河市区段绿地综合养护</w:t>
      </w:r>
      <w:r/>
    </w:p>
    <w:p>
      <w:pPr>
        <w:ind w:firstLine="504"/>
        <w:spacing w:line="588" w:lineRule="exact"/>
        <w:rPr>
          <w:rFonts w:ascii="宋体" w:hAnsi="宋体"/>
          <w:spacing w:val="6"/>
          <w:sz w:val="24"/>
        </w:rPr>
      </w:pPr>
      <w:r>
        <w:rPr>
          <w:rFonts w:hint="eastAsia" w:ascii="宋体" w:hAnsi="宋体"/>
          <w:spacing w:val="6"/>
          <w:sz w:val="24"/>
        </w:rPr>
        <w:t xml:space="preserve">项目编号：</w:t>
      </w:r>
      <w:r>
        <w:rPr>
          <w:rFonts w:hint="eastAsia" w:ascii="宋体" w:hAnsi="宋体"/>
          <w:spacing w:val="6"/>
          <w:sz w:val="24"/>
          <w:lang w:eastAsia="zh-CN"/>
        </w:rPr>
        <w:t xml:space="preserve">JSZC-320300-XZGX-G2026-0024</w:t>
      </w:r>
      <w:r>
        <w:rPr>
          <w:rFonts w:hint="eastAsia" w:ascii="宋体" w:hAnsi="宋体"/>
          <w:spacing w:val="6"/>
          <w:sz w:val="24"/>
        </w:rPr>
        <w:t xml:space="preserve">  </w:t>
      </w:r>
      <w:r/>
    </w:p>
    <w:p>
      <w:pPr>
        <w:ind w:firstLine="504"/>
        <w:spacing w:line="588" w:lineRule="exact"/>
        <w:rPr>
          <w:rFonts w:ascii="宋体" w:hAnsi="宋体"/>
          <w:spacing w:val="6"/>
          <w:sz w:val="24"/>
        </w:rPr>
      </w:pPr>
      <w:r>
        <w:rPr>
          <w:rFonts w:hint="eastAsia" w:ascii="宋体" w:hAnsi="宋体"/>
          <w:spacing w:val="6"/>
          <w:sz w:val="24"/>
        </w:rPr>
        <w:t xml:space="preserve">投标人（章）：</w:t>
      </w:r>
      <w:r/>
    </w:p>
    <w:p>
      <w:pPr>
        <w:pStyle w:val="781"/>
      </w:pPr>
      <w:r/>
      <w:r/>
    </w:p>
    <w:tbl>
      <w:tblPr>
        <w:tblStyle w:val="763"/>
        <w:tblW w:w="9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2539"/>
      </w:tblGrid>
      <w:tr>
        <w:trPr>
          <w:jc w:val="center"/>
        </w:trPr>
        <w:tc>
          <w:tcPr>
            <w:tcW w:w="1343" w:type="dxa"/>
            <w:textDirection w:val="lrTb"/>
            <w:noWrap w:val="false"/>
          </w:tcPr>
          <w:p>
            <w:pPr>
              <w:jc w:val="center"/>
              <w:rPr>
                <w:rFonts w:ascii="宋体" w:hAnsi="宋体"/>
                <w:sz w:val="24"/>
              </w:rPr>
            </w:pPr>
            <w:r>
              <w:rPr>
                <w:rFonts w:hint="eastAsia" w:ascii="宋体" w:hAnsi="宋体"/>
                <w:sz w:val="24"/>
              </w:rPr>
              <w:t xml:space="preserve">姓名</w:t>
            </w:r>
            <w:r/>
          </w:p>
        </w:tc>
        <w:tc>
          <w:tcPr>
            <w:tcW w:w="1318" w:type="dxa"/>
            <w:textDirection w:val="lrTb"/>
            <w:noWrap w:val="false"/>
          </w:tcPr>
          <w:p>
            <w:pPr>
              <w:jc w:val="center"/>
              <w:rPr>
                <w:rFonts w:ascii="宋体" w:hAnsi="宋体"/>
                <w:sz w:val="24"/>
              </w:rPr>
            </w:pPr>
            <w:r>
              <w:rPr>
                <w:rFonts w:ascii="宋体" w:hAnsi="宋体"/>
                <w:sz w:val="24"/>
              </w:rPr>
            </w:r>
            <w:r/>
          </w:p>
        </w:tc>
        <w:tc>
          <w:tcPr>
            <w:tcW w:w="1587" w:type="dxa"/>
            <w:textDirection w:val="lrTb"/>
            <w:noWrap w:val="false"/>
          </w:tcPr>
          <w:p>
            <w:pPr>
              <w:jc w:val="center"/>
              <w:rPr>
                <w:rFonts w:ascii="宋体" w:hAnsi="宋体"/>
                <w:sz w:val="24"/>
              </w:rPr>
            </w:pPr>
            <w:r>
              <w:rPr>
                <w:rFonts w:hint="eastAsia" w:ascii="宋体" w:hAnsi="宋体"/>
                <w:sz w:val="24"/>
              </w:rPr>
              <w:t xml:space="preserve">性别</w:t>
            </w:r>
            <w:r/>
          </w:p>
        </w:tc>
        <w:tc>
          <w:tcPr>
            <w:tcW w:w="1075" w:type="dxa"/>
            <w:textDirection w:val="lrTb"/>
            <w:noWrap w:val="false"/>
          </w:tcPr>
          <w:p>
            <w:pPr>
              <w:jc w:val="center"/>
              <w:rPr>
                <w:rFonts w:ascii="宋体" w:hAnsi="宋体"/>
                <w:sz w:val="24"/>
              </w:rPr>
            </w:pPr>
            <w:r>
              <w:rPr>
                <w:rFonts w:ascii="宋体" w:hAnsi="宋体"/>
                <w:sz w:val="24"/>
              </w:rPr>
            </w:r>
            <w:r/>
          </w:p>
        </w:tc>
        <w:tc>
          <w:tcPr>
            <w:tcW w:w="1345" w:type="dxa"/>
            <w:textDirection w:val="lrTb"/>
            <w:noWrap w:val="false"/>
          </w:tcPr>
          <w:p>
            <w:pPr>
              <w:jc w:val="center"/>
              <w:rPr>
                <w:rFonts w:ascii="宋体" w:hAnsi="宋体"/>
                <w:sz w:val="24"/>
              </w:rPr>
            </w:pPr>
            <w:r>
              <w:rPr>
                <w:rFonts w:hint="eastAsia" w:ascii="宋体" w:hAnsi="宋体"/>
                <w:sz w:val="24"/>
              </w:rPr>
              <w:t xml:space="preserve">年龄</w:t>
            </w:r>
            <w:r/>
          </w:p>
        </w:tc>
        <w:tc>
          <w:tcPr>
            <w:tcW w:w="2539" w:type="dxa"/>
            <w:textDirection w:val="lrTb"/>
            <w:noWrap w:val="false"/>
          </w:tcPr>
          <w:p>
            <w:pPr>
              <w:jc w:val="center"/>
              <w:rPr>
                <w:rFonts w:ascii="宋体" w:hAnsi="宋体"/>
                <w:sz w:val="24"/>
              </w:rPr>
            </w:pPr>
            <w:r>
              <w:rPr>
                <w:rFonts w:ascii="宋体" w:hAnsi="宋体"/>
                <w:sz w:val="24"/>
              </w:rPr>
            </w:r>
            <w:r/>
          </w:p>
        </w:tc>
      </w:tr>
      <w:tr>
        <w:trPr>
          <w:jc w:val="center"/>
        </w:trPr>
        <w:tc>
          <w:tcPr>
            <w:tcW w:w="1343" w:type="dxa"/>
            <w:textDirection w:val="lrTb"/>
            <w:noWrap w:val="false"/>
          </w:tcPr>
          <w:p>
            <w:pPr>
              <w:jc w:val="center"/>
              <w:rPr>
                <w:rFonts w:ascii="宋体" w:hAnsi="宋体"/>
                <w:sz w:val="24"/>
              </w:rPr>
            </w:pPr>
            <w:r>
              <w:rPr>
                <w:rFonts w:hint="eastAsia" w:ascii="宋体" w:hAnsi="宋体"/>
                <w:sz w:val="24"/>
              </w:rPr>
              <w:t xml:space="preserve">学历</w:t>
            </w:r>
            <w:r/>
          </w:p>
        </w:tc>
        <w:tc>
          <w:tcPr>
            <w:tcW w:w="1318" w:type="dxa"/>
            <w:textDirection w:val="lrTb"/>
            <w:noWrap w:val="false"/>
          </w:tcPr>
          <w:p>
            <w:pPr>
              <w:jc w:val="center"/>
              <w:rPr>
                <w:rFonts w:ascii="宋体" w:hAnsi="宋体"/>
                <w:sz w:val="24"/>
              </w:rPr>
            </w:pPr>
            <w:r>
              <w:rPr>
                <w:rFonts w:ascii="宋体" w:hAnsi="宋体"/>
                <w:sz w:val="24"/>
              </w:rPr>
            </w:r>
            <w:r/>
          </w:p>
        </w:tc>
        <w:tc>
          <w:tcPr>
            <w:tcW w:w="1587" w:type="dxa"/>
            <w:textDirection w:val="lrTb"/>
            <w:noWrap w:val="false"/>
          </w:tcPr>
          <w:p>
            <w:pPr>
              <w:jc w:val="center"/>
              <w:rPr>
                <w:rFonts w:ascii="宋体" w:hAnsi="宋体"/>
                <w:sz w:val="24"/>
              </w:rPr>
            </w:pPr>
            <w:r>
              <w:rPr>
                <w:rFonts w:hint="eastAsia" w:ascii="宋体" w:hAnsi="宋体"/>
                <w:sz w:val="24"/>
              </w:rPr>
              <w:t xml:space="preserve">职称</w:t>
            </w:r>
            <w:r/>
          </w:p>
        </w:tc>
        <w:tc>
          <w:tcPr>
            <w:tcW w:w="1075" w:type="dxa"/>
            <w:textDirection w:val="lrTb"/>
            <w:noWrap w:val="false"/>
          </w:tcPr>
          <w:p>
            <w:pPr>
              <w:jc w:val="center"/>
              <w:rPr>
                <w:rFonts w:ascii="宋体" w:hAnsi="宋体"/>
                <w:sz w:val="24"/>
              </w:rPr>
            </w:pPr>
            <w:r>
              <w:rPr>
                <w:rFonts w:ascii="宋体" w:hAnsi="宋体"/>
                <w:sz w:val="24"/>
              </w:rPr>
            </w:r>
            <w:r/>
          </w:p>
        </w:tc>
        <w:tc>
          <w:tcPr>
            <w:tcW w:w="1345" w:type="dxa"/>
            <w:textDirection w:val="lrTb"/>
            <w:noWrap w:val="false"/>
          </w:tcPr>
          <w:p>
            <w:pPr>
              <w:jc w:val="center"/>
              <w:rPr>
                <w:rFonts w:ascii="宋体" w:hAnsi="宋体"/>
                <w:sz w:val="24"/>
              </w:rPr>
            </w:pPr>
            <w:r>
              <w:rPr>
                <w:rFonts w:hint="eastAsia" w:ascii="宋体" w:hAnsi="宋体"/>
                <w:sz w:val="24"/>
              </w:rPr>
              <w:t xml:space="preserve">职务</w:t>
            </w:r>
            <w:r/>
          </w:p>
        </w:tc>
        <w:tc>
          <w:tcPr>
            <w:tcW w:w="2539" w:type="dxa"/>
            <w:textDirection w:val="lrTb"/>
            <w:noWrap w:val="false"/>
          </w:tcPr>
          <w:p>
            <w:pPr>
              <w:jc w:val="center"/>
              <w:rPr>
                <w:rFonts w:ascii="宋体" w:hAnsi="宋体"/>
                <w:sz w:val="24"/>
              </w:rPr>
            </w:pPr>
            <w:r>
              <w:rPr>
                <w:rFonts w:ascii="宋体" w:hAnsi="宋体"/>
                <w:sz w:val="24"/>
              </w:rPr>
            </w:r>
            <w:r/>
          </w:p>
        </w:tc>
      </w:tr>
      <w:tr>
        <w:trPr>
          <w:jc w:val="center"/>
        </w:trPr>
        <w:tc>
          <w:tcPr>
            <w:tcW w:w="1343" w:type="dxa"/>
            <w:textDirection w:val="lrTb"/>
            <w:noWrap w:val="false"/>
          </w:tcPr>
          <w:p>
            <w:pPr>
              <w:jc w:val="center"/>
              <w:rPr>
                <w:rFonts w:ascii="宋体" w:hAnsi="宋体"/>
                <w:sz w:val="24"/>
              </w:rPr>
            </w:pPr>
            <w:r>
              <w:rPr>
                <w:rFonts w:hint="eastAsia" w:ascii="宋体" w:hAnsi="宋体"/>
                <w:sz w:val="24"/>
              </w:rPr>
              <w:t xml:space="preserve">专业</w:t>
            </w:r>
            <w:r/>
          </w:p>
        </w:tc>
        <w:tc>
          <w:tcPr>
            <w:tcW w:w="1318" w:type="dxa"/>
            <w:textDirection w:val="lrTb"/>
            <w:noWrap w:val="false"/>
          </w:tcPr>
          <w:p>
            <w:pPr>
              <w:jc w:val="center"/>
              <w:rPr>
                <w:rFonts w:ascii="宋体" w:hAnsi="宋体"/>
                <w:sz w:val="24"/>
              </w:rPr>
            </w:pPr>
            <w:r>
              <w:rPr>
                <w:rFonts w:ascii="宋体" w:hAnsi="宋体"/>
                <w:sz w:val="24"/>
              </w:rPr>
            </w:r>
            <w:r/>
          </w:p>
        </w:tc>
        <w:tc>
          <w:tcPr>
            <w:tcW w:w="1587" w:type="dxa"/>
            <w:textDirection w:val="lrTb"/>
            <w:noWrap w:val="false"/>
          </w:tcPr>
          <w:p>
            <w:pPr>
              <w:jc w:val="center"/>
              <w:rPr>
                <w:rFonts w:ascii="宋体" w:hAnsi="宋体"/>
                <w:sz w:val="24"/>
              </w:rPr>
            </w:pPr>
            <w:r>
              <w:rPr>
                <w:rFonts w:hint="eastAsia" w:ascii="宋体" w:hAnsi="宋体"/>
                <w:sz w:val="24"/>
              </w:rPr>
              <w:t xml:space="preserve">联系电话</w:t>
            </w:r>
            <w:r/>
          </w:p>
        </w:tc>
        <w:tc>
          <w:tcPr>
            <w:tcW w:w="1075" w:type="dxa"/>
            <w:textDirection w:val="lrTb"/>
            <w:noWrap w:val="false"/>
          </w:tcPr>
          <w:p>
            <w:pPr>
              <w:jc w:val="center"/>
              <w:rPr>
                <w:rFonts w:ascii="宋体" w:hAnsi="宋体"/>
                <w:sz w:val="24"/>
              </w:rPr>
            </w:pPr>
            <w:r>
              <w:rPr>
                <w:rFonts w:ascii="宋体" w:hAnsi="宋体"/>
                <w:sz w:val="24"/>
              </w:rPr>
            </w:r>
            <w:r/>
          </w:p>
        </w:tc>
        <w:tc>
          <w:tcPr>
            <w:tcW w:w="1345" w:type="dxa"/>
            <w:textDirection w:val="lrTb"/>
            <w:noWrap w:val="false"/>
          </w:tcPr>
          <w:p>
            <w:pPr>
              <w:jc w:val="center"/>
              <w:rPr>
                <w:rFonts w:ascii="宋体" w:hAnsi="宋体"/>
                <w:sz w:val="24"/>
              </w:rPr>
            </w:pPr>
            <w:r>
              <w:rPr>
                <w:rFonts w:ascii="宋体" w:hAnsi="宋体"/>
                <w:sz w:val="24"/>
              </w:rPr>
            </w:r>
            <w:r/>
          </w:p>
        </w:tc>
        <w:tc>
          <w:tcPr>
            <w:tcW w:w="2539" w:type="dxa"/>
            <w:textDirection w:val="lrTb"/>
            <w:noWrap w:val="false"/>
          </w:tcPr>
          <w:p>
            <w:pPr>
              <w:jc w:val="center"/>
              <w:rPr>
                <w:rFonts w:ascii="宋体" w:hAnsi="宋体"/>
                <w:sz w:val="24"/>
              </w:rPr>
            </w:pPr>
            <w:r>
              <w:rPr>
                <w:rFonts w:ascii="宋体" w:hAnsi="宋体"/>
                <w:sz w:val="24"/>
              </w:rPr>
            </w:r>
            <w:r/>
          </w:p>
        </w:tc>
      </w:tr>
      <w:tr>
        <w:trPr>
          <w:jc w:val="center"/>
        </w:trPr>
        <w:tc>
          <w:tcPr>
            <w:gridSpan w:val="6"/>
            <w:tcW w:w="9207" w:type="dxa"/>
            <w:textDirection w:val="lrTb"/>
            <w:noWrap w:val="false"/>
          </w:tcPr>
          <w:p>
            <w:pPr>
              <w:rPr>
                <w:rFonts w:ascii="宋体" w:hAnsi="宋体"/>
                <w:sz w:val="24"/>
              </w:rPr>
            </w:pPr>
            <w:r>
              <w:rPr>
                <w:rFonts w:hint="eastAsia" w:ascii="宋体" w:hAnsi="宋体"/>
                <w:sz w:val="24"/>
              </w:rPr>
              <w:t xml:space="preserve">主要业绩：</w:t>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tc>
      </w:tr>
    </w:tbl>
    <w:p>
      <w:pPr>
        <w:rPr>
          <w:rFonts w:ascii="仿宋_GB2312" w:eastAsia="仿宋_GB2312"/>
          <w:sz w:val="24"/>
        </w:rPr>
      </w:pPr>
      <w:r/>
      <w:bookmarkStart w:id="16" w:name="_GoBack"/>
      <w:r/>
      <w:bookmarkEnd w:id="16"/>
      <w:r/>
      <w:r/>
    </w:p>
    <w:p>
      <w:pPr>
        <w:rPr>
          <w:rFonts w:ascii="仿宋_GB2312" w:hAnsi="仿宋" w:eastAsia="仿宋_GB2312"/>
          <w:sz w:val="24"/>
        </w:rPr>
      </w:pPr>
      <w:r>
        <w:rPr>
          <w:rFonts w:ascii="仿宋_GB2312" w:hAnsi="仿宋" w:eastAsia="仿宋_GB2312"/>
          <w:sz w:val="24"/>
        </w:rPr>
      </w:r>
      <w:r/>
    </w:p>
    <w:p>
      <w:pPr>
        <w:rPr>
          <w:rFonts w:ascii="仿宋_GB2312" w:eastAsia="仿宋_GB2312"/>
          <w:sz w:val="24"/>
        </w:rPr>
      </w:pPr>
      <w:r>
        <w:rPr>
          <w:rFonts w:ascii="仿宋_GB2312" w:eastAsia="仿宋_GB2312"/>
          <w:sz w:val="24"/>
        </w:rPr>
      </w:r>
      <w:r/>
    </w:p>
    <w:p>
      <w:pPr>
        <w:pStyle w:val="774"/>
        <w:ind w:firstLine="2850"/>
        <w:jc w:val="cente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sz w:val="24"/>
        </w:rPr>
        <w:t xml:space="preserve">（</w:t>
      </w:r>
      <w:r>
        <w:rPr>
          <w:rFonts w:hint="eastAsia" w:ascii="宋体" w:hAnsi="宋体" w:cs="宋体"/>
          <w:color w:val="000000"/>
          <w:sz w:val="24"/>
        </w:rPr>
        <w:t xml:space="preserve">电子签章</w:t>
      </w:r>
      <w:r>
        <w:rPr>
          <w:rFonts w:hint="eastAsia" w:ascii="宋体" w:hAnsi="宋体" w:cs="宋体"/>
          <w:sz w:val="24"/>
        </w:rPr>
        <w:t xml:space="preserve">）</w:t>
      </w:r>
      <w:r/>
    </w:p>
    <w:p>
      <w:pPr>
        <w:pStyle w:val="774"/>
        <w:ind w:firstLine="2850"/>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4"/>
        <w:ind w:firstLine="28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   年  月  日</w:t>
      </w:r>
      <w:r/>
    </w:p>
    <w:p>
      <w:pPr>
        <w:ind w:left="1680" w:firstLine="420"/>
        <w:spacing w:line="360" w:lineRule="auto"/>
        <w:rPr>
          <w:rFonts w:ascii="宋体" w:hAnsi="宋体" w:cs="宋体"/>
          <w:color w:val="000000" w:themeColor="text1"/>
          <w:sz w:val="28"/>
          <w:szCs w:val="28"/>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000000" w:themeColor="text1"/>
          <w:sz w:val="28"/>
          <w:szCs w:val="28"/>
          <w14:textFill>
            <w14:solidFill>
              <w14:schemeClr w14:val="tx1"/>
            </w14:solidFill>
          </w14:textFill>
        </w:rPr>
      </w:r>
      <w:r/>
    </w:p>
    <w:p>
      <w:pPr>
        <w:pStyle w:val="808"/>
        <w:jc w:val="center"/>
        <w:spacing w:line="360" w:lineRule="auto"/>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十一、投标人对“人员配备”的承诺</w:t>
      </w:r>
      <w:r/>
    </w:p>
    <w:p>
      <w:pPr>
        <w:jc w:val="both"/>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both"/>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p>
      <w:pPr>
        <w:jc w:val="both"/>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ind w:firstLine="470"/>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p>
      <w:pPr>
        <w:ind w:firstLine="47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投标人承诺：如我单位被确定为中标人，</w:t>
      </w:r>
      <w:r>
        <w:rPr>
          <w:rFonts w:hint="eastAsia" w:ascii="宋体" w:hAnsi="宋体" w:cs="宋体"/>
          <w:color w:val="000000" w:themeColor="text1"/>
          <w:sz w:val="24"/>
          <w14:textFill>
            <w14:solidFill>
              <w14:schemeClr w14:val="tx1"/>
            </w14:solidFill>
          </w14:textFill>
        </w:rPr>
        <w:t xml:space="preserve">对中标项目所配备的工作人员不低于招标文件的要求</w:t>
      </w:r>
      <w:r>
        <w:rPr>
          <w:rFonts w:hint="eastAsia" w:ascii="宋体" w:hAnsi="宋体" w:cs="宋体"/>
          <w:bCs/>
          <w:color w:val="000000" w:themeColor="text1"/>
          <w:sz w:val="24"/>
          <w14:textFill>
            <w14:solidFill>
              <w14:schemeClr w14:val="tx1"/>
            </w14:solidFill>
          </w14:textFill>
        </w:rPr>
        <w:t xml:space="preserve">。具体如下：</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numPr>
          <w:ilvl w:val="0"/>
          <w:numId w:val="2"/>
        </w:numPr>
        <w:ind w:left="240" w:firstLine="336"/>
        <w:spacing w:line="360" w:lineRule="auto"/>
        <w:rPr>
          <w:rFonts w:ascii="宋体" w:hAnsi="宋体" w:cs="宋体"/>
          <w:sz w:val="24"/>
          <w:highlight w:val="none"/>
        </w:rPr>
      </w:pPr>
      <w:r>
        <w:rPr>
          <w:rFonts w:hint="eastAsia" w:ascii="宋体" w:hAnsi="宋体" w:cs="宋体"/>
          <w:color w:val="000000" w:themeColor="text1"/>
          <w:sz w:val="24"/>
          <w14:textFill>
            <w14:solidFill>
              <w14:schemeClr w14:val="tx1"/>
            </w14:solidFill>
          </w14:textFill>
        </w:rPr>
        <w:t xml:space="preserve">人数：项目负责人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名，技术负责人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名，养护人员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名，</w:t>
      </w:r>
      <w:r>
        <w:rPr>
          <w:rFonts w:hint="eastAsia" w:ascii="宋体" w:hAnsi="宋体" w:cs="宋体"/>
          <w:sz w:val="24"/>
        </w:rPr>
        <w:t xml:space="preserve">保洁人员</w:t>
      </w:r>
      <w:r>
        <w:rPr>
          <w:rFonts w:hint="eastAsia" w:ascii="宋体" w:hAnsi="宋体" w:cs="宋体"/>
          <w:sz w:val="24"/>
          <w:u w:val="single"/>
        </w:rPr>
        <w:t xml:space="preserve">      </w:t>
      </w:r>
      <w:r>
        <w:rPr>
          <w:rFonts w:hint="eastAsia" w:ascii="宋体" w:hAnsi="宋体" w:cs="宋体"/>
          <w:sz w:val="24"/>
        </w:rPr>
        <w:t xml:space="preserve">名，巡查人员</w:t>
      </w:r>
      <w:r>
        <w:rPr>
          <w:rFonts w:hint="eastAsia" w:ascii="宋体" w:hAnsi="宋体" w:cs="宋体"/>
          <w:sz w:val="24"/>
          <w:u w:val="single"/>
        </w:rPr>
        <w:t xml:space="preserve">    </w:t>
      </w:r>
      <w:r>
        <w:rPr>
          <w:rFonts w:hint="eastAsia" w:ascii="宋体" w:hAnsi="宋体" w:cs="宋体"/>
          <w:sz w:val="24"/>
        </w:rPr>
        <w:t xml:space="preserve">名。</w:t>
      </w:r>
      <w:r/>
    </w:p>
    <w:p>
      <w:pPr>
        <w:numPr>
          <w:ilvl w:val="0"/>
          <w:numId w:val="2"/>
        </w:numPr>
        <w:ind w:left="240" w:firstLine="336"/>
        <w:spacing w:line="360" w:lineRule="auto"/>
        <w:rPr>
          <w:rFonts w:ascii="宋体" w:hAnsi="宋体" w:cs="宋体"/>
          <w:sz w:val="24"/>
          <w:highlight w:val="none"/>
        </w:rPr>
      </w:pPr>
      <w:r>
        <w:rPr>
          <w:rFonts w:hint="eastAsia" w:ascii="宋体" w:hAnsi="宋体" w:cs="宋体"/>
          <w:sz w:val="24"/>
          <w:highlight w:val="none"/>
        </w:rPr>
        <w:t xml:space="preserve">对各区域、点位作业工人所需数量进行调整。年龄不低于18周岁，最大年龄不超过6</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周岁（女5</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周岁），巡查人员年龄不低于22周岁和超过55周岁。</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3、负责本项目的项目负责人常驻现场并不得同时兼任其他同类项目的项目负责人。</w:t>
      </w:r>
      <w:r/>
    </w:p>
    <w:p>
      <w:pPr>
        <w:ind w:firstLine="4560"/>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p>
      <w:pPr>
        <w:ind w:firstLine="456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56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56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56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4"/>
        <w:ind w:firstLine="2850"/>
        <w:jc w:val="cente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sz w:val="24"/>
        </w:rPr>
        <w:t xml:space="preserve">（</w:t>
      </w:r>
      <w:r>
        <w:rPr>
          <w:rFonts w:hint="eastAsia" w:ascii="宋体" w:hAnsi="宋体" w:cs="宋体"/>
          <w:color w:val="000000"/>
          <w:sz w:val="24"/>
        </w:rPr>
        <w:t xml:space="preserve">电子签章</w:t>
      </w:r>
      <w:r>
        <w:rPr>
          <w:rFonts w:hint="eastAsia" w:ascii="宋体" w:hAnsi="宋体" w:cs="宋体"/>
          <w:sz w:val="24"/>
        </w:rPr>
        <w:t xml:space="preserve">）</w:t>
      </w:r>
      <w:r/>
    </w:p>
    <w:p>
      <w:pPr>
        <w:pStyle w:val="774"/>
        <w:ind w:firstLine="4500"/>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4"/>
        <w:ind w:firstLine="45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ind w:left="1680" w:firstLine="420"/>
        <w:spacing w:line="360" w:lineRule="auto"/>
        <w:rPr>
          <w:rFonts w:ascii="宋体" w:hAnsi="宋体" w:cs="宋体"/>
          <w:color w:val="000000" w:themeColor="text1"/>
          <w:sz w:val="28"/>
          <w:szCs w:val="28"/>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000000" w:themeColor="text1"/>
          <w:sz w:val="28"/>
          <w:szCs w:val="28"/>
          <w14:textFill>
            <w14:solidFill>
              <w14:schemeClr w14:val="tx1"/>
            </w14:solidFill>
          </w14:textFill>
        </w:rPr>
      </w:r>
      <w:r/>
    </w:p>
    <w:p>
      <w:pPr>
        <w:pStyle w:val="808"/>
        <w:jc w:val="center"/>
        <w:spacing w:line="360" w:lineRule="auto"/>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十二、投标人对“养护管理设备配置”的承诺</w:t>
      </w:r>
      <w:r/>
    </w:p>
    <w:p>
      <w:pPr>
        <w:jc w:val="both"/>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both"/>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p>
      <w:pPr>
        <w:jc w:val="both"/>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ind w:firstLine="470"/>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p>
      <w:pPr>
        <w:ind w:firstLine="47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投标人承诺：如我单位被确定为中标人，</w:t>
      </w:r>
      <w:r>
        <w:rPr>
          <w:rFonts w:hint="eastAsia" w:ascii="宋体" w:hAnsi="宋体" w:cs="宋体"/>
          <w:color w:val="000000" w:themeColor="text1"/>
          <w:sz w:val="24"/>
          <w14:textFill>
            <w14:solidFill>
              <w14:schemeClr w14:val="tx1"/>
            </w14:solidFill>
          </w14:textFill>
        </w:rPr>
        <w:t xml:space="preserve">对中标项目所配备的管理设备不低于招标文件的要求</w:t>
      </w:r>
      <w:r>
        <w:rPr>
          <w:rFonts w:hint="eastAsia" w:ascii="宋体" w:hAnsi="宋体" w:cs="宋体"/>
          <w:bCs/>
          <w:color w:val="000000" w:themeColor="text1"/>
          <w:sz w:val="24"/>
          <w14:textFill>
            <w14:solidFill>
              <w14:schemeClr w14:val="tx1"/>
            </w14:solidFill>
          </w14:textFill>
        </w:rPr>
        <w:t xml:space="preserve">。具体如下：</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bl>
      <w:tblPr>
        <w:tblStyle w:val="803"/>
        <w:tblW w:w="901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567"/>
        <w:gridCol w:w="567"/>
        <w:gridCol w:w="992"/>
        <w:gridCol w:w="567"/>
        <w:gridCol w:w="817"/>
        <w:gridCol w:w="851"/>
        <w:gridCol w:w="721"/>
        <w:gridCol w:w="990"/>
        <w:gridCol w:w="982"/>
        <w:gridCol w:w="1398"/>
      </w:tblGrid>
      <w:tr>
        <w:trPr>
          <w:jc w:val="center"/>
          <w:trHeight w:val="1025"/>
        </w:trPr>
        <w:tc>
          <w:tcPr>
            <w:tcBorders>
              <w:top w:val="single" w:color="000000" w:sz="8" w:space="0"/>
              <w:left w:val="single" w:color="000000" w:sz="8" w:space="0"/>
              <w:right w:val="single" w:color="000000" w:sz="8" w:space="0"/>
            </w:tcBorders>
            <w:tcW w:w="567" w:type="dxa"/>
            <w:vAlign w:val="center"/>
            <w:vMerge w:val="restart"/>
            <w:textDirection w:val="lrTb"/>
            <w:noWrap w:val="false"/>
          </w:tcPr>
          <w:p>
            <w:pPr>
              <w:jc w:val="center"/>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标段</w:t>
            </w:r>
            <w:r/>
          </w:p>
        </w:tc>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2" w:type="dxa"/>
            <w:vAlign w:val="center"/>
            <w:textDirection w:val="lrTb"/>
            <w:noWrap w:val="false"/>
          </w:tcPr>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绿地养护设备（辆或台）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秩序巡查设备（部）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保洁设备（辆）</w:t>
            </w:r>
            <w:r/>
          </w:p>
        </w:tc>
      </w:tr>
      <w:tr>
        <w:trPr>
          <w:jc w:val="center"/>
          <w:trHeight w:val="1134"/>
        </w:trPr>
        <w:tc>
          <w:tcPr>
            <w:tcBorders>
              <w:left w:val="single" w:color="000000" w:sz="8" w:space="0"/>
              <w:bottom w:val="single" w:color="000000" w:sz="8" w:space="0"/>
              <w:right w:val="single" w:color="000000" w:sz="8" w:space="0"/>
            </w:tcBorders>
            <w:tcW w:w="567" w:type="dxa"/>
            <w:vMerge w:val="continue"/>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水车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货车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打药车或喷药设备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水泵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绿篱修剪机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草坪修剪机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割灌机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both"/>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对讲机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其它必要工具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捡拾垃圾车</w:t>
            </w:r>
            <w:r/>
          </w:p>
        </w:tc>
      </w:tr>
      <w:tr>
        <w:trPr>
          <w:jc w:val="center"/>
          <w:trHeight w:val="957"/>
        </w:trPr>
        <w:tc>
          <w:tcPr>
            <w:tcBorders>
              <w:top w:val="none" w:color="000000" w:sz="4" w:space="0"/>
              <w:left w:val="single" w:color="000000" w:sz="8" w:space="0"/>
              <w:bottom w:val="single" w:color="auto" w:sz="4" w:space="0"/>
              <w:right w:val="single" w:color="000000" w:sz="8" w:space="0"/>
            </w:tcBorders>
            <w:tcW w:w="567" w:type="dxa"/>
            <w:textDirection w:val="lrTb"/>
            <w:noWrap w:val="false"/>
          </w:tcPr>
          <w:p>
            <w:pPr>
              <w:jc w:val="cente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标段一</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2" w:type="dxa"/>
            <w:vAlign w:val="center"/>
            <w:textDirection w:val="lrTb"/>
            <w:noWrap w:val="false"/>
          </w:tcPr>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67" w:type="dxa"/>
            <w:vAlign w:val="center"/>
            <w:textDirection w:val="lrTb"/>
            <w:noWrap w:val="false"/>
          </w:tcPr>
          <w:p>
            <w:pPr>
              <w:jc w:val="both"/>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817" w:type="dxa"/>
            <w:vAlign w:val="center"/>
            <w:textDirection w:val="lrTb"/>
            <w:noWrap w:val="false"/>
          </w:tcPr>
          <w:p>
            <w:pPr>
              <w:jc w:val="both"/>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851" w:type="dxa"/>
            <w:vAlign w:val="center"/>
            <w:textDirection w:val="lrTb"/>
            <w:noWrap w:val="false"/>
          </w:tcPr>
          <w:p>
            <w:pPr>
              <w:jc w:val="both"/>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21" w:type="dxa"/>
            <w:vAlign w:val="center"/>
            <w:textDirection w:val="lrTb"/>
            <w:noWrap w:val="false"/>
          </w:tcPr>
          <w:p>
            <w:pPr>
              <w:jc w:val="both"/>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0" w:type="dxa"/>
            <w:vAlign w:val="center"/>
            <w:textDirection w:val="lrTb"/>
            <w:noWrap w:val="false"/>
          </w:tcPr>
          <w:p>
            <w:pPr>
              <w:jc w:val="both"/>
              <w:rPr>
                <w:rFonts w:hint="eastAsia" w:ascii="宋体" w:hAnsi="宋体" w:eastAsia="宋体" w:cs="宋体"/>
                <w:color w:val="ff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rPr>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82" w:type="dxa"/>
            <w:vAlign w:val="center"/>
            <w:textDirection w:val="lrTb"/>
            <w:noWrap w:val="false"/>
          </w:tcPr>
          <w:p>
            <w:pPr>
              <w:jc w:val="both"/>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398" w:type="dxa"/>
            <w:vAlign w:val="center"/>
            <w:textDirection w:val="lrTb"/>
            <w:noWrap w:val="false"/>
          </w:tcPr>
          <w:p>
            <w:pPr>
              <w:jc w:val="both"/>
              <w:rPr>
                <w:rFonts w:hint="eastAsia" w:ascii="宋体" w:hAnsi="宋体" w:eastAsia="宋体" w:cs="宋体"/>
                <w:color w:val="ff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rPr>
            </w:r>
            <w:r/>
          </w:p>
        </w:tc>
      </w:tr>
      <w:tr>
        <w:trPr>
          <w:jc w:val="center"/>
          <w:trHeight w:val="957"/>
        </w:trPr>
        <w:tc>
          <w:tcPr>
            <w:tcBorders>
              <w:top w:val="single" w:color="auto" w:sz="4" w:space="0"/>
              <w:left w:val="single" w:color="000000" w:sz="8" w:space="0"/>
              <w:bottom w:val="single" w:color="000000" w:sz="8" w:space="0"/>
              <w:right w:val="single" w:color="000000" w:sz="8" w:space="0"/>
            </w:tcBorders>
            <w:tcW w:w="567" w:type="dxa"/>
            <w:textDirection w:val="lrTb"/>
            <w:noWrap w:val="false"/>
          </w:tcPr>
          <w:p>
            <w:pPr>
              <w:jc w:val="cente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标段二</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both"/>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both"/>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both"/>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jc w:val="both"/>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jc w:val="both"/>
              <w:rPr>
                <w:rFonts w:hint="eastAsia" w:ascii="宋体" w:hAnsi="宋体" w:eastAsia="宋体" w:cs="宋体"/>
                <w:color w:val="ff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8"/>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both"/>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jc w:val="both"/>
              <w:rPr>
                <w:rFonts w:hint="eastAsia" w:ascii="宋体" w:hAnsi="宋体" w:eastAsia="宋体" w:cs="宋体"/>
                <w:color w:val="ff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8"/>
              </w:rPr>
            </w:r>
            <w:r/>
          </w:p>
        </w:tc>
      </w:tr>
    </w:tbl>
    <w:p>
      <w:pPr>
        <w:pStyle w:val="781"/>
        <w:rPr>
          <w:color w:val="000000" w:themeColor="text1"/>
          <w14:textFill>
            <w14:solidFill>
              <w14:schemeClr w14:val="tx1"/>
            </w14:solidFill>
          </w14:textFill>
        </w:rPr>
      </w:pPr>
      <w:r>
        <w:rPr>
          <w:color w:val="000000" w:themeColor="text1"/>
          <w14:textFill>
            <w14:solidFill>
              <w14:schemeClr w14:val="tx1"/>
            </w14:solidFill>
          </w14:textFill>
        </w:rPr>
      </w:r>
      <w:r/>
    </w:p>
    <w:p>
      <w:pPr>
        <w:spacing w:line="480" w:lineRule="auto"/>
        <w:widowControl w:val="off"/>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4"/>
        <w:ind w:firstLine="2850"/>
        <w:jc w:val="center"/>
        <w:spacing w:line="30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4"/>
        <w:ind w:firstLine="2850"/>
        <w:jc w:val="cente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sz w:val="24"/>
        </w:rPr>
        <w:t xml:space="preserve">（</w:t>
      </w:r>
      <w:r>
        <w:rPr>
          <w:rFonts w:hint="eastAsia" w:ascii="宋体" w:hAnsi="宋体" w:cs="宋体"/>
          <w:color w:val="000000"/>
          <w:sz w:val="24"/>
        </w:rPr>
        <w:t xml:space="preserve">电子签章</w:t>
      </w:r>
      <w:r>
        <w:rPr>
          <w:rFonts w:hint="eastAsia" w:ascii="宋体" w:hAnsi="宋体" w:cs="宋体"/>
          <w:sz w:val="24"/>
        </w:rPr>
        <w:t xml:space="preserve">）</w:t>
      </w:r>
      <w:r/>
    </w:p>
    <w:p>
      <w:pPr>
        <w:pStyle w:val="774"/>
        <w:ind w:firstLine="4500"/>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4"/>
        <w:ind w:firstLine="45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ind w:firstLine="600"/>
        <w:jc w:val="right"/>
        <w:spacing w:line="480" w:lineRule="exact"/>
        <w:rPr>
          <w:rFonts w:ascii="宋体" w:hAnsi="宋体" w:cs="宋体"/>
          <w:sz w:val="24"/>
          <w:szCs w:val="24"/>
        </w:rPr>
      </w:pPr>
      <w:r>
        <w:rPr>
          <w:rFonts w:hint="eastAsia" w:ascii="宋体" w:hAnsi="宋体" w:cs="宋体"/>
          <w:sz w:val="24"/>
          <w:szCs w:val="24"/>
        </w:rPr>
        <w:t xml:space="preserve">             </w:t>
      </w:r>
      <w:r/>
    </w:p>
    <w:p>
      <w:pPr>
        <w:pStyle w:val="774"/>
        <w:jc w:val="center"/>
        <w:spacing w:line="48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十三、预付款保函支付条款模板</w:t>
      </w:r>
      <w:r/>
    </w:p>
    <w:p>
      <w:pPr>
        <w:pStyle w:val="774"/>
        <w:ind w:firstLine="605"/>
        <w:spacing w:line="480" w:lineRule="exact"/>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pStyle w:val="774"/>
        <w:ind w:firstLine="605"/>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符合条件一：提交预付款保函的</w:t>
      </w:r>
      <w:r/>
    </w:p>
    <w:p>
      <w:pPr>
        <w:pStyle w:val="774"/>
        <w:ind w:firstLine="602"/>
        <w:spacing w:line="48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（1）合同签订且乙方向甲方出具预付款保函后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74"/>
        <w:ind w:left="140" w:firstLine="602"/>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乙方需提交的支付文件：乙方出具的全额正式发票。</w:t>
      </w:r>
      <w:r/>
    </w:p>
    <w:p>
      <w:pPr>
        <w:pStyle w:val="774"/>
        <w:ind w:left="140" w:firstLine="602"/>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74"/>
        <w:ind w:firstLine="605"/>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p>
      <w:pPr>
        <w:pStyle w:val="774"/>
        <w:ind w:firstLine="605"/>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符合条件二：不提交预付款保函的</w:t>
      </w:r>
      <w:r/>
    </w:p>
    <w:p>
      <w:pPr>
        <w:pStyle w:val="774"/>
        <w:ind w:firstLine="602"/>
        <w:spacing w:line="48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74"/>
        <w:ind w:left="140" w:firstLine="602"/>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乙方需提交的支付文件：乙方出具的全额正式发票。</w:t>
      </w:r>
      <w:r/>
    </w:p>
    <w:p>
      <w:pPr>
        <w:pStyle w:val="774"/>
        <w:ind w:left="140" w:firstLine="602"/>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74"/>
        <w:ind w:firstLine="605"/>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p>
      <w:pPr>
        <w:pStyle w:val="774"/>
        <w:ind w:left="140" w:firstLine="605"/>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p>
    <w:p>
      <w:pPr>
        <w:pStyle w:val="774"/>
        <w:ind w:left="140" w:firstLine="602"/>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1.付款条件一中，出具预付款保函后支付的合同款应当与保函金额一致。</w:t>
      </w:r>
      <w:r/>
    </w:p>
    <w:p>
      <w:pPr>
        <w:pStyle w:val="774"/>
        <w:ind w:left="140" w:firstLine="602"/>
        <w:spacing w:line="480" w:lineRule="exact"/>
      </w:pPr>
      <w:r>
        <w:rPr>
          <w:rFonts w:hint="eastAsia" w:ascii="宋体" w:hAnsi="宋体" w:cs="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楷体_GB2312">
    <w:panose1 w:val="02010609060101010101"/>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Courier New">
    <w:panose1 w:val="02070309020205020404"/>
  </w:font>
  <w:font w:name="黑体">
    <w:panose1 w:val="02010609060101010101"/>
  </w:font>
  <w:font w:name="仿宋_GB2312">
    <w:panose1 w:val="02010609060101010101"/>
  </w:font>
  <w:font w:name="CG Times">
    <w:panose1 w:val="020B050302020202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List Paragraph"/>
    <w:basedOn w:val="752"/>
    <w:uiPriority w:val="34"/>
    <w:qFormat/>
    <w:pPr>
      <w:contextualSpacing/>
      <w:ind w:left="720"/>
    </w:pPr>
  </w:style>
  <w:style w:type="paragraph" w:styleId="729">
    <w:name w:val="No Spacing"/>
    <w:uiPriority w:val="1"/>
    <w:qFormat/>
    <w:pPr>
      <w:spacing w:before="0" w:after="0" w:line="240" w:lineRule="auto"/>
    </w:pPr>
  </w:style>
  <w:style w:type="paragraph" w:styleId="730">
    <w:name w:val="Quote"/>
    <w:basedOn w:val="752"/>
    <w:next w:val="752"/>
    <w:link w:val="864"/>
    <w:uiPriority w:val="29"/>
    <w:qFormat/>
    <w:pPr>
      <w:ind w:left="720" w:right="720"/>
    </w:pPr>
    <w:rPr>
      <w:i/>
    </w:rPr>
  </w:style>
  <w:style w:type="paragraph" w:styleId="731">
    <w:name w:val="Intense Quote"/>
    <w:basedOn w:val="752"/>
    <w:next w:val="752"/>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32">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1">
    <w:name w:val="TOC Heading"/>
    <w:uiPriority w:val="39"/>
    <w:unhideWhenUsed/>
  </w:style>
  <w:style w:type="paragraph" w:styleId="752" w:default="1">
    <w:name w:val="Normal"/>
    <w:next w:val="764"/>
    <w:uiPriority w:val="0"/>
    <w:qFormat/>
    <w:rPr>
      <w:rFonts w:ascii="Times New Roman" w:hAnsi="Times New Roman" w:eastAsia="宋体" w:cs="Times New Roman"/>
      <w:lang w:val="en-US" w:eastAsia="zh-CN" w:bidi="ar-SA"/>
    </w:rPr>
  </w:style>
  <w:style w:type="paragraph" w:styleId="753">
    <w:name w:val="Heading 1"/>
    <w:basedOn w:val="752"/>
    <w:next w:val="752"/>
    <w:link w:val="872"/>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uiPriority w:val="0"/>
    <w:qFormat/>
    <w:pPr>
      <w:keepLines/>
      <w:keepNext/>
      <w:spacing w:before="260" w:after="260" w:line="416" w:lineRule="auto"/>
      <w:outlineLvl w:val="1"/>
    </w:pPr>
    <w:rPr>
      <w:rFonts w:ascii="Calibri Light" w:hAnsi="Calibri Light"/>
      <w:b/>
      <w:bCs/>
      <w:sz w:val="24"/>
      <w:szCs w:val="32"/>
    </w:rPr>
  </w:style>
  <w:style w:type="paragraph" w:styleId="755">
    <w:name w:val="Heading 3"/>
    <w:next w:val="752"/>
    <w:link w:val="874"/>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56">
    <w:name w:val="Heading 4"/>
    <w:basedOn w:val="752"/>
    <w:next w:val="752"/>
    <w:link w:val="875"/>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next w:val="752"/>
    <w:link w:val="876"/>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8">
    <w:name w:val="Heading 6"/>
    <w:next w:val="752"/>
    <w:link w:val="877"/>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9">
    <w:name w:val="Heading 7"/>
    <w:next w:val="752"/>
    <w:link w:val="878"/>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60">
    <w:name w:val="Heading 8"/>
    <w:next w:val="752"/>
    <w:link w:val="879"/>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61">
    <w:name w:val="Heading 9"/>
    <w:next w:val="752"/>
    <w:link w:val="880"/>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customStyle="1">
    <w:name w:val="_Style 2"/>
    <w:basedOn w:val="752"/>
    <w:uiPriority w:val="34"/>
    <w:unhideWhenUsed/>
    <w:qFormat/>
    <w:pPr>
      <w:ind w:firstLine="420"/>
    </w:pPr>
    <w:rPr>
      <w:sz w:val="24"/>
    </w:rPr>
  </w:style>
  <w:style w:type="paragraph" w:styleId="765">
    <w:name w:val="toc 7"/>
    <w:next w:val="752"/>
    <w:uiPriority w:val="39"/>
    <w:unhideWhenUsed/>
    <w:qFormat/>
    <w:pPr>
      <w:ind w:left="1701"/>
      <w:spacing w:after="57"/>
    </w:pPr>
    <w:rPr>
      <w:rFonts w:ascii="Times New Roman" w:hAnsi="Times New Roman" w:eastAsia="宋体" w:cs="Times New Roman"/>
      <w:lang w:val="en-US" w:eastAsia="zh-CN" w:bidi="ar-SA"/>
    </w:rPr>
  </w:style>
  <w:style w:type="paragraph" w:styleId="766">
    <w:name w:val="Normal Indent"/>
    <w:basedOn w:val="752"/>
    <w:uiPriority w:val="0"/>
    <w:qFormat/>
    <w:pPr>
      <w:ind w:firstLine="420"/>
    </w:pPr>
    <w:rPr>
      <w:rFonts w:eastAsia="??"/>
      <w:sz w:val="24"/>
    </w:rPr>
  </w:style>
  <w:style w:type="paragraph" w:styleId="767">
    <w:name w:val="Caption"/>
    <w:next w:val="752"/>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68">
    <w:name w:val="index 5"/>
    <w:basedOn w:val="752"/>
    <w:next w:val="752"/>
    <w:uiPriority w:val="0"/>
    <w:qFormat/>
    <w:pPr>
      <w:ind w:left="798"/>
    </w:pPr>
    <w:rPr>
      <w:rFonts w:ascii="Calibri" w:hAnsi="Calibri"/>
    </w:rPr>
  </w:style>
  <w:style w:type="paragraph" w:styleId="769">
    <w:name w:val="Document Map"/>
    <w:basedOn w:val="752"/>
    <w:uiPriority w:val="0"/>
    <w:qFormat/>
    <w:pPr>
      <w:shd w:val="clear" w:color="auto" w:fill="000080"/>
    </w:pPr>
    <w:rPr>
      <w:rFonts w:ascii="仿宋_GB2312" w:hAnsi="仿宋_GB2312"/>
      <w:szCs w:val="21"/>
      <w:shd w:val="clear" w:color="auto" w:fill="000080"/>
    </w:rPr>
  </w:style>
  <w:style w:type="paragraph" w:styleId="770">
    <w:name w:val="annotation text"/>
    <w:basedOn w:val="752"/>
    <w:uiPriority w:val="99"/>
    <w:qFormat/>
    <w:rPr>
      <w:szCs w:val="24"/>
    </w:rPr>
  </w:style>
  <w:style w:type="paragraph" w:styleId="771">
    <w:name w:val="Body Text"/>
    <w:basedOn w:val="752"/>
    <w:next w:val="772"/>
    <w:uiPriority w:val="99"/>
    <w:qFormat/>
    <w:pPr>
      <w:spacing w:after="120"/>
    </w:pPr>
    <w:rPr>
      <w:rFonts w:ascii="Calibri" w:hAnsi="Calibri"/>
    </w:rPr>
  </w:style>
  <w:style w:type="paragraph" w:styleId="772" w:customStyle="1">
    <w:name w:val="一级条标题"/>
    <w:basedOn w:val="773"/>
    <w:next w:val="7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3" w:customStyle="1">
    <w:name w:val="章标题"/>
    <w:next w:val="774"/>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74" w:customStyle="1">
    <w:name w:val="正文1"/>
    <w:basedOn w:val="775"/>
    <w:next w:val="779"/>
    <w:link w:val="1062"/>
    <w:uiPriority w:val="0"/>
    <w:qFormat/>
  </w:style>
  <w:style w:type="paragraph" w:styleId="775" w:customStyle="1">
    <w:name w:val="正文111"/>
    <w:next w:val="776"/>
    <w:uiPriority w:val="0"/>
    <w:qFormat/>
    <w:pPr>
      <w:jc w:val="both"/>
      <w:widowControl w:val="off"/>
    </w:pPr>
    <w:rPr>
      <w:rFonts w:ascii="Times New Roman" w:hAnsi="Times New Roman" w:eastAsia="宋体" w:cs="Times New Roman"/>
      <w:sz w:val="21"/>
      <w:szCs w:val="24"/>
      <w:lang w:val="en-US" w:eastAsia="zh-CN" w:bidi="ar-SA"/>
    </w:rPr>
  </w:style>
  <w:style w:type="paragraph" w:styleId="776" w:customStyle="1">
    <w:name w:val="目录 111"/>
    <w:basedOn w:val="777"/>
    <w:next w:val="752"/>
    <w:uiPriority w:val="0"/>
    <w:qFormat/>
  </w:style>
  <w:style w:type="paragraph" w:styleId="777" w:customStyle="1">
    <w:name w:val="正文12"/>
    <w:next w:val="778"/>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78" w:customStyle="1">
    <w:name w:val="无间隔1"/>
    <w:uiPriority w:val="1"/>
    <w:qFormat/>
    <w:rPr>
      <w:rFonts w:ascii="Times New Roman" w:hAnsi="Times New Roman" w:eastAsia="宋体" w:cs="Times New Roman"/>
      <w:lang w:val="en-US" w:eastAsia="zh-CN" w:bidi="ar-SA"/>
    </w:rPr>
  </w:style>
  <w:style w:type="paragraph" w:styleId="779" w:customStyle="1">
    <w:name w:val="目录 11"/>
    <w:basedOn w:val="777"/>
    <w:next w:val="777"/>
    <w:uiPriority w:val="0"/>
    <w:qFormat/>
  </w:style>
  <w:style w:type="paragraph" w:styleId="780">
    <w:name w:val="Body Text Indent"/>
    <w:basedOn w:val="752"/>
    <w:link w:val="1087"/>
    <w:uiPriority w:val="99"/>
    <w:unhideWhenUsed/>
    <w:qFormat/>
    <w:pPr>
      <w:ind w:left="420"/>
      <w:spacing w:after="120"/>
    </w:pPr>
  </w:style>
  <w:style w:type="paragraph" w:styleId="781">
    <w:name w:val="Block Text"/>
    <w:basedOn w:val="752"/>
    <w:next w:val="752"/>
    <w:uiPriority w:val="99"/>
    <w:unhideWhenUsed/>
    <w:qFormat/>
    <w:pPr>
      <w:ind w:left="-359" w:right="-512" w:firstLine="501"/>
    </w:pPr>
    <w:rPr>
      <w:rFonts w:ascii="仿宋_GB2312" w:eastAsia="仿宋_GB2312"/>
      <w:sz w:val="30"/>
    </w:rPr>
  </w:style>
  <w:style w:type="paragraph" w:styleId="782">
    <w:name w:val="toc 5"/>
    <w:next w:val="752"/>
    <w:uiPriority w:val="39"/>
    <w:unhideWhenUsed/>
    <w:qFormat/>
    <w:pPr>
      <w:ind w:left="1134"/>
      <w:spacing w:after="57"/>
    </w:pPr>
    <w:rPr>
      <w:rFonts w:ascii="Times New Roman" w:hAnsi="Times New Roman" w:eastAsia="宋体" w:cs="Times New Roman"/>
      <w:lang w:val="en-US" w:eastAsia="zh-CN" w:bidi="ar-SA"/>
    </w:rPr>
  </w:style>
  <w:style w:type="paragraph" w:styleId="783">
    <w:name w:val="toc 3"/>
    <w:next w:val="752"/>
    <w:uiPriority w:val="39"/>
    <w:unhideWhenUsed/>
    <w:qFormat/>
    <w:pPr>
      <w:ind w:left="567"/>
      <w:spacing w:after="57"/>
    </w:pPr>
    <w:rPr>
      <w:rFonts w:ascii="Times New Roman" w:hAnsi="Times New Roman" w:eastAsia="宋体" w:cs="Times New Roman"/>
      <w:lang w:val="en-US" w:eastAsia="zh-CN" w:bidi="ar-SA"/>
    </w:rPr>
  </w:style>
  <w:style w:type="paragraph" w:styleId="784">
    <w:name w:val="Plain Text"/>
    <w:basedOn w:val="752"/>
    <w:uiPriority w:val="0"/>
    <w:qFormat/>
    <w:rPr>
      <w:rFonts w:ascii="宋体" w:hAnsi="Courier New"/>
    </w:rPr>
  </w:style>
  <w:style w:type="paragraph" w:styleId="785">
    <w:name w:val="toc 8"/>
    <w:next w:val="752"/>
    <w:uiPriority w:val="39"/>
    <w:unhideWhenUsed/>
    <w:qFormat/>
    <w:pPr>
      <w:ind w:left="1984"/>
      <w:spacing w:after="57"/>
    </w:pPr>
    <w:rPr>
      <w:rFonts w:ascii="Times New Roman" w:hAnsi="Times New Roman" w:eastAsia="宋体" w:cs="Times New Roman"/>
      <w:lang w:val="en-US" w:eastAsia="zh-CN" w:bidi="ar-SA"/>
    </w:rPr>
  </w:style>
  <w:style w:type="paragraph" w:styleId="786">
    <w:name w:val="endnote text"/>
    <w:link w:val="998"/>
    <w:uiPriority w:val="99"/>
    <w:unhideWhenUsed/>
    <w:qFormat/>
    <w:rPr>
      <w:rFonts w:ascii="Times New Roman" w:hAnsi="Times New Roman" w:eastAsia="宋体" w:cs="Times New Roman"/>
      <w:lang w:val="en-US" w:eastAsia="zh-CN" w:bidi="ar-SA"/>
    </w:rPr>
  </w:style>
  <w:style w:type="paragraph" w:styleId="787">
    <w:name w:val="Footer"/>
    <w:basedOn w:val="752"/>
    <w:link w:val="890"/>
    <w:uiPriority w:val="99"/>
    <w:unhideWhenUsed/>
    <w:qFormat/>
    <w:pPr>
      <w:tabs>
        <w:tab w:val="center" w:pos="7143" w:leader="none"/>
        <w:tab w:val="right" w:pos="14287" w:leader="none"/>
      </w:tabs>
    </w:pPr>
  </w:style>
  <w:style w:type="paragraph" w:styleId="788">
    <w:name w:val="envelope return"/>
    <w:basedOn w:val="752"/>
    <w:uiPriority w:val="0"/>
    <w:qFormat/>
    <w:rPr>
      <w:rFonts w:ascii="Arial" w:hAnsi="Arial"/>
    </w:rPr>
  </w:style>
  <w:style w:type="paragraph" w:styleId="789">
    <w:name w:val="Header"/>
    <w:basedOn w:val="752"/>
    <w:link w:val="888"/>
    <w:uiPriority w:val="99"/>
    <w:unhideWhenUsed/>
    <w:qFormat/>
    <w:pPr>
      <w:tabs>
        <w:tab w:val="center" w:pos="7143" w:leader="none"/>
        <w:tab w:val="right" w:pos="14287" w:leader="none"/>
      </w:tabs>
    </w:pPr>
  </w:style>
  <w:style w:type="paragraph" w:styleId="790">
    <w:name w:val="toc 1"/>
    <w:basedOn w:val="752"/>
    <w:next w:val="752"/>
    <w:uiPriority w:val="39"/>
    <w:unhideWhenUsed/>
    <w:qFormat/>
    <w:pPr>
      <w:spacing w:after="57"/>
    </w:pPr>
  </w:style>
  <w:style w:type="paragraph" w:styleId="791">
    <w:name w:val="toc 4"/>
    <w:next w:val="752"/>
    <w:uiPriority w:val="39"/>
    <w:unhideWhenUsed/>
    <w:qFormat/>
    <w:pPr>
      <w:ind w:left="850"/>
      <w:spacing w:after="57"/>
    </w:pPr>
    <w:rPr>
      <w:rFonts w:ascii="Times New Roman" w:hAnsi="Times New Roman" w:eastAsia="宋体" w:cs="Times New Roman"/>
      <w:lang w:val="en-US" w:eastAsia="zh-CN" w:bidi="ar-SA"/>
    </w:rPr>
  </w:style>
  <w:style w:type="paragraph" w:styleId="792">
    <w:name w:val="Subtitle"/>
    <w:link w:val="883"/>
    <w:uiPriority w:val="11"/>
    <w:qFormat/>
    <w:pPr>
      <w:spacing w:before="200" w:after="200"/>
    </w:pPr>
    <w:rPr>
      <w:rFonts w:ascii="Times New Roman" w:hAnsi="Times New Roman" w:eastAsia="宋体" w:cs="Times New Roman"/>
      <w:sz w:val="24"/>
      <w:szCs w:val="24"/>
      <w:lang w:val="en-US" w:eastAsia="zh-CN" w:bidi="ar-SA"/>
    </w:rPr>
  </w:style>
  <w:style w:type="paragraph" w:styleId="793">
    <w:name w:val="footnote text"/>
    <w:basedOn w:val="752"/>
    <w:next w:val="768"/>
    <w:link w:val="997"/>
    <w:uiPriority w:val="99"/>
    <w:unhideWhenUsed/>
    <w:qFormat/>
    <w:pPr>
      <w:spacing w:after="40"/>
    </w:pPr>
    <w:rPr>
      <w:rFonts w:ascii="Times New Roman" w:hAnsi="Times New Roman" w:eastAsia="宋体" w:cs="Times New Roman"/>
      <w:sz w:val="18"/>
      <w:lang w:val="en-US" w:eastAsia="zh-CN" w:bidi="ar-SA"/>
    </w:rPr>
  </w:style>
  <w:style w:type="paragraph" w:styleId="794">
    <w:name w:val="toc 6"/>
    <w:next w:val="752"/>
    <w:uiPriority w:val="39"/>
    <w:unhideWhenUsed/>
    <w:qFormat/>
    <w:pPr>
      <w:ind w:left="1417"/>
      <w:spacing w:after="57"/>
    </w:pPr>
    <w:rPr>
      <w:rFonts w:ascii="Times New Roman" w:hAnsi="Times New Roman" w:eastAsia="宋体" w:cs="Times New Roman"/>
      <w:lang w:val="en-US" w:eastAsia="zh-CN" w:bidi="ar-SA"/>
    </w:rPr>
  </w:style>
  <w:style w:type="paragraph" w:styleId="795">
    <w:name w:val="table of figures"/>
    <w:next w:val="752"/>
    <w:uiPriority w:val="99"/>
    <w:unhideWhenUsed/>
    <w:qFormat/>
    <w:rPr>
      <w:rFonts w:ascii="Times New Roman" w:hAnsi="Times New Roman" w:eastAsia="宋体" w:cs="Times New Roman"/>
      <w:lang w:val="en-US" w:eastAsia="zh-CN" w:bidi="ar-SA"/>
    </w:rPr>
  </w:style>
  <w:style w:type="paragraph" w:styleId="796">
    <w:name w:val="toc 2"/>
    <w:basedOn w:val="752"/>
    <w:next w:val="752"/>
    <w:uiPriority w:val="39"/>
    <w:unhideWhenUsed/>
    <w:qFormat/>
    <w:pPr>
      <w:ind w:left="283"/>
      <w:spacing w:after="57"/>
    </w:pPr>
  </w:style>
  <w:style w:type="paragraph" w:styleId="797">
    <w:name w:val="toc 9"/>
    <w:next w:val="752"/>
    <w:uiPriority w:val="39"/>
    <w:unhideWhenUsed/>
    <w:qFormat/>
    <w:pPr>
      <w:ind w:left="2268"/>
      <w:spacing w:after="57"/>
    </w:pPr>
    <w:rPr>
      <w:rFonts w:ascii="Times New Roman" w:hAnsi="Times New Roman" w:eastAsia="宋体" w:cs="Times New Roman"/>
      <w:lang w:val="en-US" w:eastAsia="zh-CN" w:bidi="ar-SA"/>
    </w:rPr>
  </w:style>
  <w:style w:type="paragraph" w:styleId="798">
    <w:name w:val="Body Text 2"/>
    <w:basedOn w:val="752"/>
    <w:next w:val="771"/>
    <w:uiPriority w:val="99"/>
    <w:unhideWhenUsed/>
    <w:qFormat/>
    <w:pPr>
      <w:spacing w:after="120" w:line="480" w:lineRule="auto"/>
    </w:pPr>
  </w:style>
  <w:style w:type="paragraph" w:styleId="799">
    <w:name w:val="Normal (Web)"/>
    <w:basedOn w:val="752"/>
    <w:uiPriority w:val="99"/>
    <w:qFormat/>
    <w:pPr>
      <w:spacing w:before="100" w:beforeAutospacing="1" w:after="100" w:afterAutospacing="1"/>
    </w:pPr>
    <w:rPr>
      <w:rFonts w:ascii="宋体" w:hAnsi="宋体" w:cs="宋体"/>
      <w:sz w:val="24"/>
      <w:szCs w:val="24"/>
    </w:rPr>
  </w:style>
  <w:style w:type="paragraph" w:styleId="800">
    <w:name w:val="Title"/>
    <w:basedOn w:val="752"/>
    <w:next w:val="752"/>
    <w:link w:val="882"/>
    <w:uiPriority w:val="10"/>
    <w:qFormat/>
    <w:pPr>
      <w:contextualSpacing/>
      <w:spacing w:before="300" w:after="200"/>
    </w:pPr>
    <w:rPr>
      <w:sz w:val="48"/>
      <w:szCs w:val="48"/>
    </w:rPr>
  </w:style>
  <w:style w:type="paragraph" w:styleId="801">
    <w:name w:val="Body Text First Indent"/>
    <w:basedOn w:val="771"/>
    <w:next w:val="802"/>
    <w:uiPriority w:val="0"/>
    <w:qFormat/>
    <w:pPr>
      <w:ind w:firstLine="420"/>
    </w:pPr>
  </w:style>
  <w:style w:type="paragraph" w:styleId="802">
    <w:name w:val="Body Text First Indent 2"/>
    <w:basedOn w:val="780"/>
    <w:next w:val="752"/>
    <w:link w:val="1088"/>
    <w:uiPriority w:val="99"/>
    <w:unhideWhenUsed/>
    <w:qFormat/>
    <w:pPr>
      <w:ind w:firstLine="420"/>
    </w:pPr>
  </w:style>
  <w:style w:type="table" w:styleId="8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endnote reference"/>
    <w:uiPriority w:val="99"/>
    <w:unhideWhenUsed/>
    <w:qFormat/>
    <w:rPr>
      <w:vertAlign w:val="superscript"/>
    </w:rPr>
  </w:style>
  <w:style w:type="character" w:styleId="805">
    <w:name w:val="Hyperlink"/>
    <w:uiPriority w:val="99"/>
    <w:unhideWhenUsed/>
    <w:qFormat/>
    <w:rPr>
      <w:color w:val="0000ff"/>
      <w:u w:val="single"/>
    </w:rPr>
  </w:style>
  <w:style w:type="character" w:styleId="806">
    <w:name w:val="footnote reference"/>
    <w:uiPriority w:val="99"/>
    <w:unhideWhenUsed/>
    <w:qFormat/>
    <w:rPr>
      <w:vertAlign w:val="superscript"/>
    </w:rPr>
  </w:style>
  <w:style w:type="paragraph" w:styleId="807" w:customStyle="1">
    <w:name w:val="正文文本111"/>
    <w:basedOn w:val="777"/>
    <w:next w:val="777"/>
    <w:uiPriority w:val="0"/>
    <w:qFormat/>
  </w:style>
  <w:style w:type="paragraph" w:styleId="808" w:customStyle="1">
    <w:name w:val="正文11"/>
    <w:basedOn w:val="766"/>
    <w:next w:val="809"/>
    <w:link w:val="1061"/>
    <w:uiPriority w:val="0"/>
    <w:qFormat/>
    <w:pPr>
      <w:jc w:val="both"/>
      <w:widowControl w:val="off"/>
    </w:pPr>
    <w:rPr>
      <w:rFonts w:ascii="Times New Roman" w:hAnsi="Times New Roman" w:eastAsia="宋体" w:cs="Times New Roman"/>
      <w:sz w:val="21"/>
      <w:szCs w:val="24"/>
      <w:lang w:val="en-US" w:eastAsia="zh-CN" w:bidi="ar-SA"/>
    </w:rPr>
  </w:style>
  <w:style w:type="paragraph" w:styleId="809" w:customStyle="1">
    <w:name w:val="正文首行缩进11"/>
    <w:basedOn w:val="810"/>
    <w:next w:val="816"/>
    <w:uiPriority w:val="0"/>
    <w:qFormat/>
    <w:pPr>
      <w:ind w:firstLine="420"/>
    </w:pPr>
    <w:rPr>
      <w:rFonts w:ascii="仿宋_GB2312" w:eastAsia="仿宋_GB2312"/>
      <w:sz w:val="30"/>
      <w:szCs w:val="30"/>
    </w:rPr>
  </w:style>
  <w:style w:type="paragraph" w:styleId="810" w:customStyle="1">
    <w:name w:val="正文文本1"/>
    <w:basedOn w:val="811"/>
    <w:next w:val="752"/>
    <w:link w:val="1035"/>
    <w:uiPriority w:val="0"/>
    <w:qFormat/>
    <w:pPr>
      <w:spacing w:after="120"/>
    </w:pPr>
    <w:rPr>
      <w:rFonts w:ascii="Calibri" w:hAnsi="Calibri"/>
    </w:rPr>
  </w:style>
  <w:style w:type="paragraph" w:styleId="811" w:customStyle="1">
    <w:name w:val="正文13"/>
    <w:next w:val="812"/>
    <w:uiPriority w:val="0"/>
    <w:qFormat/>
    <w:pPr>
      <w:jc w:val="both"/>
      <w:widowControl w:val="off"/>
    </w:pPr>
    <w:rPr>
      <w:rFonts w:ascii="Times New Roman" w:hAnsi="Times New Roman" w:eastAsia="宋体" w:cs="Times New Roman"/>
      <w:sz w:val="21"/>
      <w:szCs w:val="24"/>
      <w:lang w:val="en-US" w:eastAsia="zh-CN" w:bidi="ar-SA"/>
    </w:rPr>
  </w:style>
  <w:style w:type="paragraph" w:styleId="812" w:customStyle="1">
    <w:name w:val="正文首行缩进1"/>
    <w:basedOn w:val="810"/>
    <w:next w:val="813"/>
    <w:link w:val="1044"/>
    <w:uiPriority w:val="0"/>
    <w:qFormat/>
    <w:pPr>
      <w:ind w:firstLine="420"/>
    </w:pPr>
    <w:rPr>
      <w:rFonts w:ascii="仿宋_GB2312" w:eastAsia="仿宋_GB2312"/>
      <w:sz w:val="30"/>
      <w:szCs w:val="30"/>
    </w:rPr>
  </w:style>
  <w:style w:type="paragraph" w:styleId="813" w:customStyle="1">
    <w:name w:val="正文首行缩进 21"/>
    <w:basedOn w:val="814"/>
    <w:next w:val="775"/>
    <w:link w:val="1045"/>
    <w:uiPriority w:val="0"/>
    <w:qFormat/>
    <w:pPr>
      <w:ind w:firstLine="420"/>
    </w:pPr>
    <w:rPr>
      <w:rFonts w:ascii="Times New Roman" w:hAnsi="Times New Roman"/>
    </w:rPr>
  </w:style>
  <w:style w:type="paragraph" w:styleId="814" w:customStyle="1">
    <w:name w:val="正文文本缩进1"/>
    <w:basedOn w:val="774"/>
    <w:next w:val="815"/>
    <w:link w:val="1036"/>
    <w:uiPriority w:val="0"/>
    <w:qFormat/>
    <w:pPr>
      <w:ind w:left="420"/>
      <w:spacing w:after="120"/>
    </w:pPr>
    <w:rPr>
      <w:rFonts w:ascii="Calibri" w:hAnsi="Calibri"/>
    </w:rPr>
  </w:style>
  <w:style w:type="paragraph" w:styleId="815" w:customStyle="1">
    <w:name w:val="寄信人地址1"/>
    <w:basedOn w:val="774"/>
    <w:uiPriority w:val="0"/>
    <w:qFormat/>
    <w:rPr>
      <w:rFonts w:ascii="Arial" w:hAnsi="Arial"/>
    </w:rPr>
  </w:style>
  <w:style w:type="paragraph" w:styleId="816" w:customStyle="1">
    <w:name w:val="正文首行缩进 211"/>
    <w:basedOn w:val="817"/>
    <w:uiPriority w:val="0"/>
    <w:qFormat/>
    <w:pPr>
      <w:ind w:firstLine="420"/>
    </w:pPr>
    <w:rPr>
      <w:rFonts w:ascii="Times New Roman" w:hAnsi="Times New Roman"/>
    </w:rPr>
  </w:style>
  <w:style w:type="paragraph" w:styleId="817" w:customStyle="1">
    <w:name w:val="正文文本缩进11"/>
    <w:basedOn w:val="808"/>
    <w:next w:val="818"/>
    <w:uiPriority w:val="0"/>
    <w:qFormat/>
    <w:pPr>
      <w:ind w:left="420"/>
      <w:spacing w:after="120"/>
    </w:pPr>
    <w:rPr>
      <w:rFonts w:ascii="Calibri" w:hAnsi="Calibri"/>
    </w:rPr>
  </w:style>
  <w:style w:type="paragraph" w:styleId="818" w:customStyle="1">
    <w:name w:val="寄信人地址11"/>
    <w:basedOn w:val="808"/>
    <w:uiPriority w:val="0"/>
    <w:qFormat/>
    <w:rPr>
      <w:rFonts w:ascii="Arial" w:hAnsi="Arial"/>
    </w:rPr>
  </w:style>
  <w:style w:type="paragraph" w:styleId="819" w:customStyle="1">
    <w:name w:val="标题 111"/>
    <w:basedOn w:val="808"/>
    <w:next w:val="808"/>
    <w:uiPriority w:val="0"/>
    <w:qFormat/>
    <w:pPr>
      <w:jc w:val="center"/>
      <w:keepLines/>
      <w:keepNext/>
      <w:spacing w:line="578" w:lineRule="auto"/>
      <w:outlineLvl w:val="0"/>
    </w:pPr>
    <w:rPr>
      <w:rFonts w:eastAsia="新宋体"/>
      <w:b/>
      <w:bCs/>
      <w:sz w:val="30"/>
      <w:szCs w:val="44"/>
    </w:rPr>
  </w:style>
  <w:style w:type="paragraph" w:styleId="820" w:customStyle="1">
    <w:name w:val="文本块1"/>
    <w:basedOn w:val="775"/>
    <w:next w:val="821"/>
    <w:uiPriority w:val="0"/>
    <w:qFormat/>
    <w:pPr>
      <w:ind w:left="420" w:right="33"/>
      <w:jc w:val="left"/>
    </w:pPr>
    <w:rPr>
      <w:sz w:val="24"/>
      <w:szCs w:val="20"/>
    </w:rPr>
  </w:style>
  <w:style w:type="paragraph" w:styleId="821" w:customStyle="1">
    <w:name w:val="标题 41"/>
    <w:basedOn w:val="822"/>
    <w:next w:val="808"/>
    <w:link w:val="1012"/>
    <w:uiPriority w:val="0"/>
    <w:qFormat/>
    <w:pPr>
      <w:keepLines/>
      <w:keepNext/>
      <w:spacing w:before="280" w:after="290" w:line="376" w:lineRule="auto"/>
      <w:outlineLvl w:val="3"/>
    </w:pPr>
    <w:rPr>
      <w:rFonts w:ascii="Cambria" w:hAnsi="Cambria"/>
      <w:b/>
      <w:bCs/>
      <w:sz w:val="28"/>
      <w:szCs w:val="28"/>
    </w:rPr>
  </w:style>
  <w:style w:type="paragraph" w:styleId="822" w:customStyle="1">
    <w:name w:val="标题1"/>
    <w:basedOn w:val="777"/>
    <w:next w:val="823"/>
    <w:uiPriority w:val="0"/>
    <w:qFormat/>
    <w:pPr>
      <w:contextualSpacing/>
      <w:spacing w:before="300" w:after="200"/>
    </w:pPr>
    <w:rPr>
      <w:sz w:val="48"/>
      <w:szCs w:val="48"/>
    </w:rPr>
  </w:style>
  <w:style w:type="paragraph" w:styleId="823" w:customStyle="1">
    <w:name w:val="正文112"/>
    <w:next w:val="824"/>
    <w:uiPriority w:val="0"/>
    <w:qFormat/>
    <w:pPr>
      <w:jc w:val="both"/>
      <w:widowControl w:val="off"/>
    </w:pPr>
    <w:rPr>
      <w:rFonts w:ascii="Times New Roman" w:hAnsi="Times New Roman" w:eastAsia="宋体" w:cs="Times New Roman"/>
      <w:sz w:val="21"/>
      <w:szCs w:val="24"/>
      <w:lang w:val="en-US" w:eastAsia="zh-CN" w:bidi="ar-SA"/>
    </w:rPr>
  </w:style>
  <w:style w:type="paragraph" w:styleId="824" w:customStyle="1">
    <w:name w:val="正文文本11"/>
    <w:basedOn w:val="823"/>
    <w:next w:val="808"/>
    <w:uiPriority w:val="0"/>
    <w:qFormat/>
    <w:pPr>
      <w:spacing w:after="120"/>
    </w:pPr>
  </w:style>
  <w:style w:type="character" w:styleId="825" w:customStyle="1">
    <w:name w:val="标题 1 Char"/>
    <w:uiPriority w:val="0"/>
    <w:qFormat/>
    <w:rPr>
      <w:b/>
      <w:bCs/>
      <w:sz w:val="44"/>
      <w:szCs w:val="44"/>
    </w:rPr>
  </w:style>
  <w:style w:type="character" w:styleId="826" w:customStyle="1">
    <w:name w:val="标题 2 Char"/>
    <w:uiPriority w:val="0"/>
    <w:qFormat/>
    <w:rPr>
      <w:rFonts w:ascii="Cambria" w:hAnsi="Cambria" w:eastAsia="宋体"/>
      <w:b/>
      <w:bCs/>
      <w:sz w:val="32"/>
      <w:szCs w:val="32"/>
    </w:rPr>
  </w:style>
  <w:style w:type="paragraph" w:styleId="827" w:customStyle="1">
    <w:name w:val="标题 21"/>
    <w:basedOn w:val="774"/>
    <w:next w:val="808"/>
    <w:link w:val="1017"/>
    <w:uiPriority w:val="0"/>
    <w:qFormat/>
    <w:pPr>
      <w:keepLines/>
      <w:keepNext/>
      <w:spacing w:before="260" w:after="260" w:line="416" w:lineRule="auto"/>
      <w:outlineLvl w:val="1"/>
    </w:pPr>
    <w:rPr>
      <w:rFonts w:ascii="Cambria" w:hAnsi="Cambria"/>
      <w:b/>
      <w:bCs/>
      <w:sz w:val="32"/>
      <w:szCs w:val="32"/>
    </w:rPr>
  </w:style>
  <w:style w:type="paragraph" w:styleId="828" w:customStyle="1">
    <w:name w:val="脚注文本1"/>
    <w:basedOn w:val="774"/>
    <w:next w:val="829"/>
    <w:uiPriority w:val="0"/>
    <w:qFormat/>
    <w:pPr>
      <w:jc w:val="left"/>
    </w:pPr>
    <w:rPr>
      <w:rFonts w:ascii="宋体" w:eastAsia="Times New Roman"/>
      <w:sz w:val="18"/>
      <w:szCs w:val="18"/>
    </w:rPr>
  </w:style>
  <w:style w:type="paragraph" w:styleId="829" w:customStyle="1">
    <w:name w:val="索引 51"/>
    <w:basedOn w:val="774"/>
    <w:next w:val="774"/>
    <w:uiPriority w:val="0"/>
    <w:qFormat/>
    <w:pPr>
      <w:ind w:left="798"/>
      <w:jc w:val="left"/>
    </w:pPr>
    <w:rPr>
      <w:rFonts w:ascii="Calibri" w:hAnsi="Calibri"/>
    </w:rPr>
  </w:style>
  <w:style w:type="paragraph" w:styleId="830" w:customStyle="1">
    <w:name w:val="段"/>
    <w:basedOn w:val="774"/>
    <w:next w:val="774"/>
    <w:uiPriority w:val="0"/>
    <w:qFormat/>
    <w:pPr>
      <w:ind w:firstLine="200"/>
      <w:widowControl/>
    </w:pPr>
    <w:rPr>
      <w:rFonts w:ascii="宋体"/>
      <w:sz w:val="20"/>
      <w:szCs w:val="20"/>
    </w:rPr>
  </w:style>
  <w:style w:type="paragraph" w:styleId="831" w:customStyle="1">
    <w:name w:val="纯文本1"/>
    <w:basedOn w:val="774"/>
    <w:link w:val="1037"/>
    <w:uiPriority w:val="0"/>
    <w:qFormat/>
    <w:rPr>
      <w:rFonts w:ascii="宋体" w:hAnsi="Courier New"/>
      <w:sz w:val="20"/>
      <w:szCs w:val="20"/>
    </w:rPr>
  </w:style>
  <w:style w:type="paragraph" w:styleId="832" w:customStyle="1">
    <w:name w:val="正文缩进1"/>
    <w:basedOn w:val="774"/>
    <w:link w:val="1032"/>
    <w:uiPriority w:val="0"/>
    <w:qFormat/>
    <w:pPr>
      <w:ind w:firstLine="420"/>
    </w:pPr>
  </w:style>
  <w:style w:type="table" w:styleId="833" w:customStyle="1">
    <w:name w:val="无格式表格 11"/>
    <w:basedOn w:val="76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basedOn w:val="76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basedOn w:val="7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basedOn w:val="7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basedOn w:val="7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basedOn w:val="76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网格表 21"/>
    <w:basedOn w:val="76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网格表 31"/>
    <w:basedOn w:val="76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basedOn w:val="76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网格表 5 深色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网格表 6 彩色1"/>
    <w:basedOn w:val="76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网格表 7 彩色1"/>
    <w:basedOn w:val="76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清单表 1 浅色1"/>
    <w:basedOn w:val="76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清单表 21"/>
    <w:basedOn w:val="76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清单表 31"/>
    <w:basedOn w:val="76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41"/>
    <w:basedOn w:val="76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清单表 5 深色1"/>
    <w:basedOn w:val="76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清单表 6 彩色1"/>
    <w:basedOn w:val="76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清单表 7 彩色1"/>
    <w:basedOn w:val="763"/>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2" w:customStyle="1">
    <w:name w:val="TOC 标题1"/>
    <w:uiPriority w:val="39"/>
    <w:unhideWhenUsed/>
    <w:qFormat/>
    <w:rPr>
      <w:rFonts w:ascii="Times New Roman" w:hAnsi="Times New Roman" w:eastAsia="宋体" w:cs="Times New Roman"/>
      <w:lang w:val="en-US" w:eastAsia="zh-CN" w:bidi="ar-SA"/>
    </w:rPr>
  </w:style>
  <w:style w:type="paragraph" w:styleId="853" w:customStyle="1">
    <w:name w:val="目录 41"/>
    <w:basedOn w:val="752"/>
    <w:next w:val="752"/>
    <w:uiPriority w:val="39"/>
    <w:qFormat/>
    <w:pPr>
      <w:ind w:left="300" w:firstLine="200"/>
      <w:spacing w:line="360" w:lineRule="auto"/>
    </w:pPr>
    <w:rPr>
      <w:rFonts w:ascii="Arial" w:hAnsi="Arial" w:cs="宋体"/>
      <w:sz w:val="24"/>
    </w:rPr>
  </w:style>
  <w:style w:type="character" w:styleId="854" w:customStyle="1">
    <w:name w:val="Heading 1 Char"/>
    <w:basedOn w:val="762"/>
    <w:uiPriority w:val="9"/>
    <w:qFormat/>
    <w:rPr>
      <w:rFonts w:ascii="Arial" w:hAnsi="Arial" w:eastAsia="Arial" w:cs="Arial"/>
      <w:sz w:val="40"/>
      <w:szCs w:val="40"/>
    </w:rPr>
  </w:style>
  <w:style w:type="character" w:styleId="855" w:customStyle="1">
    <w:name w:val="Heading 3 Char"/>
    <w:basedOn w:val="762"/>
    <w:uiPriority w:val="9"/>
    <w:qFormat/>
    <w:rPr>
      <w:rFonts w:ascii="Arial" w:hAnsi="Arial" w:eastAsia="Arial" w:cs="Arial"/>
      <w:sz w:val="30"/>
      <w:szCs w:val="30"/>
    </w:rPr>
  </w:style>
  <w:style w:type="character" w:styleId="856" w:customStyle="1">
    <w:name w:val="Heading 4 Char"/>
    <w:basedOn w:val="762"/>
    <w:uiPriority w:val="9"/>
    <w:qFormat/>
    <w:rPr>
      <w:rFonts w:ascii="Arial" w:hAnsi="Arial" w:eastAsia="Arial" w:cs="Arial"/>
      <w:b/>
      <w:bCs/>
      <w:sz w:val="26"/>
      <w:szCs w:val="26"/>
    </w:rPr>
  </w:style>
  <w:style w:type="character" w:styleId="857" w:customStyle="1">
    <w:name w:val="Heading 5 Char"/>
    <w:basedOn w:val="762"/>
    <w:uiPriority w:val="9"/>
    <w:qFormat/>
    <w:rPr>
      <w:rFonts w:ascii="Arial" w:hAnsi="Arial" w:eastAsia="Arial" w:cs="Arial"/>
      <w:b/>
      <w:bCs/>
      <w:sz w:val="24"/>
      <w:szCs w:val="24"/>
    </w:rPr>
  </w:style>
  <w:style w:type="character" w:styleId="858" w:customStyle="1">
    <w:name w:val="Heading 6 Char"/>
    <w:basedOn w:val="762"/>
    <w:uiPriority w:val="9"/>
    <w:qFormat/>
    <w:rPr>
      <w:rFonts w:ascii="Arial" w:hAnsi="Arial" w:eastAsia="Arial" w:cs="Arial"/>
      <w:b/>
      <w:bCs/>
      <w:sz w:val="22"/>
      <w:szCs w:val="22"/>
    </w:rPr>
  </w:style>
  <w:style w:type="character" w:styleId="859" w:customStyle="1">
    <w:name w:val="Heading 7 Char"/>
    <w:basedOn w:val="762"/>
    <w:uiPriority w:val="9"/>
    <w:qFormat/>
    <w:rPr>
      <w:rFonts w:ascii="Arial" w:hAnsi="Arial" w:eastAsia="Arial" w:cs="Arial"/>
      <w:b/>
      <w:bCs/>
      <w:i/>
      <w:iCs/>
      <w:sz w:val="22"/>
      <w:szCs w:val="22"/>
    </w:rPr>
  </w:style>
  <w:style w:type="character" w:styleId="860" w:customStyle="1">
    <w:name w:val="Heading 8 Char"/>
    <w:basedOn w:val="762"/>
    <w:uiPriority w:val="9"/>
    <w:qFormat/>
    <w:rPr>
      <w:rFonts w:ascii="Arial" w:hAnsi="Arial" w:eastAsia="Arial" w:cs="Arial"/>
      <w:i/>
      <w:iCs/>
      <w:sz w:val="22"/>
      <w:szCs w:val="22"/>
    </w:rPr>
  </w:style>
  <w:style w:type="character" w:styleId="861" w:customStyle="1">
    <w:name w:val="Heading 9 Char"/>
    <w:basedOn w:val="762"/>
    <w:uiPriority w:val="9"/>
    <w:qFormat/>
    <w:rPr>
      <w:rFonts w:ascii="Arial" w:hAnsi="Arial" w:eastAsia="Arial" w:cs="Arial"/>
      <w:i/>
      <w:iCs/>
      <w:sz w:val="21"/>
      <w:szCs w:val="21"/>
    </w:rPr>
  </w:style>
  <w:style w:type="character" w:styleId="862" w:customStyle="1">
    <w:name w:val="Title Char"/>
    <w:basedOn w:val="762"/>
    <w:uiPriority w:val="10"/>
    <w:qFormat/>
    <w:rPr>
      <w:sz w:val="48"/>
      <w:szCs w:val="48"/>
    </w:rPr>
  </w:style>
  <w:style w:type="character" w:styleId="863" w:customStyle="1">
    <w:name w:val="Subtitle Char"/>
    <w:basedOn w:val="762"/>
    <w:uiPriority w:val="11"/>
    <w:qFormat/>
    <w:rPr>
      <w:sz w:val="24"/>
      <w:szCs w:val="24"/>
    </w:rPr>
  </w:style>
  <w:style w:type="character" w:styleId="864" w:customStyle="1">
    <w:name w:val="Quote Char"/>
    <w:uiPriority w:val="29"/>
    <w:qFormat/>
    <w:rPr>
      <w:i/>
    </w:rPr>
  </w:style>
  <w:style w:type="character" w:styleId="865" w:customStyle="1">
    <w:name w:val="Intense Quote Char"/>
    <w:uiPriority w:val="30"/>
    <w:qFormat/>
    <w:rPr>
      <w:i/>
    </w:rPr>
  </w:style>
  <w:style w:type="character" w:styleId="866" w:customStyle="1">
    <w:name w:val="Header Char"/>
    <w:basedOn w:val="762"/>
    <w:uiPriority w:val="99"/>
    <w:qFormat/>
  </w:style>
  <w:style w:type="character" w:styleId="867" w:customStyle="1">
    <w:name w:val="Caption Char"/>
    <w:uiPriority w:val="99"/>
    <w:qFormat/>
  </w:style>
  <w:style w:type="character" w:styleId="868" w:customStyle="1">
    <w:name w:val="Footnote Text Char"/>
    <w:uiPriority w:val="99"/>
    <w:qFormat/>
    <w:rPr>
      <w:sz w:val="18"/>
    </w:rPr>
  </w:style>
  <w:style w:type="character" w:styleId="869" w:customStyle="1">
    <w:name w:val="Endnote Text Char"/>
    <w:uiPriority w:val="99"/>
    <w:qFormat/>
    <w:rPr>
      <w:sz w:val="20"/>
    </w:rPr>
  </w:style>
  <w:style w:type="paragraph" w:styleId="870" w:customStyle="1">
    <w:name w:val="TOC 标题111"/>
    <w:uiPriority w:val="39"/>
    <w:unhideWhenUsed/>
    <w:qFormat/>
    <w:rPr>
      <w:rFonts w:ascii="Times New Roman" w:hAnsi="Times New Roman" w:eastAsia="宋体" w:cs="Times New Roman"/>
      <w:lang w:val="en-US" w:eastAsia="zh-CN" w:bidi="ar-SA"/>
    </w:rPr>
  </w:style>
  <w:style w:type="paragraph" w:styleId="871" w:customStyle="1">
    <w:name w:val="正文文本 21"/>
    <w:basedOn w:val="808"/>
    <w:uiPriority w:val="0"/>
    <w:qFormat/>
    <w:pPr>
      <w:spacing w:after="120" w:line="480" w:lineRule="auto"/>
    </w:pPr>
  </w:style>
  <w:style w:type="character" w:styleId="872" w:customStyle="1">
    <w:name w:val="标题 1 Char1"/>
    <w:link w:val="753"/>
    <w:uiPriority w:val="9"/>
    <w:qFormat/>
    <w:rPr>
      <w:rFonts w:ascii="Arial" w:hAnsi="Arial" w:eastAsia="Arial" w:cs="Arial"/>
      <w:sz w:val="40"/>
      <w:szCs w:val="40"/>
    </w:rPr>
  </w:style>
  <w:style w:type="character" w:styleId="873" w:customStyle="1">
    <w:name w:val="Heading 2 Char"/>
    <w:uiPriority w:val="9"/>
    <w:qFormat/>
    <w:rPr>
      <w:rFonts w:ascii="Arial" w:hAnsi="Arial" w:eastAsia="Arial" w:cs="Arial"/>
      <w:sz w:val="34"/>
    </w:rPr>
  </w:style>
  <w:style w:type="character" w:styleId="874" w:customStyle="1">
    <w:name w:val="标题 3 Char1"/>
    <w:link w:val="755"/>
    <w:uiPriority w:val="9"/>
    <w:qFormat/>
    <w:rPr>
      <w:rFonts w:ascii="Arial" w:hAnsi="Arial" w:eastAsia="Arial" w:cs="Arial"/>
      <w:sz w:val="30"/>
      <w:szCs w:val="30"/>
    </w:rPr>
  </w:style>
  <w:style w:type="character" w:styleId="875" w:customStyle="1">
    <w:name w:val="标题 4 Char1"/>
    <w:link w:val="756"/>
    <w:uiPriority w:val="9"/>
    <w:qFormat/>
    <w:rPr>
      <w:rFonts w:ascii="Arial" w:hAnsi="Arial" w:eastAsia="Arial" w:cs="Arial"/>
      <w:b/>
      <w:bCs/>
      <w:sz w:val="26"/>
      <w:szCs w:val="26"/>
    </w:rPr>
  </w:style>
  <w:style w:type="character" w:styleId="876" w:customStyle="1">
    <w:name w:val="标题 5 Char"/>
    <w:link w:val="757"/>
    <w:uiPriority w:val="9"/>
    <w:qFormat/>
    <w:rPr>
      <w:rFonts w:ascii="Arial" w:hAnsi="Arial" w:eastAsia="Arial" w:cs="Arial"/>
      <w:b/>
      <w:bCs/>
      <w:sz w:val="24"/>
      <w:szCs w:val="24"/>
    </w:rPr>
  </w:style>
  <w:style w:type="character" w:styleId="877" w:customStyle="1">
    <w:name w:val="标题 6 Char"/>
    <w:link w:val="758"/>
    <w:uiPriority w:val="9"/>
    <w:qFormat/>
    <w:rPr>
      <w:rFonts w:ascii="Arial" w:hAnsi="Arial" w:eastAsia="Arial" w:cs="Arial"/>
      <w:b/>
      <w:bCs/>
      <w:sz w:val="22"/>
      <w:szCs w:val="22"/>
    </w:rPr>
  </w:style>
  <w:style w:type="character" w:styleId="878" w:customStyle="1">
    <w:name w:val="标题 7 Char"/>
    <w:link w:val="759"/>
    <w:uiPriority w:val="9"/>
    <w:qFormat/>
    <w:rPr>
      <w:rFonts w:ascii="Arial" w:hAnsi="Arial" w:eastAsia="Arial" w:cs="Arial"/>
      <w:b/>
      <w:bCs/>
      <w:i/>
      <w:iCs/>
      <w:sz w:val="22"/>
      <w:szCs w:val="22"/>
    </w:rPr>
  </w:style>
  <w:style w:type="character" w:styleId="879" w:customStyle="1">
    <w:name w:val="标题 8 Char"/>
    <w:link w:val="760"/>
    <w:uiPriority w:val="9"/>
    <w:qFormat/>
    <w:rPr>
      <w:rFonts w:ascii="Arial" w:hAnsi="Arial" w:eastAsia="Arial" w:cs="Arial"/>
      <w:i/>
      <w:iCs/>
      <w:sz w:val="22"/>
      <w:szCs w:val="22"/>
    </w:rPr>
  </w:style>
  <w:style w:type="character" w:styleId="880" w:customStyle="1">
    <w:name w:val="标题 9 Char"/>
    <w:link w:val="761"/>
    <w:uiPriority w:val="9"/>
    <w:qFormat/>
    <w:rPr>
      <w:rFonts w:ascii="Arial" w:hAnsi="Arial" w:eastAsia="Arial" w:cs="Arial"/>
      <w:i/>
      <w:iCs/>
      <w:sz w:val="21"/>
      <w:szCs w:val="21"/>
    </w:rPr>
  </w:style>
  <w:style w:type="paragraph" w:styleId="881" w:customStyle="1">
    <w:name w:val="列出段落1"/>
    <w:basedOn w:val="777"/>
    <w:uiPriority w:val="34"/>
    <w:qFormat/>
    <w:pPr>
      <w:contextualSpacing/>
      <w:ind w:left="720"/>
    </w:pPr>
  </w:style>
  <w:style w:type="character" w:styleId="882" w:customStyle="1">
    <w:name w:val="标题 Char"/>
    <w:link w:val="800"/>
    <w:uiPriority w:val="10"/>
    <w:qFormat/>
    <w:rPr>
      <w:sz w:val="48"/>
      <w:szCs w:val="48"/>
    </w:rPr>
  </w:style>
  <w:style w:type="character" w:styleId="883" w:customStyle="1">
    <w:name w:val="副标题 Char"/>
    <w:link w:val="792"/>
    <w:uiPriority w:val="11"/>
    <w:qFormat/>
    <w:rPr>
      <w:sz w:val="24"/>
      <w:szCs w:val="24"/>
    </w:rPr>
  </w:style>
  <w:style w:type="paragraph" w:styleId="884" w:customStyle="1">
    <w:name w:val="引用1"/>
    <w:link w:val="885"/>
    <w:uiPriority w:val="29"/>
    <w:qFormat/>
    <w:pPr>
      <w:ind w:left="720" w:right="720"/>
    </w:pPr>
    <w:rPr>
      <w:rFonts w:ascii="Times New Roman" w:hAnsi="Times New Roman" w:eastAsia="宋体" w:cs="Times New Roman"/>
      <w:i/>
      <w:lang w:val="en-US" w:eastAsia="zh-CN" w:bidi="ar-SA"/>
    </w:rPr>
  </w:style>
  <w:style w:type="character" w:styleId="885" w:customStyle="1">
    <w:name w:val="引用 字符"/>
    <w:link w:val="884"/>
    <w:uiPriority w:val="29"/>
    <w:qFormat/>
    <w:rPr>
      <w:i/>
    </w:rPr>
  </w:style>
  <w:style w:type="paragraph" w:styleId="886" w:customStyle="1">
    <w:name w:val="明显引用1"/>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87" w:customStyle="1">
    <w:name w:val="明显引用 字符"/>
    <w:link w:val="886"/>
    <w:uiPriority w:val="30"/>
    <w:qFormat/>
    <w:rPr>
      <w:i/>
    </w:rPr>
  </w:style>
  <w:style w:type="character" w:styleId="888" w:customStyle="1">
    <w:name w:val="页眉 Char1"/>
    <w:link w:val="789"/>
    <w:uiPriority w:val="99"/>
    <w:qFormat/>
  </w:style>
  <w:style w:type="character" w:styleId="889" w:customStyle="1">
    <w:name w:val="Footer Char"/>
    <w:uiPriority w:val="99"/>
    <w:qFormat/>
  </w:style>
  <w:style w:type="character" w:styleId="890" w:customStyle="1">
    <w:name w:val="页脚 Char1"/>
    <w:link w:val="787"/>
    <w:uiPriority w:val="99"/>
    <w:qFormat/>
  </w:style>
  <w:style w:type="table" w:styleId="89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4" w:customStyle="1">
    <w:name w:val="List Table 1 Light - Accent 1"/>
    <w:uiPriority w:val="99"/>
    <w:qFormat/>
    <w:tblPr>
      <w:tblCellMar>
        <w:left w:w="0" w:type="dxa"/>
        <w:top w:w="0" w:type="dxa"/>
        <w:right w:w="0" w:type="dxa"/>
        <w:bottom w:w="0" w:type="dxa"/>
      </w:tblCellMar>
    </w:tblPr>
  </w:style>
  <w:style w:type="table" w:styleId="935" w:customStyle="1">
    <w:name w:val="List Table 1 Light - Accent 2"/>
    <w:uiPriority w:val="99"/>
    <w:qFormat/>
    <w:tblPr>
      <w:tblCellMar>
        <w:left w:w="0" w:type="dxa"/>
        <w:top w:w="0" w:type="dxa"/>
        <w:right w:w="0" w:type="dxa"/>
        <w:bottom w:w="0" w:type="dxa"/>
      </w:tblCellMar>
    </w:tblPr>
  </w:style>
  <w:style w:type="table" w:styleId="936" w:customStyle="1">
    <w:name w:val="List Table 1 Light - Accent 3"/>
    <w:uiPriority w:val="99"/>
    <w:qFormat/>
    <w:tblPr>
      <w:tblCellMar>
        <w:left w:w="0" w:type="dxa"/>
        <w:top w:w="0" w:type="dxa"/>
        <w:right w:w="0" w:type="dxa"/>
        <w:bottom w:w="0" w:type="dxa"/>
      </w:tblCellMar>
    </w:tblPr>
  </w:style>
  <w:style w:type="table" w:styleId="937" w:customStyle="1">
    <w:name w:val="List Table 1 Light - Accent 4"/>
    <w:uiPriority w:val="99"/>
    <w:qFormat/>
    <w:tblPr>
      <w:tblCellMar>
        <w:left w:w="0" w:type="dxa"/>
        <w:top w:w="0" w:type="dxa"/>
        <w:right w:w="0" w:type="dxa"/>
        <w:bottom w:w="0" w:type="dxa"/>
      </w:tblCellMar>
    </w:tblPr>
  </w:style>
  <w:style w:type="table" w:styleId="938" w:customStyle="1">
    <w:name w:val="List Table 1 Light - Accent 5"/>
    <w:uiPriority w:val="99"/>
    <w:qFormat/>
    <w:tblPr>
      <w:tblCellMar>
        <w:left w:w="0" w:type="dxa"/>
        <w:top w:w="0" w:type="dxa"/>
        <w:right w:w="0" w:type="dxa"/>
        <w:bottom w:w="0" w:type="dxa"/>
      </w:tblCellMar>
    </w:tblPr>
  </w:style>
  <w:style w:type="table" w:styleId="939" w:customStyle="1">
    <w:name w:val="List Table 1 Light - Accent 6"/>
    <w:uiPriority w:val="99"/>
    <w:qFormat/>
    <w:tblPr>
      <w:tblCellMar>
        <w:left w:w="0" w:type="dxa"/>
        <w:top w:w="0" w:type="dxa"/>
        <w:right w:w="0" w:type="dxa"/>
        <w:bottom w:w="0" w:type="dxa"/>
      </w:tblCellMar>
    </w:tblPr>
  </w:style>
  <w:style w:type="table" w:styleId="94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6" w:customStyle="1">
    <w:name w:val="Lined - Accent"/>
    <w:uiPriority w:val="99"/>
    <w:qFormat/>
    <w:rPr>
      <w:color w:val="404040"/>
    </w:rPr>
    <w:tblPr>
      <w:tblCellMar>
        <w:left w:w="0" w:type="dxa"/>
        <w:top w:w="0" w:type="dxa"/>
        <w:right w:w="0" w:type="dxa"/>
        <w:bottom w:w="0" w:type="dxa"/>
      </w:tblCellMar>
    </w:tblPr>
  </w:style>
  <w:style w:type="table" w:styleId="977" w:customStyle="1">
    <w:name w:val="Lined - Accent 1"/>
    <w:uiPriority w:val="99"/>
    <w:qFormat/>
    <w:rPr>
      <w:color w:val="404040"/>
    </w:rPr>
    <w:tblPr>
      <w:tblCellMar>
        <w:left w:w="0" w:type="dxa"/>
        <w:top w:w="0" w:type="dxa"/>
        <w:right w:w="0" w:type="dxa"/>
        <w:bottom w:w="0" w:type="dxa"/>
      </w:tblCellMar>
    </w:tblPr>
  </w:style>
  <w:style w:type="table" w:styleId="978" w:customStyle="1">
    <w:name w:val="Lined - Accent 2"/>
    <w:uiPriority w:val="99"/>
    <w:qFormat/>
    <w:rPr>
      <w:color w:val="404040"/>
    </w:rPr>
    <w:tblPr>
      <w:tblCellMar>
        <w:left w:w="0" w:type="dxa"/>
        <w:top w:w="0" w:type="dxa"/>
        <w:right w:w="0" w:type="dxa"/>
        <w:bottom w:w="0" w:type="dxa"/>
      </w:tblCellMar>
    </w:tblPr>
  </w:style>
  <w:style w:type="table" w:styleId="979" w:customStyle="1">
    <w:name w:val="Lined - Accent 3"/>
    <w:uiPriority w:val="99"/>
    <w:qFormat/>
    <w:rPr>
      <w:color w:val="404040"/>
    </w:rPr>
    <w:tblPr>
      <w:tblCellMar>
        <w:left w:w="0" w:type="dxa"/>
        <w:top w:w="0" w:type="dxa"/>
        <w:right w:w="0" w:type="dxa"/>
        <w:bottom w:w="0" w:type="dxa"/>
      </w:tblCellMar>
    </w:tblPr>
  </w:style>
  <w:style w:type="table" w:styleId="980" w:customStyle="1">
    <w:name w:val="Lined - Accent 4"/>
    <w:uiPriority w:val="99"/>
    <w:qFormat/>
    <w:rPr>
      <w:color w:val="404040"/>
    </w:rPr>
    <w:tblPr>
      <w:tblCellMar>
        <w:left w:w="0" w:type="dxa"/>
        <w:top w:w="0" w:type="dxa"/>
        <w:right w:w="0" w:type="dxa"/>
        <w:bottom w:w="0" w:type="dxa"/>
      </w:tblCellMar>
    </w:tblPr>
  </w:style>
  <w:style w:type="table" w:styleId="981" w:customStyle="1">
    <w:name w:val="Lined - Accent 5"/>
    <w:uiPriority w:val="99"/>
    <w:qFormat/>
    <w:rPr>
      <w:color w:val="404040"/>
    </w:rPr>
    <w:tblPr>
      <w:tblCellMar>
        <w:left w:w="0" w:type="dxa"/>
        <w:top w:w="0" w:type="dxa"/>
        <w:right w:w="0" w:type="dxa"/>
        <w:bottom w:w="0" w:type="dxa"/>
      </w:tblCellMar>
    </w:tblPr>
  </w:style>
  <w:style w:type="table" w:styleId="982" w:customStyle="1">
    <w:name w:val="Lined - Accent 6"/>
    <w:uiPriority w:val="99"/>
    <w:qFormat/>
    <w:rPr>
      <w:color w:val="404040"/>
    </w:rPr>
    <w:tblPr>
      <w:tblCellMar>
        <w:left w:w="0" w:type="dxa"/>
        <w:top w:w="0" w:type="dxa"/>
        <w:right w:w="0" w:type="dxa"/>
        <w:bottom w:w="0" w:type="dxa"/>
      </w:tblCellMar>
    </w:tblPr>
  </w:style>
  <w:style w:type="table" w:styleId="98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7" w:customStyle="1">
    <w:name w:val="脚注文本 Char"/>
    <w:link w:val="793"/>
    <w:uiPriority w:val="99"/>
    <w:qFormat/>
    <w:rPr>
      <w:sz w:val="18"/>
    </w:rPr>
  </w:style>
  <w:style w:type="character" w:styleId="998" w:customStyle="1">
    <w:name w:val="尾注文本 Char"/>
    <w:link w:val="786"/>
    <w:uiPriority w:val="99"/>
    <w:qFormat/>
    <w:rPr>
      <w:sz w:val="20"/>
    </w:rPr>
  </w:style>
  <w:style w:type="paragraph" w:styleId="999" w:customStyle="1">
    <w:name w:val="TOC 标题11"/>
    <w:uiPriority w:val="39"/>
    <w:unhideWhenUsed/>
    <w:qFormat/>
    <w:rPr>
      <w:rFonts w:ascii="Times New Roman" w:hAnsi="Times New Roman" w:eastAsia="宋体" w:cs="Times New Roman"/>
      <w:lang w:val="en-US" w:eastAsia="zh-CN" w:bidi="ar-SA"/>
    </w:rPr>
  </w:style>
  <w:style w:type="paragraph" w:styleId="1000" w:customStyle="1">
    <w:name w:val="标题 11"/>
    <w:basedOn w:val="774"/>
    <w:next w:val="808"/>
    <w:link w:val="1027"/>
    <w:uiPriority w:val="0"/>
    <w:qFormat/>
    <w:pPr>
      <w:jc w:val="center"/>
      <w:keepLines/>
      <w:keepNext/>
      <w:spacing w:line="578" w:lineRule="auto"/>
      <w:outlineLvl w:val="0"/>
    </w:pPr>
    <w:rPr>
      <w:rFonts w:eastAsia="新宋体"/>
      <w:b/>
      <w:bCs/>
      <w:sz w:val="30"/>
      <w:szCs w:val="44"/>
    </w:rPr>
  </w:style>
  <w:style w:type="paragraph" w:styleId="1001" w:customStyle="1">
    <w:name w:val="标题 31"/>
    <w:basedOn w:val="774"/>
    <w:next w:val="774"/>
    <w:link w:val="1013"/>
    <w:uiPriority w:val="0"/>
    <w:qFormat/>
    <w:pPr>
      <w:keepLines/>
      <w:keepNext/>
      <w:spacing w:before="260" w:after="260" w:line="416" w:lineRule="auto"/>
      <w:outlineLvl w:val="2"/>
    </w:pPr>
    <w:rPr>
      <w:b/>
      <w:bCs/>
      <w:sz w:val="32"/>
      <w:szCs w:val="32"/>
    </w:rPr>
  </w:style>
  <w:style w:type="paragraph" w:styleId="1002" w:customStyle="1">
    <w:name w:val="标题 51"/>
    <w:basedOn w:val="774"/>
    <w:next w:val="774"/>
    <w:link w:val="1026"/>
    <w:uiPriority w:val="0"/>
    <w:qFormat/>
    <w:pPr>
      <w:keepLines/>
      <w:keepNext/>
      <w:spacing w:before="280" w:after="290" w:line="376" w:lineRule="auto"/>
      <w:outlineLvl w:val="4"/>
    </w:pPr>
    <w:rPr>
      <w:b/>
      <w:bCs/>
      <w:sz w:val="28"/>
      <w:szCs w:val="28"/>
    </w:rPr>
  </w:style>
  <w:style w:type="paragraph" w:styleId="1003" w:customStyle="1">
    <w:name w:val="标题 71"/>
    <w:basedOn w:val="774"/>
    <w:next w:val="774"/>
    <w:link w:val="1031"/>
    <w:uiPriority w:val="0"/>
    <w:qFormat/>
    <w:pPr>
      <w:keepLines/>
      <w:keepNext/>
      <w:spacing w:before="240" w:after="64" w:line="320" w:lineRule="auto"/>
      <w:outlineLvl w:val="6"/>
    </w:pPr>
    <w:rPr>
      <w:rFonts w:ascii="Calibri" w:hAnsi="Calibri"/>
      <w:b/>
      <w:bCs/>
      <w:sz w:val="24"/>
    </w:rPr>
  </w:style>
  <w:style w:type="character" w:styleId="1004" w:customStyle="1">
    <w:name w:val="默认段落字体1"/>
    <w:uiPriority w:val="0"/>
    <w:semiHidden/>
    <w:qFormat/>
  </w:style>
  <w:style w:type="table" w:styleId="1005" w:customStyle="1">
    <w:name w:val="普通表格1"/>
    <w:uiPriority w:val="0"/>
    <w:semiHidden/>
    <w:qFormat/>
    <w:tblPr>
      <w:tblCellMar>
        <w:left w:w="0" w:type="dxa"/>
        <w:top w:w="0" w:type="dxa"/>
        <w:right w:w="0" w:type="dxa"/>
        <w:bottom w:w="0" w:type="dxa"/>
      </w:tblCellMar>
    </w:tblPr>
  </w:style>
  <w:style w:type="character" w:styleId="1006" w:customStyle="1">
    <w:name w:val="超链接1"/>
    <w:uiPriority w:val="0"/>
    <w:qFormat/>
    <w:rPr>
      <w:color w:val="0000ff"/>
      <w:u w:val="single"/>
    </w:rPr>
  </w:style>
  <w:style w:type="character" w:styleId="1007" w:customStyle="1">
    <w:name w:val="批注引用1"/>
    <w:uiPriority w:val="0"/>
    <w:qFormat/>
    <w:rPr>
      <w:sz w:val="21"/>
      <w:szCs w:val="21"/>
    </w:rPr>
  </w:style>
  <w:style w:type="character" w:styleId="1008" w:customStyle="1">
    <w:name w:val="强调1"/>
    <w:uiPriority w:val="0"/>
    <w:qFormat/>
    <w:rPr>
      <w:i/>
    </w:rPr>
  </w:style>
  <w:style w:type="character" w:styleId="1009" w:customStyle="1">
    <w:name w:val="要点1"/>
    <w:uiPriority w:val="0"/>
    <w:qFormat/>
    <w:rPr>
      <w:b/>
      <w:bCs/>
    </w:rPr>
  </w:style>
  <w:style w:type="character" w:styleId="1010" w:customStyle="1">
    <w:name w:val="页码1"/>
    <w:uiPriority w:val="0"/>
    <w:qFormat/>
  </w:style>
  <w:style w:type="character" w:styleId="1011" w:customStyle="1">
    <w:name w:val="日期 Char"/>
    <w:uiPriority w:val="0"/>
    <w:semiHidden/>
    <w:qFormat/>
  </w:style>
  <w:style w:type="character" w:styleId="1012" w:customStyle="1">
    <w:name w:val="标题 4 字符1"/>
    <w:link w:val="821"/>
    <w:uiPriority w:val="0"/>
    <w:semiHidden/>
    <w:qFormat/>
    <w:rPr>
      <w:rFonts w:ascii="Cambria" w:hAnsi="Cambria"/>
      <w:b/>
      <w:bCs/>
      <w:sz w:val="28"/>
      <w:szCs w:val="28"/>
    </w:rPr>
  </w:style>
  <w:style w:type="character" w:styleId="1013" w:customStyle="1">
    <w:name w:val="标题 3 字符"/>
    <w:link w:val="1001"/>
    <w:uiPriority w:val="0"/>
    <w:semiHidden/>
    <w:qFormat/>
    <w:rPr>
      <w:b/>
      <w:bCs/>
      <w:sz w:val="32"/>
      <w:szCs w:val="32"/>
    </w:rPr>
  </w:style>
  <w:style w:type="character" w:styleId="1014" w:customStyle="1">
    <w:name w:val="标题 4 Char"/>
    <w:uiPriority w:val="0"/>
    <w:semiHidden/>
    <w:qFormat/>
    <w:rPr>
      <w:rFonts w:ascii="Cambria" w:hAnsi="Cambria" w:eastAsia="宋体"/>
      <w:b/>
      <w:bCs/>
      <w:sz w:val="28"/>
      <w:szCs w:val="28"/>
    </w:rPr>
  </w:style>
  <w:style w:type="character" w:styleId="1015" w:customStyle="1">
    <w:name w:val="批注框文本 字符"/>
    <w:link w:val="1016"/>
    <w:uiPriority w:val="0"/>
    <w:qFormat/>
    <w:rPr>
      <w:sz w:val="18"/>
      <w:szCs w:val="18"/>
    </w:rPr>
  </w:style>
  <w:style w:type="paragraph" w:styleId="1016" w:customStyle="1">
    <w:name w:val="批注框文本1"/>
    <w:basedOn w:val="774"/>
    <w:link w:val="1015"/>
    <w:uiPriority w:val="0"/>
    <w:qFormat/>
    <w:rPr>
      <w:sz w:val="18"/>
      <w:szCs w:val="18"/>
    </w:rPr>
  </w:style>
  <w:style w:type="character" w:styleId="1017" w:customStyle="1">
    <w:name w:val="标题 2 字符1"/>
    <w:link w:val="827"/>
    <w:uiPriority w:val="0"/>
    <w:qFormat/>
    <w:rPr>
      <w:rFonts w:ascii="Cambria" w:hAnsi="Cambria"/>
      <w:b/>
      <w:bCs/>
      <w:sz w:val="32"/>
      <w:szCs w:val="32"/>
    </w:rPr>
  </w:style>
  <w:style w:type="character" w:styleId="1018" w:customStyle="1">
    <w:name w:val="正文文本首行缩进 字符"/>
    <w:uiPriority w:val="0"/>
    <w:qFormat/>
  </w:style>
  <w:style w:type="character" w:styleId="1019" w:customStyle="1">
    <w:name w:val="批注框文本 Char"/>
    <w:uiPriority w:val="0"/>
    <w:semiHidden/>
    <w:qFormat/>
    <w:rPr>
      <w:sz w:val="18"/>
      <w:szCs w:val="18"/>
    </w:rPr>
  </w:style>
  <w:style w:type="character" w:styleId="1020" w:customStyle="1">
    <w:name w:val="批注主题 字符"/>
    <w:link w:val="1021"/>
    <w:uiPriority w:val="0"/>
    <w:qFormat/>
    <w:rPr>
      <w:b/>
      <w:bCs/>
      <w:sz w:val="21"/>
      <w:szCs w:val="24"/>
    </w:rPr>
  </w:style>
  <w:style w:type="paragraph" w:styleId="1021" w:customStyle="1">
    <w:name w:val="批注主题1"/>
    <w:basedOn w:val="1022"/>
    <w:next w:val="1022"/>
    <w:link w:val="1020"/>
    <w:uiPriority w:val="0"/>
    <w:qFormat/>
    <w:rPr>
      <w:b/>
      <w:bCs/>
    </w:rPr>
  </w:style>
  <w:style w:type="paragraph" w:styleId="1022" w:customStyle="1">
    <w:name w:val="批注文字1"/>
    <w:basedOn w:val="774"/>
    <w:link w:val="1023"/>
    <w:uiPriority w:val="0"/>
    <w:qFormat/>
    <w:pPr>
      <w:jc w:val="left"/>
    </w:pPr>
  </w:style>
  <w:style w:type="character" w:styleId="1023" w:customStyle="1">
    <w:name w:val="批注文字 字符"/>
    <w:link w:val="1022"/>
    <w:uiPriority w:val="0"/>
    <w:qFormat/>
    <w:rPr>
      <w:sz w:val="21"/>
      <w:szCs w:val="24"/>
    </w:rPr>
  </w:style>
  <w:style w:type="character" w:styleId="1024" w:customStyle="1">
    <w:name w:val="页眉 字符"/>
    <w:link w:val="1025"/>
    <w:uiPriority w:val="0"/>
    <w:qFormat/>
    <w:rPr>
      <w:sz w:val="18"/>
      <w:szCs w:val="18"/>
    </w:rPr>
  </w:style>
  <w:style w:type="paragraph" w:styleId="1025" w:customStyle="1">
    <w:name w:val="页眉1"/>
    <w:basedOn w:val="774"/>
    <w:link w:val="1024"/>
    <w:uiPriority w:val="0"/>
    <w:qFormat/>
    <w:pPr>
      <w:jc w:val="center"/>
      <w:tabs>
        <w:tab w:val="center" w:pos="4153" w:leader="none"/>
        <w:tab w:val="right" w:pos="8306" w:leader="none"/>
      </w:tabs>
      <w:pBdr>
        <w:bottom w:val="single" w:color="000000" w:sz="6" w:space="1"/>
      </w:pBdr>
    </w:pPr>
    <w:rPr>
      <w:sz w:val="18"/>
      <w:szCs w:val="18"/>
    </w:rPr>
  </w:style>
  <w:style w:type="character" w:styleId="1026" w:customStyle="1">
    <w:name w:val="标题 5 字符"/>
    <w:link w:val="1002"/>
    <w:uiPriority w:val="0"/>
    <w:semiHidden/>
    <w:qFormat/>
    <w:rPr>
      <w:b/>
      <w:bCs/>
      <w:sz w:val="28"/>
      <w:szCs w:val="28"/>
    </w:rPr>
  </w:style>
  <w:style w:type="character" w:styleId="1027" w:customStyle="1">
    <w:name w:val="标题 1 字符"/>
    <w:link w:val="1000"/>
    <w:uiPriority w:val="0"/>
    <w:qFormat/>
    <w:rPr>
      <w:rFonts w:eastAsia="新宋体"/>
      <w:b/>
      <w:bCs/>
      <w:sz w:val="30"/>
      <w:szCs w:val="44"/>
    </w:rPr>
  </w:style>
  <w:style w:type="character" w:styleId="1028" w:customStyle="1">
    <w:name w:val="标题 4 字符"/>
    <w:uiPriority w:val="0"/>
    <w:semiHidden/>
    <w:qFormat/>
    <w:rPr>
      <w:rFonts w:ascii="等线 Light" w:hAnsi="等线 Light" w:eastAsia="等线 Light"/>
      <w:b/>
      <w:bCs/>
      <w:sz w:val="28"/>
      <w:szCs w:val="28"/>
    </w:rPr>
  </w:style>
  <w:style w:type="character" w:styleId="1029" w:customStyle="1">
    <w:name w:val="纯文本 Char"/>
    <w:uiPriority w:val="0"/>
    <w:qFormat/>
    <w:rPr>
      <w:rFonts w:ascii="宋体" w:hAnsi="Courier New" w:eastAsia="宋体"/>
      <w:sz w:val="21"/>
      <w:szCs w:val="21"/>
    </w:rPr>
  </w:style>
  <w:style w:type="character" w:styleId="1030" w:customStyle="1">
    <w:name w:val="apple-converted-space"/>
    <w:uiPriority w:val="0"/>
    <w:qFormat/>
  </w:style>
  <w:style w:type="character" w:styleId="1031" w:customStyle="1">
    <w:name w:val="标题 7 字符"/>
    <w:link w:val="1003"/>
    <w:uiPriority w:val="0"/>
    <w:semiHidden/>
    <w:qFormat/>
    <w:rPr>
      <w:rFonts w:ascii="Calibri" w:hAnsi="Calibri"/>
      <w:b/>
      <w:bCs/>
      <w:sz w:val="24"/>
      <w:szCs w:val="24"/>
    </w:rPr>
  </w:style>
  <w:style w:type="character" w:styleId="1032" w:customStyle="1">
    <w:name w:val="正文缩进 字符"/>
    <w:link w:val="832"/>
    <w:uiPriority w:val="0"/>
    <w:qFormat/>
    <w:rPr>
      <w:sz w:val="21"/>
      <w:szCs w:val="24"/>
      <w:lang w:bidi="ar-SA"/>
    </w:rPr>
  </w:style>
  <w:style w:type="character" w:styleId="1033" w:customStyle="1">
    <w:name w:val="文档结构图 字符1"/>
    <w:link w:val="1034"/>
    <w:uiPriority w:val="0"/>
    <w:qFormat/>
    <w:rPr>
      <w:rFonts w:ascii="宋体" w:hAnsi="Calibri"/>
      <w:sz w:val="18"/>
      <w:szCs w:val="18"/>
    </w:rPr>
  </w:style>
  <w:style w:type="paragraph" w:styleId="1034" w:customStyle="1">
    <w:name w:val="文档结构图1"/>
    <w:basedOn w:val="774"/>
    <w:link w:val="1033"/>
    <w:uiPriority w:val="0"/>
    <w:qFormat/>
    <w:rPr>
      <w:rFonts w:ascii="宋体" w:hAnsi="Calibri"/>
      <w:sz w:val="18"/>
      <w:szCs w:val="18"/>
    </w:rPr>
  </w:style>
  <w:style w:type="character" w:styleId="1035" w:customStyle="1">
    <w:name w:val="正文文本 字符"/>
    <w:link w:val="810"/>
    <w:uiPriority w:val="0"/>
    <w:qFormat/>
    <w:rPr>
      <w:rFonts w:ascii="Calibri" w:hAnsi="Calibri"/>
      <w:sz w:val="21"/>
      <w:szCs w:val="24"/>
    </w:rPr>
  </w:style>
  <w:style w:type="character" w:styleId="1036" w:customStyle="1">
    <w:name w:val="正文文本缩进 字符"/>
    <w:link w:val="814"/>
    <w:uiPriority w:val="0"/>
    <w:qFormat/>
    <w:rPr>
      <w:rFonts w:ascii="Calibri" w:hAnsi="Calibri"/>
      <w:sz w:val="21"/>
      <w:szCs w:val="24"/>
    </w:rPr>
  </w:style>
  <w:style w:type="character" w:styleId="1037" w:customStyle="1">
    <w:name w:val="纯文本 字符"/>
    <w:link w:val="831"/>
    <w:uiPriority w:val="0"/>
    <w:qFormat/>
    <w:rPr>
      <w:rFonts w:ascii="宋体" w:hAnsi="Courier New"/>
      <w:sz w:val="21"/>
    </w:rPr>
  </w:style>
  <w:style w:type="character" w:styleId="1038" w:customStyle="1">
    <w:name w:val="日期 字符"/>
    <w:link w:val="1039"/>
    <w:uiPriority w:val="0"/>
    <w:qFormat/>
    <w:rPr>
      <w:rFonts w:eastAsia="仿宋_GB2312"/>
      <w:sz w:val="28"/>
    </w:rPr>
  </w:style>
  <w:style w:type="paragraph" w:styleId="1039" w:customStyle="1">
    <w:name w:val="日期1"/>
    <w:basedOn w:val="774"/>
    <w:next w:val="774"/>
    <w:link w:val="1038"/>
    <w:uiPriority w:val="0"/>
    <w:qFormat/>
    <w:rPr>
      <w:rFonts w:eastAsia="仿宋_GB2312"/>
      <w:sz w:val="28"/>
      <w:szCs w:val="20"/>
    </w:rPr>
  </w:style>
  <w:style w:type="character" w:styleId="1040" w:customStyle="1">
    <w:name w:val="正文文本缩进 2 字符"/>
    <w:link w:val="1041"/>
    <w:uiPriority w:val="0"/>
    <w:qFormat/>
    <w:rPr>
      <w:rFonts w:ascii="仿宋_GB2312" w:eastAsia="仿宋_GB2312"/>
      <w:sz w:val="24"/>
      <w:szCs w:val="24"/>
      <w:lang w:bidi="ar-SA"/>
    </w:rPr>
  </w:style>
  <w:style w:type="paragraph" w:styleId="1041" w:customStyle="1">
    <w:name w:val="正文文本缩进 21"/>
    <w:basedOn w:val="774"/>
    <w:link w:val="1040"/>
    <w:uiPriority w:val="0"/>
    <w:qFormat/>
    <w:pPr>
      <w:ind w:firstLine="475"/>
      <w:spacing w:line="10" w:lineRule="atLeast"/>
    </w:pPr>
    <w:rPr>
      <w:rFonts w:ascii="仿宋_GB2312" w:eastAsia="仿宋_GB2312"/>
      <w:sz w:val="24"/>
    </w:rPr>
  </w:style>
  <w:style w:type="character" w:styleId="1042" w:customStyle="1">
    <w:name w:val="页脚 字符"/>
    <w:link w:val="1043"/>
    <w:uiPriority w:val="0"/>
    <w:qFormat/>
    <w:rPr>
      <w:sz w:val="18"/>
      <w:szCs w:val="18"/>
    </w:rPr>
  </w:style>
  <w:style w:type="paragraph" w:styleId="1043" w:customStyle="1">
    <w:name w:val="页脚1"/>
    <w:basedOn w:val="774"/>
    <w:link w:val="1042"/>
    <w:uiPriority w:val="0"/>
    <w:qFormat/>
    <w:pPr>
      <w:jc w:val="left"/>
      <w:tabs>
        <w:tab w:val="center" w:pos="4153" w:leader="none"/>
        <w:tab w:val="right" w:pos="8306" w:leader="none"/>
      </w:tabs>
    </w:pPr>
    <w:rPr>
      <w:sz w:val="18"/>
      <w:szCs w:val="18"/>
    </w:rPr>
  </w:style>
  <w:style w:type="character" w:styleId="1044" w:customStyle="1">
    <w:name w:val="正文首行缩进 字符"/>
    <w:link w:val="812"/>
    <w:uiPriority w:val="0"/>
    <w:qFormat/>
    <w:rPr>
      <w:rFonts w:ascii="仿宋_GB2312" w:hAnsi="Times New Roman" w:eastAsia="仿宋_GB2312"/>
      <w:sz w:val="30"/>
      <w:szCs w:val="30"/>
    </w:rPr>
  </w:style>
  <w:style w:type="character" w:styleId="1045" w:customStyle="1">
    <w:name w:val="正文首行缩进 2 字符1"/>
    <w:link w:val="813"/>
    <w:uiPriority w:val="0"/>
    <w:qFormat/>
  </w:style>
  <w:style w:type="character" w:styleId="1046" w:customStyle="1">
    <w:name w:val="标题 2 字符"/>
    <w:uiPriority w:val="0"/>
    <w:semiHidden/>
    <w:qFormat/>
    <w:rPr>
      <w:rFonts w:ascii="等线 Light" w:hAnsi="等线 Light" w:eastAsia="等线 Light"/>
      <w:b/>
      <w:bCs/>
      <w:sz w:val="32"/>
      <w:szCs w:val="32"/>
    </w:rPr>
  </w:style>
  <w:style w:type="character" w:styleId="1047" w:customStyle="1">
    <w:name w:val="批注文字 Char"/>
    <w:uiPriority w:val="0"/>
    <w:qFormat/>
    <w:rPr>
      <w:rFonts w:ascii="Times New Roman" w:hAnsi="Times New Roman"/>
      <w:sz w:val="21"/>
    </w:rPr>
  </w:style>
  <w:style w:type="character" w:styleId="1048" w:customStyle="1">
    <w:name w:val="正文首行缩进 2 字符"/>
    <w:link w:val="1049"/>
    <w:uiPriority w:val="0"/>
    <w:qFormat/>
    <w:rPr>
      <w:sz w:val="21"/>
      <w:szCs w:val="24"/>
    </w:rPr>
  </w:style>
  <w:style w:type="paragraph" w:styleId="1049" w:customStyle="1">
    <w:name w:val="_Style 63"/>
    <w:basedOn w:val="814"/>
    <w:next w:val="774"/>
    <w:link w:val="1048"/>
    <w:uiPriority w:val="0"/>
    <w:qFormat/>
    <w:pPr>
      <w:ind w:firstLine="420"/>
    </w:pPr>
    <w:rPr>
      <w:rFonts w:ascii="Times New Roman" w:hAnsi="Times New Roman"/>
    </w:rPr>
  </w:style>
  <w:style w:type="character" w:styleId="1050" w:customStyle="1">
    <w:name w:val="标书正文 Char1"/>
    <w:link w:val="1051"/>
    <w:uiPriority w:val="0"/>
    <w:qFormat/>
    <w:rPr>
      <w:color w:val="000000"/>
      <w:sz w:val="22"/>
      <w:szCs w:val="28"/>
      <w:lang w:eastAsia="en-US"/>
    </w:rPr>
  </w:style>
  <w:style w:type="paragraph" w:styleId="1051" w:customStyle="1">
    <w:name w:val="标书正文"/>
    <w:basedOn w:val="774"/>
    <w:link w:val="1050"/>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52" w:customStyle="1">
    <w:name w:val="font01"/>
    <w:uiPriority w:val="0"/>
    <w:qFormat/>
    <w:rPr>
      <w:rFonts w:ascii="仿宋" w:hAnsi="仿宋" w:eastAsia="仿宋"/>
      <w:color w:val="000000"/>
      <w:sz w:val="20"/>
      <w:szCs w:val="20"/>
      <w:u w:val="none"/>
    </w:rPr>
  </w:style>
  <w:style w:type="character" w:styleId="1053" w:customStyle="1">
    <w:name w:val="标题 3 Char"/>
    <w:uiPriority w:val="0"/>
    <w:qFormat/>
    <w:rPr>
      <w:rFonts w:ascii="Arial" w:hAnsi="Arial" w:eastAsia="宋体"/>
      <w:b/>
      <w:sz w:val="32"/>
      <w:szCs w:val="20"/>
    </w:rPr>
  </w:style>
  <w:style w:type="character" w:styleId="1054" w:customStyle="1">
    <w:name w:val="批注主题 Char"/>
    <w:uiPriority w:val="0"/>
    <w:semiHidden/>
    <w:qFormat/>
    <w:rPr>
      <w:rFonts w:ascii="Times New Roman" w:hAnsi="Times New Roman"/>
      <w:b/>
      <w:bCs/>
      <w:sz w:val="21"/>
    </w:rPr>
  </w:style>
  <w:style w:type="character" w:styleId="1055" w:customStyle="1">
    <w:name w:val="font41"/>
    <w:uiPriority w:val="0"/>
    <w:qFormat/>
    <w:rPr>
      <w:rFonts w:ascii="Symbol" w:hAnsi="Symbol"/>
      <w:color w:val="000000"/>
      <w:sz w:val="20"/>
      <w:szCs w:val="20"/>
      <w:u w:val="none"/>
    </w:rPr>
  </w:style>
  <w:style w:type="character" w:styleId="1056" w:customStyle="1">
    <w:name w:val="文档结构图 Char"/>
    <w:uiPriority w:val="0"/>
    <w:semiHidden/>
    <w:qFormat/>
    <w:rPr>
      <w:rFonts w:ascii="宋体"/>
      <w:sz w:val="18"/>
      <w:szCs w:val="18"/>
    </w:rPr>
  </w:style>
  <w:style w:type="character" w:styleId="1057" w:customStyle="1">
    <w:name w:val="文档结构图 字符"/>
    <w:uiPriority w:val="0"/>
    <w:qFormat/>
    <w:rPr>
      <w:rFonts w:ascii="Microsoft YaHei UI" w:eastAsia="Microsoft YaHei UI"/>
      <w:sz w:val="18"/>
      <w:szCs w:val="18"/>
    </w:rPr>
  </w:style>
  <w:style w:type="character" w:styleId="1058" w:customStyle="1">
    <w:name w:val="正文文本 Char"/>
    <w:uiPriority w:val="0"/>
    <w:qFormat/>
    <w:rPr>
      <w:sz w:val="21"/>
      <w:szCs w:val="24"/>
    </w:rPr>
  </w:style>
  <w:style w:type="character" w:styleId="1059" w:customStyle="1">
    <w:name w:val="纯文本 Char1"/>
    <w:uiPriority w:val="0"/>
    <w:qFormat/>
    <w:rPr>
      <w:rFonts w:ascii="宋体" w:hAnsi="Courier New" w:eastAsia="宋体"/>
      <w:sz w:val="20"/>
      <w:szCs w:val="20"/>
    </w:rPr>
  </w:style>
  <w:style w:type="character" w:styleId="1060" w:customStyle="1">
    <w:name w:val="页脚 Char"/>
    <w:uiPriority w:val="0"/>
    <w:qFormat/>
    <w:rPr>
      <w:sz w:val="18"/>
      <w:szCs w:val="18"/>
    </w:rPr>
  </w:style>
  <w:style w:type="character" w:styleId="1061" w:customStyle="1">
    <w:name w:val="NormalCharacter"/>
    <w:link w:val="808"/>
    <w:uiPriority w:val="0"/>
    <w:semiHidden/>
    <w:qFormat/>
    <w:rPr>
      <w:rFonts w:ascii="Times New Roman" w:hAnsi="Times New Roman" w:eastAsia="宋体" w:cs="Times New Roman"/>
      <w:sz w:val="21"/>
      <w:szCs w:val="24"/>
      <w:lang w:val="en-US" w:eastAsia="zh-CN" w:bidi="ar-SA"/>
    </w:rPr>
  </w:style>
  <w:style w:type="character" w:styleId="1062" w:customStyle="1">
    <w:name w:val="页眉 Char"/>
    <w:link w:val="774"/>
    <w:uiPriority w:val="0"/>
    <w:qFormat/>
    <w:rPr>
      <w:sz w:val="18"/>
      <w:szCs w:val="18"/>
    </w:rPr>
  </w:style>
  <w:style w:type="paragraph" w:styleId="1063" w:customStyle="1">
    <w:name w:val="普通(网站)1"/>
    <w:basedOn w:val="808"/>
    <w:uiPriority w:val="0"/>
    <w:qFormat/>
    <w:pPr>
      <w:jc w:val="left"/>
      <w:spacing w:before="100" w:beforeAutospacing="1" w:after="100" w:afterAutospacing="1"/>
      <w:widowControl/>
    </w:pPr>
    <w:rPr>
      <w:rFonts w:ascii="宋体" w:hAnsi="宋体"/>
      <w:sz w:val="24"/>
    </w:rPr>
  </w:style>
  <w:style w:type="paragraph" w:styleId="1064" w:customStyle="1">
    <w:name w:val="索引 41"/>
    <w:basedOn w:val="774"/>
    <w:next w:val="774"/>
    <w:uiPriority w:val="0"/>
    <w:qFormat/>
    <w:pPr>
      <w:ind w:left="600"/>
    </w:pPr>
    <w:rPr>
      <w:rFonts w:ascii="Calibri" w:hAnsi="Calibri"/>
      <w:sz w:val="22"/>
      <w:szCs w:val="22"/>
    </w:rPr>
  </w:style>
  <w:style w:type="paragraph" w:styleId="1065" w:customStyle="1">
    <w:name w:val="_Style 48"/>
    <w:basedOn w:val="774"/>
    <w:next w:val="1066"/>
    <w:uiPriority w:val="0"/>
    <w:qFormat/>
    <w:pPr>
      <w:ind w:firstLine="420"/>
    </w:pPr>
    <w:rPr>
      <w:rFonts w:eastAsia="微软雅黑"/>
      <w:sz w:val="24"/>
    </w:rPr>
  </w:style>
  <w:style w:type="paragraph" w:styleId="1066" w:customStyle="1">
    <w:name w:val="列出段落111"/>
    <w:basedOn w:val="774"/>
    <w:uiPriority w:val="0"/>
    <w:qFormat/>
    <w:pPr>
      <w:ind w:firstLine="420"/>
    </w:pPr>
  </w:style>
  <w:style w:type="paragraph" w:styleId="1067"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68" w:customStyle="1">
    <w:name w:val="_Style 100"/>
    <w:basedOn w:val="774"/>
    <w:next w:val="774"/>
    <w:uiPriority w:val="0"/>
    <w:qFormat/>
    <w:pPr>
      <w:ind w:left="420"/>
    </w:pPr>
    <w:rPr>
      <w:rFonts w:ascii="Calibri" w:hAnsi="Calibri"/>
      <w:sz w:val="22"/>
      <w:szCs w:val="22"/>
    </w:rPr>
  </w:style>
  <w:style w:type="paragraph" w:styleId="1069" w:customStyle="1">
    <w:name w:val="p0"/>
    <w:basedOn w:val="774"/>
    <w:uiPriority w:val="0"/>
    <w:qFormat/>
    <w:pPr>
      <w:widowControl/>
    </w:pPr>
    <w:rPr>
      <w:szCs w:val="21"/>
    </w:rPr>
  </w:style>
  <w:style w:type="paragraph" w:styleId="1070" w:customStyle="1">
    <w:name w:val="TOC 标题2"/>
    <w:basedOn w:val="1000"/>
    <w:next w:val="774"/>
    <w:uiPriority w:val="0"/>
    <w:qFormat/>
    <w:pPr>
      <w:jc w:val="left"/>
      <w:spacing w:before="480" w:line="276" w:lineRule="auto"/>
      <w:widowControl/>
      <w:outlineLvl w:val="9"/>
    </w:pPr>
    <w:rPr>
      <w:rFonts w:ascii="Cambria" w:hAnsi="Cambria" w:eastAsia="宋体"/>
      <w:color w:val="365f91"/>
      <w:sz w:val="28"/>
      <w:szCs w:val="28"/>
    </w:rPr>
  </w:style>
  <w:style w:type="paragraph" w:styleId="1071" w:customStyle="1">
    <w:name w:val="修订1"/>
    <w:uiPriority w:val="0"/>
    <w:qFormat/>
    <w:rPr>
      <w:rFonts w:ascii="Times New Roman" w:hAnsi="Times New Roman" w:eastAsia="宋体" w:cs="Times New Roman"/>
      <w:sz w:val="21"/>
      <w:szCs w:val="24"/>
      <w:lang w:val="en-US" w:eastAsia="zh-CN" w:bidi="ar-SA"/>
    </w:rPr>
  </w:style>
  <w:style w:type="paragraph" w:styleId="1072" w:customStyle="1">
    <w:name w:val="UserStyle_1"/>
    <w:basedOn w:val="774"/>
    <w:uiPriority w:val="0"/>
    <w:qFormat/>
    <w:pPr>
      <w:ind w:left="-6" w:hanging="99"/>
      <w:jc w:val="left"/>
    </w:pPr>
    <w:rPr>
      <w:rFonts w:ascii="宋体"/>
      <w:b/>
    </w:rPr>
  </w:style>
  <w:style w:type="paragraph" w:styleId="1073" w:customStyle="1">
    <w:name w:val="首行缩进"/>
    <w:basedOn w:val="774"/>
    <w:uiPriority w:val="0"/>
    <w:qFormat/>
    <w:pPr>
      <w:ind w:firstLine="480"/>
    </w:pPr>
    <w:rPr>
      <w:sz w:val="20"/>
      <w:szCs w:val="20"/>
      <w:lang w:val="zh-CN"/>
    </w:rPr>
  </w:style>
  <w:style w:type="paragraph" w:styleId="1074" w:customStyle="1">
    <w:name w:val="Other|1"/>
    <w:basedOn w:val="774"/>
    <w:uiPriority w:val="0"/>
    <w:qFormat/>
    <w:pPr>
      <w:ind w:firstLine="400"/>
      <w:spacing w:line="418" w:lineRule="auto"/>
    </w:pPr>
    <w:rPr>
      <w:rFonts w:ascii="宋体" w:hAnsi="宋体"/>
      <w:sz w:val="30"/>
      <w:szCs w:val="30"/>
      <w:lang w:val="zh-TW" w:eastAsia="zh-TW" w:bidi="zh-TW"/>
    </w:rPr>
  </w:style>
  <w:style w:type="paragraph" w:styleId="1075" w:customStyle="1">
    <w:name w:val="投标文件正文"/>
    <w:basedOn w:val="774"/>
    <w:uiPriority w:val="0"/>
    <w:qFormat/>
    <w:pPr>
      <w:ind w:firstLine="200"/>
      <w:spacing w:before="40" w:after="40" w:line="400" w:lineRule="exact"/>
    </w:pPr>
    <w:rPr>
      <w:sz w:val="24"/>
    </w:rPr>
  </w:style>
  <w:style w:type="paragraph" w:styleId="1076" w:customStyle="1">
    <w:name w:val="179"/>
    <w:basedOn w:val="774"/>
    <w:uiPriority w:val="0"/>
    <w:qFormat/>
    <w:pPr>
      <w:ind w:firstLine="420"/>
      <w:jc w:val="left"/>
      <w:widowControl/>
    </w:pPr>
    <w:rPr>
      <w:rFonts w:ascii="宋体" w:hAnsi="宋体"/>
      <w:sz w:val="24"/>
    </w:rPr>
  </w:style>
  <w:style w:type="paragraph" w:styleId="1077" w:customStyle="1">
    <w:name w:val="样式"/>
    <w:uiPriority w:val="0"/>
    <w:qFormat/>
    <w:pPr>
      <w:widowControl w:val="off"/>
    </w:pPr>
    <w:rPr>
      <w:rFonts w:ascii="宋体" w:hAnsi="宋体" w:eastAsia="宋体" w:cs="Times New Roman"/>
      <w:sz w:val="24"/>
      <w:szCs w:val="24"/>
      <w:lang w:val="en-US" w:eastAsia="zh-CN" w:bidi="ar-SA"/>
    </w:rPr>
  </w:style>
  <w:style w:type="paragraph" w:styleId="1078" w:customStyle="1">
    <w:name w:val="列出段落11"/>
    <w:basedOn w:val="774"/>
    <w:uiPriority w:val="0"/>
    <w:qFormat/>
    <w:pPr>
      <w:ind w:firstLine="420"/>
    </w:pPr>
    <w:rPr>
      <w:rFonts w:ascii="Calibri" w:hAnsi="Calibri"/>
    </w:rPr>
  </w:style>
  <w:style w:type="paragraph" w:styleId="1079" w:customStyle="1">
    <w:name w:val="_Style 15"/>
    <w:basedOn w:val="774"/>
    <w:next w:val="1066"/>
    <w:uiPriority w:val="0"/>
    <w:qFormat/>
    <w:pPr>
      <w:ind w:firstLine="420"/>
    </w:pPr>
    <w:rPr>
      <w:rFonts w:ascii="Calibri" w:hAnsi="Calibri"/>
      <w:sz w:val="22"/>
      <w:szCs w:val="22"/>
    </w:rPr>
  </w:style>
  <w:style w:type="paragraph" w:styleId="1080" w:customStyle="1">
    <w:name w:val="one-p"/>
    <w:basedOn w:val="774"/>
    <w:uiPriority w:val="0"/>
    <w:qFormat/>
    <w:pPr>
      <w:jc w:val="left"/>
      <w:spacing w:before="100" w:beforeAutospacing="1" w:after="100" w:afterAutospacing="1"/>
      <w:widowControl/>
    </w:pPr>
    <w:rPr>
      <w:rFonts w:ascii="宋体" w:hAnsi="宋体"/>
      <w:sz w:val="24"/>
    </w:rPr>
  </w:style>
  <w:style w:type="paragraph" w:styleId="1081" w:customStyle="1">
    <w:name w:val="BodyTextIndent"/>
    <w:basedOn w:val="774"/>
    <w:next w:val="1082"/>
    <w:uiPriority w:val="0"/>
    <w:qFormat/>
    <w:pPr>
      <w:ind w:left="420"/>
      <w:spacing w:after="120"/>
    </w:pPr>
    <w:rPr>
      <w:sz w:val="28"/>
      <w:szCs w:val="20"/>
    </w:rPr>
  </w:style>
  <w:style w:type="paragraph" w:styleId="1082" w:customStyle="1">
    <w:name w:val="EnvelopeReturn"/>
    <w:basedOn w:val="752"/>
    <w:uiPriority w:val="0"/>
    <w:qFormat/>
    <w:rPr>
      <w:rFonts w:ascii="Arial" w:hAnsi="Arial"/>
    </w:rPr>
  </w:style>
  <w:style w:type="paragraph" w:styleId="1083"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table" w:styleId="1084" w:customStyle="1">
    <w:name w:val="网格型11"/>
    <w:basedOn w:val="1005"/>
    <w:uiPriority w:val="0"/>
    <w:qFormat/>
    <w:pPr>
      <w:jc w:val="both"/>
      <w:widowControl w:val="off"/>
    </w:pPr>
    <w:tblPr/>
  </w:style>
  <w:style w:type="table" w:styleId="1085" w:customStyle="1">
    <w:name w:val="网格型1"/>
    <w:basedOn w:val="1005"/>
    <w:uiPriority w:val="0"/>
    <w:qFormat/>
    <w:pPr>
      <w:jc w:val="both"/>
      <w:widowControl w:val="off"/>
    </w:pPr>
    <w:tblPr/>
  </w:style>
  <w:style w:type="paragraph" w:styleId="1086" w:customStyle="1">
    <w:name w:val="_HT_正文"/>
    <w:basedOn w:val="752"/>
    <w:uiPriority w:val="0"/>
    <w:qFormat/>
    <w:pPr>
      <w:ind w:firstLine="200"/>
      <w:jc w:val="both"/>
      <w:spacing w:line="360" w:lineRule="auto"/>
    </w:pPr>
    <w:rPr>
      <w:sz w:val="24"/>
    </w:rPr>
  </w:style>
  <w:style w:type="character" w:styleId="1087" w:customStyle="1">
    <w:name w:val="正文文本缩进 Char"/>
    <w:basedOn w:val="762"/>
    <w:link w:val="780"/>
    <w:uiPriority w:val="99"/>
    <w:semiHidden/>
    <w:qFormat/>
  </w:style>
  <w:style w:type="character" w:styleId="1088" w:customStyle="1">
    <w:name w:val="正文首行缩进 2 Char"/>
    <w:basedOn w:val="1087"/>
    <w:link w:val="802"/>
    <w:uiPriority w:val="99"/>
    <w:semiHidden/>
    <w:qFormat/>
  </w:style>
  <w:style w:type="paragraph" w:styleId="1089" w:customStyle="1">
    <w:name w:val="Char"/>
    <w:basedOn w:val="769"/>
    <w:uiPriority w:val="0"/>
    <w:qFormat/>
    <w:rPr>
      <w:rFonts w:ascii="楷体_GB2312" w:hAnsi="楷体_GB2312" w:cs="CG Times"/>
      <w:sz w:val="28"/>
      <w:szCs w:val="28"/>
    </w:rPr>
  </w:style>
  <w:style w:type="paragraph" w:styleId="1090" w:customStyle="1">
    <w:name w:val="正文_0"/>
    <w:uiPriority w:val="0"/>
    <w:qFormat/>
    <w:rPr>
      <w:rFonts w:ascii="Times New Roman" w:hAnsi="Times New Roman" w:eastAsia="宋体" w:cs="Times New Roman"/>
      <w:sz w:val="21"/>
      <w:szCs w:val="22"/>
      <w:lang w:val="en-US" w:eastAsia="zh-CN" w:bidi="ar-SA"/>
    </w:rPr>
  </w:style>
  <w:style w:type="paragraph" w:styleId="1091" w:customStyle="1">
    <w:name w:val="Table Paragraph"/>
    <w:basedOn w:val="808"/>
    <w:uiPriority w:val="0"/>
    <w:qFormat/>
    <w:pPr>
      <w:jc w:val="left"/>
    </w:pPr>
    <w:rPr>
      <w:rFonts w:ascii="宋体" w:hAnsi="宋体"/>
      <w:sz w:val="22"/>
      <w:lang w:val="zh-CN" w:bidi="zh-CN"/>
    </w:rPr>
  </w:style>
  <w:style w:type="paragraph" w:styleId="1092" w:customStyle="1">
    <w:name w:val="_Style 71"/>
    <w:basedOn w:val="752"/>
    <w:next w:val="881"/>
    <w:uiPriority w:val="34"/>
    <w:qFormat/>
    <w:pPr>
      <w:ind w:firstLine="420"/>
    </w:pPr>
    <w:rPr>
      <w:szCs w:val="24"/>
    </w:rPr>
  </w:style>
  <w:style w:type="paragraph" w:styleId="1093" w:customStyle="1">
    <w:name w:val="列出段落2"/>
    <w:basedOn w:val="808"/>
    <w:uiPriority w:val="0"/>
    <w:qFormat/>
    <w:pPr>
      <w:ind w:firstLine="420"/>
    </w:pPr>
  </w:style>
  <w:style w:type="character" w:styleId="1094" w:customStyle="1">
    <w:name w:val="font21"/>
    <w:basedOn w:val="762"/>
    <w:uiPriority w:val="0"/>
    <w:qFormat/>
    <w:rPr>
      <w:rFonts w:hint="eastAsia" w:ascii="宋体" w:hAnsi="宋体" w:eastAsia="宋体" w:cs="宋体"/>
      <w:color w:val="000000"/>
      <w:sz w:val="24"/>
      <w:szCs w:val="24"/>
      <w:u w:val="none"/>
    </w:rPr>
  </w:style>
  <w:style w:type="paragraph" w:styleId="1095" w:customStyle="1">
    <w:name w:val="UserStyle_21"/>
    <w:uiPriority w:val="0"/>
    <w:qFormat/>
    <w:pPr>
      <w:jc w:val="both"/>
    </w:pPr>
    <w:rPr>
      <w:rFonts w:ascii="Times New Roman" w:hAnsi="Times New Roman" w:eastAsia="宋体" w:cstheme="minorBidi"/>
      <w:sz w:val="21"/>
      <w:szCs w:val="22"/>
      <w:lang w:val="en-US" w:eastAsia="zh-CN" w:bidi="ar-SA"/>
    </w:rPr>
  </w:style>
  <w:style w:type="character" w:styleId="1096" w:customStyle="1">
    <w:name w:val="wyg1"/>
    <w:uiPriority w:val="6"/>
    <w:qFormat/>
    <w:rPr>
      <w:rFonts w:hint="default" w:ascii="Times New Roman" w:hAnsi="Times New Roman" w:eastAsia="宋体" w:cstheme="minorBidi"/>
      <w:sz w:val="21"/>
      <w:szCs w:val="24"/>
      <w:lang w:val="en-US" w:eastAsia="zh-CN" w:bidi="ar-SA"/>
    </w:rPr>
  </w:style>
  <w:style w:type="paragraph" w:styleId="1097" w:customStyle="1">
    <w:name w:val="正文缩进11"/>
    <w:basedOn w:val="752"/>
    <w:uiPriority w:val="0"/>
    <w:unhideWhenUsed/>
    <w:qFormat/>
    <w:pPr>
      <w:ind w:firstLine="420"/>
    </w:pPr>
  </w:style>
  <w:style w:type="paragraph" w:styleId="1098" w:customStyle="1">
    <w:name w:val="列表段落1"/>
    <w:basedOn w:val="752"/>
    <w:uiPriority w:val="34"/>
    <w:qFormat/>
    <w:pPr>
      <w:contextualSpacing/>
      <w:ind w:left="720"/>
    </w:pPr>
  </w:style>
  <w:style w:type="paragraph" w:styleId="1099" w:customStyle="1">
    <w:name w:val="Body text|21"/>
    <w:basedOn w:val="752"/>
    <w:uiPriority w:val="0"/>
    <w:qFormat/>
    <w:pPr>
      <w:spacing w:before="500" w:after="260" w:line="200" w:lineRule="exact"/>
      <w:shd w:val="clear" w:color="auto" w:fill="ffffff"/>
    </w:pPr>
    <w:rPr>
      <w:rFonts w:ascii="PMingLiU" w:hAnsi="PMingLiU" w:eastAsia="PMingLiU" w:cs="PMingLiU"/>
      <w:spacing w:val="10"/>
    </w:rPr>
  </w:style>
  <w:style w:type="character" w:styleId="1100" w:customStyle="1">
    <w:name w:val="font71"/>
    <w:basedOn w:val="762"/>
    <w:uiPriority w:val="0"/>
    <w:qFormat/>
    <w:rPr>
      <w:rFonts w:hint="eastAsia" w:ascii="宋体" w:hAnsi="宋体" w:eastAsia="宋体" w:cs="宋体"/>
      <w:b/>
      <w:bCs/>
      <w:color w:val="ff0000"/>
      <w:sz w:val="21"/>
      <w:szCs w:val="21"/>
      <w:u w:val="none"/>
    </w:rPr>
  </w:style>
  <w:style w:type="character" w:styleId="1101" w:customStyle="1">
    <w:name w:val="font31"/>
    <w:basedOn w:val="762"/>
    <w:uiPriority w:val="0"/>
    <w:qFormat/>
    <w:rPr>
      <w:rFonts w:hint="default" w:ascii="Times New Roman" w:hAnsi="Times New Roman" w:cs="Times New Roman"/>
      <w:color w:val="000000"/>
      <w:sz w:val="21"/>
      <w:szCs w:val="21"/>
      <w:u w:val="none"/>
    </w:rPr>
  </w:style>
  <w:style w:type="paragraph" w:styleId="1102" w:customStyle="1">
    <w:name w:val="文本块111"/>
    <w:basedOn w:val="752"/>
    <w:uiPriority w:val="99"/>
    <w:qFormat/>
    <w:pPr>
      <w:ind w:left="420" w:right="33"/>
    </w:pPr>
    <w:rPr>
      <w:sz w:val="24"/>
    </w:rPr>
  </w:style>
  <w:style w:type="table" w:styleId="1103" w:customStyle="1">
    <w:name w:val="Table Normal"/>
    <w:uiPriority w:val="0"/>
    <w:unhideWhenUsed/>
    <w:qFormat/>
    <w:tblPr>
      <w:tblCellMar>
        <w:left w:w="0" w:type="dxa"/>
        <w:top w:w="0" w:type="dxa"/>
        <w:right w:w="0" w:type="dxa"/>
        <w:bottom w:w="0" w:type="dxa"/>
      </w:tblCellMar>
    </w:tblPr>
  </w:style>
  <w:style w:type="paragraph" w:styleId="1104" w:customStyle="1">
    <w:name w:val="Table Text"/>
    <w:basedOn w:val="752"/>
    <w:uiPriority w:val="0"/>
    <w:semiHidden/>
    <w:qFormat/>
    <w:rPr>
      <w:color w:val="000000"/>
      <w:szCs w:val="21"/>
      <w:lang w:eastAsia="en-US"/>
    </w:rPr>
  </w:style>
  <w:style w:type="paragraph" w:styleId="1105" w:customStyle="1">
    <w:name w:val="目录 112"/>
    <w:basedOn w:val="752"/>
    <w:next w:val="752"/>
    <w:uiPriority w:val="39"/>
    <w:unhideWhenUsed/>
    <w:qFormat/>
    <w:pPr>
      <w:spacing w:after="57"/>
    </w:p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国2</cp:lastModifiedBy>
  <cp:revision>34</cp:revision>
  <dcterms:created xsi:type="dcterms:W3CDTF">2022-06-10T15:13:00Z</dcterms:created>
  <dcterms:modified xsi:type="dcterms:W3CDTF">2026-09-29T03:02:09Z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4263778BD14F4B0D9B02B06B0A8AC037_13</vt:lpwstr>
  </property>
  <property fmtid="{D5CDD505-2E9C-101B-9397-08002B2CF9AE}" pid="4" name="KSOTemplateDocerSaveRecord">
    <vt:lpwstr>eyJoZGlkIjoiM2M5YmJiMmJlOTVjMDBmMzcyOTk5ZGI2MjU0MGE1YzciLCJ1c2VySWQiOiI1Mjc2NzU2OTcifQ==</vt:lpwstr>
  </property>
</Properties>
</file>