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color w:val="auto"/>
          <w:spacing w:val="76"/>
          <w:sz w:val="84"/>
          <w:szCs w:val="84"/>
          <w:highlight w:val="none"/>
        </w:rPr>
      </w:pPr>
      <w:r>
        <w:rPr>
          <w:rFonts w:hint="eastAsia" w:ascii="仿宋" w:hAnsi="仿宋" w:eastAsia="仿宋" w:cs="仿宋"/>
          <w:color w:val="auto"/>
          <w:sz w:val="28"/>
          <w:szCs w:val="28"/>
          <w:highlight w:val="none"/>
          <w:lang w:val="en-US" w:eastAsia="zh-CN" w:bidi="ar"/>
        </w:rPr>
        <w:t xml:space="preserve">  </w:t>
      </w:r>
      <w:r/>
    </w:p>
    <w:p>
      <w:pPr>
        <w:jc w:val="center"/>
        <w:spacing w:line="360" w:lineRule="auto"/>
        <w:rPr>
          <w:rFonts w:hint="eastAsia" w:ascii="仿宋" w:hAnsi="仿宋" w:eastAsia="仿宋" w:cs="仿宋"/>
          <w:b/>
          <w:color w:val="auto"/>
          <w:spacing w:val="76"/>
          <w:sz w:val="84"/>
          <w:szCs w:val="84"/>
          <w:highlight w:val="none"/>
        </w:rPr>
      </w:pPr>
      <w:r>
        <w:rPr>
          <w:rFonts w:hint="eastAsia" w:ascii="仿宋" w:hAnsi="仿宋" w:eastAsia="仿宋" w:cs="仿宋"/>
          <w:b/>
          <w:color w:val="auto"/>
          <w:spacing w:val="76"/>
          <w:sz w:val="84"/>
          <w:szCs w:val="84"/>
          <w:highlight w:val="none"/>
        </w:rPr>
        <w:t xml:space="preserve">招标文件</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1280"/>
        <w:keepLines w:val="0"/>
        <w:keepNext w:val="0"/>
        <w:pageBreakBefore w:val="0"/>
        <w:spacing w:line="480" w:lineRule="auto"/>
        <w:widowControl w:val="off"/>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项目编号：</w:t>
      </w:r>
      <w:r>
        <w:rPr>
          <w:rFonts w:hint="eastAsia" w:ascii="仿宋" w:hAnsi="仿宋" w:eastAsia="仿宋" w:cs="仿宋"/>
          <w:color w:val="auto"/>
          <w:sz w:val="32"/>
          <w:highlight w:val="none"/>
          <w:lang w:eastAsia="zh-CN"/>
        </w:rPr>
        <w:t xml:space="preserve">JSZC-320300-JSKJ-G2026-0032</w:t>
      </w:r>
      <w:r/>
    </w:p>
    <w:p>
      <w:pPr>
        <w:ind w:firstLine="0"/>
        <w:keepLines w:val="0"/>
        <w:keepNext w:val="0"/>
        <w:pageBreakBefore w:val="0"/>
        <w:spacing w:line="480" w:lineRule="auto"/>
        <w:widowControl w:val="off"/>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        项目名称：DNA试剂耗材采购项目</w:t>
      </w:r>
      <w:r/>
    </w:p>
    <w:p>
      <w:pPr>
        <w:ind w:firstLine="1280"/>
        <w:keepLines w:val="0"/>
        <w:keepNext w:val="0"/>
        <w:pageBreakBefore w:val="0"/>
        <w:spacing w:line="480" w:lineRule="auto"/>
        <w:widowControl w:val="off"/>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采 购 人：</w:t>
      </w:r>
      <w:r>
        <w:rPr>
          <w:rFonts w:hint="eastAsia" w:ascii="仿宋" w:hAnsi="仿宋" w:eastAsia="仿宋" w:cs="仿宋"/>
          <w:color w:val="auto"/>
          <w:sz w:val="32"/>
          <w:highlight w:val="none"/>
          <w:lang w:eastAsia="zh-CN"/>
        </w:rPr>
        <w:t xml:space="preserve">徐州市公安局刑事侦查支队</w:t>
      </w:r>
      <w:r/>
    </w:p>
    <w:p>
      <w:pPr>
        <w:spacing w:line="360" w:lineRule="auto"/>
        <w:rPr>
          <w:rFonts w:hint="eastAsia" w:ascii="仿宋" w:hAnsi="仿宋" w:eastAsia="仿宋" w:cs="仿宋"/>
          <w:color w:val="auto"/>
          <w:sz w:val="44"/>
          <w:highlight w:val="none"/>
        </w:rPr>
      </w:pPr>
      <w:r>
        <w:rPr>
          <w:rFonts w:hint="eastAsia" w:ascii="仿宋" w:hAnsi="仿宋" w:eastAsia="仿宋" w:cs="仿宋"/>
          <w:color w:val="auto"/>
          <w:sz w:val="44"/>
          <w:highlight w:val="none"/>
        </w:rPr>
      </w:r>
      <w:r/>
    </w:p>
    <w:p>
      <w:pPr>
        <w:jc w:val="center"/>
        <w:spacing w:line="360" w:lineRule="auto"/>
        <w:rPr>
          <w:rFonts w:hint="eastAsia" w:ascii="仿宋" w:hAnsi="仿宋" w:eastAsia="仿宋" w:cs="仿宋"/>
          <w:color w:val="auto"/>
          <w:sz w:val="30"/>
          <w:highlight w:val="none"/>
        </w:rPr>
      </w:pPr>
      <w:r>
        <w:rPr>
          <w:rFonts w:hint="eastAsia" w:ascii="仿宋" w:hAnsi="仿宋" w:eastAsia="仿宋" w:cs="仿宋"/>
          <w:color w:val="auto"/>
          <w:sz w:val="44"/>
          <w:highlight w:val="none"/>
        </w:rPr>
        <mc:AlternateContent>
          <mc:Choice Requires="wpg">
            <w:drawing>
              <wp:inline xmlns:wp="http://schemas.openxmlformats.org/drawingml/2006/wordprocessingDrawing" distT="0" distB="0" distL="0" distR="0">
                <wp:extent cx="4762500" cy="685800"/>
                <wp:effectExtent l="0" t="0" r="0" b="0"/>
                <wp:docPr id="11" name="图片 13"/>
                <wp:cNvGraphicFramePr/>
                <a:graphic xmlns:a="http://schemas.openxmlformats.org/drawingml/2006/main">
                  <a:graphicData uri="http://schemas.openxmlformats.org/drawingml/2006/picture">
                    <pic:pic xmlns:pic="http://schemas.openxmlformats.org/drawingml/2006/picture">
                      <pic:nvPicPr>
                        <pic:cNvPr id="12" name="图片 13"/>
                        <pic:cNvPicPr/>
                        <pic:nvPr/>
                      </pic:nvPicPr>
                      <pic:blipFill>
                        <a:blip r:embed="rId23"/>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75.0pt;height:54.0pt;mso-wrap-distance-left:0.0pt;mso-wrap-distance-top:0.0pt;mso-wrap-distance-right:0.0pt;mso-wrap-distance-bottom:0.0pt;" stroked="f">
                <v:path textboxrect="0,0,0,0"/>
                <v:imagedata r:id="rId23" o:title=""/>
              </v:shape>
            </w:pict>
          </mc:Fallback>
        </mc:AlternateContent>
      </w:r>
      <w:r/>
    </w:p>
    <w:p>
      <w:pPr>
        <w:jc w:val="center"/>
        <w:spacing w:line="360" w:lineRule="auto"/>
        <w:rPr>
          <w:rFonts w:hint="eastAsia" w:ascii="仿宋" w:hAnsi="仿宋" w:eastAsia="仿宋" w:cs="仿宋"/>
          <w:bCs/>
          <w:color w:val="auto"/>
          <w:sz w:val="32"/>
          <w:szCs w:val="32"/>
          <w:highlight w:val="none"/>
        </w:rPr>
        <w:sectPr>
          <w:headerReference w:type="default" r:id="rId9"/>
          <w:footerReference w:type="default" r:id="rId16"/>
          <w:footnotePr/>
          <w:endnotePr/>
          <w:type w:val="nextPage"/>
          <w:pgSz w:w="11906" w:h="16838" w:orient="portrait"/>
          <w:pgMar w:top="1440" w:right="1423" w:bottom="1440" w:left="1423" w:header="851" w:footer="992" w:gutter="0"/>
          <w:pgNumType w:start="1"/>
          <w:cols w:num="1" w:sep="0" w:space="1701" w:equalWidth="1"/>
          <w:docGrid w:linePitch="360"/>
        </w:sectPr>
      </w:pPr>
      <w:r>
        <w:rPr>
          <w:rFonts w:hint="eastAsia" w:ascii="仿宋" w:hAnsi="仿宋" w:eastAsia="仿宋" w:cs="仿宋"/>
          <w:bCs/>
          <w:color w:val="auto"/>
          <w:sz w:val="32"/>
          <w:szCs w:val="32"/>
          <w:highlight w:val="none"/>
        </w:rPr>
        <w:t xml:space="preserve">二〇二六年</w:t>
      </w:r>
      <w:r>
        <w:rPr>
          <w:rFonts w:hint="eastAsia" w:ascii="仿宋" w:hAnsi="仿宋" w:eastAsia="仿宋" w:cs="仿宋"/>
          <w:bCs/>
          <w:color w:val="auto"/>
          <w:sz w:val="32"/>
          <w:szCs w:val="32"/>
          <w:highlight w:val="none"/>
          <w:lang w:val="en-US" w:eastAsia="zh-CN"/>
        </w:rPr>
        <w:t xml:space="preserve">八</w:t>
      </w:r>
      <w:r>
        <w:rPr>
          <w:rFonts w:hint="eastAsia" w:ascii="仿宋" w:hAnsi="仿宋" w:eastAsia="仿宋" w:cs="仿宋"/>
          <w:bCs/>
          <w:color w:val="auto"/>
          <w:sz w:val="32"/>
          <w:szCs w:val="32"/>
          <w:highlight w:val="none"/>
        </w:rPr>
        <w:t xml:space="preserve">月</w:t>
      </w:r>
      <w:r/>
    </w:p>
    <w:sdt>
      <w:sdtPr>
        <w15:appearance w15:val="boundingBox"/>
        <w15:color w:val="dbdbdb"/>
        <w:id w:val="147454303"/>
        <w:docPartObj>
          <w:docPartGallery w:val="Table of Contents"/>
          <w:docPartUnique w:val="true"/>
        </w:docPartObj>
        <w:rPr>
          <w:rFonts w:hint="eastAsia" w:ascii="仿宋" w:hAnsi="仿宋" w:eastAsia="仿宋" w:cs="仿宋"/>
          <w:color w:val="auto"/>
          <w:sz w:val="48"/>
          <w:szCs w:val="48"/>
          <w:highlight w:val="none"/>
        </w:rPr>
      </w:sdtPr>
      <w:sdtContent>
        <w:p>
          <w:pPr>
            <w:jc w:val="center"/>
            <w:rPr>
              <w:rFonts w:hint="eastAsia" w:ascii="仿宋" w:hAnsi="仿宋" w:eastAsia="仿宋" w:cs="仿宋"/>
              <w:color w:val="auto"/>
              <w:sz w:val="48"/>
              <w:szCs w:val="48"/>
              <w:highlight w:val="none"/>
            </w:rPr>
          </w:pPr>
          <w:r>
            <w:rPr>
              <w:rFonts w:hint="eastAsia" w:ascii="仿宋" w:hAnsi="仿宋" w:eastAsia="仿宋" w:cs="仿宋"/>
              <w:color w:val="auto"/>
              <w:sz w:val="32"/>
              <w:szCs w:val="32"/>
              <w:highlight w:val="none"/>
            </w:rPr>
            <w:t xml:space="preserve">目录</w:t>
          </w:r>
          <w:r/>
        </w:p>
        <w:p>
          <w:pPr>
            <w:pStyle w:val="1063"/>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46"/>
            <w:spacing w:line="480" w:lineRule="auto"/>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"1-2"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"_Toc23713"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4"/>
              <w:szCs w:val="24"/>
              <w:highlight w:val="none"/>
            </w:rPr>
            <w:t xml:space="preserve">招标文件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_Toc23713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046"/>
            <w:spacing w:line="480" w:lineRule="auto"/>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"_Toc14810"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4"/>
              <w:szCs w:val="24"/>
              <w:highlight w:val="none"/>
            </w:rPr>
            <w:t xml:space="preserve">第一章  投标邀请</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_Toc14810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046"/>
            <w:spacing w:line="480" w:lineRule="auto"/>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"_Toc9121"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4"/>
              <w:szCs w:val="24"/>
              <w:highlight w:val="none"/>
            </w:rPr>
            <w:t xml:space="preserve">第二章  投标人须知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_Toc9121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046"/>
            <w:spacing w:line="480" w:lineRule="auto"/>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"_Toc18089"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4"/>
              <w:szCs w:val="24"/>
              <w:highlight w:val="none"/>
            </w:rPr>
            <w:t xml:space="preserve">第三章  投标资料表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_Toc18089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046"/>
            <w:spacing w:line="480" w:lineRule="auto"/>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"_Toc20077"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第四章 评标标准</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_Toc20077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25</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046"/>
            <w:spacing w:line="480" w:lineRule="auto"/>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"_Toc28345"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4"/>
              <w:szCs w:val="24"/>
              <w:highlight w:val="none"/>
            </w:rPr>
            <w:t xml:space="preserve">第五章  采购需求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_Toc28345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046"/>
            <w:spacing w:line="480" w:lineRule="auto"/>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"_Toc2168"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4"/>
              <w:szCs w:val="24"/>
              <w:highlight w:val="none"/>
            </w:rPr>
            <w:t xml:space="preserve">第六章  拟签订的合同文本</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_Toc2168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38</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046"/>
            <w:spacing w:line="480" w:lineRule="auto"/>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"_Toc9986"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4"/>
              <w:szCs w:val="24"/>
              <w:highlight w:val="none"/>
            </w:rPr>
            <w:t xml:space="preserve">第七章  投标文件相关格式</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_Toc9986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57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052"/>
            <w:spacing w:line="360" w:lineRule="auto"/>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24"/>
            <w:spacing w:before="0" w:line="360" w:lineRule="auto"/>
            <w:rPr>
              <w:rFonts w:hint="eastAsia" w:ascii="仿宋" w:hAnsi="仿宋" w:eastAsia="仿宋" w:cs="仿宋"/>
              <w:color w:val="auto"/>
              <w:highlight w:val="none"/>
            </w:rPr>
          </w:pPr>
          <w:r>
            <w:rPr>
              <w:rFonts w:hint="eastAsia" w:ascii="仿宋" w:hAnsi="仿宋" w:eastAsia="仿宋" w:cs="仿宋"/>
              <w:color w:val="auto"/>
              <w:szCs w:val="24"/>
              <w:highlight w:val="none"/>
            </w:rPr>
            <w:fldChar w:fldCharType="end"/>
          </w:r>
          <w:r/>
        </w:p>
      </w:sdtContent>
    </w:sdt>
    <w:p>
      <w:pPr>
        <w:rPr>
          <w:rFonts w:hint="eastAsia" w:ascii="仿宋" w:hAnsi="仿宋" w:eastAsia="仿宋" w:cs="仿宋"/>
          <w:color w:val="auto"/>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auto"/>
          <w:highlight w:val="none"/>
        </w:rPr>
      </w:r>
      <w:r/>
    </w:p>
    <w:p>
      <w:pPr>
        <w:jc w:val="center"/>
        <w:spacing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徐州市公安局刑事侦查支队</w:t>
      </w:r>
      <w:r/>
    </w:p>
    <w:p>
      <w:pPr>
        <w:pStyle w:val="1206"/>
        <w:ind w:left="0" w:right="0" w:firstLine="0"/>
        <w:jc w:val="center"/>
        <w:spacing w:line="360" w:lineRule="auto"/>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《DNA试剂耗材采购项目》</w:t>
      </w:r>
      <w:r/>
    </w:p>
    <w:p>
      <w:pPr>
        <w:pStyle w:val="1206"/>
        <w:ind w:left="0" w:right="0" w:firstLine="0"/>
        <w:jc w:val="center"/>
        <w:spacing w:line="360" w:lineRule="auto"/>
        <w:rPr>
          <w:rFonts w:hint="eastAsia" w:ascii="仿宋" w:hAnsi="仿宋" w:eastAsia="仿宋" w:cs="仿宋"/>
          <w:b/>
          <w:bCs/>
          <w:color w:val="auto"/>
          <w:szCs w:val="28"/>
          <w:highlight w:val="none"/>
        </w:rPr>
        <w:outlineLvl w:val="0"/>
      </w:pPr>
      <w:r/>
      <w:bookmarkStart w:id="0" w:name="_Toc23713"/>
      <w:r/>
      <w:bookmarkStart w:id="1" w:name="_Toc12409"/>
      <w:r/>
      <w:bookmarkStart w:id="2" w:name="_Toc2115"/>
      <w:r>
        <w:rPr>
          <w:rFonts w:hint="eastAsia" w:ascii="仿宋" w:hAnsi="仿宋" w:eastAsia="仿宋" w:cs="仿宋"/>
          <w:b/>
          <w:bCs/>
          <w:color w:val="auto"/>
          <w:szCs w:val="28"/>
          <w:highlight w:val="none"/>
        </w:rPr>
        <w:t xml:space="preserve">招标文件</w:t>
      </w:r>
      <w:bookmarkEnd w:id="0"/>
      <w:r/>
      <w:bookmarkEnd w:id="1"/>
      <w:r/>
      <w:bookmarkEnd w:id="2"/>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60" w:lineRule="auto"/>
        <w:rPr>
          <w:rFonts w:hint="eastAsia" w:ascii="仿宋" w:hAnsi="仿宋" w:eastAsia="仿宋" w:cs="仿宋"/>
          <w:b/>
          <w:bCs/>
          <w:color w:val="auto"/>
          <w:sz w:val="32"/>
          <w:szCs w:val="32"/>
          <w:highlight w:val="none"/>
        </w:rPr>
        <w:outlineLvl w:val="0"/>
      </w:pPr>
      <w:r/>
      <w:bookmarkStart w:id="3" w:name="_Toc14896"/>
      <w:r/>
      <w:bookmarkStart w:id="4" w:name="_Toc14810"/>
      <w:r/>
      <w:bookmarkStart w:id="5" w:name="_Toc9338"/>
      <w:r>
        <w:rPr>
          <w:rFonts w:hint="eastAsia" w:ascii="仿宋" w:hAnsi="仿宋" w:eastAsia="仿宋" w:cs="仿宋"/>
          <w:b/>
          <w:bCs/>
          <w:color w:val="auto"/>
          <w:sz w:val="32"/>
          <w:szCs w:val="32"/>
          <w:highlight w:val="none"/>
        </w:rPr>
        <w:t xml:space="preserve">第一章  投标邀请</w:t>
      </w:r>
      <w:bookmarkEnd w:id="3"/>
      <w:r/>
      <w:bookmarkEnd w:id="4"/>
      <w:r/>
      <w:bookmarkEnd w:id="5"/>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江苏科建工程项目管理有限公司</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u w:val="single"/>
          <w:lang w:eastAsia="zh-CN"/>
        </w:rPr>
        <w:t xml:space="preserve">徐州市公安局刑事侦查支队</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DNA试剂耗材采购项目</w:t>
      </w:r>
      <w:r>
        <w:rPr>
          <w:rFonts w:hint="eastAsia" w:ascii="仿宋" w:hAnsi="仿宋" w:eastAsia="仿宋" w:cs="仿宋"/>
          <w:color w:val="auto"/>
          <w:sz w:val="24"/>
          <w:highlight w:val="none"/>
        </w:rPr>
        <w:t xml:space="preserve">进行公开招标采购，现欢迎符合相关条件的投标人投标。</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一、项目名称和项目编号</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1、项目名称：DNA试剂耗材采购项目</w:t>
      </w:r>
      <w:r/>
    </w:p>
    <w:p>
      <w:pPr>
        <w:ind w:firstLine="480"/>
        <w:jc w:val="lef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2、项目编号：</w:t>
      </w:r>
      <w:r>
        <w:rPr>
          <w:rFonts w:hint="eastAsia" w:ascii="仿宋" w:hAnsi="仿宋" w:eastAsia="仿宋" w:cs="仿宋"/>
          <w:color w:val="auto"/>
          <w:sz w:val="24"/>
          <w:highlight w:val="none"/>
          <w:lang w:eastAsia="zh-CN"/>
        </w:rPr>
        <w:t xml:space="preserve">JSZC-320300-JSKJ-G2026-0032</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二、投标人的资格要求：详见本项目公开招标公告。</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三、获取招标文件</w:t>
      </w:r>
      <w:r/>
    </w:p>
    <w:p>
      <w:pPr>
        <w:pStyle w:val="1069"/>
        <w:ind w:firstLine="480"/>
        <w:jc w:val="left"/>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（1）潜在供应商访问电子招标投标交易平台的网络地址和方法：</w:t>
      </w:r>
      <w:r/>
    </w:p>
    <w:p>
      <w:pPr>
        <w:pStyle w:val="1069"/>
        <w:ind w:firstLine="480"/>
        <w:jc w:val="left"/>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①登录http://jszfcg.jsczt.cn/。</w:t>
      </w:r>
      <w:r/>
    </w:p>
    <w:p>
      <w:pPr>
        <w:pStyle w:val="1069"/>
        <w:ind w:firstLine="480"/>
        <w:jc w:val="left"/>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②“CA数字证书”的获取：投标人需办理CA锁，“苏采云”系统目前仅支持“苏采云”系统下的政务CA，省内各地区办理的“苏采云”系统下的政务CA全省通用。具体办理指南和操作手册见链接：http://www.ccgp-jiangsu.gov.cn/jiangsu/zlxz/ee/ee3a4bc5a3454aa2b0d9312230633ce9.html。</w:t>
      </w:r>
      <w:r/>
    </w:p>
    <w:p>
      <w:pPr>
        <w:pStyle w:val="1069"/>
        <w:ind w:firstLine="480"/>
        <w:jc w:val="left"/>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（2）采购代理机构将数据电文形式的招标文件加载至“苏采云”系统，供潜在投标人下载或者查阅。</w:t>
      </w:r>
      <w:r/>
    </w:p>
    <w:p>
      <w:pPr>
        <w:pStyle w:val="1069"/>
        <w:ind w:firstLine="480"/>
        <w:jc w:val="left"/>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（3）售价：免费。</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四、投标有关信息：</w:t>
      </w:r>
      <w:r/>
    </w:p>
    <w:p>
      <w:pPr>
        <w:ind w:left="479" w:firstLine="206"/>
        <w:jc w:val="left"/>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1.投标截止时间：</w:t>
      </w:r>
      <w:r>
        <w:rPr>
          <w:rFonts w:hint="eastAsia" w:ascii="仿宋" w:hAnsi="仿宋" w:eastAsia="仿宋" w:cs="仿宋"/>
          <w:bCs/>
          <w:color w:val="auto"/>
          <w:sz w:val="24"/>
          <w:szCs w:val="28"/>
          <w:highlight w:val="none"/>
        </w:rPr>
        <w:t xml:space="preserve">2026年</w:t>
      </w:r>
      <w:r>
        <w:rPr>
          <w:rFonts w:hint="eastAsia" w:ascii="仿宋" w:hAnsi="仿宋" w:eastAsia="仿宋" w:cs="仿宋"/>
          <w:bCs/>
          <w:color w:val="auto"/>
          <w:sz w:val="24"/>
          <w:szCs w:val="28"/>
          <w:highlight w:val="none"/>
          <w:lang w:val="en-US" w:eastAsia="zh-CN"/>
        </w:rPr>
        <w:t xml:space="preserve">09</w:t>
      </w:r>
      <w:r>
        <w:rPr>
          <w:rFonts w:hint="eastAsia" w:ascii="仿宋" w:hAnsi="仿宋" w:eastAsia="仿宋" w:cs="仿宋"/>
          <w:bCs/>
          <w:color w:val="auto"/>
          <w:sz w:val="24"/>
          <w:szCs w:val="28"/>
          <w:highlight w:val="none"/>
        </w:rPr>
        <w:t xml:space="preserve">月10日</w:t>
      </w:r>
      <w:r>
        <w:rPr>
          <w:rFonts w:hint="eastAsia" w:ascii="仿宋" w:hAnsi="仿宋" w:eastAsia="仿宋" w:cs="仿宋"/>
          <w:bCs/>
          <w:color w:val="auto"/>
          <w:sz w:val="24"/>
          <w:szCs w:val="28"/>
          <w:highlight w:val="none"/>
        </w:rPr>
        <w:t xml:space="preserve">09点30分</w:t>
      </w:r>
      <w:r>
        <w:rPr>
          <w:rFonts w:hint="eastAsia" w:ascii="仿宋" w:hAnsi="仿宋" w:eastAsia="仿宋" w:cs="仿宋"/>
          <w:color w:val="auto"/>
          <w:sz w:val="24"/>
          <w:highlight w:val="none"/>
        </w:rPr>
        <w:t xml:space="preserve">（北京时间）</w:t>
      </w:r>
      <w:r/>
    </w:p>
    <w:p>
      <w:pPr>
        <w:ind w:left="479" w:firstLine="206"/>
        <w:jc w:val="left"/>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2.开标时间：</w:t>
      </w:r>
      <w:r>
        <w:rPr>
          <w:rFonts w:hint="eastAsia" w:ascii="仿宋" w:hAnsi="仿宋" w:eastAsia="仿宋" w:cs="仿宋"/>
          <w:bCs/>
          <w:color w:val="auto"/>
          <w:sz w:val="24"/>
          <w:szCs w:val="28"/>
          <w:highlight w:val="none"/>
        </w:rPr>
        <w:t xml:space="preserve">2026年</w:t>
      </w:r>
      <w:r>
        <w:rPr>
          <w:rFonts w:hint="eastAsia" w:ascii="仿宋" w:hAnsi="仿宋" w:eastAsia="仿宋" w:cs="仿宋"/>
          <w:bCs/>
          <w:color w:val="auto"/>
          <w:sz w:val="24"/>
          <w:szCs w:val="28"/>
          <w:highlight w:val="none"/>
          <w:lang w:val="en-US" w:eastAsia="zh-CN"/>
        </w:rPr>
        <w:t xml:space="preserve">09</w:t>
      </w:r>
      <w:r>
        <w:rPr>
          <w:rFonts w:hint="eastAsia" w:ascii="仿宋" w:hAnsi="仿宋" w:eastAsia="仿宋" w:cs="仿宋"/>
          <w:bCs/>
          <w:color w:val="auto"/>
          <w:sz w:val="24"/>
          <w:szCs w:val="28"/>
          <w:highlight w:val="none"/>
        </w:rPr>
        <w:t xml:space="preserve">月10日</w:t>
      </w:r>
      <w:r>
        <w:rPr>
          <w:rFonts w:hint="eastAsia" w:ascii="仿宋" w:hAnsi="仿宋" w:eastAsia="仿宋" w:cs="仿宋"/>
          <w:bCs/>
          <w:color w:val="auto"/>
          <w:sz w:val="24"/>
          <w:szCs w:val="28"/>
          <w:highlight w:val="none"/>
        </w:rPr>
        <w:t xml:space="preserve">09点30分</w:t>
      </w:r>
      <w:r>
        <w:rPr>
          <w:rFonts w:hint="eastAsia" w:ascii="仿宋" w:hAnsi="仿宋" w:eastAsia="仿宋" w:cs="仿宋"/>
          <w:color w:val="auto"/>
          <w:sz w:val="24"/>
          <w:highlight w:val="none"/>
        </w:rPr>
        <w:t xml:space="preserve">（北京时间）</w:t>
      </w:r>
      <w:r/>
    </w:p>
    <w:p>
      <w:pPr>
        <w:ind w:firstLine="72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3.线上开标地点：“苏采云”系统（网址：http://jszfcg.jsczt.cn/）“开标大厅”。</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五、公告发布媒介：在徐州政府采购网（https://czj.xz.gov.cn/zfcg/）上发布。</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六、采购人</w:t>
      </w:r>
      <w:r/>
    </w:p>
    <w:p>
      <w:pPr>
        <w:ind w:firstLine="480"/>
        <w:jc w:val="lef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1.采购人：</w:t>
      </w:r>
      <w:r>
        <w:rPr>
          <w:rFonts w:hint="eastAsia" w:ascii="仿宋" w:hAnsi="仿宋" w:eastAsia="仿宋" w:cs="仿宋"/>
          <w:color w:val="auto"/>
          <w:sz w:val="24"/>
          <w:highlight w:val="none"/>
          <w:lang w:eastAsia="zh-CN"/>
        </w:rPr>
        <w:t xml:space="preserve">徐州市公安局刑事侦查支队</w:t>
      </w:r>
      <w:r/>
    </w:p>
    <w:p>
      <w:pPr>
        <w:ind w:firstLine="480"/>
        <w:jc w:val="lef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2.地址：</w:t>
      </w:r>
      <w:r>
        <w:rPr>
          <w:rFonts w:hint="eastAsia" w:ascii="仿宋" w:hAnsi="仿宋" w:eastAsia="仿宋" w:cs="仿宋"/>
          <w:color w:val="auto"/>
          <w:sz w:val="24"/>
          <w:highlight w:val="none"/>
          <w:lang w:eastAsia="zh-CN"/>
        </w:rPr>
        <w:t xml:space="preserve">徐州市云龙区太行路9号</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3.项目联系人：</w:t>
      </w:r>
      <w:r>
        <w:rPr>
          <w:rFonts w:hint="eastAsia" w:ascii="仿宋" w:hAnsi="仿宋" w:eastAsia="仿宋" w:cs="仿宋"/>
          <w:color w:val="auto"/>
          <w:sz w:val="24"/>
          <w:highlight w:val="none"/>
        </w:rPr>
        <w:t xml:space="preserve">肖东</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4.联系方式：19852100146</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七、采购代理机构</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1.名称：江苏科建工程项目管理有限公司</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2.地址：徐州市泉山区软件园路2号</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3.采购项目联系人：朱文颖</w:t>
      </w:r>
      <w:r/>
    </w:p>
    <w:p>
      <w:pPr>
        <w:ind w:firstLine="480"/>
        <w:jc w:val="lef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4.联系方式：0516-</w:t>
      </w:r>
      <w:r>
        <w:rPr>
          <w:rFonts w:hint="eastAsia" w:ascii="仿宋" w:hAnsi="仿宋" w:eastAsia="仿宋" w:cs="仿宋"/>
          <w:color w:val="auto"/>
          <w:sz w:val="24"/>
          <w:highlight w:val="none"/>
          <w:lang w:eastAsia="zh-CN"/>
        </w:rPr>
        <w:t xml:space="preserve">85610680</w:t>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jc w:val="center"/>
        <w:spacing w:line="360" w:lineRule="auto"/>
        <w:rPr>
          <w:rFonts w:hint="eastAsia" w:ascii="仿宋" w:hAnsi="仿宋" w:eastAsia="仿宋" w:cs="仿宋"/>
          <w:b/>
          <w:bCs/>
          <w:color w:val="auto"/>
          <w:sz w:val="32"/>
          <w:szCs w:val="32"/>
          <w:highlight w:val="none"/>
        </w:rPr>
        <w:outlineLvl w:val="0"/>
      </w:pPr>
      <w:r/>
      <w:bookmarkStart w:id="6" w:name="_Toc31167"/>
      <w:r/>
      <w:bookmarkStart w:id="7" w:name="_Toc16637"/>
      <w:r/>
      <w:bookmarkStart w:id="8" w:name="_Toc9121"/>
      <w:r>
        <w:rPr>
          <w:rFonts w:hint="eastAsia" w:ascii="仿宋" w:hAnsi="仿宋" w:eastAsia="仿宋" w:cs="仿宋"/>
          <w:b/>
          <w:bCs/>
          <w:color w:val="auto"/>
          <w:sz w:val="32"/>
          <w:szCs w:val="32"/>
          <w:highlight w:val="none"/>
        </w:rPr>
        <w:t xml:space="preserve">第二章  投标人须知</w:t>
      </w:r>
      <w:bookmarkEnd w:id="6"/>
      <w:r/>
      <w:bookmarkEnd w:id="7"/>
      <w:r/>
      <w:bookmarkEnd w:id="8"/>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目录</w:t>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19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一、总则</w:t>
      </w:r>
      <w:r/>
    </w:p>
    <w:p>
      <w:pPr>
        <w:ind w:firstLine="19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二、招标</w:t>
      </w:r>
      <w:r/>
    </w:p>
    <w:p>
      <w:pPr>
        <w:ind w:firstLine="19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三、投标</w:t>
      </w:r>
      <w:r/>
    </w:p>
    <w:p>
      <w:pPr>
        <w:ind w:firstLine="19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四、开标</w:t>
      </w:r>
      <w:r/>
    </w:p>
    <w:p>
      <w:pPr>
        <w:ind w:firstLine="19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五、评标</w:t>
      </w:r>
      <w:r/>
    </w:p>
    <w:p>
      <w:pPr>
        <w:ind w:firstLine="19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六、定标</w:t>
      </w:r>
      <w:r/>
    </w:p>
    <w:p>
      <w:pPr>
        <w:ind w:firstLine="19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七、政府采购合同</w:t>
      </w:r>
      <w:r/>
    </w:p>
    <w:p>
      <w:pPr>
        <w:ind w:firstLine="19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八、询问和质疑</w:t>
      </w:r>
      <w:r/>
    </w:p>
    <w:p>
      <w:pPr>
        <w:ind w:firstLine="19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九、电子招标投标交易平台</w:t>
      </w:r>
      <w:r/>
    </w:p>
    <w:p>
      <w:pPr>
        <w:jc w:val="center"/>
        <w:spacing w:line="336"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b/>
          <w:bCs/>
          <w:color w:val="auto"/>
          <w:sz w:val="24"/>
          <w:highlight w:val="none"/>
        </w:rPr>
        <w:t xml:space="preserve">一、总则</w:t>
      </w:r>
      <w:r/>
    </w:p>
    <w:p>
      <w:pPr>
        <w:ind w:firstLine="42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（一）采购人。采购人是指依法进行政府采购的国家机关、事业单位、团体组织。</w:t>
      </w:r>
      <w:r/>
    </w:p>
    <w:p>
      <w:pPr>
        <w:ind w:firstLine="42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（二）政府采购方式。政府采购货物或者服务（以下简称“货物服务”）招标分为公开招标和邀请招标。</w:t>
      </w:r>
      <w:r/>
    </w:p>
    <w:p>
      <w:pPr>
        <w:ind w:firstLine="42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（六）投标人的资格条件</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1.参加采购货物服务投标活动的供应商（以下简称“投标人”），应当是提供本国货物服务的本国供应商，但法律、行政法规规定外国供应商可以参加货物服务招标投标活动的除外。</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投标人，是指响应招标、参加投标竞争的法人、其他组织或者自然人。</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2.投标人授权代表系指法定代表人或受法人委托的受托人。</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（七）投标费用：投标人应承担所有与准备和参加投标有关的费用。无论投标的结果如何，采购代理机构对上述费用不承担任何责任和义务。</w:t>
      </w:r>
      <w:r/>
    </w:p>
    <w:p>
      <w:pPr>
        <w:jc w:val="center"/>
        <w:spacing w:line="336"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二、招标</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（八）招标文件的内容</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1.招标文件包括以下内容：</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第一章 投标邀请</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第二章 投标人须知</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第三章 投标资料表</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第四章 评标标准</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第五章 拟签订的合同文本</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第六章 采购需求</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第七章 投标文件相关格式</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3.样品 本项目对样品的要求：见招标文件第三章《投标资料表》。</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（九）招标文件澄清或者修改</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2.现场考察以招标文件第三章《投标资料表》中的要求为准。</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3.开标前答疑会以招标文件第三章《投标资料表》中的要求为准。</w:t>
      </w:r>
      <w:r/>
    </w:p>
    <w:p>
      <w:pPr>
        <w:jc w:val="center"/>
        <w:spacing w:line="336"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三、投标</w:t>
      </w:r>
      <w:r/>
    </w:p>
    <w:p>
      <w:pPr>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（十）投标人应当按照招标文件的要求编制投标文件。投标文件应对招标文件提出的要求和条件作出实质性响应。</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（十二）投标文件的构成</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1.投标文件的构成以招标文件第三章《投标资料表》中的要求为准。</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2.投标人应当提交的资格、资信证明文件：以招标文件第三章《投标资料表》中的要求为准。</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（十三）投标函和价格表、商务条件、交货和提供服务的时间</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1.投标函和价格表：要求见本章（十二）、（十三），格式见招标文件第七章《投标文件相关格式》中《投标函》和《开标一览表》。</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2.商务条件：以招标文件第三章《投标资料表》中的要求为准。</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3.交货和提供服务的时间：以招标文件第三章《投标资料表》中的要求为准。</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（十四）投标报价要求</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1.投标人应按照招标文件的要求报出分项价格和总价。</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2.投标人应按照招标文件的要求进行报价，如投标人作出偏离，应在《偏离表》中列出。</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3.采购人不支付报价以外的任何费用。</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5.投标人只能提交一个投标价格，投标人提交多个价格的投标文件在资格性、符合性检查时按照无效投标处理。</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（十五）投标货币。以招标文件第三章《投标资料表》中的要求为准。</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（十六）投标有效期</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1.投标有效期为开标之日后90天。采购人可以要求对投标有效期延长一次，但该延长期最长不超过30天。</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3.如果采购人发出要求投标有效期延长的通知，并在投标有效期届满前，没有收到投标人同意其投标有效期延长的书面通知，则视为该投标人不接受上述延期的要求。</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（十七）本项目为电子投标，电子投标文件编制要求和签署要求：</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（1）电子招标投标交易平台（即“苏采云”系统）相关要求是本招标文件的组成部分。</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（2）投标人应由其法定代表人或法定代表人授权代表在规定的网上投标时间，凭 CA 证书登陆“苏采云”系统在线编制投标文件（电子数据），并在投标截止时间之前上传投标文件。</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（3）投标人应对CA证书妥善保管，如被他人盗用投标，因此带来的结果均由投标人自行承担。</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（4）投标人应当对招标文件提出的要求和条件作出实质性响应，并在电子投标系统逐条应答。</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（5）投标人应对要求提供的资格证明文件（如资质证书、资格证书）、技术资料（如白皮书、彩页、手册、检测报告等）扫描上传至投标系统。</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（6）投标文件的份数：详见招标文件第三章《投标资料表》。</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（7）投标文件的退还：详见招标文件第三章《投标资料表》。</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（8）投标文件中承诺的投标有效期应当不少于招标文件中载明的投标有效期。</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（十八）线上投标文件的密封、签署、盖章要求：以本文件第三章《投标资料表》中所提要求为准。</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（十九）投标文件递交要求：</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2、各投标人应在规定时间内通过CA证书进行网上解密，投标人未在规定时间内解密电子投标文件的，所导致的一切后果均由投标人承担。</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（二十）提交投标文件的截止时间（投标截止时间）</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凡在招标文件要求提交投标文件的截止时间之后送达的投标文件，均为无效投标文件，“苏采云”系统将自动拒收。 各投标人应在规定时间内通过 CA 证书进行网上解密。</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（二十一）提交投标文件的截止时间和收到投标文件后注意事项：</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投标人在投标截止时间前，可以对所递交的投标文件进行补充、修改或者撤回。</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（二十二）本项目不允许分包。</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在评标过程中发现投标人有上述情形的，评标委员会应当认定其投标无效，并书面报告本级财政部门。</w:t>
      </w:r>
      <w:r/>
    </w:p>
    <w:p>
      <w:pPr>
        <w:ind w:firstLine="482"/>
        <w:jc w:val="left"/>
        <w:spacing w:line="336"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（二十四）有下列情形之一的，其投标无效：</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1.不同投标人的投标文件，由同一单位或者个人编制；不同投标人的投标文件相互混装；</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2.不同投标人委托同一单位或者个人办理投标事宜的；</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3.不同投标人的投标文件中，所载明的项目管理成员或联系人为同一人；</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4.不同投标人的投标文件，异常一致或者投标报价呈规律性差异；</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5.不同投标人的单位负责人为同一人或者存在直接控股、管理关系的；</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7.投标文件未按招标文件规定的内容和要求填写的；</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8.投标文件未按招标文件要求签署、盖章的；</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9.不具备招标文件中规定的资格要求或未按招标文件规定的要求提供资格、资信证明文件的； </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10.项目（标段）投标总价超过本项目（标段）预算或最高限价的；</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11.投标文件含有采购人不能接受的附加条件的；</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12.投标人的法定代表人授权代表，无法定代表人授权委托书的； </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13.被列入“信用中国”网站（www.creditchina.gov.cn）失信被执行人、重大税收违法案件 当事人名单、政府采购严重违法失信行为记录名单的； </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14.投标文件中有招标文件未允许提供的选择性内容； </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15.提供虚假材料的（包括工商营业执照、财务报表、资格证明文件等）； </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17.除单一来源采购项目外，为采购项目提供整体设计、规范编制或者项目管理、监理、检测等服务的； </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18.投标文件内容不全或不符合招标文件中规定的其它实质性要求的； </w:t>
      </w:r>
      <w:r/>
    </w:p>
    <w:p>
      <w:pPr>
        <w:ind w:firstLine="480"/>
        <w:spacing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19.与招标文件提供的采购清单中的项目名称、项目特征（技术参数）、计量单位、数量不一致的； </w:t>
      </w:r>
      <w:r/>
    </w:p>
    <w:p>
      <w:pPr>
        <w:ind w:firstLine="480"/>
        <w:spacing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20.不同投标人的投标资料相互混装、不同投标人的委托代理人、项目负责人以及其他相关人员有在同一个单位缴纳社会保险 、同一投标文件中单位名称落款与公章不是同一单位的；</w:t>
      </w:r>
      <w:r/>
    </w:p>
    <w:p>
      <w:pPr>
        <w:ind w:firstLine="480"/>
        <w:spacing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21.电子投标文件未按规定期限和地址递交的； </w:t>
      </w:r>
      <w:r/>
    </w:p>
    <w:p>
      <w:pPr>
        <w:ind w:firstLine="480"/>
        <w:spacing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22.电子投标文件未按招标文件要求签章的； </w:t>
      </w:r>
      <w:r/>
    </w:p>
    <w:p>
      <w:pPr>
        <w:ind w:firstLine="480"/>
        <w:spacing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23.投标人未在规定时间内解密电子投标文件的； </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24.法律法规和招标文件规定的其它无效情形。 </w:t>
      </w:r>
      <w:r/>
    </w:p>
    <w:p>
      <w:pPr>
        <w:jc w:val="center"/>
        <w:spacing w:line="336"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四、开标</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（二十五）开标</w:t>
      </w: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1.请投标人准备CA锁在开标时间前登录参加，所有投标单位凭 CA 证书在到达开标时间时，解密各自投标文件。</w:t>
      </w: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2.开标由工作人员操作系统进行开标、并宣读各投标人的《开标一览表》。</w:t>
      </w: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3.开标时递交投标文件的投标人不足三家，不予开标。</w:t>
      </w: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5.投标人代表对开标过程和开标记录有疑义的，或者认为采购人、采购代理机构相关工作人员有需要回避情形的，应当场提出询问或者提出回避申请。</w:t>
      </w: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6.投标人未参加开标的，视同认可开标结果。</w:t>
      </w:r>
      <w:r/>
    </w:p>
    <w:p>
      <w:pPr>
        <w:jc w:val="center"/>
        <w:spacing w:line="336"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五、评标</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（二十六）公开招标采购项目开标结束后，采购人依法对投标人的资格进行审查。合格投标人不足3家的，不得评标。</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1.评标工作由采购代理机构负责组织，并履行下列职责：</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（2）宣布评标纪律；</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（3）公布投标人名单，告知评审专家应当回避的情形；</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（4）组织评标委员会推选评标组长，采购人代表不得担任组长；</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（5）在评标期间采取必要的通讯管理措施，保证评标活动不受外界干扰；</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（6）根据评标委员会的要求介绍政府采购相关政策法规、招标文件；</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（8）核对评标结果，有《</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"http://www.caigou2003.com/"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政府采购</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（9）评审工作完成后，按照规定向评审专家支付劳务报酬和异地评审差旅费，不得向评审专家以外的其他人员支付评审劳务报酬；</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（10）处理与评标有关的其他事项。</w:t>
      </w:r>
      <w:r/>
    </w:p>
    <w:p>
      <w:pPr>
        <w:ind w:firstLine="36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2.评标委员会负责具体评标事务，并独立履行下列职责：</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（1）审查、评价投标文件是否符合招标文件的商务、技术等实质性要求；</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（2）要求投标人对投标文件有关事项作出澄清或者说明；</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（3）对投标文件进行比较和评价；</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（4）确定中标候选人名单，以及根据采购人委托直接确定中标人；</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（5）向采购人、采购代理机构或者有关部门报告评标中发现的违法行为。</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（二十七）评标方法、评标标准。评标方法分为最低评标价法和综合评分法。</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（二十八）评标</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1.评标工作程序：</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（1）投标文件初审。</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①资格性审查。</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②符合性审查。</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（2）澄清有关问题。</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（3）比较与评价。</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（4）推荐中标候选投标人名单。</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（5）编写评审报告（评标报告）。</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"http://lilun.caigou2003.com/recijiedu/2365668.html"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最低评标价法</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"http://lilun.caigou2003.com/recijiedu/2365667.html"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综合评分法</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非单一产品采购项目，多家投标人提供的核心产品品牌相同的，按前两款规定处理。</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（二十九）投标文件报价出现前后不一致的，按照下列规定修正：</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1.投标文件中开标一览表（报价表）内容与投标文件中相应内容不一致的，以开标一览表（报价表）为准；</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2.大写金额和小写金额不一致的，以大写金额为准；</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3.单价金额小数点或者百分比有明显错位的，以开标一览表的总价为准，并修改单价；</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4.总价金额与按单价合计金额不一致的，以单价金额计算结果为准。</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评标小组认为投标人的报价明显低于其他投标人的报价，有可能影响产品质量、服务质量或者不能诚信履约的，评标小组应当启动异常低价响应审查程序:</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实施政府采购异常低价审查的有关要求：</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（一）评审中出现下列情形之一的，评审（评标）委员会应当启动异常低价投标（响应）审查程序：</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4.评审（评标）委员会基于专业判断，认为供应商报价过低，有可能影响产品质量或者不能诚信履约的其他情形。</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相关法律法规对供应商报价有规定的，从其规定。</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（三十二）废标条款：</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出现下列情形之一的，应予废标：</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1.符合专业条件的供应商或者对招标文件作实质响应的供应商不足三家的；</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2.出现影响采购公正的违法、违规行为的；</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3.投标人的报价均超过了采购预算，采购人不能支付的；</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4.因重大变故，采购任务取消的。</w:t>
      </w:r>
      <w:r/>
    </w:p>
    <w:p>
      <w:pPr>
        <w:jc w:val="center"/>
        <w:spacing w:line="336"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六、定标</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（三十三）采购代理机构应当在评标结束后2个工作日内将评标报告送采购人。</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（三十四）采购人应当自收到评标报告之日起5个工作日内，在评标报告确定的中标候选人名单中按顺序确定中标人。</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中标结果公告发布媒介：</w:t>
      </w:r>
      <w:r>
        <w:rPr>
          <w:rFonts w:hint="eastAsia" w:ascii="仿宋" w:hAnsi="仿宋" w:eastAsia="仿宋" w:cs="仿宋"/>
          <w:bCs/>
          <w:color w:val="auto"/>
          <w:sz w:val="24"/>
          <w:highlight w:val="none"/>
        </w:rPr>
        <w:t xml:space="preserve">徐州政府采购网（</w:t>
      </w:r>
      <w:r>
        <w:rPr>
          <w:rFonts w:hint="eastAsia" w:ascii="仿宋" w:hAnsi="仿宋" w:eastAsia="仿宋" w:cs="仿宋"/>
          <w:color w:val="auto"/>
          <w:sz w:val="24"/>
          <w:szCs w:val="24"/>
          <w:highlight w:val="none"/>
        </w:rPr>
        <w:t xml:space="preserve">https://czj.xz.gov.cn/zfcg/</w:t>
      </w:r>
      <w:r>
        <w:rPr>
          <w:rFonts w:hint="eastAsia" w:ascii="仿宋" w:hAnsi="仿宋" w:eastAsia="仿宋" w:cs="仿宋"/>
          <w:bCs/>
          <w:color w:val="auto"/>
          <w:sz w:val="24"/>
          <w:highlight w:val="none"/>
        </w:rPr>
        <w:t xml:space="preserve">）上发布</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（三十五）</w:t>
      </w:r>
      <w:bookmarkStart w:id="9" w:name="OLE_LINK1"/>
      <w:r/>
      <w:bookmarkStart w:id="10" w:name="OLE_LINK14"/>
      <w:r>
        <w:rPr>
          <w:rFonts w:hint="eastAsia" w:ascii="仿宋" w:hAnsi="仿宋" w:eastAsia="仿宋" w:cs="仿宋"/>
          <w:color w:val="auto"/>
          <w:sz w:val="24"/>
          <w:highlight w:val="none"/>
        </w:rPr>
        <w:t xml:space="preserve">采购人有权对投标人投标文件的真实性进行核实，签订合同前，中标人必须向采购人提交其投标文件中所有扫描件的原件，采购人核查无误后，签订合同。</w:t>
      </w:r>
      <w:bookmarkEnd w:id="9"/>
      <w:r>
        <w:rPr>
          <w:rFonts w:hint="eastAsia" w:ascii="仿宋" w:hAnsi="仿宋" w:eastAsia="仿宋" w:cs="仿宋"/>
          <w:color w:val="auto"/>
          <w:sz w:val="24"/>
          <w:highlight w:val="none"/>
        </w:rPr>
        <w:t xml:space="preserve">如中标人不能在采购人规定的时间内向采购人提供原件，将被采购人视为放弃中标资格。</w:t>
      </w:r>
      <w:bookmarkEnd w:id="10"/>
      <w:r/>
      <w:r/>
    </w:p>
    <w:p>
      <w:pPr>
        <w:jc w:val="center"/>
        <w:spacing w:line="336"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七、政府采购合同</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（三十六）签订政府采购合同（合同签订方式）</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采购人不得向中标人提出任何不合理的要求作为签订合同的条件。</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1063"/>
        <w:rPr>
          <w:rFonts w:hint="eastAsia" w:ascii="仿宋" w:hAnsi="仿宋" w:eastAsia="仿宋" w:cs="仿宋"/>
          <w:color w:val="auto"/>
          <w:highlight w:val="none"/>
          <w:lang w:val="en-US" w:eastAsia="zh-CN"/>
        </w:rPr>
      </w:pPr>
      <w:r>
        <w:rPr>
          <w:rFonts w:hint="eastAsia" w:ascii="仿宋" w:hAnsi="仿宋" w:eastAsia="仿宋" w:cs="仿宋"/>
          <w:color w:val="auto"/>
          <w:sz w:val="24"/>
          <w:highlight w:val="none"/>
          <w:lang w:val="en-US"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（三十八）履约保证金</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1.中标人应当在签订采购合同前，向采购人提交本文件第三章《投标资料表》中规定金额的履约保证金。</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（三十九）腐败和欺诈行为</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1.采购代理机构、采购人、投标人等参与招投标的各方，均应在招标、采购、合同执行等过程中保持廉洁和最高的道德水准。</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（1）腐败和欺诈行为的含义：</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②“欺诈行为”系指为了影响招标、采购和合同执行等过程，隐瞒事实真</w:t>
      </w:r>
      <w:r>
        <w:rPr>
          <w:rFonts w:hint="eastAsia" w:ascii="仿宋" w:hAnsi="仿宋" w:eastAsia="仿宋" w:cs="仿宋"/>
          <w:color w:val="auto"/>
          <w:sz w:val="24"/>
          <w:highlight w:val="none"/>
          <w:lang w:val="en-US" w:eastAsia="zh-CN"/>
        </w:rPr>
        <w:t xml:space="preserve">相</w:t>
      </w:r>
      <w:r>
        <w:rPr>
          <w:rFonts w:hint="eastAsia" w:ascii="仿宋" w:hAnsi="仿宋" w:eastAsia="仿宋" w:cs="仿宋"/>
          <w:color w:val="auto"/>
          <w:sz w:val="24"/>
          <w:highlight w:val="none"/>
        </w:rPr>
        <w:t xml:space="preserve">，给买方、卖方、采购代理机构及他人造成损害的行为，其中包括投标人之间的串通行为。</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（2）如果被推荐的中标人有腐败和欺诈行为，将取消其中标资格。</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（3）如果投标人在任何时候，被法院及政府有关管理部门认定为有腐败和欺诈行为，采购代理机构有权拒绝其投标、取消其中标资格和撤</w:t>
      </w:r>
      <w:r>
        <w:rPr>
          <w:rFonts w:hint="eastAsia" w:ascii="仿宋" w:hAnsi="仿宋" w:eastAsia="仿宋" w:cs="仿宋"/>
          <w:color w:val="auto"/>
          <w:sz w:val="24"/>
          <w:highlight w:val="none"/>
          <w:lang w:val="en-US" w:eastAsia="zh-CN"/>
        </w:rPr>
        <w:t xml:space="preserve">销</w:t>
      </w:r>
      <w:r>
        <w:rPr>
          <w:rFonts w:hint="eastAsia" w:ascii="仿宋" w:hAnsi="仿宋" w:eastAsia="仿宋" w:cs="仿宋"/>
          <w:color w:val="auto"/>
          <w:sz w:val="24"/>
          <w:highlight w:val="none"/>
        </w:rPr>
        <w:t xml:space="preserve">其已签署的合同。</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2.投标人应注意《合同通用条款》关于腐败和欺诈行为的相关规定。</w:t>
      </w:r>
      <w:r/>
    </w:p>
    <w:p>
      <w:pPr>
        <w:ind w:firstLine="482"/>
        <w:jc w:val="center"/>
        <w:spacing w:line="336"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八、询问和质疑</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（四十）询问和质疑</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36"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九、电子招标投标交易平台</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（四十一）电子招标投标交易平台（即“苏采云”系统，网址：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\o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http://jszfcg.jsczt.cn/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）相关要求是本招标文件的组成部分。</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36" w:lineRule="auto"/>
        <w:rPr>
          <w:rFonts w:hint="eastAsia" w:ascii="仿宋" w:hAnsi="仿宋" w:eastAsia="仿宋" w:cs="仿宋"/>
          <w:b/>
          <w:bCs/>
          <w:color w:val="auto"/>
          <w:sz w:val="32"/>
          <w:szCs w:val="32"/>
          <w:highlight w:val="none"/>
        </w:rPr>
        <w:outlineLvl w:val="0"/>
      </w:pPr>
      <w:r>
        <w:rPr>
          <w:rFonts w:hint="eastAsia" w:ascii="仿宋" w:hAnsi="仿宋" w:eastAsia="仿宋" w:cs="仿宋"/>
          <w:color w:val="auto"/>
          <w:sz w:val="32"/>
          <w:szCs w:val="32"/>
          <w:highlight w:val="none"/>
        </w:rPr>
        <w:br w:type="page" w:clear="all"/>
      </w:r>
      <w:bookmarkStart w:id="11" w:name="_Toc7597"/>
      <w:r/>
      <w:bookmarkStart w:id="12" w:name="_Toc9896"/>
      <w:r/>
      <w:bookmarkStart w:id="13" w:name="_Toc18089"/>
      <w:r>
        <w:rPr>
          <w:rFonts w:hint="eastAsia" w:ascii="仿宋" w:hAnsi="仿宋" w:eastAsia="仿宋" w:cs="仿宋"/>
          <w:b/>
          <w:bCs/>
          <w:color w:val="auto"/>
          <w:sz w:val="32"/>
          <w:szCs w:val="32"/>
          <w:highlight w:val="none"/>
        </w:rPr>
        <w:t xml:space="preserve">第三章  投标资料表</w:t>
      </w:r>
      <w:bookmarkEnd w:id="11"/>
      <w:r/>
      <w:bookmarkEnd w:id="12"/>
      <w:r/>
      <w:bookmarkEnd w:id="13"/>
      <w:r/>
      <w:r/>
    </w:p>
    <w:p>
      <w:pPr>
        <w:pStyle w:val="1213"/>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该资料表的条款项号是与第二章《投标人须知》中条款项号对应的，或增加的条款，是对第二章《投</w:t>
      </w:r>
      <w:r>
        <w:rPr>
          <w:rFonts w:hint="eastAsia" w:ascii="仿宋" w:hAnsi="仿宋" w:eastAsia="仿宋" w:cs="仿宋"/>
          <w:color w:val="auto"/>
          <w:sz w:val="24"/>
          <w:highlight w:val="none"/>
        </w:rPr>
        <w:t xml:space="preserve">标人须知》的补充、修改和完善，如果有矛盾的话，应以本资料表为准。</w:t>
      </w:r>
      <w:r/>
    </w:p>
    <w:tbl>
      <w:tblPr>
        <w:tblStyle w:val="102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内容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一、总则</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本项目采购人：</w:t>
            </w:r>
            <w:r>
              <w:rPr>
                <w:rFonts w:hint="eastAsia" w:ascii="仿宋" w:hAnsi="仿宋" w:eastAsia="仿宋" w:cs="仿宋"/>
                <w:color w:val="auto"/>
                <w:sz w:val="24"/>
                <w:highlight w:val="none"/>
                <w:lang w:eastAsia="zh-CN"/>
              </w:rPr>
              <w:t xml:space="preserve">徐州市公安局刑事侦查支队</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本次采购采用的政府采购方式：公开招标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采购人确定的采购项目属性：货物</w:t>
            </w:r>
            <w:r/>
          </w:p>
          <w:p>
            <w:pP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本项目是否为专门面向中小微企业采购的项目：是</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本项目采购代理机构：江苏科建工程项目管理有限公司</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投标人的资格条件：</w:t>
            </w:r>
            <w:r/>
          </w:p>
          <w:p>
            <w:pPr>
              <w:spacing w:line="3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一、符合《中华人民共和国政府采购法》第二十二条的规定；</w:t>
            </w:r>
            <w:r/>
          </w:p>
          <w:p>
            <w:pPr>
              <w:spacing w:line="3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二、落实政府采购政策需满足的资格要求：</w:t>
            </w:r>
            <w:r>
              <w:rPr>
                <w:rFonts w:hint="eastAsia" w:ascii="仿宋" w:hAnsi="仿宋" w:eastAsia="仿宋" w:cs="仿宋"/>
                <w:b/>
                <w:bCs/>
                <w:color w:val="auto"/>
                <w:sz w:val="24"/>
                <w:szCs w:val="24"/>
                <w:highlight w:val="none"/>
              </w:rPr>
              <w:t xml:space="preserve">此项目属于专门面向中小微企业采购的项目，投标人所提供的货物全部由符合政策要求的中小企业制造，投标人提供的货物的制造商应全部为中小微企业、监狱企业、残疾人福利性单位。</w:t>
            </w:r>
            <w:r/>
          </w:p>
          <w:p>
            <w:pPr>
              <w:spacing w:line="34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三、本项目的特定资格要求</w:t>
            </w:r>
            <w:r>
              <w:rPr>
                <w:rFonts w:hint="eastAsia" w:ascii="仿宋" w:hAnsi="仿宋" w:eastAsia="仿宋" w:cs="仿宋"/>
                <w:color w:val="auto"/>
                <w:sz w:val="24"/>
                <w:szCs w:val="24"/>
                <w:highlight w:val="none"/>
              </w:rPr>
              <w:t xml:space="preserve">：无</w:t>
            </w:r>
            <w:r/>
          </w:p>
          <w:p>
            <w:pP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同时明确相关事项如下：</w:t>
            </w:r>
            <w:r/>
          </w:p>
          <w:p>
            <w:pPr>
              <w:ind w:firstLine="24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bidi="ar"/>
              </w:rPr>
              <w:t xml:space="preserve">本项目不接受联合体参与采购活动，成交后不得转包或分包</w:t>
            </w:r>
            <w:r>
              <w:rPr>
                <w:rFonts w:hint="eastAsia" w:ascii="仿宋" w:hAnsi="仿宋" w:eastAsia="仿宋" w:cs="仿宋"/>
                <w:color w:val="auto"/>
                <w:sz w:val="24"/>
                <w:szCs w:val="24"/>
                <w:highlight w:val="none"/>
              </w:rPr>
              <w:t xml:space="preserve">。</w:t>
            </w:r>
            <w:r/>
          </w:p>
          <w:p>
            <w:pPr>
              <w:ind w:firstLine="24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2、单位负责人为同一人或者存在实际控制、直接控股、管理关系的不同供应商，不得参加同一合同项下的政府采购活动。</w:t>
            </w:r>
            <w:r/>
          </w:p>
          <w:p>
            <w:pPr>
              <w:ind w:firstLine="24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3、为本采购项目提供整体设计、规范编制或者项目管理、监理、检测等服务的供应商，不得再参加本采购项目的采购活动。</w:t>
            </w:r>
            <w:r/>
          </w:p>
          <w:p>
            <w:pPr>
              <w:ind w:firstLine="24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4、查询及使用供应商信用记录：</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1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⑴</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由采购人查询信用信息。</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2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⑵</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查询渠道包括：</w:t>
            </w:r>
            <w:r/>
          </w:p>
          <w:p>
            <w:pPr>
              <w:ind w:firstLine="720"/>
              <w:spacing w:line="3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①“信用中国”网（https://www.creditchina.gov.cn/）；</w:t>
            </w:r>
            <w:r/>
          </w:p>
          <w:p>
            <w:pPr>
              <w:ind w:firstLine="720"/>
              <w:spacing w:line="3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②中国政府采购网（http://www.ccgp.gov.cn/）；</w:t>
            </w:r>
            <w:r/>
          </w:p>
          <w:p>
            <w:pPr>
              <w:ind w:firstLine="720"/>
              <w:spacing w:line="3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③“信用江苏”网（http://credit.jiangsu.gov.cn/）；</w:t>
            </w:r>
            <w:r/>
          </w:p>
          <w:p>
            <w:pPr>
              <w:ind w:firstLine="720"/>
              <w:spacing w:line="3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④“信用中国（江苏徐州）”网（https://xuzhoucredit.gov.cn/）；</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3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⑶</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截止时点（查询环节）：开标后资格审查结束前。</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⑷信用信息查询记录和证据留存的具体方式：</w:t>
            </w:r>
            <w:r/>
          </w:p>
          <w:p>
            <w:pPr>
              <w:ind w:firstLine="72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网页截屏打印，与其他采购文件一并保存。</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⑸信用信息的使用规则：</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本项目采购预算金额已包含招标代理服务费，招标代理服务费由中标人支付，《招标代理服务收费标准》（见附件）。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二、招标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（九）1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敬请各潜在投标人关注本项目的“更正（澄清）公告”，并通过“苏采云”系统重新下载更正（澄清）后的采购文件（后缀名为“.kedt”），离线编制投标文件，否则，将自行承担相应的风险。</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不安排现场考察。</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不安排开标前答疑会</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三、投标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投标文件的语言为中文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投标人须用政府采购客户端工具导入</w:t>
            </w:r>
            <w:r>
              <w:rPr>
                <w:rFonts w:hint="eastAsia" w:ascii="仿宋" w:hAnsi="仿宋" w:eastAsia="仿宋" w:cs="仿宋"/>
                <w:color w:val="auto"/>
                <w:sz w:val="24"/>
                <w:highlight w:val="none"/>
              </w:rPr>
              <w:t xml:space="preserve">“苏采云”系统下载的招标文件后，离线编制投标文件。招标文件、供应商操作手册及政府采购客户端工具可通过“苏采云”系统（网址：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http://jszfcg.jsc</w:t>
            </w:r>
            <w:bookmarkStart w:id="14" w:name="_Hlt91509264"/>
            <w:r/>
            <w:bookmarkStart w:id="15" w:name="_Hlt91509263"/>
            <w:r>
              <w:rPr>
                <w:rFonts w:hint="eastAsia" w:ascii="仿宋" w:hAnsi="仿宋" w:eastAsia="仿宋" w:cs="仿宋"/>
                <w:color w:val="auto"/>
                <w:sz w:val="24"/>
                <w:highlight w:val="none"/>
              </w:rPr>
              <w:t xml:space="preserve">z</w:t>
            </w:r>
            <w:bookmarkEnd w:id="14"/>
            <w:r/>
            <w:bookmarkEnd w:id="15"/>
            <w:r>
              <w:rPr>
                <w:rFonts w:hint="eastAsia" w:ascii="仿宋" w:hAnsi="仿宋" w:eastAsia="仿宋" w:cs="仿宋"/>
                <w:color w:val="auto"/>
                <w:sz w:val="24"/>
                <w:highlight w:val="none"/>
              </w:rPr>
              <w:t xml:space="preserve">t.cn/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）--已报名项目--</w:t>
            </w:r>
            <w:r>
              <w:rPr>
                <w:rFonts w:hint="eastAsia" w:ascii="仿宋" w:hAnsi="仿宋" w:eastAsia="仿宋" w:cs="仿宋"/>
                <w:bCs/>
                <w:color w:val="auto"/>
                <w:sz w:val="24"/>
                <w:highlight w:val="none"/>
              </w:rPr>
              <w:t xml:space="preserve">报名详情页面内相应链接进行下载</w:t>
            </w:r>
            <w:r>
              <w:rPr>
                <w:rFonts w:hint="eastAsia" w:ascii="仿宋" w:hAnsi="仿宋" w:eastAsia="仿宋" w:cs="仿宋"/>
                <w:color w:val="auto"/>
                <w:sz w:val="24"/>
                <w:highlight w:val="none"/>
              </w:rPr>
              <w:t xml:space="preserve">；供应商操作手册及政府采购客户端工具也可通过徐州政府采购网--业务工作--快速服务--下载专区，点击进入《江苏省政府采购管理交易系统（苏采云）供应商操作手册及政府采购客户端》，进行下载。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特别说明：政府采购客户端工具需要导出加密的投标文件（后缀名为zip）。投标文件不得超过150M！（以系统为准）</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1"/>
              </w:num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线上投标文件编制要求</w:t>
            </w:r>
            <w:r>
              <w:rPr>
                <w:rFonts w:hint="eastAsia" w:ascii="仿宋" w:hAnsi="仿宋" w:eastAsia="仿宋" w:cs="仿宋"/>
                <w:b/>
                <w:color w:val="auto"/>
                <w:sz w:val="24"/>
                <w:szCs w:val="24"/>
                <w:highlight w:val="none"/>
              </w:rPr>
              <w:t xml:space="preserve">：</w:t>
            </w:r>
            <w:r/>
          </w:p>
          <w:p>
            <w:pP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请按照以下要求</w:t>
            </w:r>
            <w:r>
              <w:rPr>
                <w:rFonts w:hint="eastAsia" w:ascii="仿宋" w:hAnsi="仿宋" w:eastAsia="仿宋" w:cs="仿宋"/>
                <w:color w:val="auto"/>
                <w:sz w:val="24"/>
                <w:szCs w:val="24"/>
                <w:highlight w:val="none"/>
              </w:rPr>
              <w:t xml:space="preserve">（包括但不限于以下要求）制作：</w:t>
            </w:r>
            <w:r/>
          </w:p>
          <w:p>
            <w:pPr>
              <w:spacing w:line="340" w:lineRule="exac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一、基本目录</w:t>
            </w:r>
            <w:r/>
          </w:p>
          <w:p>
            <w:pPr>
              <w:ind w:firstLine="48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1、目录</w:t>
            </w:r>
            <w:r/>
          </w:p>
          <w:p>
            <w:pPr>
              <w:ind w:firstLine="48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rPr>
                <w:rFonts w:hint="eastAsia" w:ascii="仿宋" w:hAnsi="仿宋" w:eastAsia="仿宋" w:cs="仿宋"/>
                <w:bCs/>
                <w:color w:val="auto"/>
                <w:sz w:val="24"/>
                <w:szCs w:val="24"/>
                <w:highlight w:val="none"/>
              </w:rPr>
              <w:t xml:space="preserve">开标一览表</w:t>
            </w:r>
            <w:r>
              <w:rPr>
                <w:rFonts w:hint="eastAsia" w:ascii="仿宋" w:hAnsi="仿宋" w:eastAsia="仿宋" w:cs="仿宋"/>
                <w:color w:val="auto"/>
                <w:sz w:val="24"/>
                <w:szCs w:val="24"/>
                <w:highlight w:val="none"/>
              </w:rPr>
              <w:t xml:space="preserve">》（加盖电子签章，政府采购客户端工具输入报价自动生成）。</w:t>
            </w:r>
            <w:r/>
          </w:p>
          <w:p>
            <w:pPr>
              <w:ind w:firstLine="480"/>
              <w:spacing w:line="340" w:lineRule="exac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3、所投产品的环境标志产品认证证书扫描件（如有）。</w:t>
            </w:r>
            <w:r/>
          </w:p>
          <w:p>
            <w:pPr>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注：</w:t>
            </w:r>
            <w:r/>
          </w:p>
          <w:p>
            <w:pPr>
              <w:ind w:firstLine="24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24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（2）环境标志产品认证证书是否符合要求，采购人评标时查询中国政府采购网（www.ccgp.gov.cn）相关内容后确定。</w:t>
            </w:r>
            <w:r/>
          </w:p>
          <w:p>
            <w:pPr>
              <w:ind w:firstLine="480"/>
              <w:spacing w:line="312"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4、所投产品的节能产品认证证书的扫描件（如有）。</w:t>
            </w:r>
            <w:r/>
          </w:p>
          <w:p>
            <w:pPr>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注：</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（2）节能产品认证证书是否符合要求，采购人评标时查询中国政府采购网（www.ccgp.gov.cn）相关内容后确定。</w:t>
            </w:r>
            <w:r/>
          </w:p>
          <w:p>
            <w:pPr>
              <w:ind w:firstLine="480"/>
              <w:spacing w:line="312"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投标人认为需要提供的其他资料</w:t>
            </w:r>
            <w:r>
              <w:rPr>
                <w:rFonts w:hint="eastAsia" w:ascii="仿宋" w:hAnsi="仿宋" w:eastAsia="仿宋" w:cs="仿宋"/>
                <w:color w:val="auto"/>
                <w:sz w:val="24"/>
                <w:szCs w:val="24"/>
                <w:highlight w:val="none"/>
              </w:rPr>
              <w:t xml:space="preserve">（如有）</w:t>
            </w:r>
            <w:r/>
          </w:p>
          <w:p>
            <w:pP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二、资格条件（1-7必须提供，并加盖电子签章，否则投标无效）</w:t>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具有独立承担民事责任的能力</w:t>
            </w:r>
            <w:r>
              <w:rPr>
                <w:rFonts w:hint="eastAsia" w:ascii="仿宋" w:hAnsi="仿宋" w:eastAsia="仿宋" w:cs="仿宋"/>
                <w:color w:val="auto"/>
                <w:sz w:val="24"/>
                <w:szCs w:val="24"/>
                <w:highlight w:val="none"/>
              </w:rPr>
              <w:t xml:space="preserve">，提供投标人合法有效的营业执照(或事业单位法人证书或其他组织应提供合法证明文件）扫描件；</w:t>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投标人具有良好的商业信誉和健全的财务会计制度</w:t>
            </w:r>
            <w:r>
              <w:rPr>
                <w:rFonts w:hint="eastAsia" w:ascii="仿宋" w:hAnsi="仿宋" w:eastAsia="仿宋" w:cs="仿宋"/>
                <w:color w:val="auto"/>
                <w:sz w:val="24"/>
                <w:szCs w:val="24"/>
                <w:highlight w:val="none"/>
              </w:rPr>
              <w:t xml:space="preserve">，提供投标人的本项目开标时间前6个月内任何时间的资产负债表和利润表扫描件各一份；或提供投标人202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年度经审计的财务报告扫描件一份；或提供投标人的本项目开标时间前6个月内银行出具的资信证明扫描件一份；</w:t>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投标人依法缴纳税收和社会保障资金的记录</w:t>
            </w:r>
            <w:r>
              <w:rPr>
                <w:rFonts w:hint="eastAsia" w:ascii="仿宋" w:hAnsi="仿宋" w:eastAsia="仿宋" w:cs="仿宋"/>
                <w:color w:val="auto"/>
                <w:sz w:val="24"/>
                <w:szCs w:val="24"/>
                <w:highlight w:val="none"/>
              </w:rPr>
              <w:t xml:space="preserve">（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rPr>
              <w:t xml:space="preserve">具备履行合同所必需的设备和专业技术能力的证明</w:t>
            </w:r>
            <w:r>
              <w:rPr>
                <w:rFonts w:hint="eastAsia" w:ascii="仿宋" w:hAnsi="仿宋" w:eastAsia="仿宋" w:cs="仿宋"/>
                <w:color w:val="auto"/>
                <w:sz w:val="24"/>
                <w:szCs w:val="24"/>
                <w:highlight w:val="none"/>
              </w:rPr>
              <w:t xml:space="preserve">（投标文件中提供《具备履行合同所必需的设备和专业技术能力的书面声明（附证明材料扫描件）》，加盖电子签章，格式见招标第七章《投标文件相关格式》,所附证明材料扫描件可不加盖电子签章）；</w:t>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rPr>
              <w:t xml:space="preserve">投标人参加政府采购活动前3年内在经营活动中没有重大违法记录的书面声明（加盖电子签章，格式见采购文件第七章《投标文件相关格式》）；</w:t>
            </w:r>
            <w:r/>
          </w:p>
          <w:p>
            <w:pP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6.此项目属于专门面向中小微企业采购的项目，投标人所提供的货物全部由符合政策要求的中小企业制造，投标人提供的货物的制造商应全部为中小微企业、监狱企业、残疾人福利性单位。</w:t>
            </w:r>
            <w:r/>
          </w:p>
          <w:p>
            <w:pPr>
              <w:pStyle w:val="1054"/>
              <w:jc w:val="both"/>
              <w:spacing w:beforeAutospacing="0" w:afterAutospacing="0" w:line="340" w:lineRule="exact"/>
              <w:widowControl/>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7.</w:t>
            </w:r>
            <w:r>
              <w:rPr>
                <w:rFonts w:hint="eastAsia" w:ascii="仿宋" w:hAnsi="仿宋" w:eastAsia="仿宋" w:cs="仿宋"/>
                <w:b/>
                <w:bCs/>
                <w:color w:val="auto"/>
                <w:szCs w:val="24"/>
                <w:highlight w:val="none"/>
              </w:rPr>
              <w:t xml:space="preserve">投标人提供《中小企业声明函》（电子签章，填写完整。格式见招标文件第七章《投标文件相关格式》）。</w:t>
            </w:r>
            <w:r>
              <w:rPr>
                <w:rFonts w:hint="eastAsia" w:ascii="仿宋" w:hAnsi="仿宋" w:eastAsia="仿宋" w:cs="仿宋"/>
                <w:color w:val="auto"/>
                <w:szCs w:val="24"/>
                <w:highlight w:val="none"/>
              </w:rPr>
              <w:t xml:space="preserve">《中小企业声明函》查询渠道用微信搜索“中小企业规模类型自测小程序”。</w:t>
            </w:r>
            <w:r/>
          </w:p>
          <w:p>
            <w:pPr>
              <w:pStyle w:val="1054"/>
              <w:jc w:val="both"/>
              <w:spacing w:beforeAutospacing="0" w:afterAutospacing="0" w:line="34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注：</w:t>
            </w:r>
            <w:r>
              <w:rPr>
                <w:rFonts w:hint="eastAsia" w:ascii="仿宋" w:hAnsi="仿宋" w:eastAsia="仿宋" w:cs="仿宋"/>
                <w:bCs/>
                <w:color w:val="auto"/>
                <w:highlight w:val="none"/>
              </w:rPr>
              <w:t xml:space="preserve">中小微企业</w:t>
            </w:r>
            <w:r>
              <w:rPr>
                <w:rFonts w:hint="eastAsia" w:ascii="仿宋" w:hAnsi="仿宋" w:eastAsia="仿宋" w:cs="仿宋"/>
                <w:color w:val="auto"/>
                <w:highlight w:val="none"/>
              </w:rPr>
              <w:t xml:space="preserve">，应当符合以下条件：</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中小企业需满足的条件</w:t>
            </w:r>
            <w:r>
              <w:rPr>
                <w:rFonts w:hint="eastAsia" w:ascii="仿宋" w:hAnsi="仿宋" w:eastAsia="仿宋" w:cs="仿宋"/>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为监狱企业的，视同小微企业，提供省级以上监狱管理局、戒毒管理局（含新疆生产建设兵团）出具的属于监狱企业的证明文件原件扫描件。具体以《财政部司法部关于政府采购支持监狱企业发展有关问题的通知》（财库〔2014〕68号）的规定为准。</w:t>
            </w:r>
            <w:r/>
          </w:p>
          <w:p>
            <w:pPr>
              <w:ind w:firstLine="480"/>
              <w:spacing w:line="34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投标人为残疾人福利性单位的，视同小微企业，提供《残疾人福利性单位声明函》（加盖电子签章，格式见招标文件第七章《投标文件相关格式》）。具体以《三部门联合发布关于促进残疾人就业政府采购政策的通知》（财库〔2017〕141号）规定为准。</w:t>
            </w:r>
            <w:r/>
          </w:p>
          <w:p>
            <w:pPr>
              <w:ind w:firstLine="482"/>
              <w:spacing w:line="340" w:lineRule="exac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三、符合条件（必须提供，否则投标无效）</w:t>
            </w:r>
            <w:r/>
          </w:p>
          <w:p>
            <w:pPr>
              <w:ind w:firstLine="48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（一）报价</w:t>
            </w:r>
            <w:r/>
          </w:p>
          <w:p>
            <w:pPr>
              <w:ind w:firstLine="480"/>
              <w:spacing w:line="312"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b/>
                <w:bCs/>
                <w:color w:val="auto"/>
                <w:sz w:val="24"/>
                <w:szCs w:val="24"/>
                <w:highlight w:val="none"/>
              </w:rPr>
              <w:t xml:space="preserve">《报价符合性审查》</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超预算/最高限价审查要求：投标（响应）报价不得超过采购项目预算/最高限价。</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2、《开标一览表》（</w:t>
            </w:r>
            <w:r>
              <w:rPr>
                <w:rFonts w:hint="eastAsia" w:ascii="仿宋" w:hAnsi="仿宋" w:eastAsia="仿宋" w:cs="仿宋"/>
                <w:color w:val="auto"/>
                <w:sz w:val="24"/>
                <w:szCs w:val="24"/>
                <w:highlight w:val="none"/>
                <w:lang w:val="en-US" w:eastAsia="zh-CN"/>
              </w:rPr>
              <w:t xml:space="preserve">政府采购客户端工具输入报价自动生成</w:t>
            </w:r>
            <w:r>
              <w:rPr>
                <w:rFonts w:hint="eastAsia" w:ascii="仿宋" w:hAnsi="仿宋" w:eastAsia="仿宋" w:cs="仿宋"/>
                <w:color w:val="auto"/>
                <w:sz w:val="24"/>
                <w:szCs w:val="24"/>
                <w:highlight w:val="none"/>
              </w:rPr>
              <w:t xml:space="preserve">）</w:t>
            </w:r>
            <w:r/>
          </w:p>
          <w:p>
            <w:pPr>
              <w:ind w:firstLine="480"/>
              <w:spacing w:line="312"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3、《分项价格表》（加盖电子签章，格式见招标文件第七章《投标文件相关格式》）</w:t>
            </w:r>
            <w:r/>
          </w:p>
          <w:p>
            <w:pPr>
              <w:ind w:firstLine="48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（二）商务资信</w:t>
            </w:r>
            <w:r/>
          </w:p>
          <w:p>
            <w:pPr>
              <w:ind w:firstLine="48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1、《投标函》（加盖电子签章，格式见招标文件第七章《投标文件相关格式》。）</w:t>
            </w:r>
            <w:bookmarkStart w:id="59" w:name="_GoBack"/>
            <w:r/>
            <w:bookmarkEnd w:id="59"/>
            <w:r/>
            <w:r/>
          </w:p>
          <w:p>
            <w:pPr>
              <w:ind w:firstLine="48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2、《授权委托书》（加盖电子签章，格式见招标文件第七章《投标文件相关格式》）</w:t>
            </w:r>
            <w:r/>
          </w:p>
          <w:p>
            <w:pPr>
              <w:ind w:firstLine="48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（三）技术响应</w:t>
            </w:r>
            <w:r/>
          </w:p>
          <w:p>
            <w:pPr>
              <w:ind w:firstLine="48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1、《偏离表》（加盖电子签章，格式见招标文件第七章《投标文件相关格式》。）</w:t>
            </w:r>
            <w:r/>
          </w:p>
          <w:p>
            <w:pPr>
              <w:pStyle w:val="1066"/>
              <w:ind w:left="0" w:firstLine="480"/>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b/>
                <w:bCs/>
                <w:color w:val="auto"/>
                <w:sz w:val="24"/>
                <w:szCs w:val="24"/>
                <w:highlight w:val="none"/>
              </w:rPr>
              <w:t xml:space="preserve">《采购需求》</w:t>
            </w:r>
            <w:r>
              <w:rPr>
                <w:rFonts w:hint="eastAsia" w:ascii="仿宋" w:hAnsi="仿宋" w:eastAsia="仿宋" w:cs="仿宋"/>
                <w:color w:val="auto"/>
                <w:sz w:val="24"/>
                <w:szCs w:val="24"/>
                <w:highlight w:val="none"/>
              </w:rPr>
              <w:t xml:space="preserve">中加“★”要求提供的证明材料（必须提供，否则在符合性审查时按照投标无效处理）。</w:t>
            </w:r>
            <w:r/>
          </w:p>
          <w:p>
            <w:pPr>
              <w:ind w:firstLine="482"/>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四、</w:t>
            </w:r>
            <w:r>
              <w:rPr>
                <w:rFonts w:hint="eastAsia" w:ascii="仿宋" w:hAnsi="仿宋" w:eastAsia="仿宋" w:cs="仿宋"/>
                <w:b/>
                <w:bCs/>
                <w:color w:val="auto"/>
                <w:sz w:val="24"/>
                <w:szCs w:val="24"/>
                <w:highlight w:val="none"/>
              </w:rPr>
              <w:t xml:space="preserve">综合评审评分项</w:t>
            </w:r>
            <w:r/>
          </w:p>
          <w:p>
            <w:pPr>
              <w:ind w:firstLine="48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（一）技术部分</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要求见招标文件第四章《评标标准》、第五章《采购需求》。</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（二）商务部分</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要求见招标文件第四章《评标标准》、第五章《采购需求》。</w:t>
            </w:r>
            <w:r/>
          </w:p>
          <w:p>
            <w:pPr>
              <w:ind w:firstLine="482"/>
              <w:spacing w:line="34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五、报价折扣证明：</w:t>
            </w:r>
            <w:r>
              <w:rPr>
                <w:rFonts w:hint="eastAsia" w:ascii="仿宋" w:hAnsi="仿宋" w:eastAsia="仿宋" w:cs="仿宋"/>
                <w:color w:val="auto"/>
                <w:sz w:val="24"/>
                <w:szCs w:val="24"/>
                <w:highlight w:val="none"/>
              </w:rPr>
              <w:t xml:space="preserve">无。</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w:t>
            </w:r>
            <w:r>
              <w:rPr>
                <w:rFonts w:hint="eastAsia" w:ascii="仿宋" w:hAnsi="仿宋" w:eastAsia="仿宋" w:cs="仿宋"/>
                <w:b/>
                <w:bCs/>
                <w:color w:val="auto"/>
                <w:sz w:val="24"/>
                <w:szCs w:val="24"/>
                <w:highlight w:val="none"/>
              </w:rPr>
              <w:t xml:space="preserve">投标人《关于符合本国产品标准的声明函》（填写完整，加盖公章，格式见招标文件第七章《投标文件相关格式》）</w:t>
            </w:r>
            <w:r>
              <w:rPr>
                <w:rFonts w:hint="eastAsia" w:ascii="仿宋" w:hAnsi="仿宋" w:eastAsia="仿宋" w:cs="仿宋"/>
                <w:color w:val="auto"/>
                <w:sz w:val="24"/>
                <w:szCs w:val="24"/>
                <w:highlight w:val="none"/>
              </w:rPr>
              <w:t xml:space="preserve">（请填写完整，如不填写完整或未按要求填写的，视为非本国产品）。</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1、本国产品应当符合以下条件：</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（一）在中国境内生产</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产品应当在中国境内生产，即在中华人民共和国关境内实现从原材料、组件到产品的属性改变。</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1.为确保产品在运输或者储存期间保持某种状态而进行的操作；</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2.为产品运输或者销售进行的包装或者展示；</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3.在产品或者其包装上粘贴或者印刷品牌、标志、标识以及其他用于区别的标记；</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4.简单的上漆、磨光和分装；</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5.其他不属于属性改变的情形。</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（二）在中国境内生产的组件成本占比达到规定比例</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产品在中国境内生产的组件成本占比应当达到规定比例，计算公式为：</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304800</wp:posOffset>
                      </wp:positionH>
                      <wp:positionV relativeFrom="paragraph">
                        <wp:posOffset>-323850</wp:posOffset>
                      </wp:positionV>
                      <wp:extent cx="3276600" cy="495300"/>
                      <wp:effectExtent l="0" t="0" r="5080" b="1270"/>
                      <wp:wrapNone/>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r/>
                            </pic:nvPicPr>
                            <pic:blipFill>
                              <a:blip r:embed="rId24"/>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24.0pt;mso-position-horizontal:absolute;mso-position-vertical-relative:text;margin-top:-25.5pt;mso-position-vertical:absolute;width:258.0pt;height:39.0pt;mso-wrap-distance-left:0.0pt;mso-wrap-distance-top:0.0pt;mso-wrap-distance-right:0.0pt;mso-wrap-distance-bottom:0.0pt;" stroked="f">
                      <v:path textboxrect="0,0,0,0"/>
                      <v:imagedata r:id="rId24" o:title=""/>
                    </v:shape>
                  </w:pict>
                </mc:Fallback>
              </mc:AlternateConten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（三）特定产品的关键组件、关键工序符合相关要求</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2、本国产品标准的适用范围</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3、对本国产品的支持政策</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具体以《国务院办公厅关于在政府采购中实施本国产品标准及相关政策的通知》（国办发〔2025〕34号）规定为准。</w:t>
            </w:r>
            <w:r/>
          </w:p>
          <w:p>
            <w:pP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注：中国境内生产的组件成本核算基本规则</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一、产品的一级组件是指直接组成产品的组件。产品的二级组件是指直接组成产品一级组件的组件。一级组件不可分解的，视同二级组件。</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三、产品总成本和组件成本以相关会计核算数据、采购合同、进货记录等为基础进行计算。</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四、需要对成本核算规则予以进一步明确的其他有关事项，由财政部会同有关部门另行规定。</w:t>
            </w:r>
            <w:r/>
          </w:p>
          <w:p>
            <w:pP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1、投标人应对以上文件的合法性、真实性负责。</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4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3、线下纸质和电子投标文件：中标人在领取中标通知书前须向代理机构提交纸质胶装投标文件一正四副和电子投标文件2份（和正本一致，载体为U盘或光盘），后期招标人如有需要中标人仍需免费提供。</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商务条件见：</w:t>
            </w:r>
            <w:r/>
          </w:p>
          <w:p>
            <w:pPr>
              <w:ind w:firstLine="482"/>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1.招标文件第四章《评标标准》中《评分细则》</w:t>
            </w:r>
            <w:r/>
          </w:p>
          <w:p>
            <w:pPr>
              <w:ind w:firstLine="482"/>
              <w:spacing w:line="34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2.招标文件第三章《投标资料表》中(十二)1和(十二)2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交货和提供服务的时间：招标文件第五章 《采购需求》及招标文件第六章《拟签订的合同文本》。</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pStyle w:val="1069"/>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szCs w:val="21"/>
                <w:highlight w:val="none"/>
              </w:rPr>
              <w:t xml:space="preserve">采购预算为345万元</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highlight w:val="none"/>
              </w:rPr>
              <w:t xml:space="preserve">报价应包括货物、包装、运输、装卸、培训、保险、售后、企业利润、税金等所有费用。</w:t>
            </w:r>
            <w:r>
              <w:rPr>
                <w:rFonts w:hint="eastAsia" w:ascii="仿宋" w:hAnsi="仿宋" w:eastAsia="仿宋" w:cs="仿宋"/>
                <w:color w:val="auto"/>
                <w:sz w:val="24"/>
                <w:highlight w:val="none"/>
                <w:lang w:val="zh-CN"/>
              </w:rPr>
              <w:t xml:space="preserve">投标人应充分了解该项目的总体情况、各类市场风险以影响投标报价的其他要素风险。</w:t>
            </w:r>
            <w:r>
              <w:rPr>
                <w:rFonts w:hint="eastAsia" w:ascii="仿宋" w:hAnsi="仿宋" w:eastAsia="仿宋" w:cs="仿宋"/>
                <w:color w:val="auto"/>
                <w:sz w:val="24"/>
                <w:highlight w:val="none"/>
              </w:rPr>
              <w:t xml:space="preserve">采购人不再支付报价以外的任何费用。</w:t>
            </w:r>
            <w:r/>
          </w:p>
          <w:p>
            <w:pPr>
              <w:ind w:firstLine="24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“报价”如无特别说明，均指含税价格，包含增值税税款及其他所有税费。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以人民币报价。</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线上要求：投标人应当通过“苏采云”系统提交数据电文形式的投标文件（即电子投标）。</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特别说明：投标人通过“苏采云”系统提交政府采购客户端工具导出加密的投标文件（后缀名为zip）。投标文件不得超过150M！（以系统为准）</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投标文件的退还：</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说明：本项目采用线上投标，即供应商投标文件从政府采购客户端工具制作通过“苏采云”系统提交，未提供线上投标文件的，投标无效。</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见招标文件第三章《投标资料表》中12.1和12.2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线上投标文件的密封、签署、盖章要求：</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一、投标文件的密封（加密）要求：</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二、投标文件的签署要求：见招标文件第七章《投标文件相关格式》。</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1、未进行线上投标并解密(因“苏采云”系统导致解密失败的除外)的，所导致的一切后果均由投标人承担。</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2、投标文件的签署要求：见招标文件第七章《投标文件相关格式》。</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3、投标文件的盖章要求：见招标文件第三章《投标资料表》和招标文件第七章《投标文件相关格式》。</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说明：投标人应凭CA数字证书以及自备的能够登录“苏采云”系统的电脑，在达到开标时间后，使用CA数字证书解密各自投标文件。</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投标人未按规定加密的投标文件，“苏采云”系统应当拒收并提示。</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一、投标文件提交时间：</w:t>
            </w:r>
            <w:r>
              <w:rPr>
                <w:rFonts w:hint="eastAsia" w:ascii="仿宋" w:hAnsi="仿宋" w:eastAsia="仿宋" w:cs="仿宋"/>
                <w:b/>
                <w:bCs/>
                <w:color w:val="auto"/>
                <w:sz w:val="24"/>
                <w:highlight w:val="none"/>
              </w:rPr>
              <w:t xml:space="preserve">2026年</w:t>
            </w:r>
            <w:r>
              <w:rPr>
                <w:rFonts w:hint="eastAsia" w:ascii="仿宋" w:hAnsi="仿宋" w:eastAsia="仿宋" w:cs="仿宋"/>
                <w:b/>
                <w:bCs/>
                <w:color w:val="auto"/>
                <w:sz w:val="24"/>
                <w:highlight w:val="none"/>
                <w:lang w:val="en-US" w:eastAsia="zh-CN"/>
              </w:rPr>
              <w:t xml:space="preserve">09</w:t>
            </w:r>
            <w:r>
              <w:rPr>
                <w:rFonts w:hint="eastAsia" w:ascii="仿宋" w:hAnsi="仿宋" w:eastAsia="仿宋" w:cs="仿宋"/>
                <w:b/>
                <w:bCs/>
                <w:color w:val="auto"/>
                <w:sz w:val="24"/>
                <w:highlight w:val="none"/>
              </w:rPr>
              <w:t xml:space="preserve">月10日</w:t>
            </w:r>
            <w:r>
              <w:rPr>
                <w:rFonts w:hint="eastAsia" w:ascii="仿宋" w:hAnsi="仿宋" w:eastAsia="仿宋" w:cs="仿宋"/>
                <w:b/>
                <w:bCs/>
                <w:color w:val="auto"/>
                <w:sz w:val="24"/>
                <w:highlight w:val="none"/>
              </w:rPr>
              <w:t xml:space="preserve">09:30前</w:t>
            </w:r>
            <w:r>
              <w:rPr>
                <w:rFonts w:hint="eastAsia" w:ascii="仿宋" w:hAnsi="仿宋" w:eastAsia="仿宋" w:cs="仿宋"/>
                <w:color w:val="auto"/>
                <w:sz w:val="24"/>
                <w:highlight w:val="none"/>
              </w:rPr>
              <w:t xml:space="preserve">。</w:t>
            </w:r>
            <w:r/>
          </w:p>
          <w:p>
            <w:pPr>
              <w:ind w:firstLine="480"/>
              <w:spacing w:line="34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二、投标截止时间：</w:t>
            </w:r>
            <w:r>
              <w:rPr>
                <w:rFonts w:hint="eastAsia" w:ascii="仿宋" w:hAnsi="仿宋" w:eastAsia="仿宋" w:cs="仿宋"/>
                <w:b/>
                <w:bCs/>
                <w:color w:val="auto"/>
                <w:sz w:val="24"/>
                <w:highlight w:val="none"/>
              </w:rPr>
              <w:t xml:space="preserve">2026年</w:t>
            </w:r>
            <w:r>
              <w:rPr>
                <w:rFonts w:hint="eastAsia" w:ascii="仿宋" w:hAnsi="仿宋" w:eastAsia="仿宋" w:cs="仿宋"/>
                <w:b/>
                <w:bCs/>
                <w:color w:val="auto"/>
                <w:sz w:val="24"/>
                <w:highlight w:val="none"/>
                <w:lang w:val="en-US" w:eastAsia="zh-CN"/>
              </w:rPr>
              <w:t xml:space="preserve">09</w:t>
            </w:r>
            <w:r>
              <w:rPr>
                <w:rFonts w:hint="eastAsia" w:ascii="仿宋" w:hAnsi="仿宋" w:eastAsia="仿宋" w:cs="仿宋"/>
                <w:b/>
                <w:bCs/>
                <w:color w:val="auto"/>
                <w:sz w:val="24"/>
                <w:highlight w:val="none"/>
              </w:rPr>
              <w:t xml:space="preserve">月10</w:t>
            </w:r>
            <w:r>
              <w:rPr>
                <w:rFonts w:hint="eastAsia" w:ascii="仿宋" w:hAnsi="仿宋" w:eastAsia="仿宋" w:cs="仿宋"/>
                <w:b/>
                <w:bCs/>
                <w:color w:val="auto"/>
                <w:sz w:val="24"/>
                <w:highlight w:val="none"/>
              </w:rPr>
              <w:t xml:space="preserve">日北京时间09:30</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三、投标文件的提交与接收地点：投标人应当通过“苏采云”系统提交数据电文形式的投标文件（即电子投标），“苏采云”系统自动接收。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投标人应携带 CA 数字证书以及自备的能够登录“苏采云”系统的电脑在到达开标时间后，使用 CA 数字证书解密各自投标文件。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四、开标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开标时间：</w:t>
            </w:r>
            <w:r>
              <w:rPr>
                <w:rFonts w:hint="eastAsia" w:ascii="仿宋" w:hAnsi="仿宋" w:eastAsia="仿宋" w:cs="仿宋"/>
                <w:b/>
                <w:bCs/>
                <w:color w:val="auto"/>
                <w:sz w:val="24"/>
                <w:highlight w:val="none"/>
              </w:rPr>
              <w:t xml:space="preserve">2026年</w:t>
            </w:r>
            <w:r>
              <w:rPr>
                <w:rFonts w:hint="eastAsia" w:ascii="仿宋" w:hAnsi="仿宋" w:eastAsia="仿宋" w:cs="仿宋"/>
                <w:b/>
                <w:bCs/>
                <w:color w:val="auto"/>
                <w:sz w:val="24"/>
                <w:highlight w:val="none"/>
                <w:lang w:val="en-US" w:eastAsia="zh-CN"/>
              </w:rPr>
              <w:t xml:space="preserve">09</w:t>
            </w:r>
            <w:r>
              <w:rPr>
                <w:rFonts w:hint="eastAsia" w:ascii="仿宋" w:hAnsi="仿宋" w:eastAsia="仿宋" w:cs="仿宋"/>
                <w:b/>
                <w:bCs/>
                <w:color w:val="auto"/>
                <w:sz w:val="24"/>
                <w:highlight w:val="none"/>
              </w:rPr>
              <w:t xml:space="preserve">月10日</w:t>
            </w:r>
            <w:r>
              <w:rPr>
                <w:rFonts w:hint="eastAsia" w:ascii="仿宋" w:hAnsi="仿宋" w:eastAsia="仿宋" w:cs="仿宋"/>
                <w:b/>
                <w:bCs/>
                <w:color w:val="auto"/>
                <w:sz w:val="24"/>
                <w:highlight w:val="none"/>
              </w:rPr>
              <w:t xml:space="preserve">北京时间09:30</w:t>
            </w:r>
            <w:r>
              <w:rPr>
                <w:rFonts w:hint="eastAsia" w:ascii="仿宋" w:hAnsi="仿宋" w:eastAsia="仿宋" w:cs="仿宋"/>
                <w:color w:val="auto"/>
                <w:sz w:val="24"/>
                <w:highlight w:val="none"/>
              </w:rPr>
              <w:br w:type="textWrapping" w:clear="all"/>
            </w:r>
            <w:r>
              <w:rPr>
                <w:rFonts w:hint="eastAsia" w:ascii="仿宋" w:hAnsi="仿宋" w:eastAsia="仿宋" w:cs="仿宋"/>
                <w:b/>
                <w:color w:val="auto"/>
                <w:sz w:val="24"/>
                <w:highlight w:val="none"/>
              </w:rPr>
              <w:t xml:space="preserve">开标地点：</w:t>
            </w:r>
            <w:r>
              <w:rPr>
                <w:rFonts w:hint="eastAsia" w:ascii="仿宋" w:hAnsi="仿宋" w:eastAsia="仿宋" w:cs="仿宋"/>
                <w:color w:val="auto"/>
                <w:sz w:val="24"/>
                <w:highlight w:val="none"/>
              </w:rPr>
              <w:t xml:space="preserve">“苏采云”系统（网址：http://jszfcg.jsczt.cn/）“开标大厅”或进入徐州政府采购网（网址：https://czj.xz.gov.cn/zfcg/）-业务工作-用户登录，点击“苏采云”进入系统“开标大厅”。</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所有投标人解密（或解密时间）结束后，“苏采云”系统生成开标记录并向社会公众公布，但依法应当保密的除外。</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五、评标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(二十六)2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评标小组的组建：</w:t>
            </w:r>
            <w:r>
              <w:rPr>
                <w:rFonts w:hint="eastAsia" w:ascii="仿宋" w:hAnsi="仿宋" w:eastAsia="仿宋" w:cs="仿宋"/>
                <w:color w:val="auto"/>
                <w:sz w:val="24"/>
                <w:highlight w:val="none"/>
              </w:rPr>
              <w:t xml:space="preserve">5人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由</w:t>
            </w:r>
            <w:r>
              <w:rPr>
                <w:rFonts w:hint="eastAsia" w:ascii="仿宋" w:hAnsi="仿宋" w:eastAsia="仿宋" w:cs="仿宋"/>
                <w:color w:val="auto"/>
                <w:sz w:val="24"/>
                <w:highlight w:val="none"/>
                <w:lang w:val="en-US" w:eastAsia="zh-CN"/>
              </w:rPr>
              <w:t xml:space="preserve">采购人评委1人，和</w:t>
            </w:r>
            <w:r>
              <w:rPr>
                <w:rFonts w:hint="eastAsia" w:ascii="仿宋" w:hAnsi="仿宋" w:eastAsia="仿宋" w:cs="仿宋"/>
                <w:color w:val="auto"/>
                <w:sz w:val="24"/>
                <w:highlight w:val="none"/>
              </w:rPr>
              <w:t xml:space="preserve">政府采购专家</w:t>
            </w:r>
            <w:r>
              <w:rPr>
                <w:rFonts w:hint="eastAsia" w:ascii="仿宋" w:hAnsi="仿宋" w:eastAsia="仿宋" w:cs="仿宋"/>
                <w:color w:val="auto"/>
                <w:sz w:val="24"/>
                <w:highlight w:val="none"/>
                <w:lang w:val="en-US" w:eastAsia="zh-CN"/>
              </w:rPr>
              <w:t xml:space="preserve">4人</w:t>
            </w:r>
            <w:r>
              <w:rPr>
                <w:rFonts w:hint="eastAsia" w:ascii="仿宋" w:hAnsi="仿宋" w:eastAsia="仿宋" w:cs="仿宋"/>
                <w:color w:val="auto"/>
                <w:sz w:val="24"/>
                <w:highlight w:val="none"/>
              </w:rPr>
              <w:t xml:space="preserve">组成（从《江苏省政府采购专家库》随机抽取）。</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采用综合评分法。各评标因素权数详见第四章《评标标准》中《评分细则》</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(二十八)1</w:t>
            </w:r>
            <w:r/>
          </w:p>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1、推荐中标候选供应商名单。中标候选供应商数量应当根据采购需要确定，但必须按顺序排列中标候选供应商。</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用综合评分法的，按评审后得分由高到低顺序排列。得分相同的，按投标报价由低到高顺序排列；投标报价得分相同的，按商务部分得分由高到低顺序排列。投标报价且商务得分相同的，按技术方案和项目实施方案得分由高到低顺序排列。</w:t>
            </w:r>
            <w:r/>
          </w:p>
          <w:p>
            <w:pPr>
              <w:ind w:firstLine="480"/>
              <w:spacing w:line="340" w:lineRule="exac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3、采购人应当自收到评标报告之日起5个工作日内，在评标报告确定的中标候选人名单中按得分最高顺序确定一名中标人。</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（二十九）</w:t>
            </w:r>
            <w:r/>
          </w:p>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1.评标中需要投标人对投标文件澄清或者说明的，应当通过“苏采云”系统交换数据电文。在评标期间，请投标人保持在线。</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七、采购合同</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采购人与中标、成交供应商应当在中标、成交通知书发出之日起30日内，按照采购文件确定的事项签订采购合同。</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履约保证金：合同总价的10%，签订合同前提交，以支票、汇票、本票或者金融机构、担保机构出具的保函等非现金形式缴纳。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1、供应商认为采购文件、采购过程和中标、成交结果使自己的权益受到损害的，可以在知道或者应知其权益受到损害之日起七个工作日内，以书面形式向采购人或采购代理机构提出质疑。</w:t>
            </w:r>
            <w:r/>
          </w:p>
          <w:p>
            <w:pPr>
              <w:ind w:firstLine="48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2、质疑和投诉按《政府采购质疑和投诉办法》执行，供应商在法定质疑期内一次性提出针对同一采购程序环节的质疑。</w:t>
            </w:r>
            <w:r/>
          </w:p>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p>
          <w:p>
            <w:pPr>
              <w:spacing w:line="34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质疑接收人：朱文颖   联系电话：0516-</w:t>
            </w:r>
            <w:r>
              <w:rPr>
                <w:rFonts w:hint="eastAsia" w:ascii="仿宋" w:hAnsi="仿宋" w:eastAsia="仿宋" w:cs="仿宋"/>
                <w:color w:val="auto"/>
                <w:sz w:val="24"/>
                <w:highlight w:val="none"/>
                <w:lang w:eastAsia="zh-CN"/>
              </w:rPr>
              <w:t xml:space="preserve">85610680</w:t>
            </w:r>
            <w:r/>
          </w:p>
          <w:p>
            <w:pP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地址：徐州市泉山区软件园路2号</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中标人在收到中标通知书时，须向采购代理机构提交《开标一览表》和《分项价格表》的数据文件（WORD格式）。</w:t>
            </w:r>
            <w:r/>
          </w:p>
        </w:tc>
      </w:tr>
    </w:tbl>
    <w:p>
      <w:pPr>
        <w:spacing w:line="360" w:lineRule="auto"/>
        <w:rPr>
          <w:rFonts w:hint="eastAsia" w:ascii="仿宋" w:hAnsi="仿宋" w:eastAsia="仿宋" w:cs="仿宋"/>
          <w:color w:val="auto"/>
          <w:sz w:val="30"/>
          <w:szCs w:val="30"/>
          <w:highlight w:val="none"/>
        </w:rPr>
        <w:sectPr>
          <w:headerReference w:type="default" r:id="rId10"/>
          <w:footerReference w:type="default" r:id="rId17"/>
          <w:footnotePr/>
          <w:endnotePr/>
          <w:type w:val="nextPage"/>
          <w:pgSz w:w="11906" w:h="16838" w:orient="portrait"/>
          <w:pgMar w:top="1440" w:right="1423" w:bottom="1440" w:left="1423" w:header="851" w:footer="992" w:gutter="0"/>
          <w:pgNumType w:start="1"/>
          <w:cols w:num="1" w:sep="0" w:space="1701" w:equalWidth="1"/>
          <w:docGrid w:linePitch="360"/>
        </w:sectPr>
      </w:pPr>
      <w:r>
        <w:rPr>
          <w:rFonts w:hint="eastAsia" w:ascii="仿宋" w:hAnsi="仿宋" w:eastAsia="仿宋" w:cs="仿宋"/>
          <w:color w:val="auto"/>
          <w:sz w:val="30"/>
          <w:szCs w:val="30"/>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招标代理服务收费标准</w:t>
      </w:r>
      <w:r/>
    </w:p>
    <w:tbl>
      <w:tblPr>
        <w:tblStyle w:val="1029"/>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费率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0.005%</w:t>
            </w:r>
            <w:r/>
          </w:p>
        </w:tc>
      </w:tr>
    </w:tbl>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72"/>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72"/>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1、按上表计算的收费为代理服务全过程的收费金额。各社会代理机构不再收取采购文件制作售卖费用。</w:t>
      </w:r>
      <w:r/>
    </w:p>
    <w:p>
      <w:pPr>
        <w:ind w:firstLine="472"/>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2、代理服务费按差额定率累进法计算。</w:t>
      </w:r>
      <w:r/>
    </w:p>
    <w:p>
      <w:pPr>
        <w:ind w:firstLine="472"/>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3、代理服务费基准金额（按差额定率累进法计算的）=中标金额（按差额定率累进法计算的）*费率（%）*60%</w:t>
      </w:r>
      <w:r/>
    </w:p>
    <w:p>
      <w:pPr>
        <w:ind w:firstLine="472"/>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4、代理服务费应收取金额=代理服务费基准金额（按差额定率累进法计算的）的合计数。</w:t>
      </w:r>
      <w:r/>
    </w:p>
    <w:p>
      <w:pPr>
        <w:ind w:firstLine="472"/>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5、定点类等无金额或事先不能计算出价格总额的项目，按中标（成交）金额100万元计算服务费。</w:t>
      </w:r>
      <w:r/>
    </w:p>
    <w:p>
      <w:pPr>
        <w:ind w:firstLine="472"/>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6.有分包(分标段)的以一个项目计算。</w:t>
      </w:r>
      <w:r/>
    </w:p>
    <w:p>
      <w:pPr>
        <w:ind w:firstLine="420"/>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7.账户名称：江苏科建工程项目管理有限公司徐州分公司</w:t>
      </w:r>
      <w:r/>
    </w:p>
    <w:p>
      <w:pPr>
        <w:ind w:firstLine="420"/>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开户行：中国农业银行股份有限公司徐州塔东支行（系统勾选铜山-塔东）</w:t>
      </w:r>
      <w:r/>
    </w:p>
    <w:p>
      <w:pPr>
        <w:ind w:firstLine="420"/>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银行帐号：10247401040011283</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bCs/>
          <w:color w:val="auto"/>
          <w:sz w:val="30"/>
          <w:szCs w:val="44"/>
          <w:highlight w:val="none"/>
        </w:rPr>
      </w:pPr>
      <w:r/>
      <w:bookmarkStart w:id="16" w:name="_Toc9429"/>
      <w:r>
        <w:rPr>
          <w:rFonts w:hint="eastAsia" w:ascii="仿宋" w:hAnsi="仿宋" w:eastAsia="仿宋" w:cs="仿宋"/>
          <w:b/>
          <w:bCs/>
          <w:color w:val="auto"/>
          <w:sz w:val="30"/>
          <w:szCs w:val="44"/>
          <w:highlight w:val="none"/>
        </w:rPr>
        <w:br w:type="page" w:clear="all"/>
      </w:r>
      <w:r/>
    </w:p>
    <w:p>
      <w:pPr>
        <w:pStyle w:val="1074"/>
        <w:jc w:val="center"/>
        <w:rPr>
          <w:rStyle w:val="1165"/>
          <w:rFonts w:hint="eastAsia" w:ascii="仿宋" w:hAnsi="仿宋" w:eastAsia="仿宋" w:cs="仿宋"/>
          <w:color w:val="auto"/>
          <w:highlight w:val="none"/>
        </w:rPr>
        <w:outlineLvl w:val="0"/>
      </w:pPr>
      <w:r>
        <w:rPr>
          <w:rFonts w:hint="eastAsia" w:ascii="仿宋" w:hAnsi="仿宋" w:eastAsia="仿宋" w:cs="仿宋"/>
          <w:b/>
          <w:bCs/>
          <w:color w:val="auto"/>
          <w:sz w:val="30"/>
          <w:szCs w:val="44"/>
          <w:highlight w:val="none"/>
        </w:rPr>
        <w:t xml:space="preserve">第四章  </w:t>
      </w:r>
      <w:bookmarkStart w:id="17" w:name="_Toc20077"/>
      <w:r/>
      <w:bookmarkStart w:id="18" w:name="_Toc23939"/>
      <w:r/>
      <w:bookmarkStart w:id="19" w:name="_Toc23155"/>
      <w:r>
        <w:rPr>
          <w:rStyle w:val="1165"/>
          <w:rFonts w:hint="eastAsia" w:ascii="仿宋" w:hAnsi="仿宋" w:eastAsia="仿宋" w:cs="仿宋"/>
          <w:color w:val="auto"/>
          <w:highlight w:val="none"/>
        </w:rPr>
        <w:t xml:space="preserve">评标标准</w:t>
      </w:r>
      <w:bookmarkEnd w:id="16"/>
      <w:r/>
      <w:bookmarkEnd w:id="17"/>
      <w:r/>
      <w:bookmarkEnd w:id="18"/>
      <w:r/>
      <w:bookmarkEnd w:id="19"/>
      <w:r/>
      <w:r/>
    </w:p>
    <w:p>
      <w:pPr>
        <w:pStyle w:val="1074"/>
        <w:ind w:firstLine="482"/>
        <w:rPr>
          <w:rFonts w:hint="eastAsia" w:ascii="仿宋" w:hAnsi="仿宋" w:eastAsia="仿宋" w:cs="仿宋"/>
          <w:b/>
          <w:bCs/>
          <w:color w:val="auto"/>
          <w:sz w:val="30"/>
          <w:szCs w:val="44"/>
          <w:highlight w:val="none"/>
        </w:rPr>
      </w:pPr>
      <w:r>
        <w:rPr>
          <w:rFonts w:hint="eastAsia" w:ascii="仿宋" w:hAnsi="仿宋" w:eastAsia="仿宋" w:cs="仿宋"/>
          <w:color w:val="auto"/>
          <w:sz w:val="24"/>
          <w:highlight w:val="none"/>
        </w:rPr>
        <w:t xml:space="preserve">本章说明：本项目采用综合评分法。（投标人技术部分得分取所有评委的平均值，保留小数点后二位）。</w:t>
      </w:r>
      <w:r/>
    </w:p>
    <w:tbl>
      <w:tblPr>
        <w:tblStyle w:val="1029"/>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1448"/>
        <w:gridCol w:w="6923"/>
      </w:tblGrid>
      <w:tr>
        <w:trPr>
          <w:jc w:val="center"/>
          <w:trHeight w:val="375"/>
        </w:trPr>
        <w:tc>
          <w:tcPr>
            <w:gridSpan w:val="2"/>
            <w:tcW w:w="2749"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项目及分值</w:t>
            </w:r>
            <w:r/>
          </w:p>
        </w:tc>
        <w:tc>
          <w:tcPr>
            <w:tcW w:w="692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  分  依  据</w:t>
            </w:r>
            <w:r/>
          </w:p>
        </w:tc>
      </w:tr>
      <w:tr>
        <w:trPr>
          <w:jc w:val="center"/>
          <w:trHeight w:val="923"/>
        </w:trPr>
        <w:tc>
          <w:tcPr>
            <w:tcW w:w="1301" w:type="dxa"/>
            <w:vAlign w:val="center"/>
            <w:textDirection w:val="lrTb"/>
            <w:noWrap w:val="false"/>
          </w:tcPr>
          <w:p>
            <w:pPr>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价格部分</w:t>
            </w:r>
            <w:r/>
          </w:p>
          <w:p>
            <w:pPr>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（40分）</w:t>
            </w:r>
            <w:r/>
          </w:p>
        </w:tc>
        <w:tc>
          <w:tcPr>
            <w:tcW w:w="1448" w:type="dxa"/>
            <w:vAlign w:val="center"/>
            <w:textDirection w:val="lrTb"/>
            <w:noWrap w:val="false"/>
          </w:tcPr>
          <w:p>
            <w:pPr>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（40分）</w:t>
            </w:r>
            <w:r/>
          </w:p>
        </w:tc>
        <w:tc>
          <w:tcPr>
            <w:tcW w:w="6923" w:type="dxa"/>
            <w:vAlign w:val="center"/>
            <w:textDirection w:val="lrTb"/>
            <w:noWrap w:val="false"/>
          </w:tcPr>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价格分采用低价优先法计算，即满足招标文件要求且投标价格最低的投标报价为评标基准价，其价格分为满分40分。其他投标人的价格分按照下列公式计算：</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投标报价得分=（评标基准价／各投标人评审价格）×40</w:t>
            </w:r>
            <w:r/>
          </w:p>
        </w:tc>
      </w:tr>
      <w:tr>
        <w:trPr>
          <w:cantSplit/>
          <w:jc w:val="center"/>
          <w:trHeight w:val="1145"/>
        </w:trPr>
        <w:tc>
          <w:tcPr>
            <w:tcW w:w="1301" w:type="dxa"/>
            <w:vAlign w:val="center"/>
            <w:textDirection w:val="lrTb"/>
            <w:noWrap w:val="false"/>
          </w:tcPr>
          <w:p>
            <w:pPr>
              <w:jc w:val="center"/>
              <w:spacing w:line="312" w:lineRule="auto"/>
              <w:rPr>
                <w:rFonts w:hint="eastAsia" w:ascii="仿宋" w:hAnsi="仿宋" w:eastAsia="仿宋" w:cs="仿宋"/>
                <w:color w:val="auto"/>
                <w:sz w:val="24"/>
                <w:szCs w:val="24"/>
                <w:highlight w:val="none"/>
              </w:rPr>
            </w:pPr>
            <w:r/>
            <w:bookmarkStart w:id="20" w:name="_Toc3437"/>
            <w:r/>
            <w:bookmarkStart w:id="21" w:name="_Toc24766"/>
            <w:r>
              <w:rPr>
                <w:rFonts w:hint="eastAsia" w:ascii="仿宋" w:hAnsi="仿宋" w:eastAsia="仿宋" w:cs="仿宋"/>
                <w:color w:val="auto"/>
                <w:sz w:val="24"/>
                <w:szCs w:val="24"/>
                <w:highlight w:val="none"/>
              </w:rPr>
              <w:t xml:space="preserve">商务部分</w:t>
            </w:r>
            <w:bookmarkEnd w:id="20"/>
            <w:r/>
            <w:bookmarkEnd w:id="21"/>
            <w:r/>
            <w:r/>
          </w:p>
          <w:p>
            <w:pPr>
              <w:jc w:val="center"/>
              <w:spacing w:line="312" w:lineRule="auto"/>
              <w:rPr>
                <w:rFonts w:hint="eastAsia" w:ascii="仿宋" w:hAnsi="仿宋" w:eastAsia="仿宋" w:cs="仿宋"/>
                <w:color w:val="auto"/>
                <w:sz w:val="24"/>
                <w:szCs w:val="24"/>
                <w:highlight w:val="none"/>
              </w:rPr>
            </w:pPr>
            <w:r/>
            <w:bookmarkStart w:id="22" w:name="_Toc389"/>
            <w:r/>
            <w:bookmarkStart w:id="23" w:name="_Toc20381"/>
            <w:r>
              <w:rPr>
                <w:rFonts w:hint="eastAsia" w:ascii="仿宋" w:hAnsi="仿宋" w:eastAsia="仿宋" w:cs="仿宋"/>
                <w:color w:val="auto"/>
                <w:sz w:val="24"/>
                <w:szCs w:val="24"/>
                <w:highlight w:val="none"/>
              </w:rPr>
              <w:t xml:space="preserve">（4分）</w:t>
            </w:r>
            <w:bookmarkEnd w:id="22"/>
            <w:r/>
            <w:bookmarkEnd w:id="23"/>
            <w:r/>
            <w:r/>
          </w:p>
        </w:tc>
        <w:tc>
          <w:tcPr>
            <w:tcW w:w="1448" w:type="dxa"/>
            <w:vAlign w:val="center"/>
            <w:textDirection w:val="lrTb"/>
            <w:noWrap w:val="false"/>
          </w:tcPr>
          <w:p>
            <w:pPr>
              <w:ind w:left="10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投标人业绩</w:t>
            </w:r>
            <w:r/>
          </w:p>
          <w:p>
            <w:pPr>
              <w:ind w:firstLine="21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w:t>
            </w:r>
            <w:r/>
          </w:p>
        </w:tc>
        <w:tc>
          <w:tcPr>
            <w:tcW w:w="6923" w:type="dxa"/>
            <w:vAlign w:val="center"/>
            <w:textDirection w:val="lrTb"/>
            <w:noWrap w:val="false"/>
          </w:tcPr>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投标人自</w:t>
            </w:r>
            <w:r>
              <w:rPr>
                <w:rFonts w:hint="eastAsia" w:ascii="仿宋" w:hAnsi="仿宋" w:eastAsia="仿宋" w:cs="仿宋"/>
                <w:color w:val="auto"/>
                <w:sz w:val="24"/>
                <w:szCs w:val="24"/>
                <w:highlight w:val="none"/>
              </w:rPr>
              <w:t xml:space="preserve">2023年</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rPr>
              <w:t xml:space="preserve">1日</w:t>
            </w:r>
            <w:r>
              <w:rPr>
                <w:rFonts w:hint="eastAsia" w:ascii="仿宋" w:hAnsi="仿宋" w:eastAsia="仿宋" w:cs="仿宋"/>
                <w:color w:val="auto"/>
                <w:sz w:val="24"/>
                <w:szCs w:val="24"/>
                <w:highlight w:val="none"/>
                <w:lang w:val="en-US" w:eastAsia="zh-CN"/>
              </w:rPr>
              <w:t xml:space="preserve">(含）</w:t>
            </w:r>
            <w:r>
              <w:rPr>
                <w:rFonts w:hint="eastAsia" w:ascii="仿宋" w:hAnsi="仿宋" w:eastAsia="仿宋" w:cs="仿宋"/>
                <w:color w:val="auto"/>
                <w:sz w:val="24"/>
                <w:szCs w:val="24"/>
                <w:highlight w:val="none"/>
              </w:rPr>
              <w:t xml:space="preserve">以来承接过相同或类似项目的，每有一个得2分，本项最高得4分。</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注：时间以合同签订时间为准，投标文件中须同时提供项目合同、中标通知书和该项目的发票或其他形式的付款凭证，不提供或提供内容模糊不清的不得分。</w:t>
            </w:r>
            <w:r/>
          </w:p>
        </w:tc>
      </w:tr>
      <w:tr>
        <w:trPr>
          <w:cantSplit/>
          <w:jc w:val="center"/>
          <w:trHeight w:val="90"/>
        </w:trPr>
        <w:tc>
          <w:tcPr>
            <w:tcW w:w="1301" w:type="dxa"/>
            <w:vAlign w:val="center"/>
            <w:vMerge w:val="restart"/>
            <w:textDirection w:val="lrTb"/>
            <w:noWrap w:val="false"/>
          </w:tcPr>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技术部分</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（56分）</w:t>
            </w:r>
            <w:r/>
          </w:p>
        </w:tc>
        <w:tc>
          <w:tcPr>
            <w:tcW w:w="1448" w:type="dxa"/>
            <w:vAlign w:val="center"/>
            <w:textDirection w:val="lrTb"/>
            <w:noWrap w:val="false"/>
          </w:tcPr>
          <w:p>
            <w:pPr>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技术规格</w:t>
            </w:r>
            <w:r/>
          </w:p>
          <w:p>
            <w:pPr>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0分）</w:t>
            </w:r>
            <w:r/>
          </w:p>
        </w:tc>
        <w:tc>
          <w:tcPr>
            <w:tcW w:w="6923" w:type="dxa"/>
            <w:vAlign w:val="center"/>
            <w:textDirection w:val="lrTb"/>
            <w:noWrap w:val="false"/>
          </w:tcPr>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依据投标文件中偏离表、所投产品的技术参数对招标文件《第六章 采购需求》“技术参数”满足程度进行评分。</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采购清单及技术参数要求中加“★”标记的为重要响应指标，不允许负偏离；其余为非重要响应指标，技术参数完全满足要求的得40分，每项非重要响应指标负偏离减</w:t>
            </w:r>
            <w:r>
              <w:rPr>
                <w:rFonts w:hint="eastAsia" w:ascii="仿宋" w:hAnsi="仿宋" w:eastAsia="仿宋" w:cs="仿宋"/>
                <w:color w:val="auto"/>
                <w:sz w:val="24"/>
                <w:szCs w:val="24"/>
                <w:highlight w:val="none"/>
                <w:lang w:val="en-US" w:eastAsia="zh-CN"/>
              </w:rPr>
              <w:t xml:space="preserve">0.6</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rPr>
              <w:t xml:space="preserve">，扣完为止。</w:t>
            </w:r>
            <w:r/>
          </w:p>
        </w:tc>
      </w:tr>
      <w:tr>
        <w:trPr>
          <w:cantSplit/>
          <w:jc w:val="center"/>
          <w:trHeight w:val="468"/>
        </w:trPr>
        <w:tc>
          <w:tcPr>
            <w:tcW w:w="1301" w:type="dxa"/>
            <w:vAlign w:val="center"/>
            <w:vMerge w:val="continue"/>
            <w:textDirection w:val="lrTb"/>
            <w:noWrap w:val="false"/>
          </w:tcPr>
          <w:p>
            <w:pPr>
              <w:jc w:val="center"/>
              <w:spacing w:line="312"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shd w:val="clear" w:color="auto" w:fill="auto"/>
            <w:tcW w:w="1448" w:type="dxa"/>
            <w:vAlign w:val="center"/>
            <w:textDirection w:val="lrTb"/>
            <w:noWrap w:val="false"/>
          </w:tcPr>
          <w:p>
            <w:pPr>
              <w:jc w:val="center"/>
              <w:spacing w:line="32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技术承诺</w:t>
            </w:r>
            <w:r/>
          </w:p>
          <w:p>
            <w:pPr>
              <w:jc w:val="center"/>
              <w:spacing w:line="324"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tc>
        <w:tc>
          <w:tcPr>
            <w:shd w:val="clear" w:color="auto" w:fill="auto"/>
            <w:tcW w:w="6923" w:type="dxa"/>
            <w:vAlign w:val="center"/>
            <w:textDirection w:val="lrTb"/>
            <w:noWrap w:val="false"/>
          </w:tcPr>
          <w:p>
            <w:pPr>
              <w:spacing w:line="324" w:lineRule="auto"/>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1、在满足技术参数要求的29个常染色体基因座基础上，每增加一个常染色体基因座得</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分，满分</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分。</w:t>
            </w:r>
            <w:r>
              <w:rPr>
                <w:rFonts w:hint="eastAsia" w:ascii="仿宋" w:hAnsi="仿宋" w:eastAsia="仿宋" w:cs="仿宋"/>
                <w:b/>
                <w:bCs/>
                <w:color w:val="auto"/>
                <w:sz w:val="24"/>
                <w:szCs w:val="24"/>
                <w:highlight w:val="none"/>
              </w:rPr>
              <w:t xml:space="preserve">（须提供产品彩页或产品说明书)</w:t>
            </w:r>
            <w:r/>
          </w:p>
          <w:p>
            <w:pPr>
              <w:spacing w:line="324" w:lineRule="auto"/>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2、招标人如有重大案（事）件检验需要时，投标人能够提供与投标常染色体试剂盒同品牌案件试剂盒得</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rPr>
                <w:rFonts w:hint="eastAsia" w:ascii="仿宋" w:hAnsi="仿宋" w:eastAsia="仿宋" w:cs="仿宋"/>
                <w:b/>
                <w:bCs/>
                <w:color w:val="auto"/>
                <w:sz w:val="24"/>
                <w:szCs w:val="24"/>
                <w:highlight w:val="none"/>
              </w:rPr>
              <w:t xml:space="preserve">（须提供产品彩页或产品说明书，并提供DNA数据库截图）</w:t>
            </w:r>
            <w:r/>
          </w:p>
          <w:p>
            <w:pPr>
              <w:spacing w:line="32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3、在满足技术参数要求的35个Y染色体基因座基础上，每增加一个Y染色体基因座（不含Yindel）得</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分，满分</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b/>
                <w:bCs/>
                <w:color w:val="auto"/>
                <w:sz w:val="24"/>
                <w:szCs w:val="24"/>
                <w:highlight w:val="none"/>
              </w:rPr>
              <w:t xml:space="preserve">（须提供产品彩页或产品说明书)</w:t>
            </w:r>
            <w:r/>
          </w:p>
          <w:p>
            <w:pPr>
              <w:spacing w:line="324"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4、为应对部分案件排查需求，投标人能够提供与所投Y染色体建库试剂盒同品牌多位点补充试剂盒，补充试剂盒与所投试剂盒联合使用能够检测不少于60个Y基因座，得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b/>
                <w:bCs/>
                <w:color w:val="auto"/>
                <w:sz w:val="24"/>
                <w:szCs w:val="24"/>
                <w:highlight w:val="none"/>
              </w:rPr>
              <w:t xml:space="preserve">（须提供产品彩页或产品说明书，并提供DNA数据库截图）</w:t>
            </w:r>
            <w:r/>
          </w:p>
        </w:tc>
      </w:tr>
      <w:tr>
        <w:trPr>
          <w:cantSplit/>
          <w:jc w:val="center"/>
          <w:trHeight w:val="1931"/>
        </w:trPr>
        <w:tc>
          <w:tcPr>
            <w:tcW w:w="1301" w:type="dxa"/>
            <w:vAlign w:val="center"/>
            <w:vMerge w:val="continue"/>
            <w:textDirection w:val="lrTb"/>
            <w:noWrap w:val="false"/>
          </w:tcPr>
          <w:p>
            <w:pPr>
              <w:jc w:val="center"/>
              <w:spacing w:line="312"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shd w:val="clear" w:color="auto" w:fill="auto"/>
            <w:tcW w:w="1448" w:type="dxa"/>
            <w:vAlign w:val="center"/>
            <w:textDirection w:val="lrTb"/>
            <w:noWrap w:val="false"/>
          </w:tcPr>
          <w:p>
            <w:pPr>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项目实施及</w:t>
            </w:r>
            <w:r>
              <w:rPr>
                <w:rFonts w:hint="eastAsia" w:ascii="仿宋" w:hAnsi="仿宋" w:eastAsia="仿宋" w:cs="仿宋"/>
                <w:bCs/>
                <w:color w:val="auto"/>
                <w:sz w:val="24"/>
                <w:szCs w:val="24"/>
                <w:highlight w:val="none"/>
              </w:rPr>
              <w:t xml:space="preserve">配送</w:t>
            </w:r>
            <w:r>
              <w:rPr>
                <w:rFonts w:hint="eastAsia" w:ascii="仿宋" w:hAnsi="仿宋" w:eastAsia="仿宋" w:cs="仿宋"/>
                <w:color w:val="auto"/>
                <w:sz w:val="24"/>
                <w:szCs w:val="24"/>
                <w:highlight w:val="none"/>
              </w:rPr>
              <w:t xml:space="preserve">方案</w:t>
            </w:r>
            <w:r/>
          </w:p>
          <w:p>
            <w:pPr>
              <w:jc w:val="center"/>
              <w:spacing w:line="31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shd w:val="clear" w:color="auto" w:fill="auto"/>
            <w:tcW w:w="6923" w:type="dxa"/>
            <w:vAlign w:val="center"/>
            <w:textDirection w:val="lrTb"/>
            <w:noWrap w:val="false"/>
          </w:tcPr>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根据各投标人提供的整体实施方案及货物配送、接收方案的全面性、可行性、针对性等方面进行综合评比:</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针对性强、符合实际切实可行的得4分；针对性一般、较可行的得2分；欠缺针对性和可行性的得1分。</w:t>
            </w:r>
            <w:r/>
          </w:p>
          <w:p>
            <w:pPr>
              <w:spacing w:line="31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未提供得0分，本项最高得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分，最低得0分。</w:t>
            </w:r>
            <w:r/>
          </w:p>
        </w:tc>
      </w:tr>
      <w:tr>
        <w:trPr>
          <w:cantSplit/>
          <w:jc w:val="center"/>
          <w:trHeight w:val="462"/>
        </w:trPr>
        <w:tc>
          <w:tcPr>
            <w:tcW w:w="1301" w:type="dxa"/>
            <w:vAlign w:val="center"/>
            <w:vMerge w:val="continue"/>
            <w:textDirection w:val="lrTb"/>
            <w:noWrap w:val="false"/>
          </w:tcPr>
          <w:p>
            <w:pPr>
              <w:jc w:val="center"/>
              <w:spacing w:line="312"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44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W w:w="6923" w:type="dxa"/>
            <w:vAlign w:val="center"/>
            <w:textDirection w:val="lrTb"/>
            <w:noWrap w:val="false"/>
          </w:tcPr>
          <w:p>
            <w:pPr>
              <w:spacing w:line="312"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根据各投标人提供的售后服务方案：</w:t>
            </w:r>
            <w:r>
              <w:rPr>
                <w:rFonts w:hint="eastAsia" w:ascii="仿宋" w:hAnsi="仿宋" w:eastAsia="仿宋" w:cs="仿宋"/>
                <w:color w:val="auto"/>
                <w:sz w:val="24"/>
                <w:szCs w:val="24"/>
                <w:highlight w:val="none"/>
                <w:lang w:val="en-US" w:eastAsia="zh-CN"/>
              </w:rPr>
              <w:t xml:space="preserve">针对</w:t>
            </w:r>
            <w:r>
              <w:rPr>
                <w:rFonts w:hint="eastAsia" w:ascii="仿宋" w:hAnsi="仿宋" w:eastAsia="仿宋" w:cs="仿宋"/>
                <w:color w:val="auto"/>
                <w:sz w:val="24"/>
                <w:szCs w:val="24"/>
                <w:highlight w:val="none"/>
              </w:rPr>
              <w:t xml:space="preserve">产品出现质量问题的处理、使用过程出现技术问题的处理、技术支持、售后响应时间、方式等方案的</w:t>
            </w:r>
            <w:r>
              <w:rPr>
                <w:rFonts w:hint="eastAsia" w:ascii="仿宋" w:hAnsi="仿宋" w:eastAsia="仿宋" w:cs="仿宋"/>
                <w:color w:val="auto"/>
                <w:sz w:val="24"/>
                <w:szCs w:val="24"/>
                <w:highlight w:val="none"/>
                <w:lang w:val="zh-CN"/>
              </w:rPr>
              <w:t xml:space="preserve">全面性、可行性、针对性等方面进行综合评比：</w:t>
            </w:r>
            <w:r/>
          </w:p>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针对性强、符合实际切实可行的得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分；针对性一般、较可行的得2分；欠缺针对性和可行性的得1分。</w:t>
            </w:r>
            <w:r/>
          </w:p>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未提供的得0分，本项最高得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分，最低得0分。</w:t>
            </w:r>
            <w:r/>
          </w:p>
        </w:tc>
      </w:tr>
    </w:tbl>
    <w:p>
      <w:pPr>
        <w:spacing w:line="276" w:lineRule="auto"/>
        <w:rPr>
          <w:rFonts w:hint="eastAsia" w:ascii="仿宋" w:hAnsi="仿宋" w:eastAsia="仿宋" w:cs="仿宋"/>
          <w:b/>
          <w:bCs/>
          <w:color w:val="auto"/>
          <w:sz w:val="28"/>
          <w:szCs w:val="28"/>
          <w:highlight w:val="none"/>
        </w:rPr>
        <w:sectPr>
          <w:headerReference w:type="default" r:id="rId11"/>
          <w:footerReference w:type="default" r:id="rId18"/>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仿宋" w:hAnsi="仿宋" w:eastAsia="仿宋" w:cs="仿宋"/>
          <w:b/>
          <w:bCs/>
          <w:color w:val="auto"/>
          <w:sz w:val="28"/>
          <w:szCs w:val="28"/>
          <w:highlight w:val="none"/>
        </w:rPr>
      </w:r>
      <w:r/>
    </w:p>
    <w:p>
      <w:pPr>
        <w:jc w:val="center"/>
        <w:spacing w:line="276" w:lineRule="auto"/>
        <w:rPr>
          <w:rFonts w:hint="eastAsia" w:ascii="仿宋" w:hAnsi="仿宋" w:eastAsia="仿宋" w:cs="仿宋"/>
          <w:bCs/>
          <w:color w:val="auto"/>
          <w:sz w:val="24"/>
          <w:highlight w:val="none"/>
        </w:rPr>
        <w:outlineLvl w:val="0"/>
      </w:pPr>
      <w:r/>
      <w:bookmarkStart w:id="24" w:name="_Toc28345"/>
      <w:r/>
      <w:bookmarkStart w:id="25" w:name="_Toc25895"/>
      <w:r/>
      <w:bookmarkStart w:id="26" w:name="_Toc1973"/>
      <w:r>
        <w:rPr>
          <w:rFonts w:hint="eastAsia" w:ascii="仿宋" w:hAnsi="仿宋" w:eastAsia="仿宋" w:cs="仿宋"/>
          <w:b/>
          <w:bCs/>
          <w:color w:val="auto"/>
          <w:sz w:val="28"/>
          <w:szCs w:val="28"/>
          <w:highlight w:val="none"/>
        </w:rPr>
        <w:t xml:space="preserve">第五章  采购需求</w:t>
      </w:r>
      <w:bookmarkEnd w:id="24"/>
      <w:r/>
      <w:bookmarkEnd w:id="25"/>
      <w:r/>
      <w:bookmarkEnd w:id="26"/>
      <w:r/>
      <w:r/>
    </w:p>
    <w:p>
      <w:pPr>
        <w:pStyle w:val="1065"/>
        <w:spacing w:line="276" w:lineRule="auto"/>
        <w:widowControl w:val="off"/>
        <w:rPr>
          <w:rFonts w:hint="eastAsia" w:ascii="仿宋" w:hAnsi="仿宋" w:eastAsia="仿宋" w:cs="仿宋"/>
          <w:b/>
          <w:bCs/>
          <w:color w:val="auto"/>
          <w:sz w:val="24"/>
          <w:szCs w:val="24"/>
          <w:highlight w:val="none"/>
        </w:rPr>
      </w:pPr>
      <w:r/>
      <w:bookmarkStart w:id="27" w:name="_Toc80122298"/>
      <w:r>
        <w:rPr>
          <w:rFonts w:hint="eastAsia" w:ascii="仿宋" w:hAnsi="仿宋" w:eastAsia="仿宋" w:cs="仿宋"/>
          <w:b/>
          <w:color w:val="auto"/>
          <w:sz w:val="24"/>
          <w:szCs w:val="24"/>
          <w:highlight w:val="none"/>
        </w:rPr>
        <w:t xml:space="preserve">一、采购预算 </w:t>
      </w:r>
      <w:r/>
    </w:p>
    <w:p>
      <w:pPr>
        <w:pStyle w:val="1065"/>
        <w:ind w:firstLine="48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1、本项目不接受进口产品。</w:t>
      </w:r>
      <w:r/>
    </w:p>
    <w:p>
      <w:pPr>
        <w:pStyle w:val="1065"/>
        <w:ind w:firstLine="480"/>
        <w:spacing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2、本项目采购预算为345万元。</w:t>
      </w:r>
      <w:r/>
    </w:p>
    <w:p>
      <w:pPr>
        <w:pStyle w:val="1065"/>
        <w:ind w:firstLine="480"/>
        <w:spacing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报价应包括货物、包装、运输、装卸、培训、保险、售后、企业利润、税金等所有费用。</w:t>
      </w:r>
      <w:r>
        <w:rPr>
          <w:rFonts w:hint="eastAsia" w:ascii="仿宋" w:hAnsi="仿宋" w:eastAsia="仿宋" w:cs="仿宋"/>
          <w:bCs/>
          <w:color w:val="auto"/>
          <w:sz w:val="24"/>
          <w:szCs w:val="24"/>
          <w:highlight w:val="none"/>
          <w:lang w:val="zh-CN"/>
        </w:rPr>
        <w:t xml:space="preserve">投标人应充分了解该项目的总体情况、各类市场风险以影响投标报价的其他要素风险。</w:t>
      </w:r>
      <w:r>
        <w:rPr>
          <w:rFonts w:hint="eastAsia" w:ascii="仿宋" w:hAnsi="仿宋" w:eastAsia="仿宋" w:cs="仿宋"/>
          <w:bCs/>
          <w:color w:val="auto"/>
          <w:sz w:val="24"/>
          <w:szCs w:val="24"/>
          <w:highlight w:val="none"/>
        </w:rPr>
        <w:t xml:space="preserve">采购人不再支付报价以外的任何费用。</w:t>
      </w:r>
      <w:r/>
    </w:p>
    <w:p>
      <w:pPr>
        <w:pStyle w:val="1065"/>
        <w:ind w:firstLine="480"/>
        <w:spacing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“报价”如无特别说明，均指含税价格，包含增值税税款及其他所有税费。</w:t>
      </w:r>
      <w:r/>
    </w:p>
    <w:p>
      <w:pPr>
        <w:pStyle w:val="1065"/>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二、项目概况</w:t>
      </w:r>
      <w:r/>
    </w:p>
    <w:p>
      <w:pPr>
        <w:pStyle w:val="1065"/>
        <w:ind w:firstLine="42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1、项目名称：DNA试剂耗材采购项目</w:t>
      </w:r>
      <w:r/>
    </w:p>
    <w:p>
      <w:pPr>
        <w:pStyle w:val="1065"/>
        <w:ind w:firstLine="42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2、供货地点：徐州市公安局物证鉴定所，具体地点以采购人要求为准。</w:t>
      </w:r>
      <w:r/>
    </w:p>
    <w:p>
      <w:pPr>
        <w:pStyle w:val="1065"/>
        <w:ind w:firstLine="42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3、供货期限：</w:t>
      </w:r>
      <w:r>
        <w:rPr>
          <w:rFonts w:hint="eastAsia" w:ascii="仿宋" w:hAnsi="仿宋" w:eastAsia="仿宋" w:cs="仿宋"/>
          <w:color w:val="auto"/>
          <w:sz w:val="24"/>
          <w:szCs w:val="24"/>
          <w:highlight w:val="none"/>
          <w:lang w:bidi="ar"/>
        </w:rPr>
        <w:t xml:space="preserve">自本合同签订之日起30日内，完成全部合同标的交付。</w:t>
      </w:r>
      <w:r/>
    </w:p>
    <w:p>
      <w:pPr>
        <w:pStyle w:val="1065"/>
        <w:ind w:firstLine="42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4、质量要求：合格，符合国家相关规范标准，符合招标人要求。</w:t>
      </w:r>
      <w:r/>
    </w:p>
    <w:p>
      <w:pPr>
        <w:pStyle w:val="1065"/>
        <w:ind w:firstLine="42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bidi="ar"/>
        </w:rPr>
        <w:t xml:space="preserve">采购需求：</w:t>
      </w:r>
      <w:r>
        <w:rPr>
          <w:rFonts w:hint="eastAsia" w:ascii="仿宋" w:hAnsi="仿宋" w:eastAsia="仿宋" w:cs="仿宋"/>
          <w:color w:val="auto"/>
          <w:sz w:val="24"/>
          <w:szCs w:val="24"/>
          <w:highlight w:val="none"/>
        </w:rPr>
        <w:t xml:space="preserve">DNA试剂耗材采购项目，包含个体识别扩增试剂盒、Y案件试剂盒、常染色体试剂盒等</w:t>
      </w:r>
      <w:r/>
    </w:p>
    <w:p>
      <w:pPr>
        <w:pStyle w:val="1065"/>
        <w:ind w:firstLine="42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6、采购包划分：</w:t>
      </w:r>
      <w:r>
        <w:rPr>
          <w:rFonts w:hint="eastAsia" w:ascii="仿宋" w:hAnsi="仿宋" w:eastAsia="仿宋" w:cs="仿宋"/>
          <w:color w:val="auto"/>
          <w:sz w:val="24"/>
          <w:szCs w:val="24"/>
          <w:highlight w:val="none"/>
        </w:rPr>
        <w:t xml:space="preserve">共分</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个采购包</w:t>
      </w:r>
      <w:r/>
    </w:p>
    <w:p>
      <w:pPr>
        <w:pStyle w:val="1065"/>
        <w:ind w:firstLine="42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核心产品</w:t>
      </w:r>
      <w:r>
        <w:rPr>
          <w:rFonts w:hint="eastAsia" w:ascii="仿宋" w:hAnsi="仿宋" w:eastAsia="仿宋" w:cs="仿宋"/>
          <w:color w:val="auto"/>
          <w:sz w:val="24"/>
          <w:szCs w:val="24"/>
          <w:highlight w:val="none"/>
          <w:lang w:val="en-US" w:eastAsia="zh-CN"/>
        </w:rPr>
        <w:t xml:space="preserve">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常染色体试剂盒</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个体识别扩增试剂盒</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Y案件试剂盒</w:t>
      </w:r>
      <w:bookmarkEnd w:id="27"/>
      <w:r/>
      <w:r/>
    </w:p>
    <w:p>
      <w:pPr>
        <w:pStyle w:val="1065"/>
        <w:spacing w:line="276"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三、采购清单及技术参数要求</w:t>
      </w:r>
      <w:r/>
    </w:p>
    <w:p>
      <w:pPr>
        <w:pStyle w:val="1065"/>
        <w:jc w:val="center"/>
        <w:spacing w:line="276"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表一 主要标的物</w:t>
      </w:r>
      <w:r/>
    </w:p>
    <w:tbl>
      <w:tblPr>
        <w:tblStyle w:val="1029"/>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1422"/>
        <w:gridCol w:w="937"/>
        <w:gridCol w:w="1061"/>
        <w:gridCol w:w="540"/>
        <w:gridCol w:w="5723"/>
      </w:tblGrid>
      <w:tr>
        <w:trPr>
          <w:jc w:val="center"/>
          <w:trHeight w:val="23"/>
        </w:trPr>
        <w:tc>
          <w:tcPr>
            <w:tcW w:w="518" w:type="dxa"/>
            <w:vAlign w:val="center"/>
            <w:textDirection w:val="lrTb"/>
            <w:noWrap w:val="false"/>
          </w:tcPr>
          <w:p>
            <w:pPr>
              <w:spacing w:line="312"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序号</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名称</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数量</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规格</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单位</w:t>
            </w:r>
            <w:r/>
          </w:p>
        </w:tc>
        <w:tc>
          <w:tcPr>
            <w:tcW w:w="5723"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技术参数</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2"/>
                <w:szCs w:val="22"/>
                <w:highlight w:val="none"/>
                <w:lang w:bidi="ar"/>
              </w:rPr>
              <w:t xml:space="preserve">1</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个体识别扩增试剂盒</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30</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200反应/盒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top"/>
            <w:textDirection w:val="lrTb"/>
            <w:noWrap w:val="false"/>
          </w:tcPr>
          <w:p>
            <w:pPr>
              <w:jc w:val="left"/>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lang w:bidi="ar"/>
              </w:rPr>
              <w:t xml:space="preserve">1.单管至少同时扩增以下23个常STR位点和2个性别位点：D18S51、FGA、D21S11、D8S1179、VWA、D13S317、D16S539、D7S820、TH01、D3S1358、D5S818、CSF1PO、D2S1338、D19S433、D1S1656、D12S391、D2S441、D10S1248、TPOX、D22S1045、D6S1043、PentaE、PentaD、Amelogenin和Y-Indel。</w:t>
            </w:r>
            <w:r>
              <w:rPr>
                <w:rFonts w:hint="eastAsia" w:ascii="仿宋" w:hAnsi="仿宋" w:eastAsia="仿宋" w:cs="仿宋"/>
                <w:b/>
                <w:bCs/>
                <w:color w:val="auto"/>
                <w:sz w:val="24"/>
                <w:szCs w:val="24"/>
                <w:highlight w:val="none"/>
                <w:lang w:bidi="ar"/>
              </w:rPr>
              <w:t xml:space="preserve">（须提供产品彩页或产品说明书证明)</w:t>
            </w:r>
            <w:r>
              <w:rPr>
                <w:rFonts w:hint="eastAsia" w:ascii="仿宋" w:hAnsi="仿宋" w:eastAsia="仿宋" w:cs="仿宋"/>
                <w:color w:val="auto"/>
                <w:sz w:val="24"/>
                <w:szCs w:val="24"/>
                <w:highlight w:val="none"/>
                <w:lang w:bidi="ar"/>
              </w:rPr>
              <w:t xml:space="preserve">。</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2.扩增产物中须包含内控质量参考（IQC）标记物，可用于样品质量（如抑制物、降解）的快速评估。</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3.每个基因座有自己的滑移峰比例。</w:t>
            </w:r>
            <w:r>
              <w:rPr>
                <w:rFonts w:hint="eastAsia" w:ascii="仿宋" w:hAnsi="仿宋" w:eastAsia="仿宋" w:cs="仿宋"/>
                <w:b/>
                <w:bCs/>
                <w:color w:val="auto"/>
                <w:sz w:val="24"/>
                <w:szCs w:val="24"/>
                <w:highlight w:val="none"/>
                <w:lang w:bidi="ar"/>
              </w:rPr>
              <w:t xml:space="preserve">（须提供产品彩页或产品说明书证明)</w:t>
            </w:r>
            <w:r>
              <w:rPr>
                <w:rFonts w:hint="eastAsia" w:ascii="仿宋" w:hAnsi="仿宋" w:eastAsia="仿宋" w:cs="仿宋"/>
                <w:color w:val="auto"/>
                <w:sz w:val="24"/>
                <w:szCs w:val="24"/>
                <w:highlight w:val="none"/>
                <w:lang w:bidi="ar"/>
              </w:rPr>
              <w:t xml:space="preserve">。</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4.采用六色荧光技术。</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lang w:bidi="ar"/>
              </w:rPr>
              <w:t xml:space="preserve">5.试剂盒须通过“中国安全技术防范认证中心”认证</w:t>
            </w:r>
            <w:r>
              <w:rPr>
                <w:rFonts w:hint="eastAsia" w:ascii="仿宋" w:hAnsi="仿宋" w:eastAsia="仿宋" w:cs="仿宋"/>
                <w:b/>
                <w:bCs/>
                <w:color w:val="auto"/>
                <w:sz w:val="24"/>
                <w:szCs w:val="24"/>
                <w:highlight w:val="none"/>
                <w:lang w:bidi="ar"/>
              </w:rPr>
              <w:t xml:space="preserve">（须提供认证证书复印件）</w:t>
            </w:r>
            <w:r>
              <w:rPr>
                <w:rFonts w:hint="eastAsia" w:ascii="仿宋" w:hAnsi="仿宋" w:eastAsia="仿宋" w:cs="仿宋"/>
                <w:color w:val="auto"/>
                <w:sz w:val="24"/>
                <w:szCs w:val="24"/>
                <w:highlight w:val="none"/>
                <w:lang w:bidi="ar"/>
              </w:rPr>
              <w:t xml:space="preserve">。</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6.采用快速扩增酶和高效缓冲体系，扩增时间不超过80分钟。</w:t>
            </w:r>
            <w:r/>
          </w:p>
          <w:p>
            <w:pPr>
              <w:spacing w:line="312" w:lineRule="auto"/>
              <w:rPr>
                <w:rFonts w:hint="eastAsia" w:ascii="仿宋" w:hAnsi="仿宋" w:eastAsia="仿宋" w:cs="仿宋"/>
                <w:b/>
                <w:bCs/>
                <w:color w:val="auto"/>
                <w:sz w:val="24"/>
                <w:szCs w:val="24"/>
                <w:highlight w:val="none"/>
                <w:lang w:bidi="ar"/>
              </w:rPr>
            </w:pPr>
            <w:r>
              <w:rPr>
                <w:rFonts w:hint="eastAsia" w:ascii="仿宋" w:hAnsi="仿宋" w:eastAsia="仿宋" w:cs="仿宋"/>
                <w:color w:val="auto"/>
                <w:sz w:val="24"/>
                <w:szCs w:val="24"/>
                <w:highlight w:val="none"/>
                <w:lang w:bidi="ar"/>
              </w:rPr>
              <w:t xml:space="preserve">7.试剂盒真实bin和虚拟bin的个数合计不少于610个，有效降低OL的产生。</w:t>
            </w:r>
            <w:r>
              <w:rPr>
                <w:rFonts w:hint="eastAsia" w:ascii="仿宋" w:hAnsi="仿宋" w:eastAsia="仿宋" w:cs="仿宋"/>
                <w:b/>
                <w:bCs/>
                <w:color w:val="auto"/>
                <w:sz w:val="24"/>
                <w:szCs w:val="24"/>
                <w:highlight w:val="none"/>
                <w:lang w:bidi="ar"/>
              </w:rPr>
              <w:t xml:space="preserve">（须提供产品彩页或产品说明书证明)</w:t>
            </w:r>
            <w:r/>
          </w:p>
          <w:p>
            <w:pPr>
              <w:spacing w:line="312" w:lineRule="auto"/>
              <w:rPr>
                <w:rFonts w:hint="eastAsia" w:ascii="仿宋" w:hAnsi="仿宋" w:eastAsia="仿宋" w:cs="仿宋"/>
                <w:b/>
                <w:bCs/>
                <w:color w:val="auto"/>
                <w:sz w:val="24"/>
                <w:szCs w:val="24"/>
                <w:highlight w:val="none"/>
                <w:lang w:bidi="ar"/>
              </w:rPr>
            </w:pPr>
            <w:r>
              <w:rPr>
                <w:rFonts w:hint="eastAsia" w:ascii="仿宋" w:hAnsi="仿宋" w:eastAsia="仿宋" w:cs="仿宋"/>
                <w:color w:val="auto"/>
                <w:sz w:val="24"/>
                <w:szCs w:val="24"/>
                <w:highlight w:val="none"/>
                <w:lang w:bidi="ar"/>
              </w:rPr>
              <w:t xml:space="preserve">8.为满足检案需求，在25ul扩增体系中，试剂盒的检测灵敏度不超过125 pg DNA模板量。</w:t>
            </w:r>
            <w:r>
              <w:rPr>
                <w:rFonts w:hint="eastAsia" w:ascii="仿宋" w:hAnsi="仿宋" w:eastAsia="仿宋" w:cs="仿宋"/>
                <w:b/>
                <w:bCs/>
                <w:color w:val="auto"/>
                <w:sz w:val="24"/>
                <w:szCs w:val="24"/>
                <w:highlight w:val="none"/>
                <w:lang w:bidi="ar"/>
              </w:rPr>
              <w:t xml:space="preserve">（须提供产品彩页或产品说明书证明)</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9.为减少人源性污染，试剂盒符合ISO18385法医DNA级标签的要求，并能提供ISO18385认证证书</w:t>
            </w:r>
            <w:r>
              <w:rPr>
                <w:rFonts w:hint="eastAsia" w:ascii="仿宋" w:hAnsi="仿宋" w:eastAsia="仿宋" w:cs="仿宋"/>
                <w:b/>
                <w:bCs/>
                <w:color w:val="auto"/>
                <w:sz w:val="24"/>
                <w:szCs w:val="24"/>
                <w:highlight w:val="none"/>
                <w:lang w:bidi="ar"/>
              </w:rPr>
              <w:t xml:space="preserve">（须提供认证证书复印件）</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2"/>
                <w:szCs w:val="22"/>
                <w:highlight w:val="none"/>
                <w:lang w:bidi="ar"/>
              </w:rPr>
              <w:t xml:space="preserve">2</w:t>
            </w:r>
            <w:r/>
          </w:p>
        </w:tc>
        <w:tc>
          <w:tcPr>
            <w:tcW w:w="1422" w:type="dxa"/>
            <w:vAlign w:val="center"/>
            <w:textDirection w:val="lrTb"/>
            <w:noWrap w:val="false"/>
          </w:tcPr>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Y案件试剂盒</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100反应/盒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top"/>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 </w:t>
            </w:r>
            <w:r>
              <w:rPr>
                <w:rFonts w:hint="eastAsia" w:ascii="仿宋" w:hAnsi="仿宋" w:eastAsia="仿宋" w:cs="仿宋"/>
                <w:color w:val="auto"/>
                <w:sz w:val="24"/>
                <w:szCs w:val="24"/>
                <w:highlight w:val="none"/>
              </w:rPr>
              <w:t xml:space="preserve">1、本次项目所采用试剂盒为六色荧光技术，固态球状试剂，包含40个 Y-STR 基因座，必须包含公安部要求的 20 个核心基因座和 15 个优选基因座，多出的基因座必须涵盖在公安部备选基</w:t>
            </w:r>
            <w:r>
              <w:rPr>
                <w:rFonts w:hint="eastAsia" w:ascii="仿宋" w:hAnsi="仿宋" w:eastAsia="仿宋" w:cs="仿宋"/>
                <w:color w:val="auto"/>
                <w:sz w:val="24"/>
                <w:szCs w:val="24"/>
                <w:highlight w:val="none"/>
              </w:rPr>
              <w:t xml:space="preserve">因座中。核心基因座 20 个：DYS19、DYS385、DYS389I、DYS389II、DYS390、DYS391、DYS392、DYS393、DYS437、DYS438、DYS439、DYS456、DYS458、DYS448、DYS635、GATA-H4、DYS481、DYS533、DYS576。优选基因座 15 个：DYS643、DYS460、DYS549、DYS449、DYS518、DYF387S1、DYS627、DYS570、DYS527、DYS447、DYS444、DYS557、 DYS596。</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2、本次项目所采用试剂盒包含3个Y-indel:rs771783753、rs759551978、rs199815934。 </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3、本次项目所采用试剂盒符合《法庭科学人类荧光标记 Y-STR 复合扩增检测试剂检测作业指导书》的要求，且相邻常见等位基因间隔大于 8bp。</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4、为了减少 OL 峰的产生，本次项目所采用试剂盒的每个基因座应含有充足的等位基因数量，真实 Bin 和虚拟 Bin 合计总数大于 540个，其中真实的 bin 不少于 480个。</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5、试剂盒名称和基因座参数信息已经收录国家数据库，能成功导入</w:t>
            </w:r>
            <w:r>
              <w:rPr>
                <w:rFonts w:hint="eastAsia" w:ascii="仿宋" w:hAnsi="仿宋" w:eastAsia="仿宋" w:cs="仿宋"/>
                <w:b/>
                <w:bCs/>
                <w:color w:val="auto"/>
                <w:sz w:val="24"/>
                <w:szCs w:val="24"/>
                <w:highlight w:val="none"/>
              </w:rPr>
              <w:t xml:space="preserve">（需提供金盾二期全国公安机关 DNA 数据库中扩增试剂盒下拉菜单截图）。</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3</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毛细管</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套</w:t>
            </w:r>
            <w:r/>
          </w:p>
        </w:tc>
        <w:tc>
          <w:tcPr>
            <w:tcW w:w="5723" w:type="dxa"/>
            <w:vAlign w:val="top"/>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毛细管36cm长、24道毛细管阵列，内无涂层，配套3500xl遗传分析仪使用。</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4</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电泳分离（384）</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25</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384人份/盒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top"/>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适用于3500系列遗传分析仪电泳分离胶，能够满足384人份样本的检测，含4%非交联的二甲基聚丙烯酰胺、高浓度的尿素。</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5</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荧光分子量内标</w:t>
            </w:r>
            <w:r>
              <w:rPr>
                <w:rFonts w:hint="eastAsia" w:ascii="仿宋" w:hAnsi="仿宋" w:eastAsia="仿宋" w:cs="仿宋"/>
                <w:color w:val="auto"/>
                <w:sz w:val="24"/>
                <w:szCs w:val="24"/>
                <w:highlight w:val="none"/>
              </w:rPr>
              <w:t xml:space="preserve">LIZ</w:t>
            </w:r>
            <w:r>
              <w:rPr>
                <w:rFonts w:hint="eastAsia" w:ascii="仿宋" w:hAnsi="仿宋" w:eastAsia="仿宋" w:cs="仿宋"/>
                <w:color w:val="auto"/>
                <w:sz w:val="24"/>
                <w:szCs w:val="24"/>
                <w:highlight w:val="none"/>
                <w:lang w:bidi="ar"/>
              </w:rPr>
              <w:t xml:space="preserve">600</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15</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800人份/盒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top"/>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rPr>
              <w:t xml:space="preserve">1.用LIZ作为标记荧光，用于大小在20-600个核苷酸范围的片段，提供以下长度的36种单链标记片段: 20, 40, 60, 80, 100, 114, 120, 140, 160, 180, 200, 214, 220, 240, 250, 260, 280, 300, 314, 320, 340, 360, 380, 400, 414, 420, 440, 460, 480, 500, 514, 520, 540, 560, 580 和600。</w:t>
            </w:r>
            <w:r>
              <w:rPr>
                <w:rFonts w:hint="eastAsia" w:ascii="仿宋" w:hAnsi="仿宋" w:eastAsia="仿宋" w:cs="仿宋"/>
                <w:b/>
                <w:color w:val="auto"/>
                <w:sz w:val="24"/>
                <w:szCs w:val="24"/>
                <w:highlight w:val="none"/>
                <w:lang w:bidi="ar"/>
              </w:rPr>
              <w:t xml:space="preserve">（须提供产品彩页或产品说明书证明)</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6</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阴极缓冲液</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4瓶/盒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top"/>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1、内含有1倍浓度的运行缓冲液，可支持3500系列基因分析仪进行各种电泳应用。</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2、容器内两个独立的隔间，左侧提供电泳所需的阴极缓冲液，右侧可进行两次注射间的毛细管清洗和聚合物废物清除。</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3、缓冲液保存于一次性的即用型容器中，容器上贴有无线射频识别（RFID）标签的商标。</w:t>
            </w:r>
            <w:r/>
          </w:p>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4、该盒的顶部以塑粘性盖膜进行了热封，该塑粘性盖膜在直接装入仪器之前应去除。每个包装内含有4个独立容器。</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7</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阳极缓冲液</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w:t>
            </w:r>
            <w:r/>
          </w:p>
        </w:tc>
        <w:tc>
          <w:tcPr>
            <w:tcW w:w="1061" w:type="dxa"/>
            <w:vAlign w:val="center"/>
            <w:textDirection w:val="lrTb"/>
            <w:noWrap w:val="false"/>
          </w:tcPr>
          <w:p>
            <w:pPr>
              <w:jc w:val="left"/>
              <w:spacing w:line="312" w:lineRule="auto"/>
              <w:widowControl/>
              <w:tabs>
                <w:tab w:val="left" w:pos="269" w:leader="none"/>
              </w:tabs>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4瓶/盒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top"/>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1、内含有1倍浓度的阳极缓冲液，可支持3500系列基因分析仪进行各种电泳应用。</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2、缓冲液保存于一次性的即用型容器中，容器上贴有无线射频识别（RFID）标签的商标。</w:t>
            </w:r>
            <w:r/>
          </w:p>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3、该盒顶部以塑粘性盖膜进行热封，该塑粘性盖膜在直接装入仪器之前应去除；每个包装内含有4个独立容器。</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8</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甲酰胺</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25ml/瓶</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瓶</w:t>
            </w:r>
            <w:r/>
          </w:p>
        </w:tc>
        <w:tc>
          <w:tcPr>
            <w:tcW w:w="5723" w:type="dxa"/>
            <w:vAlign w:val="top"/>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纯度高于99.9%，高纯度去离子甲酰氨，用于在毛细管电泳前对样本进行变性，25ml/瓶包装。</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9</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生物物证粘取器</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40</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10个/盒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center"/>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10mm*10mm</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10</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96孔反应板</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10板/ 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center"/>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0.2ml透明半裙边96孔PCR板，带单切角</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11</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8联排扩增套装</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125 排/盒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top"/>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PCR8联排管，透明，0.2ml透明PCR八排管盖(荧光定量专用)</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12</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PCR反应管</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1000个/盒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center"/>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0.2ml透明PCR管</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13</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离心管0.6ml</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15</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1000个/盒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袋</w:t>
            </w:r>
            <w:r/>
          </w:p>
        </w:tc>
        <w:tc>
          <w:tcPr>
            <w:tcW w:w="5723" w:type="dxa"/>
            <w:vAlign w:val="center"/>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规格：0.6ml</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14</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离心管1.5ml</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15</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1000个/盒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袋</w:t>
            </w:r>
            <w:r/>
          </w:p>
        </w:tc>
        <w:tc>
          <w:tcPr>
            <w:tcW w:w="5723" w:type="dxa"/>
            <w:vAlign w:val="center"/>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规格：1.5ml</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15</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10ul枪尖</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100</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1000个/袋</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袋</w:t>
            </w:r>
            <w:r/>
          </w:p>
        </w:tc>
        <w:tc>
          <w:tcPr>
            <w:tcW w:w="5723" w:type="dxa"/>
            <w:vAlign w:val="center"/>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0.5-10ul袋装灭菌透明吸头</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16</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200ul枪尖</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1000个/袋</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袋</w:t>
            </w:r>
            <w:r/>
          </w:p>
        </w:tc>
        <w:tc>
          <w:tcPr>
            <w:tcW w:w="5723" w:type="dxa"/>
            <w:vAlign w:val="center"/>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200ul袋装灭菌透明吸头</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17</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1000ul枪尖</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1000个/袋</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袋</w:t>
            </w:r>
            <w:r/>
          </w:p>
        </w:tc>
        <w:tc>
          <w:tcPr>
            <w:tcW w:w="5723" w:type="dxa"/>
            <w:vAlign w:val="center"/>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1000ul袋装灭菌透明吸头</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18</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抗人精试剂条</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15</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100条/盒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center"/>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可快速定性检测人精斑</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19</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抗人血试剂条</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15</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100条/盒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center"/>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用于快速定性检测人类血液（痕）</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20</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四甲基联苯胺</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rPr>
              <w:t xml:space="preserve">4支/盒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盒</w:t>
            </w:r>
            <w:r/>
          </w:p>
        </w:tc>
        <w:tc>
          <w:tcPr>
            <w:tcW w:w="5723" w:type="dxa"/>
            <w:vAlign w:val="top"/>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规格：6ml/支，用于过氧化物酶检测、比色分析</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21</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Chelex-100</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lang w:bidi="ar"/>
              </w:rPr>
              <w:t xml:space="preserve">100g/瓶</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瓶</w:t>
            </w:r>
            <w:r/>
          </w:p>
        </w:tc>
        <w:tc>
          <w:tcPr>
            <w:tcW w:w="5723" w:type="dxa"/>
            <w:vAlign w:val="center"/>
            <w:textDirection w:val="lrTb"/>
            <w:noWrap w:val="false"/>
          </w:tcPr>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生物级树脂，200-400目</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22</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长柄易折断棉签</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1000支/盒</w:t>
            </w:r>
            <w:r/>
          </w:p>
        </w:tc>
        <w:tc>
          <w:tcPr>
            <w:tcW w:w="54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top"/>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1、棉签杆材质易于折断，棉头材质为医用脱脂棉；</w:t>
            </w:r>
            <w:r/>
          </w:p>
          <w:p>
            <w:pP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2、棉签经特殊处理后不含有外源DNA，为生物提取专用棉签。</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23</w:t>
            </w:r>
            <w:r/>
          </w:p>
        </w:tc>
        <w:tc>
          <w:tcPr>
            <w:tcW w:w="1422"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磁珠试剂盒</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11520</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p>
        </w:tc>
        <w:tc>
          <w:tcPr>
            <w:tcW w:w="540" w:type="dxa"/>
            <w:vAlign w:val="center"/>
            <w:textDirection w:val="lrTb"/>
            <w:noWrap w:val="false"/>
          </w:tcPr>
          <w:p>
            <w:pPr>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人份</w:t>
            </w:r>
            <w:r/>
          </w:p>
        </w:tc>
        <w:tc>
          <w:tcPr>
            <w:tcW w:w="5723" w:type="dxa"/>
            <w:vAlign w:val="top"/>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lang w:bidi="ar"/>
              </w:rPr>
              <w:t xml:space="preserve">1、超微量磁珠法DNA提取试剂盒通过高温裂解方式进行DNA释放，释放效率更高，并通过高灵敏度磁珠进行DNA的吸附、洗涤和洗脱；有效用于脱落细胞、污染、降解和微量检材DNA提取。与全自动 24 道微量 DNA 提取工作站BK-TQ-003W适配，达到细胞裂解快速、DNA 释放充分，大幅度缩短提取时间；</w:t>
            </w:r>
            <w:r>
              <w:rPr>
                <w:rFonts w:hint="eastAsia" w:ascii="仿宋" w:hAnsi="仿宋" w:eastAsia="仿宋" w:cs="仿宋"/>
                <w:b/>
                <w:bCs/>
                <w:color w:val="auto"/>
                <w:sz w:val="24"/>
                <w:szCs w:val="24"/>
                <w:highlight w:val="none"/>
                <w:lang w:bidi="ar"/>
              </w:rPr>
              <w:t xml:space="preserve">（须提供产品彩页或产品说明书证明)</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2、要求DNA 纯度高，STR 均衡性更好，数据质量更高抗杂质干扰能力强，检材适用性广，适合各种复杂检材同检。高温裂解方式进行DNA释放，释放效率更高，并通过高灵敏度磁珠进行DNA的吸附、洗涤和洗脱；</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3、超微量磁珠法 DNA 提取试剂盒要求为一体式的封装设计，用于 DNA提取的磁珠和各种试剂通过塑料膜密封在可与工作站配套使用的塑料反应板内，使用时撕开密封膜置于工作站中即可直接用于全自动 DNA 的自动化提取；</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4、试剂盒的全自动提取时间从开始运行到得到DNA纯溶液时间不超过70分钟；</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试剂盒包装组成应包含：封装试剂、与试剂份数相对应的盒装吸头，封装好，撕开外包装即可整盒放在工作站上使用、封装好的消化液，一次性使用，无需二次转移，撕开封膜即可放在工作站上使用、磁套、洗脱条，洗脱条可以实现25ul小体积洗脱；</w:t>
            </w:r>
            <w:r/>
          </w:p>
          <w:p>
            <w:pPr>
              <w:jc w:val="left"/>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6、试剂盒需配备与规格相匹配的24孔离心套板，该 24 孔离心套板为嵌套反应板，上下部分可分离、和试剂盒规格相匹配的封装好的洗脱液；</w:t>
            </w:r>
            <w:r>
              <w:rPr>
                <w:rFonts w:hint="eastAsia" w:ascii="仿宋" w:hAnsi="仿宋" w:eastAsia="仿宋" w:cs="仿宋"/>
                <w:b/>
                <w:color w:val="auto"/>
                <w:sz w:val="24"/>
                <w:szCs w:val="24"/>
                <w:highlight w:val="none"/>
                <w:lang w:bidi="ar"/>
              </w:rPr>
              <w:t xml:space="preserve">（须提供产品彩页或产品说明书证明)</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7、产品规格：96人份/盒；</w:t>
            </w:r>
            <w:r/>
          </w:p>
          <w:p>
            <w:pPr>
              <w:spacing w:line="312" w:lineRule="auto"/>
              <w:widowControl/>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lang w:bidi="ar"/>
              </w:rPr>
              <w:t xml:space="preserve">8、样本适用性：配有在全自动24 道微量 DNA 提取工作站上使用的浓缩、纯化及提取程序，适用于唾液(斑)、血液(斑)、精液(斑)、指甲、毛发肌肉组织等常规检材，对于陈旧、污染、降解及微量检材等超疑难检材的DNA提取纯化有优势效果；能够有效用于二次转移手套印痕类接触性检材、超微量类单指纹等接触性检材、二手检材等高难度检材的DNA提取。</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24</w:t>
            </w:r>
            <w:r/>
          </w:p>
        </w:tc>
        <w:tc>
          <w:tcPr>
            <w:tcW w:w="1422" w:type="dxa"/>
            <w:vAlign w:val="center"/>
            <w:textDirection w:val="lrTb"/>
            <w:noWrap w:val="false"/>
          </w:tcPr>
          <w:p>
            <w:pPr>
              <w:jc w:val="center"/>
              <w:spacing w:line="312" w:lineRule="auto"/>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混合斑DNA提取试剂盒</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500</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rPr>
              <w:t xml:space="preserve">/</w:t>
            </w:r>
            <w:r/>
          </w:p>
        </w:tc>
        <w:tc>
          <w:tcPr>
            <w:tcW w:w="540" w:type="dxa"/>
            <w:vAlign w:val="center"/>
            <w:textDirection w:val="lrTb"/>
            <w:noWrap w:val="false"/>
          </w:tcPr>
          <w:p>
            <w:pPr>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人份</w:t>
            </w:r>
            <w:r/>
          </w:p>
        </w:tc>
        <w:tc>
          <w:tcPr>
            <w:tcW w:w="5723" w:type="dxa"/>
            <w:vAlign w:val="top"/>
            <w:textDirection w:val="lrTb"/>
            <w:noWrap w:val="false"/>
          </w:tcPr>
          <w:p>
            <w:pPr>
              <w:spacing w:line="312" w:lineRule="auto"/>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1、全自动混合斑DNA提取试剂盒（全自动专用）为一体式封装、一次性产品，打开试剂耗材外包装即可使用，试剂无需人工配制及分装，专用于分离纯化性侵案件中混合斑检材。</w:t>
            </w:r>
            <w:r/>
          </w:p>
          <w:p>
            <w:pPr>
              <w:spacing w:line="312" w:lineRule="auto"/>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lang w:bidi="ar"/>
              </w:rPr>
              <w:t xml:space="preserve">2、</w:t>
            </w:r>
            <w:r>
              <w:rPr>
                <w:rFonts w:hint="eastAsia" w:ascii="仿宋" w:hAnsi="仿宋" w:eastAsia="仿宋" w:cs="仿宋"/>
                <w:color w:val="auto"/>
                <w:sz w:val="22"/>
                <w:szCs w:val="22"/>
                <w:highlight w:val="none"/>
                <w:lang w:bidi="ar"/>
              </w:rPr>
              <w:t xml:space="preserve">全自动混合斑DNA提取试剂盒能与全自动24道微量DNA提取工作站配合使用，全程自动化操作，无需人工干预，3小时以内即可完成8份混合斑检材男女成分的分离和纯化，分离纯化效果能够达到手工精细化操作水平。</w:t>
            </w:r>
            <w:r>
              <w:rPr>
                <w:rFonts w:hint="eastAsia" w:ascii="仿宋" w:hAnsi="仿宋" w:eastAsia="仿宋" w:cs="仿宋"/>
                <w:b/>
                <w:bCs/>
                <w:color w:val="auto"/>
                <w:sz w:val="22"/>
                <w:szCs w:val="22"/>
                <w:highlight w:val="none"/>
                <w:lang w:bidi="ar"/>
              </w:rPr>
              <w:t xml:space="preserve">（投标时需提供产品彩页）</w:t>
            </w:r>
            <w:r/>
          </w:p>
          <w:p>
            <w:pPr>
              <w:spacing w:line="312" w:lineRule="auto"/>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2"/>
                <w:szCs w:val="22"/>
                <w:highlight w:val="none"/>
                <w:lang w:bidi="ar"/>
              </w:rPr>
              <w:t xml:space="preserve">全自动混合斑DNA提取试剂盒需含有以下几部分，分别为封装试剂的48孔反应板，相应数量的封装盒装吸头，封装的消化液（能够消化女性成分，但不破坏精子细胞），封装的裂解液（无需手工另加DTT即能裂解精子细胞），磁套，洗脱条。</w:t>
            </w:r>
            <w:r>
              <w:rPr>
                <w:rFonts w:hint="eastAsia" w:ascii="仿宋" w:hAnsi="仿宋" w:eastAsia="仿宋" w:cs="仿宋"/>
                <w:b/>
                <w:bCs/>
                <w:color w:val="auto"/>
                <w:sz w:val="22"/>
                <w:szCs w:val="22"/>
                <w:highlight w:val="none"/>
                <w:lang w:bidi="ar"/>
              </w:rPr>
              <w:t xml:space="preserve">（投标时需提供产品彩页）</w:t>
            </w:r>
            <w:r/>
          </w:p>
          <w:p>
            <w:pPr>
              <w:spacing w:line="312" w:lineRule="auto"/>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4、除完整试剂盒外，需配套有专用于处理混合斑检材的24孔离心套板、24孔空白收集板和洗脱液。其中处理混合斑检材的24孔离心套板需满足以下条件：为嵌套式反应板，上下部分可分离；能够满足消化后载体的固液分离；离心后能够使精子细胞富集在膜表面，女性成分消化后产物滤过，可以达到男女成分分离的效果。</w:t>
            </w:r>
            <w:r/>
          </w:p>
          <w:p>
            <w:pPr>
              <w:spacing w:line="312" w:lineRule="auto"/>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5、产品规格：8次/盒</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25</w:t>
            </w:r>
            <w:r/>
          </w:p>
        </w:tc>
        <w:tc>
          <w:tcPr>
            <w:tcW w:w="1422" w:type="dxa"/>
            <w:vAlign w:val="center"/>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MiSeq v3 Reagent Kit (600 ycles) </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15066817-CN 法医高通量测序芯片</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3</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p>
        </w:tc>
        <w:tc>
          <w:tcPr>
            <w:tcW w:w="540" w:type="dxa"/>
            <w:vAlign w:val="center"/>
            <w:textDirection w:val="lrTb"/>
            <w:noWrap w:val="false"/>
          </w:tcPr>
          <w:p>
            <w:pPr>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个</w:t>
            </w:r>
            <w:r/>
          </w:p>
        </w:tc>
        <w:tc>
          <w:tcPr>
            <w:tcW w:w="5723" w:type="dxa"/>
            <w:vAlign w:val="top"/>
            <w:textDirection w:val="lrTb"/>
            <w:noWrap w:val="false"/>
          </w:tcPr>
          <w:p>
            <w:pPr>
              <w:spacing w:line="312" w:lineRule="auto"/>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4"/>
                <w:szCs w:val="24"/>
                <w:highlight w:val="none"/>
                <w:lang w:bidi="ar"/>
              </w:rPr>
              <w:t xml:space="preserve">用于法医二代测序仪FGx仪器，可在仪器内进行全自动固相等温扩增，产生单分子阵列克隆簇直接用于测序，测序用试剂盒，盒内包含上机测序所需试剂和流动槽芯片，使用预混测序试剂，无需人工配制，并配有无线电追踪芯片（RFID）追踪记录不同测序反应。用于科研测序模式（RUO），一次运行可测序2×300个循环，单次运行产生数据量至少15G。</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26</w:t>
            </w:r>
            <w:r/>
          </w:p>
        </w:tc>
        <w:tc>
          <w:tcPr>
            <w:tcW w:w="1422" w:type="dxa"/>
            <w:vAlign w:val="center"/>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Phix Control </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1</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10ul/盒</w:t>
            </w:r>
            <w:r/>
          </w:p>
        </w:tc>
        <w:tc>
          <w:tcPr>
            <w:tcW w:w="540" w:type="dxa"/>
            <w:vAlign w:val="center"/>
            <w:textDirection w:val="lrTb"/>
            <w:noWrap w:val="false"/>
          </w:tcPr>
          <w:p>
            <w:pPr>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top"/>
            <w:textDirection w:val="lrTb"/>
            <w:noWrap w:val="false"/>
          </w:tcPr>
          <w:p>
            <w:pPr>
              <w:spacing w:line="312" w:lineRule="auto"/>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4"/>
                <w:szCs w:val="24"/>
                <w:highlight w:val="none"/>
                <w:lang w:bidi="ar"/>
              </w:rPr>
              <w:t xml:space="preserve">用作测序运行的对照品，一款可靠、连接接头的文库，可用于调节碱基平衡，改善测序仪的空间校正，便于后期提高base calling的准确性；在测序的过程中，测序仪将测的read与phix基因组进行比较，预估测序指标。</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27</w:t>
            </w:r>
            <w:r/>
          </w:p>
        </w:tc>
        <w:tc>
          <w:tcPr>
            <w:tcW w:w="1422" w:type="dxa"/>
            <w:vAlign w:val="center"/>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STRSeqTyperY103 </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男性家系精细化排查试剂盒</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1</w:t>
            </w:r>
            <w:r/>
          </w:p>
        </w:tc>
        <w:tc>
          <w:tcPr>
            <w:tcW w:w="1061"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100人份/盒</w:t>
            </w:r>
            <w:r/>
          </w:p>
        </w:tc>
        <w:tc>
          <w:tcPr>
            <w:tcW w:w="540" w:type="dxa"/>
            <w:vAlign w:val="center"/>
            <w:textDirection w:val="lrTb"/>
            <w:noWrap w:val="false"/>
          </w:tcPr>
          <w:p>
            <w:pPr>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723" w:type="dxa"/>
            <w:vAlign w:val="top"/>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1、单管集成检测103个基因座(85个单拷贝Y-STR 基因座、7个二拷贝Y-STR基因座、1个三拷贝Y-STR基因座和性别判定 Amel基因座)。</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2、适合数据库建设，包含国家标准推荐的全部 35 个A类和 B类Y-STR 基因座</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lang w:bidi="ar"/>
              </w:rPr>
              <w:t xml:space="preserve">3.扩增子片段平均长度208bp，对降解检材亦有检出能力。</w:t>
            </w:r>
            <w:r>
              <w:rPr>
                <w:rFonts w:hint="eastAsia" w:ascii="仿宋" w:hAnsi="仿宋" w:eastAsia="仿宋" w:cs="仿宋"/>
                <w:b/>
                <w:color w:val="auto"/>
                <w:sz w:val="24"/>
                <w:szCs w:val="24"/>
                <w:highlight w:val="none"/>
                <w:lang w:bidi="ar"/>
              </w:rPr>
              <w:t xml:space="preserve">（须提供产品彩页或产品说明书证明)。</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4、灵敏度低至 0.03 ng。</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5、可适用于真迈、华大智造、赛陆、思昆、ilIumina 等二代测序平台。</w:t>
            </w:r>
            <w:r/>
          </w:p>
          <w:p>
            <w:pPr>
              <w:spacing w:line="312" w:lineRule="auto"/>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4"/>
                <w:szCs w:val="24"/>
                <w:highlight w:val="none"/>
                <w:lang w:bidi="ar"/>
              </w:rPr>
              <w:t xml:space="preserve">6、配套数据分析软件基于Windows系统使用，一键式获得STR长度和序列分型</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28</w:t>
            </w:r>
            <w:r/>
          </w:p>
        </w:tc>
        <w:tc>
          <w:tcPr>
            <w:tcW w:w="1422" w:type="dxa"/>
            <w:vAlign w:val="center"/>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mtDNASeqTyper</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线粒体全基因组测序试剂盒</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937" w:type="dxa"/>
            <w:vAlign w:val="center"/>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W w:w="1061" w:type="dxa"/>
            <w:vAlign w:val="center"/>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100人份/盒</w:t>
            </w:r>
            <w:r/>
          </w:p>
        </w:tc>
        <w:tc>
          <w:tcPr>
            <w:tcW w:w="540" w:type="dxa"/>
            <w:vAlign w:val="center"/>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盒</w:t>
            </w:r>
            <w:r/>
          </w:p>
        </w:tc>
        <w:tc>
          <w:tcPr>
            <w:tcW w:w="5723" w:type="dxa"/>
            <w:vAlign w:val="top"/>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1双管检测线粒体全基因组(共 122个扩增子)。</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2、适用于中国人群线粒体 DNA 的精准检验。</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3、有效实现对 NUMTS 干扰的前端质控。</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lang w:bidi="ar"/>
              </w:rPr>
              <w:t xml:space="preserve">4、扩增子长度为 141~260 bp，平均 196 bp，适用于微量、降解检材(降解指数为 12 的高度降解检材仍可报告线粒体基因组完整序列)。</w:t>
            </w:r>
            <w:r>
              <w:rPr>
                <w:rFonts w:hint="eastAsia" w:ascii="仿宋" w:hAnsi="仿宋" w:eastAsia="仿宋" w:cs="仿宋"/>
                <w:b/>
                <w:color w:val="auto"/>
                <w:sz w:val="24"/>
                <w:szCs w:val="24"/>
                <w:highlight w:val="none"/>
                <w:lang w:bidi="ar"/>
              </w:rPr>
              <w:t xml:space="preserve">（须提供产品彩页或产品说明书证明)</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5、适用于血液、口腔、毛发、骨骼和牙齿等常见法医物证检材类型，支持母系亲缘关系分析和无名尸溯源等应用。</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6、可适用于真迈、华大智造、ilIumina 等二代测序平台。</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7、线粒体配套分析软件可输出线粒体特征点、异质性、单倍群信息以及样本间比对。</w:t>
            </w:r>
            <w:r/>
          </w:p>
        </w:tc>
      </w:tr>
      <w:tr>
        <w:trPr>
          <w:jc w:val="center"/>
          <w:trHeight w:val="90"/>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29</w:t>
            </w:r>
            <w:r/>
          </w:p>
        </w:tc>
        <w:tc>
          <w:tcPr>
            <w:tcW w:w="1422" w:type="dxa"/>
            <w:vAlign w:val="center"/>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pacing w:val="3"/>
                <w:highlight w:val="none"/>
                <w:shd w:val="clear" w:color="auto" w:fill="ffffff"/>
              </w:rPr>
              <w:t xml:space="preserve">MSR812磁力架</w:t>
            </w:r>
            <w:r/>
          </w:p>
        </w:tc>
        <w:tc>
          <w:tcPr>
            <w:tcW w:w="937" w:type="dxa"/>
            <w:vAlign w:val="center"/>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W w:w="1061" w:type="dxa"/>
            <w:vAlign w:val="center"/>
            <w:textDirection w:val="lrTb"/>
            <w:noWrap w:val="false"/>
          </w:tcPr>
          <w:p>
            <w:pPr>
              <w:ind w:firstLine="480"/>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p>
        </w:tc>
        <w:tc>
          <w:tcPr>
            <w:tcW w:w="540" w:type="dxa"/>
            <w:vAlign w:val="center"/>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个</w:t>
            </w:r>
            <w:r/>
          </w:p>
        </w:tc>
        <w:tc>
          <w:tcPr>
            <w:tcW w:w="5723" w:type="dxa"/>
            <w:vAlign w:val="top"/>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PCR管式磁分离架，12联排磁力架，12孔/排*2排</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30</w:t>
            </w:r>
            <w:r/>
          </w:p>
        </w:tc>
        <w:tc>
          <w:tcPr>
            <w:tcW w:w="1422" w:type="dxa"/>
            <w:vAlign w:val="center"/>
            <w:textDirection w:val="lrTb"/>
            <w:noWrap w:val="false"/>
          </w:tcPr>
          <w:p>
            <w:pPr>
              <w:jc w:val="left"/>
              <w:spacing w:line="312" w:lineRule="auto"/>
              <w:rPr>
                <w:rFonts w:hint="eastAsia" w:ascii="仿宋" w:hAnsi="仿宋" w:eastAsia="仿宋" w:cs="仿宋"/>
                <w:color w:val="auto"/>
                <w:spacing w:val="3"/>
                <w:highlight w:val="none"/>
                <w:shd w:val="clear" w:color="auto" w:fill="ffffff"/>
              </w:rPr>
            </w:pPr>
            <w:r>
              <w:rPr>
                <w:rFonts w:hint="eastAsia" w:ascii="仿宋" w:hAnsi="仿宋" w:eastAsia="仿宋" w:cs="仿宋"/>
                <w:color w:val="auto"/>
                <w:sz w:val="24"/>
                <w:szCs w:val="24"/>
                <w:highlight w:val="none"/>
                <w:lang w:bidi="ar"/>
              </w:rPr>
              <w:t xml:space="preserve">常染色体试剂盒</w:t>
            </w:r>
            <w:r/>
          </w:p>
        </w:tc>
        <w:tc>
          <w:tcPr>
            <w:tcW w:w="93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3万</w:t>
            </w:r>
            <w:r/>
          </w:p>
        </w:tc>
        <w:tc>
          <w:tcPr>
            <w:tcW w:w="1061" w:type="dxa"/>
            <w:vAlign w:val="center"/>
            <w:textDirection w:val="lrTb"/>
            <w:noWrap w:val="false"/>
          </w:tcPr>
          <w:p>
            <w:pPr>
              <w:ind w:firstLine="480"/>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p>
        </w:tc>
        <w:tc>
          <w:tcPr>
            <w:tcW w:w="540" w:type="dxa"/>
            <w:vAlign w:val="center"/>
            <w:textDirection w:val="lrTb"/>
            <w:noWrap w:val="false"/>
          </w:tcPr>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人份</w:t>
            </w:r>
            <w:r/>
          </w:p>
        </w:tc>
        <w:tc>
          <w:tcPr>
            <w:tcW w:w="5723" w:type="dxa"/>
            <w:vAlign w:val="top"/>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rPr>
              <w:t xml:space="preserve">必须包含Amelogenin检验信息；</w:t>
            </w:r>
            <w:r>
              <w:rPr>
                <w:rFonts w:hint="eastAsia" w:ascii="仿宋" w:hAnsi="仿宋" w:eastAsia="仿宋" w:cs="仿宋"/>
                <w:b/>
                <w:color w:val="auto"/>
                <w:sz w:val="24"/>
                <w:szCs w:val="24"/>
                <w:highlight w:val="none"/>
                <w:lang w:bidi="ar"/>
              </w:rPr>
              <w:t xml:space="preserve">（须提供产品彩页或产品说明书证明)</w:t>
            </w:r>
            <w:r/>
          </w:p>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rPr>
              <w:t xml:space="preserve">2、必须包括以下常染色体STR基因座的分型数据：D18S51、D21S11、D3S1358、FGA、D8S1179、vWA、CSF1PO、D16S539、D7S820、D13S317、D5S818、D2S1338、D19S433、TH01、TPOX、D6S1043、Penta D、Penta E、D12S391、D1S1656、D2S441、D22S1045、D10S1248、D8S1132、D15S659、D3S3045、D19S253、D6S477、D10S1435；</w:t>
            </w:r>
            <w:r>
              <w:rPr>
                <w:rFonts w:hint="eastAsia" w:ascii="仿宋" w:hAnsi="仿宋" w:eastAsia="仿宋" w:cs="仿宋"/>
                <w:b/>
                <w:bCs/>
                <w:color w:val="auto"/>
                <w:sz w:val="24"/>
                <w:szCs w:val="24"/>
                <w:highlight w:val="none"/>
              </w:rPr>
              <w:t xml:space="preserve">（</w:t>
            </w:r>
            <w:r>
              <w:rPr>
                <w:rFonts w:hint="eastAsia" w:ascii="仿宋" w:hAnsi="仿宋" w:eastAsia="仿宋" w:cs="仿宋"/>
                <w:b/>
                <w:color w:val="auto"/>
                <w:sz w:val="24"/>
                <w:szCs w:val="24"/>
                <w:highlight w:val="none"/>
                <w:lang w:bidi="ar"/>
              </w:rPr>
              <w:t xml:space="preserve">须提供产品彩页或产品说明书证明)</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rPr>
              <w:t xml:space="preserve">所投常染色体建库试剂盒名称和基因座参数信息已经收录国家数据库，扩增产物的电泳结果，可通过ID-X软件进行分型，导出的CODIS数据可直接批量导入国家数据库</w:t>
            </w:r>
            <w:r>
              <w:rPr>
                <w:rFonts w:hint="eastAsia" w:ascii="仿宋" w:hAnsi="仿宋" w:eastAsia="仿宋" w:cs="仿宋"/>
                <w:b/>
                <w:bCs/>
                <w:color w:val="auto"/>
                <w:sz w:val="24"/>
                <w:szCs w:val="24"/>
                <w:highlight w:val="none"/>
              </w:rPr>
              <w:t xml:space="preserve">（</w:t>
            </w:r>
            <w:r>
              <w:rPr>
                <w:rFonts w:hint="eastAsia" w:ascii="仿宋" w:hAnsi="仿宋" w:eastAsia="仿宋" w:cs="仿宋"/>
                <w:b/>
                <w:color w:val="auto"/>
                <w:sz w:val="24"/>
                <w:szCs w:val="24"/>
                <w:highlight w:val="none"/>
                <w:lang w:bidi="ar"/>
              </w:rPr>
              <w:t xml:space="preserve">须提供产品彩页或相关截图证明)</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4、试剂盒含有内部质量参考（IQC,Internal Quality Control），用于判定PCR扩增效能。</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rPr>
              <w:t xml:space="preserve">5.为保证试剂盒检测数据质量，投标人应协助采购人进行样本检测、样本筛选整理、提供人员、技术支持以及配套仪器维护等工作，直至样本检测结束。</w:t>
            </w:r>
            <w:r>
              <w:rPr>
                <w:rFonts w:hint="eastAsia" w:ascii="仿宋" w:hAnsi="仿宋" w:eastAsia="仿宋" w:cs="仿宋"/>
                <w:b/>
                <w:bCs/>
                <w:color w:val="auto"/>
                <w:sz w:val="24"/>
                <w:szCs w:val="24"/>
                <w:highlight w:val="none"/>
              </w:rPr>
              <w:t xml:space="preserve">（提供承诺书，格式自拟）</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6.投标人所提供的建库试剂须提供免费原厂售后技术支持服务。</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7、投标人应保证用于检测的相关试剂耗材是全新的。</w:t>
            </w:r>
            <w:r/>
          </w:p>
          <w:p>
            <w:pP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rPr>
              <w:t xml:space="preserve">8、所投常STR扩增试剂盒产品必须提供中国公共安全技术防范认证中心颁发的《中国公共安全产品认证证书》。</w:t>
            </w:r>
            <w:r>
              <w:rPr>
                <w:rFonts w:hint="eastAsia" w:ascii="仿宋" w:hAnsi="仿宋" w:eastAsia="仿宋" w:cs="仿宋"/>
                <w:b/>
                <w:bCs/>
                <w:color w:val="auto"/>
                <w:sz w:val="24"/>
                <w:szCs w:val="24"/>
                <w:highlight w:val="none"/>
              </w:rPr>
              <w:t xml:space="preserve">（须提供证书复印件）</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31</w:t>
            </w:r>
            <w:r/>
          </w:p>
        </w:tc>
        <w:tc>
          <w:tcPr>
            <w:tcW w:w="1422" w:type="dxa"/>
            <w:vAlign w:val="center"/>
            <w:textDirection w:val="lrTb"/>
            <w:noWrap w:val="false"/>
          </w:tcPr>
          <w:p>
            <w:pPr>
              <w:jc w:val="left"/>
              <w:spacing w:line="312" w:lineRule="auto"/>
              <w:rPr>
                <w:rFonts w:hint="eastAsia" w:ascii="仿宋" w:hAnsi="仿宋" w:eastAsia="仿宋" w:cs="仿宋"/>
                <w:color w:val="auto"/>
                <w:spacing w:val="3"/>
                <w:highlight w:val="none"/>
                <w:shd w:val="clear" w:color="auto" w:fill="ffffff"/>
              </w:rPr>
            </w:pPr>
            <w:r>
              <w:rPr>
                <w:rFonts w:hint="eastAsia" w:ascii="仿宋" w:hAnsi="仿宋" w:eastAsia="仿宋" w:cs="仿宋"/>
                <w:color w:val="auto"/>
                <w:sz w:val="22"/>
                <w:szCs w:val="22"/>
                <w:highlight w:val="none"/>
                <w:lang w:bidi="ar"/>
              </w:rPr>
              <w:t xml:space="preserve">Y染色体试剂盒</w:t>
            </w:r>
            <w:r/>
          </w:p>
        </w:tc>
        <w:tc>
          <w:tcPr>
            <w:tcW w:w="937" w:type="dxa"/>
            <w:vAlign w:val="center"/>
            <w:textDirection w:val="lrTb"/>
            <w:noWrap w:val="false"/>
          </w:tcPr>
          <w:p>
            <w:pPr>
              <w:jc w:val="center"/>
              <w:spacing w:line="312"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highlight w:val="none"/>
                <w:lang w:bidi="ar"/>
              </w:rPr>
              <w:t xml:space="preserve">3万</w:t>
            </w:r>
            <w:r/>
          </w:p>
        </w:tc>
        <w:tc>
          <w:tcPr>
            <w:tcW w:w="1061" w:type="dxa"/>
            <w:vAlign w:val="center"/>
            <w:textDirection w:val="lrTb"/>
            <w:noWrap w:val="false"/>
          </w:tcPr>
          <w:p>
            <w:pPr>
              <w:ind w:firstLine="480"/>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p>
        </w:tc>
        <w:tc>
          <w:tcPr>
            <w:tcW w:w="540" w:type="dxa"/>
            <w:vAlign w:val="center"/>
            <w:textDirection w:val="lrTb"/>
            <w:noWrap w:val="false"/>
          </w:tcPr>
          <w:p>
            <w:pPr>
              <w:spacing w:line="312"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highlight w:val="none"/>
                <w:lang w:bidi="ar"/>
              </w:rPr>
              <w:t xml:space="preserve">人份</w:t>
            </w:r>
            <w:r/>
          </w:p>
        </w:tc>
        <w:tc>
          <w:tcPr>
            <w:tcW w:w="5723" w:type="dxa"/>
            <w:vAlign w:val="top"/>
            <w:textDirection w:val="lrTb"/>
            <w:noWrap w:val="false"/>
          </w:tcPr>
          <w:p>
            <w:pPr>
              <w:jc w:val="left"/>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rPr>
              <w:t xml:space="preserve">1、试剂盒至少单管同时扩增不少于35个Y染色体基因座，其中必须包含公安部要求的20个核心基因座：DYS19，DYS3</w:t>
            </w:r>
            <w:r>
              <w:rPr>
                <w:rFonts w:hint="eastAsia" w:ascii="仿宋" w:hAnsi="仿宋" w:eastAsia="仿宋" w:cs="仿宋"/>
                <w:color w:val="auto"/>
                <w:sz w:val="24"/>
                <w:szCs w:val="24"/>
                <w:highlight w:val="none"/>
              </w:rPr>
              <w:t xml:space="preserve">85a，DYS385b，DYS389Ⅰ，DYS389Ⅱ，DYS390，DYS391，DYS392，DYS393，DYS437，DYS438，DYS439，DYS456，DYS458，DYS448，DYS635，GATA-H4，DYS481，DYS533，DYS576和15个优选基因座：DYS460，DYS570，DYS627，DYF387S1a，DYF387S1b，DYS518，DYS449，DYS527a，DYS527b，DYS444，DYS447，DYS549，DYS643，DYS557，DYS596。</w:t>
            </w:r>
            <w:r>
              <w:rPr>
                <w:rFonts w:hint="eastAsia" w:ascii="仿宋" w:hAnsi="仿宋" w:eastAsia="仿宋" w:cs="仿宋"/>
                <w:b/>
                <w:color w:val="auto"/>
                <w:sz w:val="24"/>
                <w:szCs w:val="24"/>
                <w:highlight w:val="none"/>
                <w:lang w:bidi="ar"/>
              </w:rPr>
              <w:t xml:space="preserve">（须提供产品彩页或产品说明书证明)</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rPr>
              <w:t xml:space="preserve">2、所投Y染色体建库试剂盒名称和基因座参数信息已经收录国家数据库，扩增产物的电泳结果，可通过ID-X软件进行分型，导出的CODIS数据可直接批量导入国家数据库。</w:t>
            </w:r>
            <w:r>
              <w:rPr>
                <w:rFonts w:hint="eastAsia" w:ascii="仿宋" w:hAnsi="仿宋" w:eastAsia="仿宋" w:cs="仿宋"/>
                <w:b/>
                <w:bCs/>
                <w:color w:val="auto"/>
                <w:sz w:val="24"/>
                <w:szCs w:val="24"/>
                <w:highlight w:val="none"/>
              </w:rPr>
              <w:t xml:space="preserve">（</w:t>
            </w:r>
            <w:r>
              <w:rPr>
                <w:rFonts w:hint="eastAsia" w:ascii="仿宋" w:hAnsi="仿宋" w:eastAsia="仿宋" w:cs="仿宋"/>
                <w:b/>
                <w:color w:val="auto"/>
                <w:sz w:val="24"/>
                <w:szCs w:val="24"/>
                <w:highlight w:val="none"/>
                <w:lang w:bidi="ar"/>
              </w:rPr>
              <w:t xml:space="preserve">须提供产品彩页或相关截图证明)</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3、试剂盒含有内部质量参考（IQC,Internal Quality Control），用于判定PCR扩增效能。</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4、投标人应保证用于检测的相关试剂耗材是全新的。</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rPr>
              <w:t xml:space="preserve">5、为保证试剂盒检测数据质量，投标人应协助采购人进行样本检测、样本筛选整理、提供人员、技术支持以及配套仪器维护等工作，直至样本检测结束。</w:t>
            </w:r>
            <w:r>
              <w:rPr>
                <w:rFonts w:hint="eastAsia" w:ascii="仿宋" w:hAnsi="仿宋" w:eastAsia="仿宋" w:cs="仿宋"/>
                <w:b/>
                <w:bCs/>
                <w:color w:val="auto"/>
                <w:sz w:val="24"/>
                <w:szCs w:val="24"/>
                <w:highlight w:val="none"/>
              </w:rPr>
              <w:t xml:space="preserve">（提供承诺书，格式自拟）</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6、投标人所提供的建库试剂须提供免费原厂售后技术支持服务。</w:t>
            </w:r>
            <w:r/>
          </w:p>
          <w:p>
            <w:pPr>
              <w:spacing w:line="312"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rPr>
              <w:t xml:space="preserve">7、试剂盒采用免提取直接扩增技术，可对FTA卡、口腔卡免提直扩。</w:t>
            </w:r>
            <w:r/>
          </w:p>
        </w:tc>
      </w:tr>
      <w:tr>
        <w:trPr>
          <w:jc w:val="center"/>
          <w:trHeight w:val="23"/>
        </w:trPr>
        <w:tc>
          <w:tcPr>
            <w:tcW w:w="518"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2"/>
                <w:szCs w:val="22"/>
                <w:highlight w:val="none"/>
                <w:lang w:bidi="ar"/>
              </w:rPr>
              <w:t xml:space="preserve">32</w:t>
            </w:r>
            <w:r/>
          </w:p>
        </w:tc>
        <w:tc>
          <w:tcPr>
            <w:tcW w:w="1422" w:type="dxa"/>
            <w:vAlign w:val="center"/>
            <w:textDirection w:val="lrTb"/>
            <w:noWrap w:val="false"/>
          </w:tcPr>
          <w:p>
            <w:pPr>
              <w:jc w:val="left"/>
              <w:spacing w:line="312" w:lineRule="auto"/>
              <w:rPr>
                <w:rFonts w:hint="eastAsia" w:ascii="仿宋" w:hAnsi="仿宋" w:eastAsia="仿宋" w:cs="仿宋"/>
                <w:color w:val="auto"/>
                <w:spacing w:val="3"/>
                <w:highlight w:val="none"/>
                <w:shd w:val="clear" w:color="auto" w:fill="ffffff"/>
              </w:rPr>
            </w:pPr>
            <w:r>
              <w:rPr>
                <w:rFonts w:hint="eastAsia" w:ascii="仿宋" w:hAnsi="仿宋" w:eastAsia="仿宋" w:cs="仿宋"/>
                <w:color w:val="auto"/>
                <w:sz w:val="24"/>
                <w:szCs w:val="24"/>
                <w:highlight w:val="none"/>
              </w:rPr>
              <w:t xml:space="preserve">血卡采集套装</w:t>
            </w:r>
            <w:r/>
          </w:p>
        </w:tc>
        <w:tc>
          <w:tcPr>
            <w:tcW w:w="937" w:type="dxa"/>
            <w:vAlign w:val="center"/>
            <w:textDirection w:val="lrTb"/>
            <w:noWrap w:val="false"/>
          </w:tcPr>
          <w:p>
            <w:pPr>
              <w:jc w:val="center"/>
              <w:spacing w:line="312"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highlight w:val="none"/>
                <w:lang w:bidi="ar"/>
              </w:rPr>
              <w:t xml:space="preserve">3万</w:t>
            </w:r>
            <w:r/>
          </w:p>
        </w:tc>
        <w:tc>
          <w:tcPr>
            <w:tcW w:w="1061" w:type="dxa"/>
            <w:vAlign w:val="center"/>
            <w:textDirection w:val="lrTb"/>
            <w:noWrap w:val="false"/>
          </w:tcPr>
          <w:p>
            <w:pPr>
              <w:ind w:firstLine="480"/>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p>
        </w:tc>
        <w:tc>
          <w:tcPr>
            <w:tcW w:w="540" w:type="dxa"/>
            <w:vAlign w:val="center"/>
            <w:textDirection w:val="lrTb"/>
            <w:noWrap w:val="false"/>
          </w:tcPr>
          <w:p>
            <w:pPr>
              <w:spacing w:line="312"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highlight w:val="none"/>
                <w:lang w:bidi="ar"/>
              </w:rPr>
              <w:t xml:space="preserve">人份</w:t>
            </w:r>
            <w:r/>
          </w:p>
        </w:tc>
        <w:tc>
          <w:tcPr>
            <w:tcW w:w="5723" w:type="dxa"/>
            <w:vAlign w:val="center"/>
            <w:textDirection w:val="lrTb"/>
            <w:noWrap w:val="false"/>
          </w:tcPr>
          <w:p>
            <w:pPr>
              <w:numPr>
                <w:ilvl w:val="0"/>
                <w:numId w:val="2"/>
              </w:num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采集套装应包含:采血卡，血样保存袋(与实一次性采血工具套装。采血卡与实验室保持一致)，和保存袋条粘贴条形码。并一一对应。</w:t>
            </w:r>
            <w:r/>
          </w:p>
          <w:p>
            <w:pPr>
              <w:spacing w:line="312"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rPr>
              <w:t xml:space="preserve">2、采集卡须提供无人源DNA 检测报告。</w:t>
            </w:r>
            <w:r/>
          </w:p>
        </w:tc>
      </w:tr>
    </w:tbl>
    <w:p>
      <w:pPr>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注：1、技术参数中“★”条款</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16项）</w:t>
      </w:r>
      <w:r>
        <w:rPr>
          <w:rFonts w:hint="eastAsia" w:ascii="仿宋" w:hAnsi="仿宋" w:eastAsia="仿宋" w:cs="仿宋"/>
          <w:b/>
          <w:bCs/>
          <w:color w:val="auto"/>
          <w:sz w:val="24"/>
          <w:szCs w:val="24"/>
          <w:highlight w:val="none"/>
        </w:rPr>
        <w:t xml:space="preserve">的为重要技术指标，不允许偏离，其余</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70项）</w:t>
      </w:r>
      <w:r>
        <w:rPr>
          <w:rFonts w:hint="eastAsia" w:ascii="仿宋" w:hAnsi="仿宋" w:eastAsia="仿宋" w:cs="仿宋"/>
          <w:b/>
          <w:bCs/>
          <w:color w:val="auto"/>
          <w:sz w:val="24"/>
          <w:szCs w:val="24"/>
          <w:highlight w:val="none"/>
        </w:rPr>
        <w:t xml:space="preserve">为非重要响应指标。</w:t>
      </w:r>
      <w:r/>
    </w:p>
    <w:p>
      <w:pPr>
        <w:ind w:firstLine="482"/>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2、技术参数中“★”条款要求提供相应证明材料的，须提供相应证明材料，未提供或提供材料不符合要求的视为未实质性响应招标文件，符合性审查不予通过。</w:t>
      </w:r>
      <w:r/>
    </w:p>
    <w:p>
      <w:pPr>
        <w:pStyle w:val="1065"/>
        <w:ind w:firstLine="482"/>
        <w:jc w:val="both"/>
        <w:spacing w:line="276"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3、本项目专门面向中小企业采购，表一</w:t>
      </w:r>
      <w:r>
        <w:rPr>
          <w:rFonts w:hint="eastAsia" w:ascii="仿宋" w:hAnsi="仿宋" w:eastAsia="仿宋" w:cs="仿宋"/>
          <w:b/>
          <w:color w:val="auto"/>
          <w:sz w:val="24"/>
          <w:szCs w:val="24"/>
          <w:highlight w:val="none"/>
          <w:lang w:val="en-US" w:eastAsia="zh-CN"/>
        </w:rPr>
        <w:t xml:space="preserve">主要标的物</w:t>
      </w:r>
      <w:r>
        <w:rPr>
          <w:rFonts w:hint="eastAsia" w:ascii="仿宋" w:hAnsi="仿宋" w:eastAsia="仿宋" w:cs="仿宋"/>
          <w:b/>
          <w:bCs/>
          <w:color w:val="auto"/>
          <w:sz w:val="24"/>
          <w:szCs w:val="24"/>
          <w:highlight w:val="none"/>
          <w:lang w:val="en-US" w:eastAsia="zh-CN"/>
        </w:rPr>
        <w:t xml:space="preserve">须由中小企业制造。表二辅助耗材属于配套辅材，不作为中小企业政策审查标的物，不对辅材生产厂商规模作出要求。供应商《中小企业声明函》仅填写表一</w:t>
      </w:r>
      <w:r>
        <w:rPr>
          <w:rFonts w:hint="eastAsia" w:ascii="仿宋" w:hAnsi="仿宋" w:eastAsia="仿宋" w:cs="仿宋"/>
          <w:b/>
          <w:color w:val="auto"/>
          <w:sz w:val="24"/>
          <w:szCs w:val="24"/>
          <w:highlight w:val="none"/>
          <w:lang w:val="en-US" w:eastAsia="zh-CN"/>
        </w:rPr>
        <w:t xml:space="preserve">主要标的物</w:t>
      </w:r>
      <w:r>
        <w:rPr>
          <w:rFonts w:hint="eastAsia" w:ascii="仿宋" w:hAnsi="仿宋" w:eastAsia="仿宋" w:cs="仿宋"/>
          <w:b/>
          <w:bCs/>
          <w:color w:val="auto"/>
          <w:sz w:val="24"/>
          <w:szCs w:val="24"/>
          <w:highlight w:val="none"/>
          <w:lang w:val="en-US" w:eastAsia="zh-CN"/>
        </w:rPr>
        <w:t xml:space="preserve">。</w:t>
      </w:r>
      <w:r>
        <w:rPr>
          <w:rFonts w:hint="eastAsia" w:ascii="仿宋" w:hAnsi="仿宋" w:eastAsia="仿宋" w:cs="仿宋"/>
          <w:b/>
          <w:color w:val="auto"/>
          <w:sz w:val="24"/>
          <w:szCs w:val="24"/>
          <w:highlight w:val="none"/>
          <w:lang w:val="en-US" w:eastAsia="zh-CN"/>
        </w:rPr>
        <w:t xml:space="preserve"> </w:t>
      </w:r>
      <w:r/>
    </w:p>
    <w:p>
      <w:pPr>
        <w:pStyle w:val="1065"/>
        <w:jc w:val="center"/>
        <w:spacing w:line="276"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color w:val="auto"/>
          <w:sz w:val="24"/>
          <w:szCs w:val="24"/>
          <w:highlight w:val="none"/>
          <w:lang w:val="en-US" w:eastAsia="zh-CN"/>
        </w:rPr>
        <w:t xml:space="preserve">表二 </w:t>
      </w:r>
      <w:r>
        <w:rPr>
          <w:rFonts w:hint="eastAsia" w:ascii="仿宋" w:hAnsi="仿宋" w:eastAsia="仿宋" w:cs="仿宋"/>
          <w:b/>
          <w:bCs/>
          <w:color w:val="auto"/>
          <w:sz w:val="24"/>
          <w:szCs w:val="24"/>
          <w:highlight w:val="none"/>
          <w:lang w:eastAsia="zh-CN"/>
        </w:rPr>
        <w:t xml:space="preserve">辅助耗材</w:t>
      </w:r>
      <w:r/>
    </w:p>
    <w:tbl>
      <w:tblPr>
        <w:tblStyle w:val="1029"/>
        <w:tblW w:w="102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419"/>
        <w:gridCol w:w="992"/>
        <w:gridCol w:w="992"/>
        <w:gridCol w:w="567"/>
        <w:gridCol w:w="5670"/>
      </w:tblGrid>
      <w:tr>
        <w:trPr>
          <w:jc w:val="center"/>
        </w:trPr>
        <w:tc>
          <w:tcPr>
            <w:shd w:val="clear" w:color="auto" w:fill="auto"/>
            <w:tcW w:w="567" w:type="dxa"/>
            <w:vAlign w:val="center"/>
            <w:textDirection w:val="lrTb"/>
            <w:noWrap w:val="false"/>
          </w:tcPr>
          <w:p>
            <w:pPr>
              <w:spacing w:line="312" w:lineRule="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bidi="ar"/>
              </w:rPr>
              <w:t xml:space="preserve">序号</w:t>
            </w:r>
            <w:r/>
          </w:p>
        </w:tc>
        <w:tc>
          <w:tcPr>
            <w:shd w:val="clear" w:color="auto" w:fill="auto"/>
            <w:tcW w:w="1419" w:type="dxa"/>
            <w:vAlign w:val="center"/>
            <w:textDirection w:val="lrTb"/>
            <w:noWrap w:val="false"/>
          </w:tcPr>
          <w:p>
            <w:pPr>
              <w:jc w:val="left"/>
              <w:spacing w:line="312"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名称</w:t>
            </w:r>
            <w:r/>
          </w:p>
        </w:tc>
        <w:tc>
          <w:tcPr>
            <w:shd w:val="clear" w:color="auto" w:fill="auto"/>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数量</w:t>
            </w:r>
            <w:r/>
          </w:p>
        </w:tc>
        <w:tc>
          <w:tcPr>
            <w:shd w:val="clear" w:color="auto" w:fill="auto"/>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bidi="ar"/>
              </w:rPr>
              <w:t xml:space="preserve">规格</w:t>
            </w:r>
            <w:r/>
          </w:p>
        </w:tc>
        <w:tc>
          <w:tcPr>
            <w:shd w:val="clear" w:color="auto" w:fill="auto"/>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单位</w:t>
            </w:r>
            <w:r/>
          </w:p>
        </w:tc>
        <w:tc>
          <w:tcPr>
            <w:shd w:val="clear" w:color="auto" w:fill="auto"/>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技术参数</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1</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84消毒液</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20瓶/箱</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箱</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有效氯含量5.5%～6.5%</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2</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剪刀</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80</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10cm</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把</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规格：10cm</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3</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镊子</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10cm</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把</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规格：10cm</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4</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刀片</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22</w:t>
            </w:r>
            <w:r>
              <w:rPr>
                <w:rFonts w:hint="eastAsia" w:ascii="仿宋" w:hAnsi="仿宋" w:eastAsia="仿宋" w:cs="仿宋"/>
                <w:color w:val="auto"/>
                <w:sz w:val="24"/>
                <w:szCs w:val="24"/>
                <w:highlight w:val="none"/>
                <w:vertAlign w:val="superscript"/>
                <w:lang w:bidi="ar"/>
              </w:rPr>
              <w:t xml:space="preserve">#</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规格：22</w:t>
            </w:r>
            <w:r>
              <w:rPr>
                <w:rFonts w:hint="eastAsia" w:ascii="仿宋" w:hAnsi="仿宋" w:eastAsia="仿宋" w:cs="仿宋"/>
                <w:color w:val="auto"/>
                <w:sz w:val="24"/>
                <w:szCs w:val="24"/>
                <w:highlight w:val="none"/>
                <w:vertAlign w:val="superscript"/>
                <w:lang w:bidi="ar"/>
              </w:rPr>
              <w:t xml:space="preserve">#</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5</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丁腈手套</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36</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10盒/箱</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箱</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盒装一次性丁腈手套，规格：25双/盒</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6</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CPE手套</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15</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50包/箱</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箱</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透明CPE手套</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7</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垫单</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200</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150*80cm</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张</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规格：150*80</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8</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试管</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1500</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12ML</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个</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一次性塑料试管，规格：12ML</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9</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实验用纸</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500</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包</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抽纸</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10</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保鲜袋</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2500</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只</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保鲜袋大号</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11</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记号笔</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12支/盒</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红蓝黑三色</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12</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签字笔</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12支/盒</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0.5mm中性笔</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13</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一次性口罩</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80</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50片/盒</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盒</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50片/盒</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14</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实验用水</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1.5L/桶</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桶</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蒸馏超纯水</w:t>
            </w:r>
            <w:r/>
          </w:p>
        </w:tc>
      </w:tr>
      <w:tr>
        <w:trPr>
          <w:jc w:val="center"/>
        </w:trPr>
        <w:tc>
          <w:tcPr>
            <w:tcW w:w="567" w:type="dxa"/>
            <w:vAlign w:val="center"/>
            <w:textDirection w:val="lrTb"/>
            <w:noWrap w:val="false"/>
          </w:tcPr>
          <w:p>
            <w:pPr>
              <w:jc w:val="center"/>
              <w:rPr>
                <w:color w:val="auto"/>
                <w:highlight w:val="none"/>
              </w:rPr>
            </w:pPr>
            <w:r>
              <w:rPr>
                <w:rFonts w:hint="eastAsia"/>
                <w:color w:val="auto"/>
                <w:highlight w:val="none"/>
              </w:rPr>
              <w:t xml:space="preserve">15</w:t>
            </w:r>
            <w:r/>
          </w:p>
        </w:tc>
        <w:tc>
          <w:tcPr>
            <w:tcW w:w="1419"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烧杯100ml</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30</w:t>
            </w:r>
            <w:r/>
          </w:p>
        </w:tc>
        <w:tc>
          <w:tcPr>
            <w:tcW w:w="992"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100ml</w:t>
            </w:r>
            <w:r/>
          </w:p>
        </w:tc>
        <w:tc>
          <w:tcPr>
            <w:tcW w:w="567"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个</w:t>
            </w:r>
            <w:r/>
          </w:p>
        </w:tc>
        <w:tc>
          <w:tcPr>
            <w:tcW w:w="5670" w:type="dxa"/>
            <w:vAlign w:val="center"/>
            <w:textDirection w:val="lrTb"/>
            <w:noWrap w:val="false"/>
          </w:tcPr>
          <w:p>
            <w:pPr>
              <w:jc w:val="center"/>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规格：100ml</w:t>
            </w:r>
            <w:r/>
          </w:p>
        </w:tc>
      </w:tr>
    </w:tbl>
    <w:p>
      <w:pPr>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四、质保及售后要求  </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1、中标人须在交付验收合格后提供1年的免费技术支持服务。</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2、整体项目质保期：自项目验收合格之日起1年。</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个体识别扩增试剂盒、荧光分子量内标LIZ600及磁珠试剂盒须提供原厂质保。在本项目中标结果公告发布之日起10日内中标人须向招标人提供制造商出具的售后服务承诺书原件并加盖制造商公章(标明项目名称和项目编号)，中标人如未按时提供售后服务承诺书的，招标人有权拒绝签订合同。</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4、服务保障机制</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建立健全以供应商保障为支撑的质量保障体系，并保障该体系有效正常运作。</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在常染色体试剂盒和Y染色体试剂盒两项有检测任务时，中标人应配合招标人进行检测并提供技术支持，实验所需的全部设备、试剂耗材，包含但不限于3500测序仪、扩增仪、扩增试剂盒、POP胶、电泳缓冲液、高纯甲酰胺、电泳毛细管、96孔PCR板、移液吸头等全部耗材及办公用品由中标人提供使用，招标人不支付任费用。</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②在常染色体试剂盒和Y染色体试剂盒两项有检测任务时，中标人应至少各派一名技术支持进行现场技术协助直到所有数据审核验收为止，技术人员产生的所有费用均由中标人承担。</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质保期内和质保期外的售后服务要求：质保期内出现质量问题，包退、包换，提供原厂配件予以免费更换，并由中标人承担相应全部费用。质保期外免费上门维修，提供原厂配件，只收取基本设备、材料成本费。</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③中标人须设有售后服务电话，负责解答招标人在货物使用中遇到的问题，及时提出解决问题的建议和操作方法。</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④售后服务响应时间：如设备出现故障，电话响应无法解决，中标人必须在接报修电话48小时到现场并解决问题；</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中标人在维护服务过程中必须认真严格执行国家相关行业规范，加强安全和保密管理工作，所需相关人员、各类车辆、各类工具和各类耗材仪器等均自行解决，如遇意外人身事故、设备事故等状况，均由供应商自行承担相应的责任；如发生因中标人的原因导致的泄密事件，由中标人承担一切损失和责任，造成犯罪的，由司法机关追究相关责任人的法律责任。</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⑥免费维保期内所产生的全部维护工作量由中标人负责提供，包含在本次报价中；</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⑦中标人须提供全方位的、优质的、高效的质量保证体系，以及技术支持和售后服务。为招标人提供技术支持，保证产品的正常使用。</w:t>
      </w:r>
      <w:r/>
    </w:p>
    <w:p>
      <w:pPr>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w:t>
      </w:r>
      <w:bookmarkStart w:id="28" w:name="_Toc513151351"/>
      <w:r/>
      <w:bookmarkEnd w:id="28"/>
      <w:r>
        <w:rPr>
          <w:rFonts w:hint="eastAsia" w:ascii="仿宋" w:hAnsi="仿宋" w:eastAsia="仿宋" w:cs="仿宋"/>
          <w:b/>
          <w:bCs/>
          <w:color w:val="auto"/>
          <w:sz w:val="24"/>
          <w:szCs w:val="24"/>
          <w:highlight w:val="none"/>
        </w:rPr>
        <w:t xml:space="preserve">验收及技术培训</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1、验收要求</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人提供的产品运达项目地点后，中标人有权自行组织验收小组或委托第三方机构对中标人提供的产品进行验收，若验收结果不满足采购文件及合同约定的标准。招标人有权根据验收结果要求中标人立即更换或者提出索赔要求。</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2、培训要求</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①中标人须提供现场培训，培训时间不得低于10个小时。</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②中标人培训须按基本原理、操作方式等方面组织实施。</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3、培训内容</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①主要内容包括（但不限于）：产品的保存及使用等。</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②提供免费现场培训，人数不限。通过在使用现场集中讲解与操作，确保受训人员获得全面了解和掌握。</w:t>
      </w:r>
      <w:r/>
    </w:p>
    <w:p>
      <w:pPr>
        <w:pStyle w:val="1065"/>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六、其他要求</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详见《招标文件》附件《拟签订的</w:t>
      </w:r>
      <w:r>
        <w:rPr>
          <w:rFonts w:hint="eastAsia" w:ascii="仿宋" w:hAnsi="仿宋" w:eastAsia="仿宋" w:cs="仿宋"/>
          <w:color w:val="auto"/>
          <w:sz w:val="24"/>
          <w:szCs w:val="24"/>
          <w:highlight w:val="none"/>
        </w:rPr>
        <w:t xml:space="preserve">合同文本》。</w:t>
      </w:r>
      <w:r/>
    </w:p>
    <w:p>
      <w:pPr>
        <w:ind w:firstLine="480"/>
        <w:jc w:val="left"/>
        <w:spacing w:line="360" w:lineRule="auto"/>
        <w:widowControl/>
        <w:rPr>
          <w:rFonts w:hint="eastAsia" w:ascii="仿宋" w:hAnsi="仿宋" w:eastAsia="仿宋" w:cs="仿宋"/>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bCs/>
          <w:color w:val="auto"/>
          <w:sz w:val="32"/>
          <w:szCs w:val="32"/>
          <w:highlight w:val="none"/>
        </w:rPr>
        <w:outlineLvl w:val="0"/>
      </w:pPr>
      <w:r/>
      <w:bookmarkStart w:id="29" w:name="_Toc2026"/>
      <w:r/>
      <w:bookmarkStart w:id="30" w:name="_Toc17353"/>
      <w:r/>
      <w:bookmarkStart w:id="31" w:name="_Toc2168"/>
      <w:r>
        <w:rPr>
          <w:rFonts w:hint="eastAsia" w:ascii="仿宋" w:hAnsi="仿宋" w:eastAsia="仿宋" w:cs="仿宋"/>
          <w:b/>
          <w:bCs/>
          <w:color w:val="auto"/>
          <w:sz w:val="32"/>
          <w:szCs w:val="32"/>
          <w:highlight w:val="none"/>
        </w:rPr>
        <w:t xml:space="preserve">第六章  拟签订的合同文本</w:t>
      </w:r>
      <w:bookmarkEnd w:id="29"/>
      <w:r/>
      <w:bookmarkEnd w:id="30"/>
      <w:r/>
      <w:bookmarkEnd w:id="31"/>
      <w:r/>
      <w:r/>
    </w:p>
    <w:p>
      <w:pPr>
        <w:pStyle w:val="1130"/>
        <w:ind w:left="0" w:right="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3"/>
        <w:jc w:val="center"/>
        <w:spacing w:after="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项目名称：DNA试剂耗材采购项目</w:t>
      </w:r>
      <w:r>
        <w:rPr>
          <w:rFonts w:hint="eastAsia" w:ascii="仿宋" w:hAnsi="仿宋" w:eastAsia="仿宋" w:cs="仿宋"/>
          <w:color w:val="auto"/>
          <w:sz w:val="30"/>
          <w:szCs w:val="30"/>
          <w:highlight w:val="none"/>
        </w:rPr>
        <w:t xml:space="preserve"> </w:t>
      </w:r>
      <w:r/>
    </w:p>
    <w:p>
      <w:pPr>
        <w:pStyle w:val="1073"/>
        <w:jc w:val="center"/>
        <w:spacing w:after="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lang w:eastAsia="zh-CN" w:bidi="ar"/>
        </w:rPr>
        <w:t xml:space="preserve">JSZC-320300-JSKJ-G2026-0032</w:t>
      </w:r>
      <w:r>
        <w:rPr>
          <w:rFonts w:hint="eastAsia" w:ascii="仿宋" w:hAnsi="仿宋" w:eastAsia="仿宋" w:cs="仿宋"/>
          <w:color w:val="auto"/>
          <w:sz w:val="30"/>
          <w:szCs w:val="30"/>
          <w:highlight w:val="none"/>
        </w:rPr>
        <w:t xml:space="preserve"> </w:t>
      </w:r>
      <w:r/>
    </w:p>
    <w:p>
      <w:pPr>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政府采购合同</w:t>
      </w:r>
      <w:r/>
    </w:p>
    <w:p>
      <w:pPr>
        <w:jc w:val="lef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left"/>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1928"/>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p>
    <w:p>
      <w:pPr>
        <w:jc w:val="center"/>
        <w:spacing w:line="360" w:lineRule="auto"/>
        <w:rPr>
          <w:rFonts w:hint="eastAsia" w:ascii="仿宋" w:hAnsi="仿宋" w:eastAsia="仿宋" w:cs="仿宋"/>
          <w:b/>
          <w:color w:val="auto"/>
          <w:sz w:val="30"/>
          <w:szCs w:val="30"/>
          <w:highlight w:val="none"/>
          <w:u w:val="single"/>
        </w:rPr>
      </w:pPr>
      <w:r>
        <w:rPr>
          <w:rFonts w:hint="eastAsia" w:ascii="仿宋" w:hAnsi="仿宋" w:eastAsia="仿宋" w:cs="仿宋"/>
          <w:b/>
          <w:color w:val="auto"/>
          <w:sz w:val="30"/>
          <w:szCs w:val="30"/>
          <w:highlight w:val="none"/>
        </w:rPr>
        <w:t xml:space="preserve">采购包：</w:t>
      </w:r>
      <w:r>
        <w:rPr>
          <w:rFonts w:hint="eastAsia" w:ascii="仿宋" w:hAnsi="仿宋" w:eastAsia="仿宋" w:cs="仿宋"/>
          <w:b/>
          <w:color w:val="auto"/>
          <w:sz w:val="30"/>
          <w:szCs w:val="30"/>
          <w:highlight w:val="none"/>
          <w:u w:val="single"/>
        </w:rPr>
        <w:t xml:space="preserve">   1/2    </w:t>
      </w:r>
      <w:r/>
    </w:p>
    <w:p>
      <w:pPr>
        <w:pStyle w:val="1073"/>
        <w:ind w:firstLine="1960"/>
        <w:jc w:val="left"/>
        <w:spacing w:after="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73"/>
        <w:ind w:firstLine="1960"/>
        <w:jc w:val="left"/>
        <w:spacing w:after="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 购 人（甲方）：</w:t>
      </w:r>
      <w:r>
        <w:rPr>
          <w:rFonts w:hint="eastAsia" w:ascii="仿宋" w:hAnsi="仿宋" w:eastAsia="仿宋" w:cs="仿宋"/>
          <w:color w:val="auto"/>
          <w:sz w:val="28"/>
          <w:szCs w:val="28"/>
          <w:highlight w:val="none"/>
          <w:u w:val="single"/>
        </w:rPr>
        <w:t xml:space="preserve">                       </w:t>
      </w:r>
      <w:r/>
    </w:p>
    <w:p>
      <w:pPr>
        <w:pStyle w:val="1073"/>
        <w:ind w:firstLine="1960"/>
        <w:jc w:val="left"/>
        <w:spacing w:after="0"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中 标 人（乙方）：</w:t>
      </w:r>
      <w:r>
        <w:rPr>
          <w:rFonts w:hint="eastAsia" w:ascii="仿宋" w:hAnsi="仿宋" w:eastAsia="仿宋" w:cs="仿宋"/>
          <w:color w:val="auto"/>
          <w:sz w:val="28"/>
          <w:szCs w:val="28"/>
          <w:highlight w:val="none"/>
          <w:u w:val="single"/>
        </w:rPr>
        <w:t xml:space="preserve">                       </w:t>
      </w:r>
      <w:r/>
    </w:p>
    <w:p>
      <w:pPr>
        <w:pStyle w:val="1073"/>
        <w:ind w:firstLine="1960"/>
        <w:spacing w:after="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合同签订日期：   年   月   日</w:t>
      </w:r>
      <w:r/>
    </w:p>
    <w:p>
      <w:pPr>
        <w:ind w:firstLine="1928"/>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66"/>
        <w:ind w:left="0" w:right="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66"/>
        <w:ind w:left="0" w:right="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友情提醒：采购人与中标、成交供应商应当在中标、成交通知书发出之日起三十日内，按照采购文件确定的事项签订政府采购合同。</w:t>
      </w:r>
      <w:r/>
    </w:p>
    <w:p>
      <w:pPr>
        <w:pStyle w:val="1206"/>
        <w:ind w:left="0" w:right="0" w:firstLine="48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206"/>
        <w:ind w:left="0" w:right="0" w:firstLine="48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066"/>
        <w:ind w:left="0" w:right="0" w:firstLine="0"/>
        <w:jc w:val="center"/>
        <w:spacing w:line="360" w:lineRule="auto"/>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第一部分 合同通用条款</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目录</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定义</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    合同范围</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价格</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支付</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交货</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包装和标记</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    技术资料</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    安装</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第九条    验收</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第十条    售后服务和技术培训</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第十一条  索赔</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第十二条  不可抗力</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第十三条  合同的终止</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第十四条  争议的解决</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第十五条  适用法律</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第十六条  权利保证</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第十七条  保密</w:t>
      </w:r>
      <w:r/>
    </w:p>
    <w:p>
      <w:pPr>
        <w:ind w:firstLine="24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第十八条  合同生效及其他</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合同通用条款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定义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除本合同上下文中另有规定外，下列各词语定义如下：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1.1“买方”见《合同专用条款》。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1.2“卖方”见《合同专用条款》。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1.3“工作现场”见《合同专用条款》。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1.4“合同标的”见合同附件4。</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1.5“技术资料”是指与合同标的的安装、试运行、验收、操作以及维修有关的技术指标、规格、图纸和文件。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1.6“技术培训”是指在合同标的的安装、试运行、验收、操作、维修以及其他方面卖方给予买方的培训。</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1.7“安装”是指有关合同标的、备件和材料的安装工作。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1.8“试运行”是指为验明合同标的的技术性能，在安装完毕后对合同标的进行的测试。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1.10“合同货币”见《合同专用条款》。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1.11“合同价格”见合同附件4。</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1.12“合同生效日”见《合同协议书》（合同附件1）第5 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1.13“日”是指日历天数。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1.14“月”是指日历月数。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1.15“采购需求” 见合同附件6。</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 合同范围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2.1买方同意从卖方购买、卖方同意向买方出售和提供的合同标的以及相关售后服务、技术培训和技术资料。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2.2数量：见招标文件第六章《采购需求》中“三、数量要求”。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价格</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3.1合同总价见《合同专用条款》。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3.2合同总价是固定价格。</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支付（采购资金的支付方式、时间、条件）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4.2卖方有义务根据合同的规定向买方支付违约金和/或赔偿金时，买方有权从任何一笔应付款中予以扣除。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交货（货物、服务提供的时间、地点、方式）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5.1交货期限、批次和交货条件见《合同专用条款》。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5.2交货地点见《合同专用条款》。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5.3在《合同专用条款》规定的期限内，卖方应将合同号、合同标的的名称、数量、金额、包装件数以及交货的时间以书面方式通知买方。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5.4卖方应按下列规定交付合同标的：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5.4.1卖方负责将合同标的送至《合同专用条款》规定的交货地点。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5.4.2买方出具的收据日期是合同标的的实际交货日期。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5.5如果卖方未能按照合同规定的交货期限交货，卖方应按《合同专用条款》的规定支付违约金或提供其他救济。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包装与标记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6.1除非合同中另有规定，合同标的应保持产品制造企业原包装完好。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6.2在合同标的的每件包装中都应附有下列单据：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 装箱明细单；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 质量合格证；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C. 技术资料。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 技术资料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技术资料交付的期限和方式见《合同专用条款》。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 安装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 合同标的的安装期限见《合同专用条款》。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 项目实施方案见合同附件7。</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第九条 验收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9.1合同标的的试运行、验收见《合同专用条款》。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9.2如果合同附件2所规定的所有技术性能在验收中都已经达到，双方应在验收合格后5日内签署验收书。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9.3验收标准（验收要求、验收标准和程序）：见合同附件5。</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第十条 售后服务和技术培训</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10.1售后服务和技术培训见合同附件3。</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第十一条 索赔</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 卖方替换不符合合同规定的合同标的。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 按质量低劣的程度、买方受损害的程度及损失的数额对合同标的进行降价。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C. 拒收合同标的。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 赔偿由卖方违约引起的其他损失。</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第十二条 不可抗力</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第十三条 合同的终止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 卖方在合同规定的交货期限后未能按《合同专用条款》中规定的最终期限交付合同标的和/或技术资料；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 合同标的未能达到合同附件2 规定的技术性能；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C. 卖方未能履行合同项下任何其它义务，并且在收到买方违约通知后未能按《合同专用条款》中规定的期限对其违约行为作出补救。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13.3如果买方认定卖方在投标或执行合同中有腐败或欺诈行为,买方有权在任何时候发出书面通知终止合同。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A.“腐败行为”系指在招标、采购和合同执行等过程中，为谋求利益、影响相关人员而提供、给予、接受或索取任何有价物的行为。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B.“欺诈行为”系指为了影响招标、采购和合同执行等过程而隐瞒事实，从而给买方造成损害的行为，其中包括投标人之间的串通行为。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13.4 在买方全部或部分终止合同的情况下，卖方应按《合同专用条款》的规定对买方给予补偿。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第十四条 争议的解决</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14.1因执行本合同所发生的或者与本合同有关的一切争议由合同双方通过友好协商解决，如果不能协商一致，按《合同专用条款》规定的方式解决。</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第十五条 适用法律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15.1本合同的执行和争议的解决适用中华人民共和国的法律并按中华人民共和国的法律进行解释。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第十六条 权利保证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16.1卖方应保证买方在使用合同标的时不受第三方提出侵犯其专利权、版权、商标权或其他权利的起诉。一旦出现侵权，卖方承担全部责任。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第十七条 保密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17.2上述秘密，卖方只能用于本合同，而且只能由卖方相应的人员使用；没有必要接触的卖方人员，不得接触。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17.3卖方应当采取适当有效的方式保护所获取的上述秘密。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第十八条 合同生效及其他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本合同在合同协议书（合同附件1）规定的条件全部满足后生效。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合同双方各自承担与本合同有关的应负税费。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18.4合同双方除非《合同专用条款》另有规定，所有合同文件及相关的修订和合同双方之间的书面联络，应使用中文书就并按中文解释。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18.5对本合同的任何补充、增添或修改以书面方式进行。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18.6没有另一方的事先书面同意，合同任何一方不得将合同项下的任何权利和义务转让给第三方。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18.8合同条款中的标题和边注仅供参考使用，不应视为合同的一部分，也不影响本文的解释。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18.9合同构成买方和卖方之间就合同主要内容方面的完整协议，并且取代合同签订前所有关于这方面的通讯、协商、协议(不论是书面的，还是口头的)。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ind w:firstLine="480"/>
        <w:jc w:val="center"/>
        <w:spacing w:line="360" w:lineRule="auto"/>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第二部分 合同专用条款</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定义</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“买方”为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“卖方”为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“工作现场”为</w:t>
      </w:r>
      <w:r>
        <w:rPr>
          <w:rFonts w:hint="eastAsia" w:ascii="仿宋" w:hAnsi="仿宋" w:eastAsia="仿宋" w:cs="仿宋"/>
          <w:color w:val="auto"/>
          <w:sz w:val="24"/>
          <w:szCs w:val="24"/>
          <w:highlight w:val="none"/>
          <w:u w:val="single"/>
        </w:rPr>
        <w:t xml:space="preserve">买方指定地点</w:t>
      </w:r>
      <w:r>
        <w:rPr>
          <w:rFonts w:hint="eastAsia" w:ascii="仿宋" w:hAnsi="仿宋" w:eastAsia="仿宋" w:cs="仿宋"/>
          <w:color w:val="auto"/>
          <w:sz w:val="24"/>
          <w:szCs w:val="24"/>
          <w:highlight w:val="none"/>
        </w:rPr>
        <w:t xml:space="preserve">。</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 “合同货币”即</w:t>
      </w:r>
      <w:r>
        <w:rPr>
          <w:rFonts w:hint="eastAsia" w:ascii="仿宋" w:hAnsi="仿宋" w:eastAsia="仿宋" w:cs="仿宋"/>
          <w:color w:val="auto"/>
          <w:sz w:val="24"/>
          <w:szCs w:val="24"/>
          <w:highlight w:val="none"/>
          <w:u w:val="single"/>
        </w:rPr>
        <w:t xml:space="preserve">人民币</w:t>
      </w:r>
      <w:r>
        <w:rPr>
          <w:rFonts w:hint="eastAsia" w:ascii="仿宋" w:hAnsi="仿宋" w:eastAsia="仿宋" w:cs="仿宋"/>
          <w:color w:val="auto"/>
          <w:sz w:val="24"/>
          <w:szCs w:val="24"/>
          <w:highlight w:val="none"/>
        </w:rPr>
        <w:t xml:space="preserve">。</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价格</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3.1合同总价为¥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支付（采购资金的支付方式、时间、条件）</w:t>
      </w:r>
      <w:r/>
    </w:p>
    <w:p>
      <w:pPr>
        <w:pStyle w:val="1082"/>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4.1本合同总金额为人民币大写金额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元（小写金额：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w:t>
      </w:r>
      <w:r>
        <w:rPr>
          <w:rFonts w:hint="eastAsia" w:ascii="仿宋" w:hAnsi="仿宋" w:eastAsia="仿宋" w:cs="仿宋"/>
          <w:bCs/>
          <w:color w:val="auto"/>
          <w:sz w:val="24"/>
          <w:highlight w:val="none"/>
        </w:rPr>
        <w:t xml:space="preserve">经双方协商一致，选择以下第</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种付款方式：</w:t>
      </w:r>
      <w:r/>
    </w:p>
    <w:p>
      <w:pPr>
        <w:pStyle w:val="1069"/>
        <w:ind w:firstLine="54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（一）付款方式（提交预付款保函的）</w:t>
      </w:r>
      <w:r/>
    </w:p>
    <w:p>
      <w:pPr>
        <w:pStyle w:val="1069"/>
        <w:ind w:firstLine="54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合同价款的百分之四十（</w:t>
      </w:r>
      <w:r>
        <w:rPr>
          <w:rFonts w:hint="eastAsia" w:ascii="仿宋" w:hAnsi="仿宋" w:eastAsia="仿宋" w:cs="仿宋"/>
          <w:color w:val="auto"/>
          <w:sz w:val="24"/>
          <w:highlight w:val="none"/>
          <w:u w:val="single"/>
        </w:rPr>
        <w:t xml:space="preserve">40%）</w:t>
      </w:r>
      <w:r>
        <w:rPr>
          <w:rFonts w:hint="eastAsia" w:ascii="仿宋" w:hAnsi="仿宋" w:eastAsia="仿宋" w:cs="仿宋"/>
          <w:color w:val="auto"/>
          <w:sz w:val="24"/>
          <w:highlight w:val="none"/>
        </w:rPr>
        <w:t xml:space="preserve">，即¥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元整，在双方签订合同，卖方向买方出具等额预付款保函、买方自收到卖方出具的增值税发票后10个工作日内，由买方办理政府采购资金结算手续支付给乙方。</w:t>
      </w:r>
      <w:r/>
    </w:p>
    <w:p>
      <w:pPr>
        <w:pStyle w:val="1069"/>
        <w:ind w:firstLine="54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合同价款的百分之六十（</w:t>
      </w:r>
      <w:r>
        <w:rPr>
          <w:rFonts w:hint="eastAsia" w:ascii="仿宋" w:hAnsi="仿宋" w:eastAsia="仿宋" w:cs="仿宋"/>
          <w:color w:val="auto"/>
          <w:sz w:val="24"/>
          <w:highlight w:val="none"/>
          <w:u w:val="single"/>
        </w:rPr>
        <w:t xml:space="preserve">60%）</w:t>
      </w:r>
      <w:r>
        <w:rPr>
          <w:rFonts w:hint="eastAsia" w:ascii="仿宋" w:hAnsi="仿宋" w:eastAsia="仿宋" w:cs="仿宋"/>
          <w:color w:val="auto"/>
          <w:sz w:val="24"/>
          <w:highlight w:val="none"/>
        </w:rPr>
        <w:t xml:space="preserve">，即¥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元整，在合同标的全部交付完毕且经买方验收合格后30日内，买方对卖方提供的结算资料进行审核，经审核确认后，由买方办理政府采购资金结算手续，经审核后支付给卖方。</w:t>
      </w:r>
      <w:r/>
    </w:p>
    <w:p>
      <w:pPr>
        <w:pStyle w:val="1069"/>
        <w:ind w:firstLine="54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（二）付款方式（不提交预付款保函的）</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合同价款的百分之三十（</w:t>
      </w:r>
      <w:r>
        <w:rPr>
          <w:rFonts w:hint="eastAsia" w:ascii="仿宋" w:hAnsi="仿宋" w:eastAsia="仿宋" w:cs="仿宋"/>
          <w:color w:val="auto"/>
          <w:sz w:val="24"/>
          <w:szCs w:val="24"/>
          <w:highlight w:val="none"/>
          <w:u w:val="single"/>
        </w:rPr>
        <w:t xml:space="preserve">30%</w:t>
      </w:r>
      <w:r>
        <w:rPr>
          <w:rFonts w:hint="eastAsia" w:ascii="仿宋" w:hAnsi="仿宋" w:eastAsia="仿宋" w:cs="仿宋"/>
          <w:color w:val="auto"/>
          <w:sz w:val="24"/>
          <w:szCs w:val="24"/>
          <w:highlight w:val="none"/>
        </w:rPr>
        <w:t xml:space="preserve">），即¥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元整，在双方签订合同，买方自收到卖方出具的增值税发票后10个工作日内，由买方办理政府采购资金结算手续支付给乙方。</w:t>
      </w:r>
      <w:r/>
    </w:p>
    <w:p>
      <w:pPr>
        <w:pStyle w:val="1069"/>
        <w:ind w:firstLine="54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合同价款的百分之七十（</w:t>
      </w:r>
      <w:r>
        <w:rPr>
          <w:rFonts w:hint="eastAsia" w:ascii="仿宋" w:hAnsi="仿宋" w:eastAsia="仿宋" w:cs="仿宋"/>
          <w:color w:val="auto"/>
          <w:sz w:val="24"/>
          <w:highlight w:val="none"/>
          <w:u w:val="single"/>
        </w:rPr>
        <w:t xml:space="preserve">70%）</w:t>
      </w:r>
      <w:r>
        <w:rPr>
          <w:rFonts w:hint="eastAsia" w:ascii="仿宋" w:hAnsi="仿宋" w:eastAsia="仿宋" w:cs="仿宋"/>
          <w:color w:val="auto"/>
          <w:sz w:val="24"/>
          <w:highlight w:val="none"/>
        </w:rPr>
        <w:t xml:space="preserve">，即¥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元整，在合同标的全部交付完毕且经买方验收合格后30日内，买方对卖方提供的结算资料进行审核，经审核确认后，由买方办理政府采购资金结算手续，经审核后支付给卖方。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卖方申请付款需提交的支付文件包括:</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①卖方出具的正式发票和完税证明；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②买方出具的验收报告(结算款)。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履约保证金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1）签订合同前，</w:t>
      </w:r>
      <w:r>
        <w:rPr>
          <w:rFonts w:hint="eastAsia" w:ascii="仿宋" w:hAnsi="仿宋" w:eastAsia="仿宋" w:cs="仿宋"/>
          <w:bCs/>
          <w:color w:val="auto"/>
          <w:sz w:val="24"/>
          <w:szCs w:val="24"/>
          <w:highlight w:val="none"/>
        </w:rPr>
        <w:t xml:space="preserve">卖方应向买方支付</w:t>
      </w:r>
      <w:r>
        <w:rPr>
          <w:rFonts w:hint="eastAsia" w:ascii="仿宋" w:hAnsi="仿宋" w:eastAsia="仿宋" w:cs="仿宋"/>
          <w:color w:val="auto"/>
          <w:sz w:val="24"/>
          <w:szCs w:val="24"/>
          <w:highlight w:val="none"/>
        </w:rPr>
        <w:t xml:space="preserve">履约保证金，履约保证金金额为中标金额的百分之十（10%）大写：人民币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元），履约保证金不计利息。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履约保证金形式：履约保证金应当以支票、本票、汇票或金融机构、担保机构出具的保函等非现金形式提交。乙方可自愿使用履约保函(保险）代替缴纳履约保证金，具体详见《关于在全省政府采购领域推行电子履约保函(保险)的通知》(苏财购(2023)150号)规定)。</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3）履约保证金退还：履约保证金在卖方按合同履约完成后30日内无息退还。</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4）不予退还的情形：卖方拒绝履行合同义务或履约保证金已经根据合同约定扣完的。</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  合同约定的卖方账户：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银行账号：</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  </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因卖方未能开具真实有效的发票或未提供支付申请而导致买方延期付款的，责任由卖方承担。开具发票为本合同卖方主要义务。买方内部正常审批流程不计算在付款期限之内。若因财政付款审批程序滞后，买方不承担逾期付款的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交货（货物、服务提供的时间、地点、方式）</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5.1卖方应于合同生效日后，</w:t>
      </w:r>
      <w:r>
        <w:rPr>
          <w:rFonts w:hint="eastAsia" w:ascii="仿宋" w:hAnsi="仿宋" w:eastAsia="仿宋" w:cs="仿宋"/>
          <w:color w:val="auto"/>
          <w:sz w:val="24"/>
          <w:szCs w:val="24"/>
          <w:highlight w:val="none"/>
          <w:u w:val="single"/>
        </w:rPr>
        <w:t xml:space="preserve"> 30 </w:t>
      </w:r>
      <w:r>
        <w:rPr>
          <w:rFonts w:hint="eastAsia" w:ascii="仿宋" w:hAnsi="仿宋" w:eastAsia="仿宋" w:cs="仿宋"/>
          <w:color w:val="auto"/>
          <w:sz w:val="24"/>
          <w:szCs w:val="24"/>
          <w:highlight w:val="none"/>
        </w:rPr>
        <w:t xml:space="preserve">日内完成全部合同标的交付。</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 交货地点为</w:t>
      </w:r>
      <w:r>
        <w:rPr>
          <w:rFonts w:hint="eastAsia" w:ascii="仿宋" w:hAnsi="仿宋" w:eastAsia="仿宋" w:cs="仿宋"/>
          <w:color w:val="auto"/>
          <w:sz w:val="24"/>
          <w:szCs w:val="24"/>
          <w:highlight w:val="none"/>
          <w:u w:val="single"/>
        </w:rPr>
        <w:t xml:space="preserve">买方指定地点</w:t>
      </w:r>
      <w:r>
        <w:rPr>
          <w:rFonts w:hint="eastAsia" w:ascii="仿宋" w:hAnsi="仿宋" w:eastAsia="仿宋" w:cs="仿宋"/>
          <w:color w:val="auto"/>
          <w:sz w:val="24"/>
          <w:szCs w:val="24"/>
          <w:highlight w:val="none"/>
        </w:rPr>
        <w:t xml:space="preserve">。</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5.3卖方应在不迟于每批合同标的备妥待运前</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日通知买方。</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5.5如果卖方未能按照合同规定的交货期限交货，卖方应按每天迟交合同标的金额的百分之</w:t>
      </w:r>
      <w:r>
        <w:rPr>
          <w:rFonts w:hint="eastAsia" w:ascii="仿宋" w:hAnsi="仿宋" w:eastAsia="仿宋" w:cs="仿宋"/>
          <w:color w:val="auto"/>
          <w:sz w:val="24"/>
          <w:szCs w:val="24"/>
          <w:highlight w:val="none"/>
          <w:u w:val="single"/>
        </w:rPr>
        <w:t xml:space="preserve">一</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%）的比率支付违约金。违约金的总金额不超过合同总价的百分之</w:t>
      </w:r>
      <w:r>
        <w:rPr>
          <w:rFonts w:hint="eastAsia" w:ascii="仿宋" w:hAnsi="仿宋" w:eastAsia="仿宋" w:cs="仿宋"/>
          <w:color w:val="auto"/>
          <w:sz w:val="24"/>
          <w:szCs w:val="24"/>
          <w:highlight w:val="none"/>
          <w:u w:val="single"/>
        </w:rPr>
        <w:t xml:space="preserve">二十</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20</w:t>
      </w:r>
      <w:r>
        <w:rPr>
          <w:rFonts w:hint="eastAsia" w:ascii="仿宋" w:hAnsi="仿宋" w:eastAsia="仿宋" w:cs="仿宋"/>
          <w:color w:val="auto"/>
          <w:sz w:val="24"/>
          <w:szCs w:val="24"/>
          <w:highlight w:val="none"/>
        </w:rPr>
        <w:t xml:space="preserve">%） ，违约金的支付不能免除卖方继续交付相关合同标的的义务。</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如果卖方在合同规定的交货期限后</w:t>
      </w:r>
      <w:r>
        <w:rPr>
          <w:rFonts w:hint="eastAsia" w:ascii="仿宋" w:hAnsi="仿宋" w:eastAsia="仿宋" w:cs="仿宋"/>
          <w:color w:val="auto"/>
          <w:sz w:val="24"/>
          <w:szCs w:val="24"/>
          <w:highlight w:val="none"/>
          <w:u w:val="single"/>
        </w:rPr>
        <w:t xml:space="preserve">十</w:t>
      </w:r>
      <w:r>
        <w:rPr>
          <w:rFonts w:hint="eastAsia" w:ascii="仿宋" w:hAnsi="仿宋" w:eastAsia="仿宋" w:cs="仿宋"/>
          <w:color w:val="auto"/>
          <w:sz w:val="24"/>
          <w:szCs w:val="24"/>
          <w:highlight w:val="none"/>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包装与标记</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 商品（合同标的）包装具体要求：见《关于印发《商品包装政府采购需求标准（试行）》、 《快递包装政府采购需求标准（试行）》的通知》（财办库〔2020〕123号）中《商品包装政府采购需求标准（试行）》。</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6.5快递包装具体要求：见《关于印发《商品包装政府采购需求标准（试行）》、 《快递包装政府采购需求标准（试行）》的通知》（财办库〔2020〕123号）中《快递包装政府采购需求标准（试行）》。</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 技术资料</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技术资料随合同标的同时交付给买方。</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 安装</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8.1卖方应于合同生效日后，</w:t>
      </w:r>
      <w:r>
        <w:rPr>
          <w:rFonts w:hint="eastAsia" w:ascii="仿宋" w:hAnsi="仿宋" w:eastAsia="仿宋" w:cs="仿宋"/>
          <w:color w:val="auto"/>
          <w:sz w:val="24"/>
          <w:szCs w:val="24"/>
          <w:highlight w:val="none"/>
          <w:u w:val="single"/>
        </w:rPr>
        <w:t xml:space="preserve"> 30 </w:t>
      </w:r>
      <w:r>
        <w:rPr>
          <w:rFonts w:hint="eastAsia" w:ascii="仿宋" w:hAnsi="仿宋" w:eastAsia="仿宋" w:cs="仿宋"/>
          <w:color w:val="auto"/>
          <w:sz w:val="24"/>
          <w:szCs w:val="24"/>
          <w:highlight w:val="none"/>
        </w:rPr>
        <w:t xml:space="preserve">日内完成全部合同标的交付。</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第九条 验收</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 合同标的的试运行、验收应在卖方的协助下进行。合同标的全部交付并安装完毕后，卖方可向买方书面提出试运行、验收要求，买方在接到书面要求后</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日进行试运行、验收。如果试运行和/或验收因卖方原因发生迟延和/或在其他情况下发生额外费用，买方有权就因迟延发生的损害和损失和/或任何额外费用请求赔偿，同时视为卖方逾期交付，并按照合同约定承担逾期交付的违约责任。</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第十一条 索赔</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买方有权选择本条款规定的任意或全部救济方式。</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卖方应在收到买方索赔要求后 14 日内作出书面回复，否则该索赔要求将被视为已被卖方接受。卖方应在买方发出索赔要求后 14 日内，按照买方选择的救济方法解决索赔事宜。</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卖方提前交付，买方接货后，仍可按合同规定的交货时间付款。卖方逾期交货的，应在发货前书面通知买方，与买方协商，买方仍需要的，卖方应继续交货，并按每逾期一日支付合同价款的0.1%承担逾期交货违约责任;买方不再需要的，应当在接到卖方通知后5日内通知卖方，有权单方解除合同，并有权要求卖方赔偿因逾期交货给买方造成的损失。不论卖方是否书面通知买方，如卖方逾期交货超过30天，买方即有权单方解除合同，并要求卖方赔偿因逾期交货给买方造成的损失，损失不能确定的赔偿金额为合同总金额20%。</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卖方不能按本合同要求提供货物质保服务的，应向买方偿付合同总价款的5%的违约金并赔偿因此给买方造成的损失。如果此等违约造成本合同项下货物的使用目的无法实现的，买方有权解除合同并主张除违约金以外的损害赔偿。</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 卖方不能按本合同要求提供安装服务的，应向买方偿付合同总价款的20%的违约金。如果此等违约造成本合同项下货物的使用目的无法实现的，买方有权解除合同并主张除违约金以外的损害赔偿。</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11.6买方有权按照合同约定可以在应付款中直接扣除违约金。</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11.7 产品品质如因卖方原因导致验收不合格的，卖方负责更换产品并承担由此产生的全部费用，且赔偿买方由此产生的损失。经过卖方更换产品仍无法通过验收的，买方有权单方解除本合同，卖方除应退还买方已支付的合同款外还应另外向买方支付合同总价20%的违约金。</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11.8买方若发现卖方向买方提交的投标资料以及本合同所载内容有弄虚作假、隐瞒事实内容等情形的，买方有权视情形单方解除本合同，卖方除应退还买方已支付的合同款外，还应向买方支付合同总金额20%的违约金。</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第十二条 不可抗力</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如果不可抗力事件的影响持续超过20日，合同任何一方均有权发出书面通知终止合同。</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第十三条 合同的终止</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13.1如果卖方有下述违约行为，买方可以全部或部分的终止合同：</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卖方在合同规定的交货期限后</w:t>
      </w:r>
      <w:r>
        <w:rPr>
          <w:rFonts w:hint="eastAsia" w:ascii="仿宋" w:hAnsi="仿宋" w:eastAsia="仿宋" w:cs="仿宋"/>
          <w:color w:val="auto"/>
          <w:sz w:val="24"/>
          <w:szCs w:val="24"/>
          <w:highlight w:val="none"/>
          <w:u w:val="single"/>
        </w:rPr>
        <w:t xml:space="preserve">10</w:t>
      </w:r>
      <w:r>
        <w:rPr>
          <w:rFonts w:hint="eastAsia" w:ascii="仿宋" w:hAnsi="仿宋" w:eastAsia="仿宋" w:cs="仿宋"/>
          <w:color w:val="auto"/>
          <w:sz w:val="24"/>
          <w:szCs w:val="24"/>
          <w:highlight w:val="none"/>
        </w:rPr>
        <w:t xml:space="preserve">日内仍未能交付合同标的和/ 或技术资料；或者卖方未能履行合同项下任何其他义务，并且在收到买方违约通知后</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rPr>
        <w:t xml:space="preserve">日内仍未能对其违约行为作出补救。</w:t>
      </w:r>
      <w:r/>
    </w:p>
    <w:p>
      <w:pPr>
        <w:ind w:firstLine="540"/>
        <w:spacing w:line="360" w:lineRule="auto"/>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第十四条 争议的解决</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14.1如果不能协商一致，合同任何一方有权向买方所在地人民法院提起诉讼。</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14.2因服务的质量问题发生争议的，应当邀请国家认可的质量检测机构对服务质量进行鉴定。符合标准的，鉴定费由买方承担;不符合质量标准的，鉴定费由卖方承担。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第十七条  保密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卖方在本合同履行的过程中，或为履行本合同的需要，从买方所获得的、有关买方和/或属于买方的任何信息包括买方工作方式方法与资料、技术资料及其他被认为是买方的信息，都是买方的秘密，卖方不得泄露给任何第三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17.2上述秘密，卖方只能用于本合同，而且只能由卖方相应的项目参与人员使用；没有必要接触的卖方人员，不得接触。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17.3卖方应当采取适当有效的方式保护所获取的上述秘密。</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买方有权要求卖方签署保密协议和安全风险承诺，卖方违反本合同所规定的在保密和安全风险承诺方面的义务，应按合同总价的50%承担违约金或按照实际损失支付赔偿金；买方有权选择以上两种方式之一要求卖方承担违约责任。本违约金和赔偿金的支付义务独立于其它违约义务。视情节严重程度，买方有权决定是否解除合同。构成犯罪的，由司法机关依法追究卖方及相关责任人的刑事责任。</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第十八条 合同生效及其他</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18.10 按照《财政部关于做好政府采购信息公开工作的通知》（财库〔2015〕135号），买方依据《保守国家秘密法》等法律制度规定确定本合同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部分涉及国家秘密，该涉及国家秘密部分不公告；买方依据《反不正当竞争法》等法律制度的规定与卖方约定本合同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部分涉及商业秘密，该涉及商业秘密部分不公告。</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18.11本协议一式肆份，双方各执贰份，具有同等效力。</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18.12合同双方的通讯地址： </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买方：</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邮编： </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传真： </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卖方： </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邮编： </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传真： </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18.12因买方原因导致变更、中止或者终止政府采购合同的，买方对卖方受到的实际损失予以赔偿或者补偿。</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合同附件</w:t>
      </w:r>
      <w:r/>
    </w:p>
    <w:p>
      <w:pPr>
        <w:jc w:val="center"/>
        <w:spacing w:line="360" w:lineRule="auto"/>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第三部分 合同附件</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目录</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合同附件1：合同协议书</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合同附件2：技术规格和技术性能</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（要求见招标文件第六章《采购需求》；合同见卖方投标文件）</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合同附件3：售后服务</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（要求见招标文件第六章《采购需求》；合同见卖方投标文件）</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合同附件4：供货范围和价格清单</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（要求见招标文件第七章《投标文件相关格式》中《开标一览表》和《分项价格表》；合同见卖方投标文件中《开标一览表》和《分项价格表》）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合同附件5：验收标准（验收要求、验收标准和程序）</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（要求见招标文件第六章《采购需求》）</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合同附件6：采购需求</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（要求见招标文件第六章《采购需求》）</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合同附件7：保密协议</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1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1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szCs w:val="24"/>
          <w:highlight w:val="none"/>
        </w:rPr>
        <w:br w:type="page" w:clear="all"/>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合同附件1：</w:t>
      </w:r>
      <w:r/>
    </w:p>
    <w:p>
      <w:pPr>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合同协议书</w:t>
      </w:r>
      <w:r/>
    </w:p>
    <w:p>
      <w:pPr>
        <w:jc w:val="righ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合同编号：____________ </w:t>
      </w:r>
      <w:r/>
    </w:p>
    <w:p>
      <w:pPr>
        <w:jc w:val="righ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签字日期：____________ </w:t>
      </w:r>
      <w:r/>
    </w:p>
    <w:p>
      <w:pPr>
        <w:jc w:val="righ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签字地点：____________ </w:t>
      </w:r>
      <w:r/>
    </w:p>
    <w:p>
      <w:pPr>
        <w:ind w:firstLine="41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（买方名称）（以下简称“买方”）已接受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（卖方名称）（以下简称“卖方”）对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（项目名称）项目编号：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的投标。买方和卖方共同达成如下协议。</w:t>
      </w:r>
      <w:r/>
    </w:p>
    <w:p>
      <w:pPr>
        <w:ind w:firstLine="36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1.本合同协议书中的词语和术语的含义与合同条款中定义的相同。</w:t>
      </w:r>
      <w:r/>
    </w:p>
    <w:p>
      <w:pPr>
        <w:ind w:firstLine="36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2.以下文件应构成买方和卖方之间达成的合同，若各文件之间存在含糊不清或互相冲突之处，优先顺序应按下列文件顺序解释。</w:t>
      </w:r>
      <w:r/>
    </w:p>
    <w:p>
      <w:pPr>
        <w:ind w:left="44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合同协议书</w:t>
      </w:r>
      <w:r/>
    </w:p>
    <w:p>
      <w:pPr>
        <w:ind w:left="44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中标通知书</w:t>
      </w:r>
      <w:r/>
    </w:p>
    <w:p>
      <w:pPr>
        <w:ind w:left="44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合同专用条款</w:t>
      </w:r>
      <w:r/>
    </w:p>
    <w:p>
      <w:pPr>
        <w:ind w:left="44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合同通用条款</w:t>
      </w:r>
      <w:r/>
    </w:p>
    <w:p>
      <w:pPr>
        <w:ind w:left="44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除合同附件1外的合同附件</w:t>
      </w:r>
      <w:r/>
    </w:p>
    <w:p>
      <w:pPr>
        <w:ind w:left="44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 其他文件</w:t>
      </w:r>
      <w:r/>
    </w:p>
    <w:p>
      <w:pPr>
        <w:ind w:firstLine="54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3.考虑到买方将按照本合同向卖方支付合同价款，卖方在此保证全部按照合同的规定向买方提供合同标的、技术资料、售后服务及技术培训。</w:t>
      </w:r>
      <w:r/>
    </w:p>
    <w:p>
      <w:pPr>
        <w:ind w:firstLine="54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4.考虑到卖方将按合同规定提供合同标的、技术资料、售后服务及技术培训，买方在此保证按照合同规定的时间和方式向卖方支付合同价款。</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5.本合同在下列条件全部满足后生效，生效日期以下列条件全部满足的最晚日期为准： </w:t>
      </w:r>
      <w:r/>
    </w:p>
    <w:p>
      <w:pPr>
        <w:ind w:left="44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双方加盖公章或合同专用章；</w:t>
      </w:r>
      <w:r/>
    </w:p>
    <w:p>
      <w:pPr>
        <w:ind w:firstLine="42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买方收到卖方按政府采购合同金额（合同总价）的</w:t>
      </w:r>
      <w:r>
        <w:rPr>
          <w:rFonts w:hint="eastAsia" w:ascii="仿宋" w:hAnsi="仿宋" w:eastAsia="仿宋" w:cs="仿宋"/>
          <w:color w:val="auto"/>
          <w:sz w:val="24"/>
          <w:szCs w:val="24"/>
          <w:highlight w:val="none"/>
          <w:u w:val="single"/>
        </w:rPr>
        <w:t xml:space="preserve">10</w:t>
      </w:r>
      <w:r>
        <w:rPr>
          <w:rFonts w:hint="eastAsia" w:ascii="仿宋" w:hAnsi="仿宋" w:eastAsia="仿宋" w:cs="仿宋"/>
          <w:color w:val="auto"/>
          <w:sz w:val="24"/>
          <w:szCs w:val="24"/>
          <w:highlight w:val="none"/>
        </w:rPr>
        <w:t xml:space="preserve">%提交的履约保证金（卖方以支票、汇票、本票或者金融机构、担保机构出具的保函等非现金形式提交给买方）。</w:t>
      </w:r>
      <w:r/>
    </w:p>
    <w:p>
      <w:pPr>
        <w:ind w:firstLine="54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6.合同一式</w:t>
      </w:r>
      <w:r>
        <w:rPr>
          <w:rFonts w:hint="eastAsia" w:ascii="仿宋" w:hAnsi="仿宋" w:eastAsia="仿宋" w:cs="仿宋"/>
          <w:color w:val="auto"/>
          <w:sz w:val="24"/>
          <w:szCs w:val="24"/>
          <w:highlight w:val="none"/>
          <w:u w:val="single"/>
        </w:rPr>
        <w:t xml:space="preserve"> 肆 </w:t>
      </w:r>
      <w:r>
        <w:rPr>
          <w:rFonts w:hint="eastAsia" w:ascii="仿宋" w:hAnsi="仿宋" w:eastAsia="仿宋" w:cs="仿宋"/>
          <w:color w:val="auto"/>
          <w:sz w:val="24"/>
          <w:szCs w:val="24"/>
          <w:highlight w:val="none"/>
        </w:rPr>
        <w:t xml:space="preserve">份，具有同等法律效力，买方</w:t>
      </w:r>
      <w:r>
        <w:rPr>
          <w:rFonts w:hint="eastAsia" w:ascii="仿宋" w:hAnsi="仿宋" w:eastAsia="仿宋" w:cs="仿宋"/>
          <w:color w:val="auto"/>
          <w:sz w:val="24"/>
          <w:szCs w:val="24"/>
          <w:highlight w:val="none"/>
          <w:u w:val="single"/>
        </w:rPr>
        <w:t xml:space="preserve">贰</w:t>
      </w:r>
      <w:r>
        <w:rPr>
          <w:rFonts w:hint="eastAsia" w:ascii="仿宋" w:hAnsi="仿宋" w:eastAsia="仿宋" w:cs="仿宋"/>
          <w:color w:val="auto"/>
          <w:sz w:val="24"/>
          <w:szCs w:val="24"/>
          <w:highlight w:val="none"/>
        </w:rPr>
        <w:t xml:space="preserve">份，卖方</w:t>
      </w:r>
      <w:r>
        <w:rPr>
          <w:rFonts w:hint="eastAsia" w:ascii="仿宋" w:hAnsi="仿宋" w:eastAsia="仿宋" w:cs="仿宋"/>
          <w:color w:val="auto"/>
          <w:sz w:val="24"/>
          <w:szCs w:val="24"/>
          <w:highlight w:val="none"/>
          <w:u w:val="single"/>
        </w:rPr>
        <w:t xml:space="preserve">贰</w:t>
      </w:r>
      <w:r>
        <w:rPr>
          <w:rFonts w:hint="eastAsia" w:ascii="仿宋" w:hAnsi="仿宋" w:eastAsia="仿宋" w:cs="仿宋"/>
          <w:color w:val="auto"/>
          <w:sz w:val="24"/>
          <w:szCs w:val="24"/>
          <w:highlight w:val="none"/>
        </w:rPr>
        <w:t xml:space="preserve">份。</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7.本合同其他未尽事宜及与采购文件有矛盾之处，以采购文件[项目编号：      ]为准。</w:t>
      </w:r>
      <w:r/>
    </w:p>
    <w:p>
      <w:pPr>
        <w:ind w:firstLine="36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买方和卖方由其正式授权代表于上述所写日期和地点签订本合同。</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买方（签章）：____________________________________  </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法定代表人或授权代表（签名）： ____________________ </w:t>
      </w:r>
      <w:r/>
    </w:p>
    <w:p>
      <w:pPr>
        <w:ind w:firstLine="336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卖方（签章）： ____________________________________ </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法定代表人或授权代表（签名）： ___________________</w:t>
      </w:r>
      <w:r/>
    </w:p>
    <w:p>
      <w:pPr>
        <w:spacing w:before="240" w:after="240" w:line="312"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合同附件7</w:t>
      </w:r>
      <w:r/>
    </w:p>
    <w:p>
      <w:pPr>
        <w:ind w:firstLine="560"/>
        <w:jc w:val="center"/>
        <w:spacing w:line="312"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保 密 协 议</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u w:val="single"/>
        </w:rPr>
        <w:t xml:space="preserve">      </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u w:val="single"/>
        </w:rPr>
        <w:t xml:space="preserve">      </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甲乙双方就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项目的相关工作，约定由乙方为甲方提供</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服务，双方预计在合作过程中乙方可能接触到甲方拥有或者掌握的保密信息，就保密事项，双方达成如下约定：</w:t>
      </w:r>
      <w:r/>
    </w:p>
    <w:p>
      <w:pPr>
        <w:ind w:firstLine="482"/>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一、定义</w:t>
      </w:r>
      <w:r/>
    </w:p>
    <w:p>
      <w:pPr>
        <w:ind w:firstLine="482"/>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1.保密信息</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⑤标示信息。标明或说明“保密”、含有专有权告示条款的信息。</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⑥其他信息。根据甲方与第三方签署的协议约定，甲方负有保密义务的信息。</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上述保密信息包括但不限于乙方通过书面文件、电子邮件、磁记录、光学记录、电子记录及口头或其他有形或无形方式获得的信息资料。</w:t>
      </w:r>
      <w:r/>
    </w:p>
    <w:p>
      <w:pPr>
        <w:ind w:firstLine="482"/>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2.代表</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numPr>
          <w:ilvl w:val="0"/>
          <w:numId w:val="3"/>
        </w:numPr>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保密义务</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1.乙方应当严格保守保密信息的机密性，保证自接收、管理、使用、掌握或知悉保密信息之日起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年内：</w:t>
      </w:r>
      <w:r/>
    </w:p>
    <w:p>
      <w:pPr>
        <w:numPr>
          <w:ilvl w:val="0"/>
          <w:numId w:val="4"/>
        </w:num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未经甲方事先书面同意，不得将该保密信息泄漏或交付给任何第三方，未经甲方同意，不得将非涉密载体连接甲方的涉密设备；</w:t>
      </w:r>
      <w:r/>
    </w:p>
    <w:p>
      <w:pPr>
        <w:numPr>
          <w:ilvl w:val="0"/>
          <w:numId w:val="4"/>
        </w:num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仅将保密信息披露给为执行本协议之目的，有必要得知该保密信息的代表且乙方应当与该代表签订不低于本协议标准的保密协议；</w:t>
      </w:r>
      <w:r/>
    </w:p>
    <w:p>
      <w:pPr>
        <w:numPr>
          <w:ilvl w:val="0"/>
          <w:numId w:val="4"/>
        </w:num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除为履行本协议所必要的复制外，未经甲方明确书面同意，不得随意复制保密信息或其他衍生行为；</w:t>
      </w:r>
      <w:r/>
    </w:p>
    <w:p>
      <w:pPr>
        <w:numPr>
          <w:ilvl w:val="0"/>
          <w:numId w:val="4"/>
        </w:num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采取与保护自身同类性质保密信息相同等的保护程度，且不得低于合理的保护程度，来保管该保密信息；</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（5）当保密信息被不当使用或揭露时，立即通知甲方并采取合理措施以重新保障保密信息的机密性，防止保密信息被进一步不当使用、揭露及其他违约行为的发生；</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（6）仅出于本协议约定之目的使用保密信息，不得将保密信息用于甲方同意之外的任何目的，不得在其产品设计和制造或工艺设计中或以其他任何方式使用保密信息。</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4.乙方应负责使其代表遵守本协议，如有违反视同违约乙方与相关责任方负连带责任。</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5.如乙方有足够的证据证明甲方的保密信息为下列信息之一者，则乙方对该信息不负保密义务：</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（1）该信息为乙方于本协议订立之前合法获得，且无保密义务者；</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（2）该信息由乙方在未使用甲方保密信息且未违反本协议所约定义务前提下，独立开发所得；</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（3）该信息由甲方书面授权公开或泄漏。</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10.随时接受甲方安全保密的监督检查，乙方在接触涉密信息后做好相应记录备查。</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11.乙方配合甲方完成相关评估。</w:t>
      </w:r>
      <w:r/>
    </w:p>
    <w:p>
      <w:pPr>
        <w:ind w:firstLine="482"/>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三、保密信息的所有权</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1.本协议的任何内容均不应被解释为甲方将其任何知识产权下的任何权利或许可明示地或默示地授予乙方。</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2.乙方所接收或知悉的保密信息的权利及利益，属甲方。</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3.乙方应在甲方请求时，将该保密信息及其复制品、衍生品全部立即返还甲方或根据甲方要求进行销毁，并出具书面证明以说明上述资料的销毁情形。</w:t>
      </w:r>
      <w:r/>
    </w:p>
    <w:p>
      <w:pPr>
        <w:ind w:firstLine="482"/>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四、声明 </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1.双方同意，本协议项下保密信息的披露和接收，不得被理解为对任何一方创设具有与另一方达成业务关系的任何义务或任何期望。</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ind w:firstLine="482"/>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五、保密信息的返还与销毁</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1.保密信息作为甲方的专有财产，乙方应妥善保管所获得的保密信息的所有文件资料及其他任何载体。</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2.若双方之间未能建立合作关系或合作关系终止或应甲方的要求，乙方应将全部保密文件资料（包括原件、复印件、翻译件），连同包含或描述该保密信息的任何形式载体交付甲方或销毁。</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ind w:firstLine="482"/>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六、保密期限</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甲、乙双方确认，乙方的保密义务自本协议签订之日起或主合同生效之时或接触甲方保密信息之时开始（以三者较先开始的时间为准）后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p>
    <w:p>
      <w:pPr>
        <w:ind w:firstLine="482"/>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七、违约责任</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八、法律适用及争议的解决</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1.本协议应适用中华人民共和国法律解释并受其约束。</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2.因履行本协议或与本协议有关的任何争议，双方应首先协商解决。协商不成时，采取第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种方式解决。</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①可向甲方所在地的人民法院提起诉讼解决。</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②向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仲裁委员会提起仲裁。</w:t>
      </w:r>
      <w:r/>
    </w:p>
    <w:p>
      <w:pPr>
        <w:ind w:firstLine="482"/>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九、协议生效及其他</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1.本协议自双方盖章之日起生效，自保密期限到期之日自动终止。如本协议提前终止或解除，乙方的保密义务继续存续。</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2、本协议一式贰份，双方各执壹份，具有同等效力。</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【以下无正文】</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甲方：                       乙方：</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（盖章）                        （盖章）</w:t>
      </w:r>
      <w:r/>
    </w:p>
    <w:p>
      <w:pPr>
        <w:ind w:firstLine="480"/>
        <w:spacing w:line="312"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地址：                           地址：</w:t>
      </w:r>
      <w:r/>
    </w:p>
    <w:p>
      <w:pPr>
        <w:ind w:firstLine="48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签约日期：                签约日期：</w:t>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spacing w:line="360" w:lineRule="auto"/>
        <w:rPr>
          <w:rFonts w:hint="eastAsia" w:ascii="仿宋" w:hAnsi="仿宋" w:eastAsia="仿宋" w:cs="仿宋"/>
          <w:b/>
          <w:bCs/>
          <w:color w:val="auto"/>
          <w:sz w:val="32"/>
          <w:szCs w:val="32"/>
          <w:highlight w:val="none"/>
        </w:rPr>
        <w:sectPr>
          <w:headerReference w:type="default" r:id="rId12"/>
          <w:footerReference w:type="default" r:id="rId19"/>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仿宋" w:hAnsi="仿宋" w:eastAsia="仿宋" w:cs="仿宋"/>
          <w:b/>
          <w:bCs/>
          <w:color w:val="auto"/>
          <w:sz w:val="32"/>
          <w:szCs w:val="32"/>
          <w:highlight w:val="none"/>
        </w:rPr>
      </w:r>
      <w:r/>
    </w:p>
    <w:p>
      <w:pPr>
        <w:jc w:val="center"/>
        <w:spacing w:line="360" w:lineRule="auto"/>
        <w:rPr>
          <w:rFonts w:hint="eastAsia" w:ascii="仿宋" w:hAnsi="仿宋" w:eastAsia="仿宋" w:cs="仿宋"/>
          <w:b/>
          <w:bCs/>
          <w:color w:val="auto"/>
          <w:sz w:val="32"/>
          <w:szCs w:val="32"/>
          <w:highlight w:val="none"/>
        </w:rPr>
        <w:outlineLvl w:val="0"/>
      </w:pPr>
      <w:r/>
      <w:bookmarkStart w:id="32" w:name="_Toc20076"/>
      <w:r/>
      <w:bookmarkStart w:id="33" w:name="_Toc9986"/>
      <w:r/>
      <w:bookmarkStart w:id="34" w:name="_Toc19220"/>
      <w:r>
        <w:rPr>
          <w:rFonts w:hint="eastAsia" w:ascii="仿宋" w:hAnsi="仿宋" w:eastAsia="仿宋" w:cs="仿宋"/>
          <w:b/>
          <w:bCs/>
          <w:color w:val="auto"/>
          <w:sz w:val="32"/>
          <w:szCs w:val="32"/>
          <w:highlight w:val="none"/>
        </w:rPr>
        <w:t xml:space="preserve">第七章  投标文件相关格式</w:t>
      </w:r>
      <w:bookmarkEnd w:id="32"/>
      <w:r/>
      <w:bookmarkEnd w:id="33"/>
      <w:r/>
      <w:bookmarkEnd w:id="34"/>
      <w:r/>
      <w:r/>
    </w:p>
    <w:p>
      <w:pPr>
        <w:pStyle w:val="1065"/>
        <w:jc w:val="center"/>
        <w:spacing w:line="360" w:lineRule="auto"/>
        <w:widowControl w:val="off"/>
        <w:rPr>
          <w:rFonts w:hint="eastAsia" w:ascii="仿宋" w:hAnsi="仿宋" w:eastAsia="仿宋" w:cs="仿宋"/>
          <w:bCs/>
          <w:color w:val="auto"/>
          <w:sz w:val="32"/>
          <w:szCs w:val="32"/>
          <w:highlight w:val="none"/>
        </w:rPr>
      </w:pPr>
      <w:r>
        <w:rPr>
          <w:rStyle w:val="1170"/>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本章仅提供投标文件中的部分文件格式，不应被理解为包含了投标文件所需的全部资料）</w:t>
      </w:r>
      <w:r/>
    </w:p>
    <w:p>
      <w:pPr>
        <w:jc w:val="center"/>
        <w:spacing w:line="36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jc w:val="center"/>
        <w:spacing w:line="36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DNA试剂耗材采购项目</w:t>
      </w:r>
      <w:r/>
    </w:p>
    <w:p>
      <w:p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206"/>
        <w:ind w:left="0" w:right="0" w:firstLine="56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bCs/>
          <w:color w:val="auto"/>
          <w:sz w:val="84"/>
          <w:szCs w:val="84"/>
          <w:highlight w:val="none"/>
        </w:rPr>
      </w:pPr>
      <w:r>
        <w:rPr>
          <w:rFonts w:hint="eastAsia" w:ascii="仿宋" w:hAnsi="仿宋" w:eastAsia="仿宋" w:cs="仿宋"/>
          <w:bCs/>
          <w:color w:val="auto"/>
          <w:sz w:val="84"/>
          <w:szCs w:val="84"/>
          <w:highlight w:val="none"/>
        </w:rPr>
        <w:t xml:space="preserve">投标文件</w:t>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（项目编号：         ）</w:t>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（名称打印并盖法人公章）</w:t>
      </w:r>
      <w:r/>
    </w:p>
    <w:p>
      <w:pPr>
        <w:jc w:val="cente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法定代表人或其委托代理人：</w:t>
      </w:r>
      <w:r>
        <w:rPr>
          <w:rFonts w:hint="eastAsia" w:ascii="仿宋" w:hAnsi="仿宋" w:eastAsia="仿宋" w:cs="仿宋"/>
          <w:color w:val="auto"/>
          <w:sz w:val="28"/>
          <w:szCs w:val="28"/>
          <w:highlight w:val="none"/>
          <w:u w:val="single"/>
        </w:rPr>
        <w:t xml:space="preserve">（签字或盖章）</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65"/>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友情提醒：采购人与中标、成交供应商应当在中标、成交通知书发出之日起30日内，按照采购文件确定的事项签订政府采购合同。</w:t>
      </w:r>
      <w:r/>
    </w:p>
    <w:p>
      <w:pPr>
        <w:pStyle w:val="1206"/>
        <w:ind w:left="0" w:right="0" w:firstLine="560"/>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采购人应当自政府采购合同签订之日起2个</w:t>
      </w:r>
      <w:r>
        <w:rPr>
          <w:rFonts w:hint="eastAsia" w:ascii="仿宋" w:hAnsi="仿宋" w:eastAsia="仿宋" w:cs="仿宋"/>
          <w:bCs/>
          <w:color w:val="auto"/>
          <w:sz w:val="24"/>
          <w:szCs w:val="24"/>
          <w:highlight w:val="none"/>
        </w:rPr>
        <w:t xml:space="preserve">工作日内，将政府采购合同在省级以上人民政府财政部门指定的媒体上公告，但政府采购合同中涉及国家秘密、商业秘密的内容除外。</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206"/>
        <w:ind w:left="0" w:right="0" w:firstLine="482"/>
        <w:spacing w:line="360" w:lineRule="auto"/>
        <w:rPr>
          <w:rStyle w:val="1170"/>
          <w:rFonts w:hint="eastAsia" w:ascii="仿宋" w:hAnsi="仿宋" w:eastAsia="仿宋" w:cs="仿宋"/>
          <w:b/>
          <w:color w:val="auto"/>
          <w:sz w:val="24"/>
          <w:szCs w:val="24"/>
          <w:highlight w:val="none"/>
        </w:rPr>
      </w:pPr>
      <w:r>
        <w:rPr>
          <w:rStyle w:val="1170"/>
          <w:rFonts w:hint="eastAsia" w:ascii="仿宋" w:hAnsi="仿宋" w:eastAsia="仿宋" w:cs="仿宋"/>
          <w:b/>
          <w:color w:val="auto"/>
          <w:sz w:val="24"/>
          <w:szCs w:val="24"/>
          <w:highlight w:val="none"/>
        </w:rPr>
        <w:t xml:space="preserve">特别提醒：</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 xml:space="preserve">中标人领取中标通知书时须向代理机构提交纸质胶装投标文件一正四副，电子版投标文件二份（U盘）。</w:t>
      </w:r>
      <w:r>
        <w:rPr>
          <w:rFonts w:hint="eastAsia" w:ascii="仿宋" w:hAnsi="仿宋" w:eastAsia="仿宋" w:cs="仿宋"/>
          <w:color w:val="auto"/>
          <w:sz w:val="28"/>
          <w:szCs w:val="28"/>
          <w:highlight w:val="none"/>
        </w:rPr>
        <w:br w:type="page" w:clear="all"/>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目 录</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 投标函</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开标一览表</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3．分项价格表</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4.商务/技术偏离表</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 法定代表人授权书</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 中小企业声明函</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 残疾人福利性单位声明函</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 投标人参加政府采购活动前3年内在经营活动中没有重大违法记录的书面声明</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 具备履行合同所必需的设备和专业技术能力的书面声明（附证明材料扫描件）</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10.关于符合本国产品标准的声明函</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.预付款保函支付条款模板</w:t>
      </w:r>
      <w:r/>
    </w:p>
    <w:p>
      <w:pPr>
        <w:spacing w:line="360" w:lineRule="auto"/>
        <w:rPr>
          <w:rFonts w:hint="eastAsia" w:ascii="仿宋" w:hAnsi="仿宋" w:eastAsia="仿宋" w:cs="仿宋"/>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、投标人认为需要提供的其他资料</w:t>
      </w:r>
      <w:r/>
    </w:p>
    <w:p>
      <w:pPr>
        <w:jc w:val="center"/>
        <w:spacing w:line="360" w:lineRule="auto"/>
        <w:rPr>
          <w:rFonts w:hint="eastAsia" w:ascii="仿宋" w:hAnsi="仿宋" w:eastAsia="仿宋" w:cs="仿宋"/>
          <w:color w:val="auto"/>
          <w:sz w:val="28"/>
          <w:szCs w:val="28"/>
          <w:highlight w:val="none"/>
        </w:rPr>
        <w:outlineLvl w:val="1"/>
      </w:pPr>
      <w:r/>
      <w:bookmarkStart w:id="35" w:name="_Toc9140"/>
      <w:r/>
      <w:bookmarkStart w:id="36" w:name="_Toc13569"/>
      <w:r>
        <w:rPr>
          <w:rFonts w:hint="eastAsia" w:ascii="仿宋" w:hAnsi="仿宋" w:eastAsia="仿宋" w:cs="仿宋"/>
          <w:color w:val="auto"/>
          <w:sz w:val="28"/>
          <w:szCs w:val="28"/>
          <w:highlight w:val="none"/>
        </w:rPr>
        <w:t xml:space="preserve">1. 投标函</w:t>
      </w:r>
      <w:bookmarkEnd w:id="35"/>
      <w:r/>
      <w:bookmarkEnd w:id="36"/>
      <w:r/>
      <w:r/>
    </w:p>
    <w:p>
      <w:pPr>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致：</w:t>
      </w:r>
      <w:r>
        <w:rPr>
          <w:rFonts w:hint="eastAsia" w:ascii="仿宋" w:hAnsi="仿宋" w:eastAsia="仿宋" w:cs="仿宋"/>
          <w:color w:val="auto"/>
          <w:sz w:val="24"/>
          <w:highlight w:val="none"/>
          <w:u w:val="single"/>
        </w:rPr>
        <w:t xml:space="preserve">江苏科建工程项目管理有限公司</w:t>
      </w:r>
      <w:r/>
    </w:p>
    <w:p>
      <w:pPr>
        <w:ind w:firstLine="480"/>
        <w:jc w:val="left"/>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w:t>
      </w:r>
      <w:r>
        <w:rPr>
          <w:rFonts w:hint="eastAsia" w:ascii="仿宋" w:hAnsi="仿宋" w:eastAsia="仿宋" w:cs="仿宋"/>
          <w:color w:val="auto"/>
          <w:sz w:val="24"/>
          <w:highlight w:val="none"/>
          <w:u w:val="single"/>
        </w:rPr>
        <w:t xml:space="preserve">  DNA试剂耗材采购项目</w:t>
      </w:r>
      <w:r>
        <w:rPr>
          <w:rFonts w:hint="eastAsia" w:ascii="仿宋" w:hAnsi="仿宋" w:eastAsia="仿宋" w:cs="仿宋"/>
          <w:color w:val="auto"/>
          <w:sz w:val="24"/>
          <w:highlight w:val="none"/>
        </w:rPr>
        <w:t xml:space="preserve">（项目名称）[项目编号：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JSZC-320300-JSKJ-G2026-0032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]招标文件，</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(姓名)代表我方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（投标人的名称）全权处理本次投标的有关事宜。</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据此函，投标人承诺并同意如下： </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 投标人唯一投标报价见《开标一览表》。</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投标人将按招标文件的规定履行合同责任和义务。</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 投标人已详细审查全部招标文件，包括第[插入编号] [补遗书][如果有的话]。投标人完全理解并同意放弃对这方面有不明及误解的权力。</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 投标有效期为开标之日后90天。</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 投标人不在投标初始有效期内撤回投标。</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 投标人同意提供按照贵方可能要求的与其投标有关的一切数据或资料，完全理解贵方不一定接受最低价的投标或收到的任何投标。</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 投标人同意在授予合同后，按照投标资料表中的有关规定支付招标代理服务费。 </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 采购人或采购代理机构有权将我单位本项目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 采购人有权对投标人投标文件的真实性进行核实，如投标人不能在采购人规定的时间内向采购人提供有效的证明文件，将被采购人视为放弃中标资格。</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 与本投标有关的一切正式往来信函请寄：</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电话： </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传真： </w:t>
      </w:r>
      <w:r/>
    </w:p>
    <w:p>
      <w:pPr>
        <w:ind w:firstLine="312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投标人：（盖电子签章）</w:t>
      </w:r>
      <w:r/>
    </w:p>
    <w:p>
      <w:pPr>
        <w:ind w:firstLine="48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jc w:val="center"/>
        <w:spacing w:line="360" w:lineRule="auto"/>
        <w:rPr>
          <w:rFonts w:hint="eastAsia" w:ascii="仿宋" w:hAnsi="仿宋" w:eastAsia="仿宋" w:cs="仿宋"/>
          <w:color w:val="auto"/>
          <w:sz w:val="24"/>
          <w:highlight w:val="none"/>
        </w:rPr>
        <w:outlineLvl w:val="1"/>
      </w:pPr>
      <w:r/>
      <w:bookmarkStart w:id="37" w:name="_Toc18916"/>
      <w:r/>
      <w:bookmarkStart w:id="38" w:name="_Toc1886"/>
      <w:r>
        <w:rPr>
          <w:rFonts w:hint="eastAsia" w:ascii="仿宋" w:hAnsi="仿宋" w:eastAsia="仿宋" w:cs="仿宋"/>
          <w:color w:val="auto"/>
          <w:sz w:val="28"/>
          <w:szCs w:val="28"/>
          <w:highlight w:val="none"/>
        </w:rPr>
        <w:t xml:space="preserve">2、开标一览表</w:t>
      </w:r>
      <w:bookmarkEnd w:id="37"/>
      <w:r/>
      <w:bookmarkEnd w:id="38"/>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jc w:val="center"/>
        <w:spacing w:line="360" w:lineRule="auto"/>
        <w:widowControl/>
        <w:rPr>
          <w:rFonts w:hint="eastAsia" w:ascii="仿宋" w:hAnsi="仿宋" w:eastAsia="仿宋" w:cs="仿宋"/>
          <w:i/>
          <w:iCs/>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i/>
          <w:iCs/>
          <w:color w:val="auto"/>
          <w:sz w:val="24"/>
          <w:highlight w:val="none"/>
          <w:u w:val="single"/>
        </w:rPr>
      </w:r>
      <w:r/>
    </w:p>
    <w:p>
      <w:pPr>
        <w:ind w:firstLine="480"/>
        <w:jc w:val="center"/>
        <w:spacing w:line="360" w:lineRule="auto"/>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iCs/>
          <w:color w:val="auto"/>
          <w:sz w:val="24"/>
          <w:highlight w:val="none"/>
          <w:u w:val="single"/>
        </w:rPr>
        <w:t xml:space="preserve">政府采购客户端工具输入报价自动生成</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spacing w:line="360" w:lineRule="auto"/>
        <w:rPr>
          <w:rFonts w:hint="eastAsia" w:ascii="仿宋" w:hAnsi="仿宋" w:eastAsia="仿宋" w:cs="仿宋"/>
          <w:color w:val="auto"/>
          <w:sz w:val="28"/>
          <w:szCs w:val="28"/>
          <w:highlight w:val="none"/>
        </w:rPr>
        <w:outlineLvl w:val="1"/>
      </w:pPr>
      <w:r/>
      <w:bookmarkStart w:id="39" w:name="_Toc17389"/>
      <w:r/>
      <w:bookmarkStart w:id="40" w:name="_Toc12201"/>
      <w:r>
        <w:rPr>
          <w:rFonts w:hint="eastAsia" w:ascii="仿宋" w:hAnsi="仿宋" w:eastAsia="仿宋" w:cs="仿宋"/>
          <w:color w:val="auto"/>
          <w:sz w:val="28"/>
          <w:szCs w:val="28"/>
          <w:highlight w:val="none"/>
        </w:rPr>
        <w:t xml:space="preserve">3、分项价格表</w:t>
      </w:r>
      <w:bookmarkEnd w:id="39"/>
      <w:r/>
      <w:bookmarkEnd w:id="40"/>
      <w:r>
        <w:rPr>
          <w:rFonts w:hint="eastAsia" w:ascii="仿宋" w:hAnsi="仿宋" w:eastAsia="仿宋" w:cs="仿宋"/>
          <w:color w:val="auto"/>
          <w:sz w:val="28"/>
          <w:szCs w:val="28"/>
          <w:highlight w:val="none"/>
        </w:rPr>
        <w:t xml:space="preserve">（根据采购需求提供的采购清单报价）</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DNA试剂耗材采购项目</w:t>
      </w:r>
      <w:r>
        <w:rPr>
          <w:rFonts w:hint="eastAsia" w:ascii="仿宋" w:hAnsi="仿宋" w:eastAsia="仿宋" w:cs="仿宋"/>
          <w:color w:val="auto"/>
          <w:sz w:val="24"/>
          <w:highlight w:val="none"/>
        </w:rPr>
        <w:t xml:space="preserve">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JSZC-320300-JSKJ-G2026-0032</w:t>
      </w:r>
      <w:r>
        <w:rPr>
          <w:rFonts w:hint="eastAsia" w:ascii="仿宋" w:hAnsi="仿宋" w:eastAsia="仿宋" w:cs="仿宋"/>
          <w:color w:val="auto"/>
          <w:sz w:val="24"/>
          <w:highlight w:val="none"/>
          <w:u w:val="single"/>
        </w:rPr>
        <w:t xml:space="preserve"> </w:t>
      </w:r>
      <w:r/>
    </w:p>
    <w:p>
      <w:pPr>
        <w:pStyle w:val="1065"/>
        <w:jc w:val="center"/>
        <w:spacing w:line="276" w:lineRule="auto"/>
        <w:widowControl w:val="off"/>
        <w:rPr>
          <w:rFonts w:hint="eastAsia" w:ascii="仿宋" w:hAnsi="仿宋" w:eastAsia="仿宋" w:cs="仿宋"/>
          <w:color w:val="auto"/>
          <w:sz w:val="24"/>
          <w:highlight w:val="none"/>
        </w:rPr>
      </w:pPr>
      <w:r>
        <w:rPr>
          <w:rFonts w:hint="eastAsia" w:ascii="仿宋" w:hAnsi="仿宋" w:eastAsia="仿宋" w:cs="仿宋"/>
          <w:b/>
          <w:color w:val="auto"/>
          <w:sz w:val="24"/>
          <w:szCs w:val="24"/>
          <w:highlight w:val="none"/>
          <w:lang w:val="en-US" w:eastAsia="zh-CN"/>
        </w:rPr>
        <w:t xml:space="preserve">表一 主要标的物</w:t>
      </w:r>
      <w:r/>
    </w:p>
    <w:tbl>
      <w:tblPr>
        <w:tblStyle w:val="1029"/>
        <w:tblW w:w="999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57"/>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657"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w:t>
            </w:r>
            <w:r/>
          </w:p>
        </w:tc>
        <w:tc>
          <w:tcPr>
            <w:tcMar>
              <w:left w:w="15" w:type="dxa"/>
              <w:top w:w="15" w:type="dxa"/>
              <w:right w:w="15" w:type="dxa"/>
              <w:bottom w:w="0" w:type="dxa"/>
            </w:tcMar>
            <w:tcW w:w="1005"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品牌、规格、型号</w:t>
            </w:r>
            <w:r/>
          </w:p>
        </w:tc>
        <w:tc>
          <w:tcPr>
            <w:tcMar>
              <w:left w:w="15" w:type="dxa"/>
              <w:top w:w="15" w:type="dxa"/>
              <w:right w:w="15" w:type="dxa"/>
              <w:bottom w:w="0" w:type="dxa"/>
            </w:tcMar>
            <w:tcW w:w="134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Mar>
              <w:left w:w="15" w:type="dxa"/>
              <w:top w:w="15" w:type="dxa"/>
              <w:right w:w="15" w:type="dxa"/>
              <w:bottom w:w="0" w:type="dxa"/>
            </w:tcMar>
            <w:tcW w:w="862"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数量单位</w:t>
            </w:r>
            <w:r/>
          </w:p>
        </w:tc>
        <w:tc>
          <w:tcPr>
            <w:tcMar>
              <w:left w:w="15" w:type="dxa"/>
              <w:top w:w="15" w:type="dxa"/>
              <w:right w:w="15" w:type="dxa"/>
              <w:bottom w:w="0" w:type="dxa"/>
            </w:tcMar>
            <w:tcW w:w="807"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w:t>
            </w:r>
            <w:r/>
          </w:p>
        </w:tc>
        <w:tc>
          <w:tcPr>
            <w:tcW w:w="80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总价</w:t>
            </w:r>
            <w:r/>
          </w:p>
        </w:tc>
        <w:tc>
          <w:tcPr>
            <w:tcMar>
              <w:left w:w="15" w:type="dxa"/>
              <w:top w:w="15" w:type="dxa"/>
              <w:right w:w="15" w:type="dxa"/>
              <w:bottom w:w="0" w:type="dxa"/>
            </w:tcMar>
            <w:tcW w:w="78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300"/>
        </w:trPr>
        <w:tc>
          <w:tcPr>
            <w:tcMar>
              <w:left w:w="15" w:type="dxa"/>
              <w:top w:w="15" w:type="dxa"/>
              <w:right w:w="15" w:type="dxa"/>
              <w:bottom w:w="0" w:type="dxa"/>
            </w:tcMar>
            <w:tcW w:w="65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999"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50"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62"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0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0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84"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4"/>
        </w:trPr>
        <w:tc>
          <w:tcPr>
            <w:tcMar>
              <w:left w:w="15" w:type="dxa"/>
              <w:top w:w="15" w:type="dxa"/>
              <w:right w:w="15" w:type="dxa"/>
              <w:bottom w:w="0" w:type="dxa"/>
            </w:tcMar>
            <w:tcW w:w="65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999"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50"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62"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0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0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84"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4"/>
        </w:trPr>
        <w:tc>
          <w:tcPr>
            <w:tcMar>
              <w:left w:w="15" w:type="dxa"/>
              <w:top w:w="15" w:type="dxa"/>
              <w:right w:w="15" w:type="dxa"/>
              <w:bottom w:w="0" w:type="dxa"/>
            </w:tcMar>
            <w:tcW w:w="65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999"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50"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62"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0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0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84"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22"/>
        </w:trPr>
        <w:tc>
          <w:tcPr>
            <w:tcMar>
              <w:left w:w="15" w:type="dxa"/>
              <w:top w:w="15" w:type="dxa"/>
              <w:right w:w="15" w:type="dxa"/>
              <w:bottom w:w="0" w:type="dxa"/>
            </w:tcMar>
            <w:tcW w:w="65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999"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50"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62"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0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0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84"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5"/>
        </w:trPr>
        <w:tc>
          <w:tcPr>
            <w:tcMar>
              <w:left w:w="15" w:type="dxa"/>
              <w:top w:w="15" w:type="dxa"/>
              <w:right w:w="15" w:type="dxa"/>
              <w:bottom w:w="0" w:type="dxa"/>
            </w:tcMar>
            <w:tcW w:w="65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999"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50"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62"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0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0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84"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5"/>
        </w:trPr>
        <w:tc>
          <w:tcPr>
            <w:tcMar>
              <w:left w:w="15" w:type="dxa"/>
              <w:top w:w="15" w:type="dxa"/>
              <w:right w:w="15" w:type="dxa"/>
              <w:bottom w:w="0" w:type="dxa"/>
            </w:tcMar>
            <w:tcW w:w="65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999"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50"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62"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0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0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84"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5"/>
        </w:trPr>
        <w:tc>
          <w:tcPr>
            <w:tcMar>
              <w:left w:w="15" w:type="dxa"/>
              <w:top w:w="15" w:type="dxa"/>
              <w:right w:w="15" w:type="dxa"/>
              <w:bottom w:w="0" w:type="dxa"/>
            </w:tcMar>
            <w:tcW w:w="65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999"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50"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62"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0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0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84"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499"/>
        </w:trPr>
        <w:tc>
          <w:tcPr>
            <w:gridSpan w:val="4"/>
            <w:tcMar>
              <w:left w:w="15" w:type="dxa"/>
              <w:top w:w="15" w:type="dxa"/>
              <w:right w:w="15" w:type="dxa"/>
              <w:bottom w:w="0" w:type="dxa"/>
            </w:tcMar>
            <w:tcW w:w="3983"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表一</w:t>
            </w:r>
            <w:r>
              <w:rPr>
                <w:rFonts w:hint="eastAsia" w:ascii="仿宋" w:hAnsi="仿宋" w:eastAsia="仿宋" w:cs="仿宋"/>
                <w:color w:val="auto"/>
                <w:sz w:val="24"/>
                <w:highlight w:val="none"/>
              </w:rPr>
              <w:t xml:space="preserve">总价合计</w:t>
            </w:r>
            <w:r/>
          </w:p>
        </w:tc>
        <w:tc>
          <w:tcPr>
            <w:gridSpan w:val="6"/>
            <w:tcW w:w="6008"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499"/>
        </w:trPr>
        <w:tc>
          <w:tcPr>
            <w:gridSpan w:val="10"/>
            <w:tcMar>
              <w:left w:w="15" w:type="dxa"/>
              <w:top w:w="15" w:type="dxa"/>
              <w:right w:w="15" w:type="dxa"/>
              <w:bottom w:w="0" w:type="dxa"/>
            </w:tcMar>
            <w:tcW w:w="9991"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《开标一览表》中的“总价”</w:t>
            </w:r>
            <w:r>
              <w:rPr>
                <w:rFonts w:hint="eastAsia" w:ascii="仿宋" w:hAnsi="仿宋" w:eastAsia="仿宋" w:cs="仿宋"/>
                <w:color w:val="auto"/>
                <w:sz w:val="24"/>
                <w:highlight w:val="none"/>
                <w:lang w:val="en-US" w:eastAsia="zh-CN"/>
              </w:rPr>
              <w:t xml:space="preserve">=表一总价+表二总价</w:t>
            </w:r>
            <w:r/>
          </w:p>
        </w:tc>
      </w:tr>
    </w:tbl>
    <w:p>
      <w:pPr>
        <w:pStyle w:val="1065"/>
        <w:ind w:firstLine="482"/>
        <w:jc w:val="both"/>
        <w:spacing w:line="276"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注：本项目专门面向中小企业采购，表一</w:t>
      </w:r>
      <w:r>
        <w:rPr>
          <w:rFonts w:hint="eastAsia" w:ascii="仿宋" w:hAnsi="仿宋" w:eastAsia="仿宋" w:cs="仿宋"/>
          <w:b/>
          <w:color w:val="auto"/>
          <w:sz w:val="24"/>
          <w:szCs w:val="24"/>
          <w:highlight w:val="none"/>
          <w:lang w:val="en-US" w:eastAsia="zh-CN"/>
        </w:rPr>
        <w:t xml:space="preserve">主要标的物</w:t>
      </w:r>
      <w:r>
        <w:rPr>
          <w:rFonts w:hint="eastAsia" w:ascii="仿宋" w:hAnsi="仿宋" w:eastAsia="仿宋" w:cs="仿宋"/>
          <w:b/>
          <w:bCs/>
          <w:color w:val="auto"/>
          <w:sz w:val="24"/>
          <w:szCs w:val="24"/>
          <w:highlight w:val="none"/>
          <w:lang w:val="en-US" w:eastAsia="zh-CN"/>
        </w:rPr>
        <w:t xml:space="preserve">须由中小企业制造。表二辅助耗材属于配套辅材，不作为中小企业政策审查标的物，不对辅材生产厂商规模作出要求。供应商《中小企业声明函》仅填写表一</w:t>
      </w:r>
      <w:r>
        <w:rPr>
          <w:rFonts w:hint="eastAsia" w:ascii="仿宋" w:hAnsi="仿宋" w:eastAsia="仿宋" w:cs="仿宋"/>
          <w:b/>
          <w:color w:val="auto"/>
          <w:sz w:val="24"/>
          <w:szCs w:val="24"/>
          <w:highlight w:val="none"/>
          <w:lang w:val="en-US" w:eastAsia="zh-CN"/>
        </w:rPr>
        <w:t xml:space="preserve">主要标的物</w:t>
      </w:r>
      <w:r>
        <w:rPr>
          <w:rFonts w:hint="eastAsia" w:ascii="仿宋" w:hAnsi="仿宋" w:eastAsia="仿宋" w:cs="仿宋"/>
          <w:b/>
          <w:bCs/>
          <w:color w:val="auto"/>
          <w:sz w:val="24"/>
          <w:szCs w:val="24"/>
          <w:highlight w:val="none"/>
          <w:lang w:val="en-US" w:eastAsia="zh-CN"/>
        </w:rPr>
        <w:t xml:space="preserve">。</w:t>
      </w:r>
      <w:r>
        <w:rPr>
          <w:rFonts w:hint="eastAsia" w:ascii="仿宋" w:hAnsi="仿宋" w:eastAsia="仿宋" w:cs="仿宋"/>
          <w:b/>
          <w:color w:val="auto"/>
          <w:sz w:val="24"/>
          <w:szCs w:val="24"/>
          <w:highlight w:val="none"/>
          <w:lang w:val="en-US" w:eastAsia="zh-CN"/>
        </w:rPr>
        <w:t xml:space="preserve"> </w:t>
      </w:r>
      <w:r/>
    </w:p>
    <w:p>
      <w:pPr>
        <w:pStyle w:val="1065"/>
        <w:jc w:val="center"/>
        <w:spacing w:line="276"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表二 </w:t>
      </w:r>
      <w:r>
        <w:rPr>
          <w:rFonts w:hint="eastAsia" w:ascii="仿宋" w:hAnsi="仿宋" w:eastAsia="仿宋" w:cs="仿宋"/>
          <w:b/>
          <w:bCs/>
          <w:color w:val="auto"/>
          <w:sz w:val="24"/>
          <w:szCs w:val="24"/>
          <w:highlight w:val="none"/>
          <w:lang w:eastAsia="zh-CN"/>
        </w:rPr>
        <w:t xml:space="preserve">辅助耗材</w:t>
      </w:r>
      <w:r/>
    </w:p>
    <w:tbl>
      <w:tblPr>
        <w:tblStyle w:val="1029"/>
        <w:tblW w:w="999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57"/>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657"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w:t>
            </w:r>
            <w:r/>
          </w:p>
        </w:tc>
        <w:tc>
          <w:tcPr>
            <w:tcMar>
              <w:left w:w="15" w:type="dxa"/>
              <w:top w:w="15" w:type="dxa"/>
              <w:right w:w="15" w:type="dxa"/>
              <w:bottom w:w="0" w:type="dxa"/>
            </w:tcMar>
            <w:tcW w:w="1005"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品牌、规格、型号</w:t>
            </w:r>
            <w:r/>
          </w:p>
        </w:tc>
        <w:tc>
          <w:tcPr>
            <w:tcMar>
              <w:left w:w="15" w:type="dxa"/>
              <w:top w:w="15" w:type="dxa"/>
              <w:right w:w="15" w:type="dxa"/>
              <w:bottom w:w="0" w:type="dxa"/>
            </w:tcMar>
            <w:tcW w:w="134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Mar>
              <w:left w:w="15" w:type="dxa"/>
              <w:top w:w="15" w:type="dxa"/>
              <w:right w:w="15" w:type="dxa"/>
              <w:bottom w:w="0" w:type="dxa"/>
            </w:tcMar>
            <w:tcW w:w="862"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数量单位</w:t>
            </w:r>
            <w:r/>
          </w:p>
        </w:tc>
        <w:tc>
          <w:tcPr>
            <w:tcMar>
              <w:left w:w="15" w:type="dxa"/>
              <w:top w:w="15" w:type="dxa"/>
              <w:right w:w="15" w:type="dxa"/>
              <w:bottom w:w="0" w:type="dxa"/>
            </w:tcMar>
            <w:tcW w:w="807"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w:t>
            </w:r>
            <w:r/>
          </w:p>
        </w:tc>
        <w:tc>
          <w:tcPr>
            <w:tcW w:w="80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总价</w:t>
            </w:r>
            <w:r/>
          </w:p>
        </w:tc>
        <w:tc>
          <w:tcPr>
            <w:tcMar>
              <w:left w:w="15" w:type="dxa"/>
              <w:top w:w="15" w:type="dxa"/>
              <w:right w:w="15" w:type="dxa"/>
              <w:bottom w:w="0" w:type="dxa"/>
            </w:tcMar>
            <w:tcW w:w="78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300"/>
        </w:trPr>
        <w:tc>
          <w:tcPr>
            <w:tcMar>
              <w:left w:w="15" w:type="dxa"/>
              <w:top w:w="15" w:type="dxa"/>
              <w:right w:w="15" w:type="dxa"/>
              <w:bottom w:w="0" w:type="dxa"/>
            </w:tcMar>
            <w:tcW w:w="65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999"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50"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62"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0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0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84"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4"/>
        </w:trPr>
        <w:tc>
          <w:tcPr>
            <w:tcMar>
              <w:left w:w="15" w:type="dxa"/>
              <w:top w:w="15" w:type="dxa"/>
              <w:right w:w="15" w:type="dxa"/>
              <w:bottom w:w="0" w:type="dxa"/>
            </w:tcMar>
            <w:tcW w:w="65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999"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50"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62"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0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0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84"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4"/>
        </w:trPr>
        <w:tc>
          <w:tcPr>
            <w:tcMar>
              <w:left w:w="15" w:type="dxa"/>
              <w:top w:w="15" w:type="dxa"/>
              <w:right w:w="15" w:type="dxa"/>
              <w:bottom w:w="0" w:type="dxa"/>
            </w:tcMar>
            <w:tcW w:w="65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999"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50"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62"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0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0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84"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22"/>
        </w:trPr>
        <w:tc>
          <w:tcPr>
            <w:tcMar>
              <w:left w:w="15" w:type="dxa"/>
              <w:top w:w="15" w:type="dxa"/>
              <w:right w:w="15" w:type="dxa"/>
              <w:bottom w:w="0" w:type="dxa"/>
            </w:tcMar>
            <w:tcW w:w="65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999"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50"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62"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0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0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84"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5"/>
        </w:trPr>
        <w:tc>
          <w:tcPr>
            <w:tcMar>
              <w:left w:w="15" w:type="dxa"/>
              <w:top w:w="15" w:type="dxa"/>
              <w:right w:w="15" w:type="dxa"/>
              <w:bottom w:w="0" w:type="dxa"/>
            </w:tcMar>
            <w:tcW w:w="65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999"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50"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62"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0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0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84"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5"/>
        </w:trPr>
        <w:tc>
          <w:tcPr>
            <w:tcMar>
              <w:left w:w="15" w:type="dxa"/>
              <w:top w:w="15" w:type="dxa"/>
              <w:right w:w="15" w:type="dxa"/>
              <w:bottom w:w="0" w:type="dxa"/>
            </w:tcMar>
            <w:tcW w:w="65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999"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50"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62"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0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0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84"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5"/>
        </w:trPr>
        <w:tc>
          <w:tcPr>
            <w:tcMar>
              <w:left w:w="15" w:type="dxa"/>
              <w:top w:w="15" w:type="dxa"/>
              <w:right w:w="15" w:type="dxa"/>
              <w:bottom w:w="0" w:type="dxa"/>
            </w:tcMar>
            <w:tcW w:w="65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999"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50"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62"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807"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06"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84"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499"/>
        </w:trPr>
        <w:tc>
          <w:tcPr>
            <w:gridSpan w:val="4"/>
            <w:tcMar>
              <w:left w:w="15" w:type="dxa"/>
              <w:top w:w="15" w:type="dxa"/>
              <w:right w:w="15" w:type="dxa"/>
              <w:bottom w:w="0" w:type="dxa"/>
            </w:tcMar>
            <w:tcW w:w="3983"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表二</w:t>
            </w:r>
            <w:r>
              <w:rPr>
                <w:rFonts w:hint="eastAsia" w:ascii="仿宋" w:hAnsi="仿宋" w:eastAsia="仿宋" w:cs="仿宋"/>
                <w:color w:val="auto"/>
                <w:sz w:val="24"/>
                <w:highlight w:val="none"/>
              </w:rPr>
              <w:t xml:space="preserve">总价合计</w:t>
            </w:r>
            <w:r/>
          </w:p>
        </w:tc>
        <w:tc>
          <w:tcPr>
            <w:gridSpan w:val="6"/>
            <w:tcW w:w="6008" w:type="dxa"/>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499"/>
        </w:trPr>
        <w:tc>
          <w:tcPr>
            <w:gridSpan w:val="10"/>
            <w:tcMar>
              <w:left w:w="15" w:type="dxa"/>
              <w:top w:w="15" w:type="dxa"/>
              <w:right w:w="15" w:type="dxa"/>
              <w:bottom w:w="0" w:type="dxa"/>
            </w:tcMar>
            <w:tcW w:w="9991" w:type="dxa"/>
            <w:vAlign w:val="bottom"/>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《开标一览表》中的“总价”</w:t>
            </w:r>
            <w:r>
              <w:rPr>
                <w:rFonts w:hint="eastAsia" w:ascii="仿宋" w:hAnsi="仿宋" w:eastAsia="仿宋" w:cs="仿宋"/>
                <w:color w:val="auto"/>
                <w:sz w:val="24"/>
                <w:highlight w:val="none"/>
                <w:lang w:val="en-US" w:eastAsia="zh-CN"/>
              </w:rPr>
              <w:t xml:space="preserve">=表一总价+表二总价</w:t>
            </w:r>
            <w:r/>
          </w:p>
        </w:tc>
      </w:tr>
    </w:tbl>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投标人：      （电子签章）</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1、如果不提供详细分项报价将视为没有实质性响应招标文件。</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2、投标人对以上数据的真实性负责。</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b/>
          <w:bCs/>
          <w:color w:val="auto"/>
          <w:sz w:val="24"/>
          <w:highlight w:val="none"/>
        </w:rPr>
        <w:t xml:space="preserve">如经复核</w:t>
      </w:r>
      <w:r>
        <w:rPr>
          <w:rFonts w:hint="eastAsia" w:ascii="仿宋" w:hAnsi="仿宋" w:eastAsia="仿宋" w:cs="仿宋"/>
          <w:b/>
          <w:bCs/>
          <w:color w:val="auto"/>
          <w:sz w:val="24"/>
          <w:highlight w:val="none"/>
          <w:lang w:val="en-US" w:eastAsia="zh-CN"/>
        </w:rPr>
        <w:t xml:space="preserve">表一表二</w:t>
      </w:r>
      <w:r>
        <w:rPr>
          <w:rFonts w:hint="eastAsia" w:ascii="仿宋" w:hAnsi="仿宋" w:eastAsia="仿宋" w:cs="仿宋"/>
          <w:b/>
          <w:bCs/>
          <w:color w:val="auto"/>
          <w:sz w:val="24"/>
          <w:highlight w:val="none"/>
        </w:rPr>
        <w:t xml:space="preserve">合计价格与开标一览表总价不一致，最终以两者价格低者为准。</w:t>
      </w:r>
      <w:r/>
    </w:p>
    <w:p>
      <w:pPr>
        <w:jc w:val="left"/>
        <w:spacing w:line="360" w:lineRule="auto"/>
        <w:rPr>
          <w:rFonts w:hint="eastAsia" w:ascii="仿宋" w:hAnsi="仿宋" w:eastAsia="仿宋" w:cs="仿宋"/>
          <w:color w:val="auto"/>
          <w:highlight w:val="none"/>
        </w:rPr>
      </w:pPr>
      <w:r>
        <w:rPr>
          <w:rFonts w:hint="eastAsia" w:ascii="仿宋" w:hAnsi="仿宋" w:eastAsia="仿宋" w:cs="仿宋"/>
          <w:b/>
          <w:bCs/>
          <w:color w:val="auto"/>
          <w:sz w:val="24"/>
          <w:highlight w:val="none"/>
        </w:rPr>
        <w:t xml:space="preserve">采购人或采购代理机构有权将以上内容进行公示。</w:t>
      </w:r>
      <w:r>
        <w:rPr>
          <w:rFonts w:hint="eastAsia" w:ascii="仿宋" w:hAnsi="仿宋" w:eastAsia="仿宋" w:cs="仿宋"/>
          <w:color w:val="auto"/>
          <w:sz w:val="24"/>
          <w:highlight w:val="none"/>
        </w:rPr>
        <w:t xml:space="preserve">          </w:t>
      </w:r>
      <w:r/>
    </w:p>
    <w:p>
      <w:pPr>
        <w:rPr>
          <w:rFonts w:hint="eastAsia" w:ascii="仿宋" w:hAnsi="仿宋" w:eastAsia="仿宋" w:cs="仿宋"/>
          <w:color w:val="auto"/>
          <w:sz w:val="28"/>
          <w:szCs w:val="28"/>
          <w:highlight w:val="none"/>
        </w:rPr>
      </w:pPr>
      <w:r/>
      <w:bookmarkStart w:id="41" w:name="_Toc23381"/>
      <w:r/>
      <w:bookmarkStart w:id="42" w:name="_Toc13303"/>
      <w:r>
        <w:rPr>
          <w:rFonts w:hint="eastAsia" w:ascii="仿宋" w:hAnsi="仿宋" w:eastAsia="仿宋" w:cs="仿宋"/>
          <w:color w:val="auto"/>
          <w:sz w:val="28"/>
          <w:szCs w:val="28"/>
          <w:highlight w:val="none"/>
        </w:rPr>
        <w:br w:type="page" w:clear="all"/>
      </w:r>
      <w:r/>
    </w:p>
    <w:p>
      <w:pPr>
        <w:jc w:val="center"/>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4、偏离表</w:t>
      </w:r>
      <w:r/>
    </w:p>
    <w:p>
      <w:pPr>
        <w:jc w:val="center"/>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4.1商务要求偏离表</w:t>
      </w:r>
      <w:bookmarkEnd w:id="41"/>
      <w:r/>
      <w:bookmarkEnd w:id="42"/>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DNA试剂耗材采购项目</w:t>
      </w:r>
      <w:r>
        <w:rPr>
          <w:rFonts w:hint="eastAsia" w:ascii="仿宋" w:hAnsi="仿宋" w:eastAsia="仿宋" w:cs="仿宋"/>
          <w:color w:val="auto"/>
          <w:sz w:val="24"/>
          <w:highlight w:val="none"/>
        </w:rPr>
        <w:t xml:space="preserve">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JSZC-320300-JSKJ-G2026-0032</w:t>
      </w:r>
      <w:r>
        <w:rPr>
          <w:rFonts w:hint="eastAsia" w:ascii="仿宋" w:hAnsi="仿宋" w:eastAsia="仿宋" w:cs="仿宋"/>
          <w:color w:val="auto"/>
          <w:sz w:val="24"/>
          <w:highlight w:val="none"/>
          <w:u w:val="single"/>
        </w:rPr>
        <w:t xml:space="preserve"> </w:t>
      </w:r>
      <w:r/>
    </w:p>
    <w:p>
      <w:pPr>
        <w:pStyle w:val="1167"/>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102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注：</w:t>
      </w:r>
      <w:r/>
    </w:p>
    <w:p>
      <w:pPr>
        <w:ind w:firstLine="480"/>
        <w:jc w:val="left"/>
        <w:spacing w:line="360" w:lineRule="auto"/>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 xml:space="preserve">投标人的投标文件中的内容与招标文件</w:t>
      </w:r>
      <w:r>
        <w:rPr>
          <w:rFonts w:hint="eastAsia" w:ascii="仿宋" w:hAnsi="仿宋" w:eastAsia="仿宋" w:cs="仿宋"/>
          <w:color w:val="auto"/>
          <w:sz w:val="24"/>
          <w:highlight w:val="none"/>
          <w:u w:val="single"/>
        </w:rPr>
        <w:t xml:space="preserve">（含招标文件的澄清或者修改的内容）的要求不同时，逐条列在偏离表中，否则将认为投标人接受招标文件的要求。</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投标人：（盖电子签章）</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center"/>
        <w:spacing w:line="360" w:lineRule="auto"/>
        <w:rPr>
          <w:rFonts w:hint="eastAsia" w:ascii="仿宋" w:hAnsi="仿宋" w:eastAsia="仿宋" w:cs="仿宋"/>
          <w:color w:val="auto"/>
          <w:sz w:val="28"/>
          <w:szCs w:val="28"/>
          <w:highlight w:val="none"/>
        </w:rPr>
        <w:outlineLvl w:val="1"/>
      </w:pPr>
      <w:r/>
      <w:bookmarkStart w:id="43" w:name="_Toc7572"/>
      <w:r/>
      <w:bookmarkStart w:id="44" w:name="_Toc8856"/>
      <w:r>
        <w:rPr>
          <w:rFonts w:hint="eastAsia" w:ascii="仿宋" w:hAnsi="仿宋" w:eastAsia="仿宋" w:cs="仿宋"/>
          <w:color w:val="auto"/>
          <w:sz w:val="28"/>
          <w:szCs w:val="28"/>
          <w:highlight w:val="none"/>
        </w:rPr>
        <w:t xml:space="preserve">4.2技术要求偏离表</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DNA试剂耗材采购项目</w:t>
      </w:r>
      <w:r>
        <w:rPr>
          <w:rFonts w:hint="eastAsia" w:ascii="仿宋" w:hAnsi="仿宋" w:eastAsia="仿宋" w:cs="仿宋"/>
          <w:color w:val="auto"/>
          <w:sz w:val="24"/>
          <w:highlight w:val="none"/>
        </w:rPr>
        <w:t xml:space="preserve">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JSZC-320300-JSKJ-G2026-0032</w:t>
      </w:r>
      <w:r>
        <w:rPr>
          <w:rFonts w:hint="eastAsia" w:ascii="仿宋" w:hAnsi="仿宋" w:eastAsia="仿宋" w:cs="仿宋"/>
          <w:color w:val="auto"/>
          <w:sz w:val="24"/>
          <w:highlight w:val="none"/>
          <w:u w:val="single"/>
        </w:rPr>
        <w:t xml:space="preserve"> </w:t>
      </w:r>
      <w:r/>
    </w:p>
    <w:p>
      <w:pPr>
        <w:pStyle w:val="1167"/>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102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注：1、供应商必须对招标文件第五章《采购需求》技术要求中的实质性要求及其他要求逐条做出明确响应，否则视为无效投标。</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2、技术要求中加“★”的指标为实质性响应指标，实质性响应指标不满足或负偏离按无效投标文件处理；其他为一般响应指标。</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技术要求中标明确需要提供证明材料的，投标文件须提供技术参数的证明材料，如产品技术白皮书、产品彩页、产品注册证、视频、图片、网站截图、检测报告等扫描件，招标文件另有要求的，按要求提供。未按招标文件要求提供技术参数证明材料或者提供的证明材料不符合招标文件要求的视为不满足。</w:t>
      </w:r>
      <w:r/>
    </w:p>
    <w:p>
      <w:pPr>
        <w:ind w:firstLine="420"/>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投标人：（盖电子签章）</w:t>
      </w:r>
      <w:r/>
    </w:p>
    <w:p>
      <w:pPr>
        <w:ind w:firstLine="420"/>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bookmarkEnd w:id="43"/>
      <w:r/>
      <w:bookmarkEnd w:id="44"/>
      <w:r>
        <w:rPr>
          <w:rFonts w:hint="eastAsia" w:ascii="仿宋" w:hAnsi="仿宋" w:eastAsia="仿宋" w:cs="仿宋"/>
          <w:bCs/>
          <w:color w:val="auto"/>
          <w:sz w:val="28"/>
          <w:szCs w:val="28"/>
          <w:highlight w:val="none"/>
        </w:rPr>
        <w:t xml:space="preserve">5、授权委托书及法定代表人身份证明书格式</w:t>
      </w:r>
      <w:r/>
    </w:p>
    <w:p>
      <w:pPr>
        <w:jc w:val="center"/>
        <w:spacing w:line="360" w:lineRule="auto"/>
        <w:rPr>
          <w:rFonts w:hint="eastAsia" w:ascii="仿宋" w:hAnsi="仿宋" w:eastAsia="仿宋" w:cs="仿宋"/>
          <w:bCs/>
          <w:color w:val="auto"/>
          <w:sz w:val="28"/>
          <w:szCs w:val="28"/>
          <w:highlight w:val="none"/>
        </w:rPr>
        <w:outlineLvl w:val="1"/>
      </w:pPr>
      <w:r>
        <w:rPr>
          <w:rFonts w:hint="eastAsia" w:ascii="仿宋" w:hAnsi="仿宋" w:eastAsia="仿宋" w:cs="仿宋"/>
          <w:bCs/>
          <w:color w:val="auto"/>
          <w:sz w:val="28"/>
          <w:szCs w:val="28"/>
          <w:highlight w:val="none"/>
        </w:rPr>
        <w:t xml:space="preserve">5.1法定代表人身份证明（如法定代表人参加时提供）</w:t>
      </w:r>
      <w:r/>
    </w:p>
    <w:p>
      <w:pPr>
        <w:jc w:val="center"/>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1040"/>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单位名称：</w:t>
      </w:r>
      <w:r>
        <w:rPr>
          <w:rFonts w:hint="eastAsia" w:ascii="仿宋" w:hAnsi="仿宋" w:eastAsia="仿宋" w:cs="仿宋"/>
          <w:color w:val="auto"/>
          <w:sz w:val="24"/>
          <w:szCs w:val="24"/>
          <w:highlight w:val="none"/>
          <w:u w:val="single"/>
        </w:rPr>
        <w:t xml:space="preserve">　　　　　　　　　　　　　    　　</w:t>
      </w:r>
      <w:r/>
    </w:p>
    <w:p>
      <w:pPr>
        <w:pStyle w:val="1040"/>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单位地址：</w:t>
      </w:r>
      <w:r>
        <w:rPr>
          <w:rFonts w:hint="eastAsia" w:ascii="仿宋" w:hAnsi="仿宋" w:eastAsia="仿宋" w:cs="仿宋"/>
          <w:color w:val="auto"/>
          <w:sz w:val="24"/>
          <w:szCs w:val="24"/>
          <w:highlight w:val="none"/>
          <w:u w:val="single"/>
        </w:rPr>
        <w:t xml:space="preserve">                                  </w:t>
      </w:r>
      <w:r/>
    </w:p>
    <w:p>
      <w:pPr>
        <w:pStyle w:val="1040"/>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性别：</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pStyle w:val="1040"/>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职务：</w:t>
      </w:r>
      <w:r>
        <w:rPr>
          <w:rFonts w:hint="eastAsia" w:ascii="仿宋" w:hAnsi="仿宋" w:eastAsia="仿宋" w:cs="仿宋"/>
          <w:color w:val="auto"/>
          <w:sz w:val="24"/>
          <w:szCs w:val="24"/>
          <w:highlight w:val="none"/>
          <w:u w:val="single"/>
        </w:rPr>
        <w:t xml:space="preserve">　  </w:t>
      </w:r>
      <w:r/>
    </w:p>
    <w:p>
      <w:pPr>
        <w:pStyle w:val="1040"/>
        <w:ind w:firstLine="1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系我企业（公司）的法定代表人。</w:t>
      </w:r>
      <w:r/>
    </w:p>
    <w:p>
      <w:pPr>
        <w:pStyle w:val="1040"/>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0"/>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特此证明。</w:t>
      </w:r>
      <w:r/>
    </w:p>
    <w:p>
      <w:pPr>
        <w:pStyle w:val="1040"/>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0"/>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1029"/>
        <w:tblW w:w="5812" w:type="dxa"/>
        <w:tblInd w:w="15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2"/>
      </w:tblGrid>
      <w:tr>
        <w:trPr>
          <w:trHeight w:val="3393"/>
        </w:trPr>
        <w:tc>
          <w:tcPr>
            <w:tcW w:w="5812" w:type="dxa"/>
            <w:vAlign w:val="center"/>
            <w:textDirection w:val="lrTb"/>
            <w:noWrap w:val="false"/>
          </w:tcPr>
          <w:p>
            <w:pPr>
              <w:pStyle w:val="1040"/>
              <w:ind w:firstLine="5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bCs/>
                <w:color w:val="auto"/>
                <w:sz w:val="24"/>
                <w:highlight w:val="none"/>
              </w:rPr>
              <w:t xml:space="preserve">有效身份证正反面扫描件附后</w:t>
            </w:r>
            <w:r/>
          </w:p>
        </w:tc>
      </w:tr>
    </w:tbl>
    <w:p>
      <w:pPr>
        <w:pStyle w:val="1040"/>
        <w:ind w:firstLine="420"/>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40"/>
        <w:ind w:firstLine="42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0"/>
        <w:ind w:right="420"/>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jc w:val="center"/>
        <w:spacing w:line="400" w:lineRule="exact"/>
        <w:rPr>
          <w:rFonts w:hint="eastAsia" w:ascii="仿宋" w:hAnsi="仿宋" w:eastAsia="仿宋" w:cs="仿宋"/>
          <w:bCs/>
          <w:color w:val="auto"/>
          <w:sz w:val="24"/>
          <w:szCs w:val="24"/>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bCs/>
          <w:color w:val="auto"/>
          <w:sz w:val="24"/>
          <w:highlight w:val="none"/>
        </w:rPr>
        <w:t xml:space="preserve"> 年   月   日</w:t>
      </w:r>
      <w:r/>
    </w:p>
    <w:p>
      <w:pPr>
        <w:jc w:val="center"/>
        <w:spacing w:line="360" w:lineRule="auto"/>
        <w:rPr>
          <w:rFonts w:hint="eastAsia" w:ascii="仿宋" w:hAnsi="仿宋" w:eastAsia="仿宋" w:cs="仿宋"/>
          <w:bCs/>
          <w:color w:val="auto"/>
          <w:sz w:val="28"/>
          <w:szCs w:val="28"/>
          <w:highlight w:val="none"/>
        </w:rPr>
        <w:outlineLvl w:val="1"/>
      </w:pPr>
      <w:r>
        <w:rPr>
          <w:rFonts w:hint="eastAsia" w:ascii="仿宋" w:hAnsi="仿宋" w:eastAsia="仿宋" w:cs="仿宋"/>
          <w:bCs/>
          <w:color w:val="auto"/>
          <w:sz w:val="28"/>
          <w:szCs w:val="28"/>
          <w:highlight w:val="none"/>
        </w:rPr>
        <w:t xml:space="preserve">5.2法定代表人授权委托书</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委托人：</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地  址：</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职务：</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统一社会信用代码：</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受托人：                   性别：男（女）  </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年龄：  岁                 民族：   族</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职务：</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身份证号：</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412" w:firstLine="480"/>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兹委托（</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）全权代表我企业（公司）参与[</w:t>
      </w:r>
      <w:r>
        <w:rPr>
          <w:rFonts w:hint="eastAsia" w:ascii="仿宋" w:hAnsi="仿宋" w:eastAsia="仿宋" w:cs="仿宋"/>
          <w:bCs/>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rPr>
        <w:t xml:space="preserve">项目[项目编号：</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]的招、投标活动及签订经济合同。（</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）以我企业（公司）名义所为的法律行为及签署的文件，我企业（公司）均予以认可。有关法律责任均由我企业（公司）承担。（</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）无转委托权。委托期限自  年  月   日起至  年  月    日止。</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特此授权委托。</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71"/>
        <w:spacing w:line="48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委托人（盖电子签章）：               受托人（签字或电子签章）：</w:t>
      </w:r>
      <w:r/>
    </w:p>
    <w:p>
      <w:pPr>
        <w:ind w:firstLine="471"/>
        <w:spacing w:line="48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71"/>
        <w:spacing w:line="48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法定代表人（签字或电子签章）： </w:t>
      </w:r>
      <w:r/>
    </w:p>
    <w:p>
      <w:pPr>
        <w:ind w:firstLine="471"/>
        <w:spacing w:line="48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年   月   日 </w:t>
      </w:r>
      <w:r/>
    </w:p>
    <w:tbl>
      <w:tblPr>
        <w:tblStyle w:val="1057"/>
        <w:tblW w:w="0" w:type="auto"/>
        <w:tblInd w:w="2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textDirection w:val="lrTb"/>
            <w:noWrap w:val="false"/>
          </w:tcPr>
          <w:p>
            <w:pPr>
              <w:ind w:firstLine="950"/>
              <w:jc w:val="cente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95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(受托人有效身份证正反面扫描件附后)</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bl>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jc w:val="center"/>
        <w:spacing w:line="360" w:lineRule="auto"/>
        <w:rPr>
          <w:rFonts w:hint="eastAsia" w:ascii="仿宋" w:hAnsi="仿宋" w:eastAsia="仿宋" w:cs="仿宋"/>
          <w:color w:val="auto"/>
          <w:sz w:val="28"/>
          <w:szCs w:val="28"/>
          <w:highlight w:val="none"/>
        </w:rPr>
        <w:outlineLvl w:val="1"/>
      </w:pPr>
      <w:r/>
      <w:bookmarkStart w:id="45" w:name="_Toc1575"/>
      <w:r/>
      <w:bookmarkStart w:id="46" w:name="_Toc30462"/>
      <w:r>
        <w:rPr>
          <w:rFonts w:hint="eastAsia" w:ascii="仿宋" w:hAnsi="仿宋" w:eastAsia="仿宋" w:cs="仿宋"/>
          <w:color w:val="auto"/>
          <w:sz w:val="28"/>
          <w:szCs w:val="28"/>
          <w:highlight w:val="none"/>
        </w:rPr>
        <w:t xml:space="preserve">6、中小企业声明函</w:t>
      </w:r>
      <w:bookmarkEnd w:id="45"/>
      <w:r/>
      <w:bookmarkEnd w:id="46"/>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DNA试剂耗材采购项目</w:t>
      </w:r>
      <w:r>
        <w:rPr>
          <w:rFonts w:hint="eastAsia" w:ascii="仿宋" w:hAnsi="仿宋" w:eastAsia="仿宋" w:cs="仿宋"/>
          <w:color w:val="auto"/>
          <w:sz w:val="24"/>
          <w:highlight w:val="none"/>
        </w:rPr>
        <w:t xml:space="preserve">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JSZC-320300-JSKJ-G2026-0032</w:t>
      </w:r>
      <w:r>
        <w:rPr>
          <w:rFonts w:hint="eastAsia" w:ascii="仿宋" w:hAnsi="仿宋" w:eastAsia="仿宋" w:cs="仿宋"/>
          <w:color w:val="auto"/>
          <w:sz w:val="24"/>
          <w:highlight w:val="none"/>
          <w:u w:val="single"/>
        </w:rPr>
        <w:t xml:space="preserve"> </w:t>
      </w:r>
      <w:r/>
    </w:p>
    <w:p>
      <w:pPr>
        <w:ind w:firstLine="60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w:t>
      </w:r>
      <w:r/>
    </w:p>
    <w:p>
      <w:pPr>
        <w:numPr>
          <w:ilvl w:val="0"/>
          <w:numId w:val="0"/>
        </w:numPr>
        <w:ind w:left="-60"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rPr>
        <w:t xml:space="preserve">（个体识别扩增试剂盒）</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left="-60"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rPr>
        <w:t xml:space="preserve">（Y案件试剂盒）</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left="-60"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u w:val="single"/>
        </w:rPr>
        <w:t xml:space="preserve">（毛细管）</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u w:val="single"/>
        </w:rPr>
        <w:t xml:space="preserve">（电泳分离（384）</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u w:val="single"/>
        </w:rPr>
        <w:t xml:space="preserve">（荧光分子量内标LIZ600</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u w:val="single"/>
        </w:rPr>
        <w:t xml:space="preserve">（阴极缓冲液</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u w:val="single"/>
        </w:rPr>
        <w:t xml:space="preserve">（阳极缓冲液</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u w:val="single"/>
        </w:rPr>
        <w:t xml:space="preserve">（甲酰胺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u w:val="single"/>
        </w:rPr>
        <w:t xml:space="preserve">（生物物证粘取器</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u w:val="single"/>
        </w:rPr>
        <w:t xml:space="preserve">（96孔反应板</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u w:val="single"/>
        </w:rPr>
        <w:t xml:space="preserve">（8联排扩增套装</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12.</w:t>
      </w:r>
      <w:r>
        <w:rPr>
          <w:rFonts w:hint="eastAsia" w:ascii="仿宋" w:hAnsi="仿宋" w:eastAsia="仿宋" w:cs="仿宋"/>
          <w:color w:val="auto"/>
          <w:sz w:val="24"/>
          <w:szCs w:val="24"/>
          <w:highlight w:val="none"/>
          <w:u w:val="single"/>
        </w:rPr>
        <w:t xml:space="preserve">（PCR反应管</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13.</w:t>
      </w:r>
      <w:r>
        <w:rPr>
          <w:rFonts w:hint="eastAsia" w:ascii="仿宋" w:hAnsi="仿宋" w:eastAsia="仿宋" w:cs="仿宋"/>
          <w:color w:val="auto"/>
          <w:sz w:val="24"/>
          <w:szCs w:val="24"/>
          <w:highlight w:val="none"/>
          <w:u w:val="single"/>
        </w:rPr>
        <w:t xml:space="preserve">（离心管0.6ml</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14.</w:t>
      </w:r>
      <w:r>
        <w:rPr>
          <w:rFonts w:hint="eastAsia" w:ascii="仿宋" w:hAnsi="仿宋" w:eastAsia="仿宋" w:cs="仿宋"/>
          <w:color w:val="auto"/>
          <w:sz w:val="24"/>
          <w:szCs w:val="24"/>
          <w:highlight w:val="none"/>
          <w:u w:val="single"/>
        </w:rPr>
        <w:t xml:space="preserve">（离心管1.5ml</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15.</w:t>
      </w:r>
      <w:r>
        <w:rPr>
          <w:rFonts w:hint="eastAsia" w:ascii="仿宋" w:hAnsi="仿宋" w:eastAsia="仿宋" w:cs="仿宋"/>
          <w:color w:val="auto"/>
          <w:sz w:val="24"/>
          <w:szCs w:val="24"/>
          <w:highlight w:val="none"/>
          <w:u w:val="single"/>
        </w:rPr>
        <w:t xml:space="preserve">（10ul枪尖</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16.</w:t>
      </w:r>
      <w:r>
        <w:rPr>
          <w:rFonts w:hint="eastAsia" w:ascii="仿宋" w:hAnsi="仿宋" w:eastAsia="仿宋" w:cs="仿宋"/>
          <w:color w:val="auto"/>
          <w:sz w:val="24"/>
          <w:szCs w:val="24"/>
          <w:highlight w:val="none"/>
          <w:u w:val="single"/>
        </w:rPr>
        <w:t xml:space="preserve">（200ul枪尖</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17.</w:t>
      </w:r>
      <w:r>
        <w:rPr>
          <w:rFonts w:hint="eastAsia" w:ascii="仿宋" w:hAnsi="仿宋" w:eastAsia="仿宋" w:cs="仿宋"/>
          <w:color w:val="auto"/>
          <w:sz w:val="24"/>
          <w:szCs w:val="24"/>
          <w:highlight w:val="none"/>
          <w:u w:val="single"/>
        </w:rPr>
        <w:t xml:space="preserve">（1000ul枪尖</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18.</w:t>
      </w:r>
      <w:r>
        <w:rPr>
          <w:rFonts w:hint="eastAsia" w:ascii="仿宋" w:hAnsi="仿宋" w:eastAsia="仿宋" w:cs="仿宋"/>
          <w:color w:val="auto"/>
          <w:sz w:val="24"/>
          <w:szCs w:val="24"/>
          <w:highlight w:val="none"/>
          <w:u w:val="single"/>
        </w:rPr>
        <w:t xml:space="preserve">（抗人精试剂条</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19.</w:t>
      </w:r>
      <w:r>
        <w:rPr>
          <w:rFonts w:hint="eastAsia" w:ascii="仿宋" w:hAnsi="仿宋" w:eastAsia="仿宋" w:cs="仿宋"/>
          <w:color w:val="auto"/>
          <w:sz w:val="24"/>
          <w:szCs w:val="24"/>
          <w:highlight w:val="none"/>
          <w:u w:val="single"/>
        </w:rPr>
        <w:t xml:space="preserve">（抗人血试剂条</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20.</w:t>
      </w:r>
      <w:r>
        <w:rPr>
          <w:rFonts w:hint="eastAsia" w:ascii="仿宋" w:hAnsi="仿宋" w:eastAsia="仿宋" w:cs="仿宋"/>
          <w:color w:val="auto"/>
          <w:sz w:val="24"/>
          <w:szCs w:val="24"/>
          <w:highlight w:val="none"/>
          <w:u w:val="single"/>
        </w:rPr>
        <w:t xml:space="preserve">（四甲基联苯胺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21.</w:t>
      </w:r>
      <w:r>
        <w:rPr>
          <w:rFonts w:hint="eastAsia" w:ascii="仿宋" w:hAnsi="仿宋" w:eastAsia="仿宋" w:cs="仿宋"/>
          <w:color w:val="auto"/>
          <w:sz w:val="24"/>
          <w:szCs w:val="24"/>
          <w:highlight w:val="none"/>
          <w:u w:val="single"/>
        </w:rPr>
        <w:t xml:space="preserve">（Chelex-100</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22.</w:t>
      </w:r>
      <w:r>
        <w:rPr>
          <w:rFonts w:hint="eastAsia" w:ascii="仿宋" w:hAnsi="仿宋" w:eastAsia="仿宋" w:cs="仿宋"/>
          <w:color w:val="auto"/>
          <w:sz w:val="24"/>
          <w:szCs w:val="24"/>
          <w:highlight w:val="none"/>
          <w:u w:val="single"/>
        </w:rPr>
        <w:t xml:space="preserve">（长柄易折断棉签</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23.</w:t>
      </w:r>
      <w:r>
        <w:rPr>
          <w:rFonts w:hint="eastAsia" w:ascii="仿宋" w:hAnsi="仿宋" w:eastAsia="仿宋" w:cs="仿宋"/>
          <w:color w:val="auto"/>
          <w:sz w:val="24"/>
          <w:szCs w:val="24"/>
          <w:highlight w:val="none"/>
          <w:u w:val="single"/>
        </w:rPr>
        <w:t xml:space="preserve">（磁珠试剂盒</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24.</w:t>
      </w:r>
      <w:r>
        <w:rPr>
          <w:rFonts w:hint="eastAsia" w:ascii="仿宋" w:hAnsi="仿宋" w:eastAsia="仿宋" w:cs="仿宋"/>
          <w:color w:val="auto"/>
          <w:sz w:val="24"/>
          <w:szCs w:val="24"/>
          <w:highlight w:val="none"/>
          <w:u w:val="single"/>
        </w:rPr>
        <w:t xml:space="preserve">（混合斑DNA提取试剂盒</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25.</w:t>
      </w:r>
      <w:r>
        <w:rPr>
          <w:rFonts w:hint="eastAsia" w:ascii="仿宋" w:hAnsi="仿宋" w:eastAsia="仿宋" w:cs="仿宋"/>
          <w:color w:val="auto"/>
          <w:sz w:val="24"/>
          <w:szCs w:val="24"/>
          <w:highlight w:val="none"/>
          <w:u w:val="single"/>
        </w:rPr>
        <w:t xml:space="preserve">（MiSeq v3 Reagent Kit (600 ycles) 15066817-CN 法医高通量测序芯片</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26.</w:t>
      </w:r>
      <w:r>
        <w:rPr>
          <w:rFonts w:hint="eastAsia" w:ascii="仿宋" w:hAnsi="仿宋" w:eastAsia="仿宋" w:cs="仿宋"/>
          <w:color w:val="auto"/>
          <w:sz w:val="24"/>
          <w:szCs w:val="24"/>
          <w:highlight w:val="none"/>
          <w:u w:val="single"/>
        </w:rPr>
        <w:t xml:space="preserve">（Phix Control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27.</w:t>
      </w:r>
      <w:r>
        <w:rPr>
          <w:rFonts w:hint="eastAsia" w:ascii="仿宋" w:hAnsi="仿宋" w:eastAsia="仿宋" w:cs="仿宋"/>
          <w:color w:val="auto"/>
          <w:sz w:val="24"/>
          <w:szCs w:val="24"/>
          <w:highlight w:val="none"/>
          <w:u w:val="single"/>
        </w:rPr>
        <w:t xml:space="preserve">（STRSeqTyperY103 男性家系精细化排查试剂盒</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28.</w:t>
      </w:r>
      <w:r>
        <w:rPr>
          <w:rFonts w:hint="eastAsia" w:ascii="仿宋" w:hAnsi="仿宋" w:eastAsia="仿宋" w:cs="仿宋"/>
          <w:color w:val="auto"/>
          <w:sz w:val="24"/>
          <w:szCs w:val="24"/>
          <w:highlight w:val="none"/>
          <w:u w:val="single"/>
        </w:rPr>
        <w:t xml:space="preserve">（mtDNASeqTyper线粒体全基因组测序试剂盒</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29.</w:t>
      </w:r>
      <w:r>
        <w:rPr>
          <w:rFonts w:hint="eastAsia" w:ascii="仿宋" w:hAnsi="仿宋" w:eastAsia="仿宋" w:cs="仿宋"/>
          <w:color w:val="auto"/>
          <w:sz w:val="24"/>
          <w:szCs w:val="24"/>
          <w:highlight w:val="none"/>
          <w:u w:val="single"/>
        </w:rPr>
        <w:t xml:space="preserve">（MSR812磁力架</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30.</w:t>
      </w:r>
      <w:r>
        <w:rPr>
          <w:rFonts w:hint="eastAsia" w:ascii="仿宋" w:hAnsi="仿宋" w:eastAsia="仿宋" w:cs="仿宋"/>
          <w:color w:val="auto"/>
          <w:sz w:val="24"/>
          <w:szCs w:val="24"/>
          <w:highlight w:val="none"/>
          <w:u w:val="single"/>
        </w:rPr>
        <w:t xml:space="preserve">（常染色体试剂盒</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31.</w:t>
      </w:r>
      <w:r>
        <w:rPr>
          <w:rFonts w:hint="eastAsia" w:ascii="仿宋" w:hAnsi="仿宋" w:eastAsia="仿宋" w:cs="仿宋"/>
          <w:color w:val="auto"/>
          <w:sz w:val="24"/>
          <w:szCs w:val="24"/>
          <w:highlight w:val="none"/>
          <w:u w:val="single"/>
        </w:rPr>
        <w:t xml:space="preserve">（Y染色体试剂盒</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numPr>
          <w:ilvl w:val="0"/>
          <w:numId w:val="0"/>
        </w:numPr>
        <w:ind w:firstLine="24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u w:val="single"/>
        </w:rPr>
        <w:t xml:space="preserve">（血卡采集套装），</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w:t>
      </w:r>
      <w:r/>
    </w:p>
    <w:p>
      <w:pPr>
        <w:ind w:firstLine="600"/>
        <w:jc w:val="left"/>
        <w:spacing w:line="48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600"/>
        <w:jc w:val="left"/>
        <w:spacing w:line="48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left="420"/>
        <w:jc w:val="left"/>
        <w:spacing w:after="1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企业名称（供应商名称）（电子签章）： </w:t>
      </w:r>
      <w:r/>
    </w:p>
    <w:p>
      <w:pPr>
        <w:ind w:right="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  年  月  日</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69"/>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说明：</w:t>
      </w:r>
      <w:r/>
    </w:p>
    <w:p>
      <w:pPr>
        <w:pStyle w:val="1068"/>
        <w:ind w:left="0"/>
        <w:spacing w:after="0" w:line="36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68"/>
        <w:ind w:left="0"/>
        <w:spacing w:after="0" w:line="36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2、从业人员、营业收入、资产总额填报供应商上一年度数据，无上一年度数据的新成立企业可不填报。</w:t>
      </w:r>
      <w:r/>
    </w:p>
    <w:p>
      <w:pPr>
        <w:pStyle w:val="1068"/>
        <w:ind w:left="0"/>
        <w:spacing w:after="0" w:line="36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3、中标、成交供应商为小型、微型企业的，采购人或者其委托的采购代理机构有权随中标、成交结果同时公告其《中小企业声明函》，接受社会监督。</w:t>
      </w:r>
      <w:r/>
    </w:p>
    <w:p>
      <w:pPr>
        <w:pStyle w:val="1068"/>
        <w:ind w:left="0"/>
        <w:spacing w:after="0" w:line="36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4、</w:t>
      </w:r>
      <w:r>
        <w:rPr>
          <w:rFonts w:hint="eastAsia" w:ascii="仿宋" w:hAnsi="仿宋" w:eastAsia="仿宋" w:cs="仿宋"/>
          <w:b/>
          <w:bCs/>
          <w:color w:val="auto"/>
          <w:sz w:val="24"/>
          <w:highlight w:val="none"/>
        </w:rPr>
        <w:t xml:space="preserve">执行江苏省财政厅关于进一步加大政府采购支持中小企业力度的通知（苏财购〔2022〕45号）的规定。</w:t>
      </w:r>
      <w:r/>
    </w:p>
    <w:p>
      <w:pPr>
        <w:pStyle w:val="1068"/>
        <w:ind w:left="0"/>
        <w:spacing w:after="0" w:line="360" w:lineRule="auto"/>
        <w:rPr>
          <w:rFonts w:hint="eastAsia" w:ascii="仿宋" w:hAnsi="仿宋" w:eastAsia="仿宋" w:cs="仿宋"/>
          <w:color w:val="auto"/>
          <w:sz w:val="24"/>
          <w:highlight w:val="none"/>
        </w:rPr>
      </w:pPr>
      <w:r>
        <w:rPr>
          <w:rFonts w:hint="eastAsia" w:ascii="仿宋" w:hAnsi="仿宋" w:eastAsia="仿宋" w:cs="仿宋"/>
          <w:b/>
          <w:bCs/>
          <w:color w:val="auto"/>
          <w:sz w:val="22"/>
          <w:szCs w:val="22"/>
          <w:highlight w:val="none"/>
        </w:rPr>
        <w:t xml:space="preserve">5、供应商提供的《中小企业声明函》与事实不符的，依照《政府采购法》第七十七条第一款的规定追究法律责任。</w:t>
      </w:r>
      <w:r/>
    </w:p>
    <w:p>
      <w:pPr>
        <w:pStyle w:val="1069"/>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“中小企业声明</w:t>
      </w:r>
      <w:r>
        <w:rPr>
          <w:rFonts w:hint="eastAsia" w:ascii="仿宋" w:hAnsi="仿宋" w:eastAsia="仿宋" w:cs="仿宋"/>
          <w:color w:val="auto"/>
          <w:sz w:val="22"/>
          <w:szCs w:val="22"/>
          <w:highlight w:val="none"/>
          <w:lang w:val="en-US" w:eastAsia="zh-CN"/>
        </w:rPr>
        <w:t xml:space="preserve">函</w:t>
      </w:r>
      <w:r>
        <w:rPr>
          <w:rFonts w:hint="eastAsia" w:ascii="仿宋" w:hAnsi="仿宋" w:eastAsia="仿宋" w:cs="仿宋"/>
          <w:color w:val="auto"/>
          <w:sz w:val="22"/>
          <w:szCs w:val="22"/>
          <w:highlight w:val="none"/>
        </w:rPr>
        <w:t xml:space="preserve">” 查询渠道用微信搜索“中小企业规模类型自测小程序”。看下列截图。</w:t>
      </w:r>
      <w:r/>
    </w:p>
    <w:p>
      <w:pPr>
        <w:pStyle w:val="1216"/>
        <w:spacing w:beforeAutospacing="0" w:afterAutospacing="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1216"/>
        <w:jc w:val="center"/>
        <w:spacing w:beforeAutospacing="0" w:afterAutospacing="0" w:line="360" w:lineRule="auto"/>
        <w:rPr>
          <w:rFonts w:hint="eastAsia" w:ascii="仿宋" w:hAnsi="仿宋" w:eastAsia="仿宋" w:cs="仿宋"/>
          <w:color w:val="auto"/>
          <w:sz w:val="30"/>
          <w:szCs w:val="30"/>
          <w:highlight w:val="none"/>
        </w:rPr>
        <w:sectPr>
          <w:headerReference w:type="default" r:id="rId13"/>
          <w:footerReference w:type="default" r:id="rId20"/>
          <w:footerReference w:type="even" r:id="rId21"/>
          <w:footnotePr/>
          <w:endnotePr/>
          <w:type w:val="nextPage"/>
          <w:pgSz w:w="11906" w:h="16838" w:orient="portrait"/>
          <w:pgMar w:top="1440" w:right="1080" w:bottom="1440" w:left="1080" w:header="851" w:footer="992" w:gutter="0"/>
          <w:pgNumType w:start="65"/>
          <w:cols w:num="1" w:sep="0" w:space="1701" w:equalWidth="1"/>
          <w:docGrid w:linePitch="360"/>
        </w:sect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2231390" cy="4554220"/>
                <wp:effectExtent l="0" t="0" r="16510" b="17780"/>
                <wp:docPr id="13" name="图片 9"/>
                <wp:cNvGraphicFramePr/>
                <a:graphic xmlns:a="http://schemas.openxmlformats.org/drawingml/2006/main">
                  <a:graphicData uri="http://schemas.openxmlformats.org/drawingml/2006/picture">
                    <pic:pic xmlns:pic="http://schemas.openxmlformats.org/drawingml/2006/picture">
                      <pic:nvPicPr>
                        <pic:cNvPr id="13" name="图片 9"/>
                        <pic:cNvPicPr/>
                        <pic:nvPr/>
                      </pic:nvPicPr>
                      <pic:blipFill>
                        <a:blip r:embed="rId25"/>
                        <a:srcRect l="0" t="4825" r="0" b="0"/>
                        <a:stretch/>
                      </pic:blipFill>
                      <pic:spPr bwMode="auto">
                        <a:xfrm>
                          <a:off x="0" y="0"/>
                          <a:ext cx="2231390" cy="455422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75.7pt;height:358.6pt;mso-wrap-distance-left:0.0pt;mso-wrap-distance-top:0.0pt;mso-wrap-distance-right:0.0pt;mso-wrap-distance-bottom:0.0pt;" stroked="f">
                <v:path textboxrect="0,0,0,0"/>
                <v:imagedata r:id="rId25" o:title=""/>
              </v:shape>
            </w:pict>
          </mc:Fallback>
        </mc:AlternateContent>
      </w:r>
      <w:r/>
    </w:p>
    <w:p>
      <w:pPr>
        <w:jc w:val="center"/>
        <w:spacing w:line="360" w:lineRule="auto"/>
        <w:rPr>
          <w:rFonts w:hint="eastAsia" w:ascii="仿宋" w:hAnsi="仿宋" w:eastAsia="仿宋" w:cs="仿宋"/>
          <w:color w:val="auto"/>
          <w:sz w:val="28"/>
          <w:szCs w:val="28"/>
          <w:highlight w:val="none"/>
        </w:rPr>
        <w:outlineLvl w:val="1"/>
      </w:pPr>
      <w:r/>
      <w:bookmarkStart w:id="47" w:name="_Toc18954"/>
      <w:r/>
      <w:bookmarkStart w:id="48" w:name="_Toc15385"/>
      <w:r>
        <w:rPr>
          <w:rFonts w:hint="eastAsia" w:ascii="仿宋" w:hAnsi="仿宋" w:eastAsia="仿宋" w:cs="仿宋"/>
          <w:color w:val="auto"/>
          <w:sz w:val="28"/>
          <w:szCs w:val="28"/>
          <w:highlight w:val="none"/>
        </w:rPr>
        <w:t xml:space="preserve">7、残疾人福利性单位声明函</w:t>
      </w:r>
      <w:bookmarkEnd w:id="47"/>
      <w:r/>
      <w:bookmarkEnd w:id="48"/>
      <w:r/>
      <w:r/>
    </w:p>
    <w:p>
      <w:pPr>
        <w:spacing w:line="360" w:lineRule="auto"/>
        <w:rPr>
          <w:rFonts w:hint="eastAsia" w:ascii="仿宋" w:hAnsi="仿宋" w:eastAsia="仿宋" w:cs="仿宋"/>
          <w:b/>
          <w:color w:val="auto"/>
          <w:spacing w:val="6"/>
          <w:sz w:val="24"/>
          <w:highlight w:val="none"/>
        </w:rPr>
      </w:pPr>
      <w:r>
        <w:rPr>
          <w:rFonts w:hint="eastAsia" w:ascii="仿宋" w:hAnsi="仿宋" w:eastAsia="仿宋" w:cs="仿宋"/>
          <w:b/>
          <w:color w:val="auto"/>
          <w:spacing w:val="6"/>
          <w:sz w:val="24"/>
          <w:highlight w:val="none"/>
        </w:rPr>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DNA试剂耗材采购项目</w:t>
      </w:r>
      <w:r>
        <w:rPr>
          <w:rFonts w:hint="eastAsia" w:ascii="仿宋" w:hAnsi="仿宋" w:eastAsia="仿宋" w:cs="仿宋"/>
          <w:color w:val="auto"/>
          <w:sz w:val="24"/>
          <w:highlight w:val="none"/>
        </w:rPr>
        <w:t xml:space="preserve">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JSZC-320300-JSKJ-G2026-0032</w:t>
      </w:r>
      <w:r>
        <w:rPr>
          <w:rFonts w:hint="eastAsia" w:ascii="仿宋" w:hAnsi="仿宋" w:eastAsia="仿宋" w:cs="仿宋"/>
          <w:color w:val="auto"/>
          <w:sz w:val="24"/>
          <w:highlight w:val="none"/>
          <w:u w:val="single"/>
        </w:rPr>
        <w:t xml:space="preserve"> </w:t>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本单位郑重声明，根据《财政部 民政部中国残疾人联合会关于促进残疾人就业政府采购政策的通知》（财库</w:t>
      </w:r>
      <w:r>
        <w:rPr>
          <w:rFonts w:hint="eastAsia" w:ascii="仿宋" w:hAnsi="仿宋" w:eastAsia="仿宋" w:cs="仿宋"/>
          <w:color w:val="auto"/>
          <w:sz w:val="24"/>
          <w:highlight w:val="none"/>
        </w:rPr>
        <w:t xml:space="preserve">〔2017〕 141</w:t>
      </w:r>
      <w:r>
        <w:rPr>
          <w:rFonts w:hint="eastAsia" w:ascii="仿宋" w:hAnsi="仿宋" w:eastAsia="仿宋" w:cs="仿宋"/>
          <w:color w:val="auto"/>
          <w:spacing w:val="6"/>
          <w:sz w:val="24"/>
          <w:highlight w:val="none"/>
        </w:rPr>
        <w:t xml:space="preserve">号）的规定，本单位为符合条件的残疾人福利性单位，且本单位参加</w:t>
      </w:r>
      <w:r>
        <w:rPr>
          <w:rFonts w:hint="eastAsia" w:ascii="仿宋" w:hAnsi="仿宋" w:eastAsia="仿宋" w:cs="仿宋"/>
          <w:color w:val="auto"/>
          <w:sz w:val="24"/>
          <w:highlight w:val="none"/>
        </w:rPr>
        <w:t xml:space="preserve">______</w:t>
      </w:r>
      <w:r>
        <w:rPr>
          <w:rFonts w:hint="eastAsia" w:ascii="仿宋" w:hAnsi="仿宋" w:eastAsia="仿宋" w:cs="仿宋"/>
          <w:color w:val="auto"/>
          <w:spacing w:val="6"/>
          <w:sz w:val="24"/>
          <w:highlight w:val="none"/>
        </w:rPr>
        <w:t xml:space="preserve">单位的</w:t>
      </w:r>
      <w:r>
        <w:rPr>
          <w:rFonts w:hint="eastAsia" w:ascii="仿宋" w:hAnsi="仿宋" w:eastAsia="仿宋" w:cs="仿宋"/>
          <w:color w:val="auto"/>
          <w:sz w:val="24"/>
          <w:highlight w:val="none"/>
        </w:rPr>
        <w:t xml:space="preserve">______</w:t>
      </w:r>
      <w:r>
        <w:rPr>
          <w:rFonts w:hint="eastAsia" w:ascii="仿宋" w:hAnsi="仿宋" w:eastAsia="仿宋" w:cs="仿宋"/>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本单位对上述声明的真实性负责。如有虚假，将依法承担相应责任。</w:t>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投标人：（盖电子签章）</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ind w:firstLine="480"/>
        <w:jc w:val="center"/>
        <w:spacing w:line="360" w:lineRule="auto"/>
        <w:rPr>
          <w:rFonts w:hint="eastAsia" w:ascii="仿宋" w:hAnsi="仿宋" w:eastAsia="仿宋" w:cs="仿宋"/>
          <w:bCs/>
          <w:color w:val="auto"/>
          <w:sz w:val="28"/>
          <w:szCs w:val="28"/>
          <w:highlight w:val="none"/>
        </w:rPr>
        <w:outlineLvl w:val="1"/>
      </w:pPr>
      <w:r/>
      <w:bookmarkStart w:id="49" w:name="_Toc18718"/>
      <w:r/>
      <w:bookmarkStart w:id="50" w:name="_Toc8161"/>
      <w:r>
        <w:rPr>
          <w:rFonts w:hint="eastAsia" w:ascii="仿宋" w:hAnsi="仿宋" w:eastAsia="仿宋" w:cs="仿宋"/>
          <w:bCs/>
          <w:color w:val="auto"/>
          <w:sz w:val="28"/>
          <w:szCs w:val="28"/>
          <w:highlight w:val="none"/>
        </w:rPr>
        <w:t xml:space="preserve">8、投标人参加政府采购活动前3年内在经营活动中没有重大违法记录的</w:t>
      </w:r>
      <w:bookmarkEnd w:id="49"/>
      <w:r/>
      <w:bookmarkEnd w:id="50"/>
      <w:r/>
      <w:r/>
    </w:p>
    <w:p>
      <w:pPr>
        <w:jc w:val="cente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8"/>
          <w:szCs w:val="28"/>
          <w:highlight w:val="none"/>
        </w:rPr>
        <w:t xml:space="preserve">书面声明</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70"/>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我单位在参加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（项目名称）</w:t>
      </w:r>
      <w:r>
        <w:rPr>
          <w:rFonts w:hint="eastAsia" w:ascii="仿宋" w:hAnsi="仿宋" w:eastAsia="仿宋" w:cs="仿宋"/>
          <w:bCs/>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bCs/>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我单位对上述声明的真实性负责。如有虚假，将依法承担相应责任。</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投标人：（盖电子签章）</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70"/>
        <w:spacing w:line="360" w:lineRule="auto"/>
        <w:rPr>
          <w:rFonts w:hint="eastAsia" w:ascii="仿宋" w:hAnsi="仿宋" w:eastAsia="仿宋" w:cs="仿宋"/>
          <w:bCs/>
          <w:color w:val="auto"/>
          <w:sz w:val="24"/>
          <w:highlight w:val="none"/>
        </w:rPr>
        <w:sectPr>
          <w:head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color w:val="auto"/>
          <w:sz w:val="24"/>
          <w:highlight w:val="none"/>
        </w:rPr>
      </w:r>
      <w:r/>
    </w:p>
    <w:p>
      <w:pPr>
        <w:pStyle w:val="1216"/>
        <w:jc w:val="center"/>
        <w:spacing w:beforeAutospacing="0" w:afterAutospacing="0" w:line="360" w:lineRule="auto"/>
        <w:rPr>
          <w:rFonts w:hint="eastAsia" w:ascii="仿宋" w:hAnsi="仿宋" w:eastAsia="仿宋" w:cs="仿宋"/>
          <w:bCs/>
          <w:color w:val="auto"/>
          <w:sz w:val="28"/>
          <w:szCs w:val="28"/>
          <w:highlight w:val="none"/>
        </w:rPr>
        <w:outlineLvl w:val="1"/>
      </w:pPr>
      <w:r/>
      <w:bookmarkStart w:id="51" w:name="_Toc25439"/>
      <w:r/>
      <w:bookmarkStart w:id="52" w:name="_Toc11638"/>
      <w:r>
        <w:rPr>
          <w:rFonts w:hint="eastAsia" w:ascii="仿宋" w:hAnsi="仿宋" w:eastAsia="仿宋" w:cs="仿宋"/>
          <w:bCs/>
          <w:color w:val="auto"/>
          <w:sz w:val="28"/>
          <w:szCs w:val="28"/>
          <w:highlight w:val="none"/>
        </w:rPr>
        <w:t xml:space="preserve">9、具备履行合同所必需的设备和专业技术能力的书面声明（附证明材料扫描件）</w:t>
      </w:r>
      <w:bookmarkEnd w:id="51"/>
      <w:r/>
      <w:bookmarkEnd w:id="52"/>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DNA试剂耗材采购项目</w:t>
      </w:r>
      <w:r>
        <w:rPr>
          <w:rFonts w:hint="eastAsia" w:ascii="仿宋" w:hAnsi="仿宋" w:eastAsia="仿宋" w:cs="仿宋"/>
          <w:color w:val="auto"/>
          <w:sz w:val="24"/>
          <w:highlight w:val="none"/>
        </w:rPr>
        <w:t xml:space="preserve">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JSZC-320300-JSKJ-G2026-0032</w:t>
      </w:r>
      <w:r>
        <w:rPr>
          <w:rFonts w:hint="eastAsia" w:ascii="仿宋" w:hAnsi="仿宋" w:eastAsia="仿宋" w:cs="仿宋"/>
          <w:color w:val="auto"/>
          <w:sz w:val="24"/>
          <w:highlight w:val="none"/>
          <w:u w:val="single"/>
        </w:rPr>
        <w:t xml:space="preserve"> </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投标人郑重声明：投标人具备履行合同（项目名称：</w:t>
      </w:r>
      <w:r>
        <w:rPr>
          <w:rFonts w:hint="eastAsia" w:ascii="仿宋" w:hAnsi="仿宋" w:eastAsia="仿宋" w:cs="仿宋"/>
          <w:color w:val="auto"/>
          <w:sz w:val="24"/>
          <w:highlight w:val="none"/>
          <w:u w:val="single"/>
        </w:rPr>
        <w:t xml:space="preserve">       </w:t>
      </w:r>
      <w:r>
        <w:rPr>
          <w:rFonts w:hint="eastAsia" w:ascii="仿宋" w:hAnsi="仿宋" w:eastAsia="仿宋" w:cs="仿宋"/>
          <w:bCs/>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bCs/>
          <w:color w:val="auto"/>
          <w:sz w:val="24"/>
          <w:highlight w:val="none"/>
        </w:rPr>
        <w:t xml:space="preserve">所必需的设备和专业技术能力，具体为：</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设备：</w:t>
      </w:r>
      <w:r/>
    </w:p>
    <w:p>
      <w:pPr>
        <w:numPr>
          <w:ilvl w:val="0"/>
          <w:numId w:val="4"/>
        </w:num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（证明材料扫描件附后）</w:t>
      </w:r>
      <w:r/>
    </w:p>
    <w:p>
      <w:pPr>
        <w:numPr>
          <w:ilvl w:val="0"/>
          <w:numId w:val="4"/>
        </w:num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（证明材料扫描件附后）</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（证明材料扫描件附后）</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专业技术能力：</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（证明材料扫描件附后）</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（证明材料扫描件附后）</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（证明材料扫描件附后）</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特此声明。</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投标人对上述声明的真实性负责。如有虚假，将依法承担相应责任。</w:t>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7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投标人：（盖电子签章）</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
        <w:spacing w:line="360" w:lineRule="auto"/>
        <w:rPr>
          <w:rFonts w:hint="eastAsia" w:ascii="宋体" w:hAnsi="宋体" w:cs="宋体"/>
          <w:b/>
          <w:bCs/>
          <w:color w:val="auto"/>
          <w:sz w:val="28"/>
          <w:szCs w:val="28"/>
          <w:highlight w:val="none"/>
          <w:lang w:val="en-US" w:eastAsia="zh-CN"/>
        </w:rPr>
      </w:pPr>
      <w:r>
        <w:rPr>
          <w:rFonts w:hint="eastAsia" w:ascii="仿宋" w:hAnsi="仿宋" w:eastAsia="仿宋" w:cs="仿宋"/>
          <w:color w:val="auto"/>
          <w:sz w:val="24"/>
          <w:highlight w:val="none"/>
        </w:rPr>
        <w:t xml:space="preserve">日期：   年  月  日</w:t>
      </w:r>
      <w:bookmarkStart w:id="53" w:name="_Toc24923"/>
      <w:r/>
      <w:bookmarkStart w:id="54" w:name="_Toc6941"/>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0</w:t>
      </w:r>
      <w:r>
        <w:rPr>
          <w:rFonts w:hint="eastAsia" w:ascii="仿宋" w:hAnsi="仿宋" w:eastAsia="仿宋" w:cs="仿宋"/>
          <w:b/>
          <w:bCs/>
          <w:color w:val="auto"/>
          <w:sz w:val="28"/>
          <w:szCs w:val="28"/>
          <w:highlight w:val="none"/>
        </w:rPr>
        <w:t xml:space="preserve">、关于符合本国产品标准的声明函</w:t>
      </w:r>
      <w:r>
        <w:rPr>
          <w:rFonts w:hint="eastAsia" w:ascii="仿宋" w:hAnsi="仿宋" w:eastAsia="仿宋" w:cs="仿宋"/>
          <w:color w:val="auto"/>
          <w:highlight w:val="none"/>
        </w:rPr>
        <w:t xml:space="preserve"> </w:t>
      </w:r>
      <w:bookmarkEnd w:id="53"/>
      <w:r/>
      <w:bookmarkEnd w:id="54"/>
      <w:r/>
      <w:r/>
    </w:p>
    <w:p>
      <w:pPr>
        <w:pStyle w:val="1054"/>
        <w:jc w:val="both"/>
        <w:spacing w:beforeAutospacing="0" w:afterAutospacing="0"/>
        <w:shd w:val="clear" w:color="auto" w:fill="ffffff"/>
        <w:widowControl/>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rPr>
        <w:t xml:space="preserve">、</w:t>
      </w:r>
      <w:r>
        <w:rPr>
          <w:rFonts w:hint="eastAsia" w:ascii="仿宋" w:hAnsi="仿宋" w:eastAsia="仿宋" w:cs="仿宋"/>
          <w:b/>
          <w:bCs/>
          <w:color w:val="auto"/>
          <w:szCs w:val="24"/>
          <w:highlight w:val="none"/>
          <w:u w:val="single"/>
        </w:rPr>
        <w:t xml:space="preserve">（</w:t>
      </w:r>
      <w:r>
        <w:rPr>
          <w:rFonts w:hint="eastAsia" w:ascii="仿宋" w:hAnsi="仿宋" w:eastAsia="仿宋" w:cs="仿宋"/>
          <w:b/>
          <w:bCs/>
          <w:color w:val="auto"/>
          <w:szCs w:val="24"/>
          <w:highlight w:val="none"/>
          <w:u w:val="single"/>
          <w:lang w:val="en-US" w:eastAsia="zh-CN"/>
        </w:rPr>
        <w:t xml:space="preserve">个体识别扩增试剂盒 </w:t>
      </w:r>
      <w:r>
        <w:rPr>
          <w:rFonts w:hint="eastAsia" w:ascii="仿宋" w:hAnsi="仿宋" w:eastAsia="仿宋" w:cs="仿宋"/>
          <w:b/>
          <w:bCs/>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w:t>
      </w:r>
      <w:r>
        <w:rPr>
          <w:rFonts w:hint="eastAsia" w:ascii="仿宋" w:hAnsi="仿宋" w:eastAsia="仿宋" w:cs="仿宋"/>
          <w:b/>
          <w:bCs/>
          <w:color w:val="auto"/>
          <w:szCs w:val="24"/>
          <w:highlight w:val="none"/>
          <w:u w:val="single"/>
        </w:rPr>
        <w:t xml:space="preserve">（</w:t>
      </w:r>
      <w:r>
        <w:rPr>
          <w:rFonts w:hint="eastAsia" w:ascii="仿宋" w:hAnsi="仿宋" w:eastAsia="仿宋" w:cs="仿宋"/>
          <w:b/>
          <w:bCs/>
          <w:color w:val="auto"/>
          <w:szCs w:val="24"/>
          <w:highlight w:val="none"/>
          <w:u w:val="single"/>
          <w:lang w:val="en-US" w:eastAsia="zh-CN"/>
        </w:rPr>
        <w:t xml:space="preserve">Y案件试剂盒</w:t>
      </w:r>
      <w:r>
        <w:rPr>
          <w:rFonts w:hint="eastAsia" w:ascii="仿宋" w:hAnsi="仿宋" w:eastAsia="仿宋" w:cs="仿宋"/>
          <w:b/>
          <w:bCs/>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3</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（毛细管）</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4</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（电泳分离（384））</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5</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（荧光分子量内标LIZ600）</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6</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（阴极缓冲液）</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7</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（阳极缓冲液）</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8</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（甲酰胺）</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9</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（生物物证粘取器）</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10</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（96孔反应板）</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11</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（8联排扩增套装）</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12</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（PCR反应管）</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13</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（离心管0.6ml）</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14</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（离心管1.5ml）</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15</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（10ul枪尖）</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16</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（200ul枪尖）</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17</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（1000ul枪尖）</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18</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（抗人精试剂条）</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19</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（抗人血试剂条）</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20</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（四甲基联苯胺）</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21</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（Chelex-100）</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22</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（长柄易折断棉签）</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23</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（磁珠试剂盒）</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24</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（混合斑DNA提取试剂盒）</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25</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（MiSeq v3 Reagent Kit (600 ycles)</w:t>
      </w:r>
      <w:r>
        <w:rPr>
          <w:rFonts w:hint="eastAsia" w:ascii="仿宋" w:hAnsi="仿宋" w:eastAsia="仿宋" w:cs="仿宋"/>
          <w:b/>
          <w:bCs/>
          <w:color w:val="auto"/>
          <w:szCs w:val="24"/>
          <w:highlight w:val="none"/>
          <w:u w:val="single"/>
          <w:lang w:val="en-US" w:eastAsia="zh-CN"/>
        </w:rPr>
        <w:t xml:space="preserve"> </w:t>
      </w:r>
      <w:r>
        <w:rPr>
          <w:rFonts w:hint="eastAsia" w:ascii="仿宋" w:hAnsi="仿宋" w:eastAsia="仿宋" w:cs="仿宋"/>
          <w:b/>
          <w:bCs/>
          <w:color w:val="auto"/>
          <w:szCs w:val="24"/>
          <w:highlight w:val="none"/>
          <w:u w:val="single"/>
        </w:rPr>
        <w:t xml:space="preserve">15066817-CN 法医高通量测序芯片）</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26</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（Phix Control ）</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27</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（STRSeqTyperY103 男性家系精细化排查试剂盒）</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28</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（mtDNASeqTyper线粒体全基因组测序试剂盒）</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29</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（MSR812磁力架）</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30</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（常染色体试剂盒）</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31</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（Y染色体试剂盒）</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val="en-US" w:eastAsia="zh-CN"/>
        </w:rPr>
        <w:t xml:space="preserve">32</w:t>
      </w:r>
      <w:r>
        <w:rPr>
          <w:rFonts w:hint="eastAsia" w:ascii="仿宋" w:hAnsi="仿宋" w:eastAsia="仿宋" w:cs="仿宋"/>
          <w:color w:val="auto"/>
          <w:szCs w:val="24"/>
          <w:highlight w:val="none"/>
          <w:shd w:val="clear" w:color="auto" w:fill="ffffff"/>
        </w:rPr>
        <w:t xml:space="preserve">、</w:t>
      </w:r>
      <w:r>
        <w:rPr>
          <w:rFonts w:hint="eastAsia" w:ascii="仿宋" w:hAnsi="仿宋" w:eastAsia="仿宋" w:cs="仿宋"/>
          <w:b/>
          <w:bCs/>
          <w:color w:val="auto"/>
          <w:szCs w:val="24"/>
          <w:highlight w:val="none"/>
          <w:u w:val="single"/>
        </w:rPr>
        <w:t xml:space="preserve">（血卡采集套装）</w:t>
      </w:r>
      <w:r>
        <w:rPr>
          <w:rFonts w:hint="eastAsia" w:ascii="仿宋" w:hAnsi="仿宋" w:eastAsia="仿宋" w:cs="仿宋"/>
          <w:b/>
          <w:bCs/>
          <w:color w:val="auto"/>
          <w:szCs w:val="24"/>
          <w:highlight w:val="none"/>
          <w:vertAlign w:val="superscript"/>
        </w:rPr>
        <w:t xml:space="preserve">1</w:t>
      </w:r>
      <w:r>
        <w:rPr>
          <w:rFonts w:hint="eastAsia" w:ascii="仿宋" w:hAnsi="仿宋" w:eastAsia="仿宋" w:cs="仿宋"/>
          <w:color w:val="auto"/>
          <w:szCs w:val="24"/>
          <w:highlight w:val="none"/>
        </w:rPr>
        <w:t xml:space="preserve">，生产厂为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厂名</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vertAlign w:val="superscript"/>
        </w:rPr>
        <w:t xml:space="preserve">2</w:t>
      </w:r>
      <w:r>
        <w:rPr>
          <w:rFonts w:hint="eastAsia" w:ascii="仿宋" w:hAnsi="仿宋" w:eastAsia="仿宋" w:cs="仿宋"/>
          <w:color w:val="auto"/>
          <w:szCs w:val="24"/>
          <w:highlight w:val="none"/>
        </w:rPr>
        <w:t xml:space="preserve">，厂址为</w:t>
      </w:r>
      <w:r>
        <w:rPr>
          <w:rFonts w:hint="eastAsia" w:ascii="仿宋" w:hAnsi="仿宋" w:eastAsia="仿宋" w:cs="仿宋"/>
          <w:color w:val="auto"/>
          <w:szCs w:val="24"/>
          <w:highlight w:val="none"/>
          <w:u w:val="single"/>
        </w:rPr>
        <w:t xml:space="preserve">（</w:t>
      </w:r>
      <w:r>
        <w:rPr>
          <w:rFonts w:hint="eastAsia" w:ascii="仿宋" w:hAnsi="仿宋" w:eastAsia="仿宋" w:cs="仿宋"/>
          <w:b/>
          <w:bCs/>
          <w:color w:val="auto"/>
          <w:szCs w:val="24"/>
          <w:highlight w:val="none"/>
          <w:u w:val="single"/>
        </w:rPr>
        <w:t xml:space="preserve">生产厂址</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的中国境内生产的组件成本占比≥</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3</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4</w:t>
      </w:r>
      <w:r>
        <w:rPr>
          <w:rFonts w:hint="eastAsia" w:ascii="仿宋" w:hAnsi="仿宋" w:eastAsia="仿宋" w:cs="仿宋"/>
          <w:color w:val="auto"/>
          <w:szCs w:val="24"/>
          <w:highlight w:val="none"/>
        </w:rPr>
        <w:t xml:space="preserve">在中国境内生产。</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 xml:space="preserve">的</w:t>
      </w:r>
      <w:r>
        <w:rPr>
          <w:rFonts w:hint="eastAsia" w:ascii="仿宋" w:hAnsi="仿宋" w:eastAsia="仿宋" w:cs="仿宋"/>
          <w:color w:val="auto"/>
          <w:szCs w:val="24"/>
          <w:highlight w:val="none"/>
          <w:u w:val="single"/>
        </w:rPr>
        <w:t xml:space="preserve">  /  </w:t>
      </w:r>
      <w:r>
        <w:rPr>
          <w:rFonts w:hint="eastAsia" w:ascii="仿宋" w:hAnsi="仿宋" w:eastAsia="仿宋" w:cs="仿宋"/>
          <w:b/>
          <w:bCs/>
          <w:color w:val="auto"/>
          <w:szCs w:val="24"/>
          <w:highlight w:val="none"/>
          <w:vertAlign w:val="superscript"/>
        </w:rPr>
        <w:t xml:space="preserve">5</w:t>
      </w:r>
      <w:r>
        <w:rPr>
          <w:rFonts w:hint="eastAsia" w:ascii="仿宋" w:hAnsi="仿宋" w:eastAsia="仿宋" w:cs="仿宋"/>
          <w:color w:val="auto"/>
          <w:szCs w:val="24"/>
          <w:highlight w:val="none"/>
        </w:rPr>
        <w:t xml:space="preserve">在中国境内完成。</w:t>
      </w:r>
      <w:r/>
    </w:p>
    <w:p>
      <w:pPr>
        <w:pStyle w:val="1054"/>
        <w:ind w:firstLine="420"/>
        <w:spacing w:beforeAutospacing="0" w:afterAutospacing="0" w:line="360" w:lineRule="auto"/>
        <w:shd w:val="clear" w:color="auto" w:fill="ffffff"/>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本公司（单位）对上述声明内容的真实性负责。如有虚假，愿承担相应法律责任。</w:t>
      </w:r>
      <w:r/>
    </w:p>
    <w:p>
      <w:pPr>
        <w:pStyle w:val="1054"/>
        <w:spacing w:beforeAutospacing="0" w:afterAutospacing="0"/>
        <w:shd w:val="clear" w:color="auto" w:fill="ffffff"/>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 </w:t>
      </w:r>
      <w:r/>
    </w:p>
    <w:p>
      <w:pPr>
        <w:pStyle w:val="1054"/>
        <w:jc w:val="both"/>
        <w:spacing w:beforeAutospacing="0" w:afterAutospacing="0" w:line="360" w:lineRule="auto"/>
        <w:shd w:val="clear" w:color="auto" w:fill="ffffff"/>
        <w:widowControl/>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shd w:val="clear" w:color="auto" w:fill="ffffff"/>
        </w:rPr>
        <w:t xml:space="preserve">公司（单位）名称（电子签章）：　        </w:t>
      </w:r>
      <w:r/>
    </w:p>
    <w:p>
      <w:pPr>
        <w:pStyle w:val="1054"/>
        <w:jc w:val="both"/>
        <w:spacing w:beforeAutospacing="0" w:afterAutospacing="0" w:line="360" w:lineRule="auto"/>
        <w:shd w:val="clear" w:color="auto" w:fill="ffffff"/>
        <w:widowControl/>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shd w:val="clear" w:color="auto" w:fill="ffffff"/>
        </w:rPr>
        <w:t xml:space="preserve">日期：  年  月  日</w:t>
      </w:r>
      <w:r/>
    </w:p>
    <w:p>
      <w:pPr>
        <w:pStyle w:val="1054"/>
        <w:spacing w:before="30" w:beforeAutospacing="0" w:after="30" w:afterAutospacing="0"/>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r>
      <w:r/>
    </w:p>
    <w:p>
      <w:pPr>
        <w:pStyle w:val="1054"/>
        <w:spacing w:before="30" w:beforeAutospacing="0" w:after="30" w:afterAutospacing="0" w:line="360" w:lineRule="auto"/>
        <w:shd w:val="clear" w:color="auto" w:fill="ffffff"/>
        <w:widowControl/>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注：</w:t>
      </w:r>
      <w:r/>
    </w:p>
    <w:p>
      <w:pPr>
        <w:pStyle w:val="1054"/>
        <w:ind w:firstLine="420"/>
        <w:spacing w:before="30" w:beforeAutospacing="0" w:after="30" w:afterAutospacing="0" w:line="360" w:lineRule="auto"/>
        <w:shd w:val="clear" w:color="auto" w:fill="ffffff"/>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1.产品如有型号，请在“产品名称”栏一并填写。</w:t>
      </w:r>
      <w:r/>
    </w:p>
    <w:p>
      <w:pPr>
        <w:pStyle w:val="1054"/>
        <w:ind w:firstLine="420"/>
        <w:spacing w:before="30" w:beforeAutospacing="0" w:after="30" w:afterAutospacing="0" w:line="360" w:lineRule="auto"/>
        <w:shd w:val="clear" w:color="auto" w:fill="ffffff"/>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2.生产厂名与厂址应与生产厂营业执照载明的相关信息保持一致。</w:t>
      </w:r>
      <w:r/>
    </w:p>
    <w:p>
      <w:pPr>
        <w:pStyle w:val="1054"/>
        <w:ind w:firstLine="420"/>
        <w:spacing w:before="30" w:beforeAutospacing="0" w:after="30" w:afterAutospacing="0" w:line="360" w:lineRule="auto"/>
        <w:shd w:val="clear" w:color="auto" w:fill="ffffff"/>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3.该产品的中国境内生产的组件成本占比相关要求实施前，“规定比例”栏可不填，下同。</w:t>
      </w:r>
      <w:r/>
    </w:p>
    <w:p>
      <w:pPr>
        <w:pStyle w:val="1054"/>
        <w:ind w:firstLine="420"/>
        <w:spacing w:before="30" w:beforeAutospacing="0" w:after="30" w:afterAutospacing="0" w:line="360" w:lineRule="auto"/>
        <w:shd w:val="clear" w:color="auto" w:fill="ffffff"/>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4.该产品的关键组件要求实施前，“关键组件”栏可不填，下同。</w:t>
      </w:r>
      <w:r/>
    </w:p>
    <w:p>
      <w:pPr>
        <w:pStyle w:val="1054"/>
        <w:ind w:firstLine="420"/>
        <w:spacing w:before="30" w:beforeAutospacing="0" w:after="30" w:afterAutospacing="0" w:line="360" w:lineRule="auto"/>
        <w:shd w:val="clear" w:color="auto" w:fill="ffffff"/>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5.该产品的关键工序要求实施前，“关键工序”栏可不填，下同。</w:t>
      </w:r>
      <w:r/>
    </w:p>
    <w:p>
      <w:pPr>
        <w:ind w:firstLine="480"/>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 w:val="24"/>
          <w:szCs w:val="24"/>
          <w:highlight w:val="none"/>
        </w:rPr>
        <w:t xml:space="preserve">6.《声明函》中标注“</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”的地方无需填写。</w:t>
      </w:r>
      <w:r/>
    </w:p>
    <w:p>
      <w:pPr>
        <w:rPr>
          <w:rFonts w:hint="eastAsia" w:ascii="仿宋" w:hAnsi="仿宋" w:eastAsia="仿宋" w:cs="仿宋"/>
          <w:color w:val="auto"/>
          <w:sz w:val="28"/>
          <w:szCs w:val="28"/>
          <w:highlight w:val="none"/>
        </w:rPr>
      </w:pPr>
      <w:r/>
      <w:bookmarkStart w:id="55" w:name="_Toc16659"/>
      <w:r/>
      <w:bookmarkStart w:id="56" w:name="_Toc20977"/>
      <w:r>
        <w:rPr>
          <w:rFonts w:hint="eastAsia" w:ascii="仿宋" w:hAnsi="仿宋" w:eastAsia="仿宋" w:cs="仿宋"/>
          <w:color w:val="auto"/>
          <w:sz w:val="28"/>
          <w:szCs w:val="28"/>
          <w:highlight w:val="none"/>
        </w:rPr>
        <w:br w:type="page" w:clear="all"/>
      </w:r>
      <w:r/>
    </w:p>
    <w:p>
      <w:pPr>
        <w:jc w:val="center"/>
        <w:spacing w:line="360" w:lineRule="auto"/>
        <w:rPr>
          <w:rFonts w:hint="eastAsia" w:ascii="仿宋" w:hAnsi="仿宋" w:eastAsia="仿宋" w:cs="仿宋"/>
          <w:b/>
          <w:bCs/>
          <w:color w:val="auto"/>
          <w:sz w:val="24"/>
          <w:highlight w:val="none"/>
        </w:rPr>
        <w:outlineLvl w:val="1"/>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、预付款保函支付条款模板</w:t>
      </w:r>
      <w:bookmarkEnd w:id="55"/>
      <w:r/>
      <w:bookmarkEnd w:id="56"/>
      <w:r>
        <w:rPr>
          <w:rFonts w:hint="eastAsia" w:ascii="仿宋" w:hAnsi="仿宋" w:eastAsia="仿宋" w:cs="仿宋"/>
          <w:color w:val="auto"/>
          <w:sz w:val="28"/>
          <w:szCs w:val="28"/>
          <w:highlight w:val="none"/>
        </w:rPr>
        <w:t xml:space="preserve"> </w:t>
      </w:r>
      <w:r/>
    </w:p>
    <w:p>
      <w:pPr>
        <w:ind w:firstLine="480"/>
        <w:jc w:val="left"/>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符合条件一：提交预付款保函的</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（1）合同签订且乙方向甲方出具预付款保函后个工作日内，甲方应支付合同价款的百分之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乙方需提交的支付文件：乙方出具的全额正式发票。</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 。 </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0"/>
        <w:jc w:val="left"/>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符合条件二：不提交预付款保函的</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（1）合同签订后个工作日内，甲方应支付合同价款的百分之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乙方需提交的支付文件：乙方出具的全额正式发票。</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1、付款条件一中，出具预付款保函后支付的合同款应当与保函金额一致。</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2、付款条件二中，预付款比例设定应符合《关于做好政府采购支持企业发展有关事项的通知》(苏财购〔2020〕52号)要求。</w:t>
      </w:r>
      <w:r/>
    </w:p>
    <w:p>
      <w:pPr>
        <w:pStyle w:val="1037"/>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8"/>
          <w:szCs w:val="28"/>
          <w:highlight w:val="none"/>
        </w:rPr>
        <w:outlineLvl w:val="1"/>
      </w:pPr>
      <w:r/>
      <w:bookmarkStart w:id="57" w:name="_Toc13512"/>
      <w:r/>
      <w:bookmarkStart w:id="58" w:name="_Toc1429"/>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、投标人认为需要提供的其他资料</w:t>
      </w:r>
      <w:bookmarkEnd w:id="57"/>
      <w:r/>
      <w:bookmarkEnd w:id="58"/>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（格式自拟）</w:t>
      </w:r>
      <w:r/>
    </w:p>
    <w:p>
      <w:pPr>
        <w:pStyle w:val="103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3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3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3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3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------------（以下无正文）------------</w:t>
      </w:r>
      <w:r/>
    </w:p>
    <w:sectPr>
      <w:headerReference w:type="default" r:id="rId15"/>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新宋体">
    <w:panose1 w:val="02010609030101010101"/>
  </w:font>
  <w:font w:name="Cambria">
    <w:panose1 w:val="02040503050406030204"/>
  </w:font>
  <w:font w:name="Courier New">
    <w:panose1 w:val="02070309020205020404"/>
  </w:font>
  <w:font w:name="Verdana">
    <w:panose1 w:val="020B060403050404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0"/>
                            <w:tabs>
                              <w:tab w:val="clear" w:pos="7143" w:leader="none"/>
                              <w:tab w:val="clear" w:pos="14287"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tabs>
                        <w:tab w:val="clear" w:pos="7143" w:leader="none"/>
                        <w:tab w:val="clear" w:pos="14287"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firstLine="5760"/>
      <w:jc w:val="right"/>
      <w:tabs>
        <w:tab w:val="right" w:pos="4153" w:leader="none"/>
        <w:tab w:val="left" w:pos="8306" w:leader="underscor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r/>
                    <w:r/>
                  </w:p>
                  <w:p>
                    <w:r/>
                    <w:r/>
                  </w:p>
                </w:txbxContent>
              </v:textbox>
            </v:shape>
          </w:pict>
        </mc:Fallback>
      </mc:AlternateContent>
    </w:r>
    <w:r>
      <w:rPr>
        <w:rFonts w:hint="eastAsia"/>
      </w:rPr>
      <w:t xml:space="preserve">江苏科建工程项目管理有限公司编制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v:textbox>
            </v:shape>
          </w:pict>
        </mc:Fallback>
      </mc:AlternateContent>
    </w:r>
    <w:r>
      <w:rPr>
        <w:rFonts w:hint="eastAsia" w:ascii="仿宋" w:hAnsi="仿宋" w:eastAsia="仿宋" w:cs="仿宋"/>
        <w:b/>
        <w:bCs/>
        <w:i/>
        <w:iCs/>
      </w:rPr>
      <w:t xml:space="preserve">江苏科建工程项目管理有限公司编制</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rPr>
        <w:rStyle w:val="1196"/>
      </w:rPr>
      <w:framePr w:wrap="around" w:vAnchor="text" w:hAnchor="margin" w:xAlign="right" w:y="1"/>
    </w:pPr>
    <w:r>
      <w:fldChar w:fldCharType="begin"/>
    </w:r>
    <w:r>
      <w:rPr>
        <w:rStyle w:val="1196"/>
      </w:rPr>
      <w:instrText xml:space="preserve">PAGE  </w:instrText>
    </w:r>
    <w:r>
      <w:fldChar w:fldCharType="separate"/>
    </w:r>
    <w:r>
      <w:rPr>
        <w:rStyle w:val="1196"/>
      </w:rPr>
      <w:t xml:space="preserve">19</w:t>
    </w:r>
    <w:r>
      <w:fldChar w:fldCharType="end"/>
    </w:r>
    <w:r/>
  </w:p>
  <w:p>
    <w:pPr>
      <w:pStyle w:val="121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Pr>
        <w:rFonts w:hint="eastAsia"/>
      </w:rPr>
      <mc:AlternateContent>
        <mc:Choice Requires="wpg">
          <w:drawing>
            <wp:inline xmlns:wp="http://schemas.openxmlformats.org/drawingml/2006/wordprocessingDrawing" distT="0" distB="0" distL="0" distR="0">
              <wp:extent cx="281305" cy="2451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val="en-US" w:eastAsia="zh-CN"/>
      </w:rPr>
      <w:t xml:space="preserve">       </w:t>
    </w:r>
    <w:r>
      <w:rPr>
        <w:rFonts w:hint="eastAsia"/>
      </w:rPr>
      <w:t xml:space="preserve">               DNA试剂耗材采购项目   </w:t>
    </w:r>
    <w:r>
      <w:rPr>
        <w:rFonts w:hint="eastAsia"/>
        <w:lang w:val="en-US" w:eastAsia="zh-CN"/>
      </w:rPr>
      <w:t xml:space="preserve">    </w:t>
    </w:r>
    <w:r>
      <w:rPr>
        <w:rFonts w:hint="eastAsia"/>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Pr>
        <w:rFonts w:hint="eastAsia"/>
      </w:rPr>
      <mc:AlternateContent>
        <mc:Choice Requires="wpg">
          <w:drawing>
            <wp:inline xmlns:wp="http://schemas.openxmlformats.org/drawingml/2006/wordprocessingDrawing" distT="0" distB="0" distL="0" distR="0">
              <wp:extent cx="281305" cy="2451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DNA试剂耗材采购项目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Pr>
        <w:rFonts w:hint="eastAsia"/>
      </w:rPr>
      <mc:AlternateContent>
        <mc:Choice Requires="wpg">
          <w:drawing>
            <wp:inline xmlns:wp="http://schemas.openxmlformats.org/drawingml/2006/wordprocessingDrawing" distT="0" distB="0" distL="0" distR="0">
              <wp:extent cx="281305" cy="245110"/>
              <wp:effectExtent l="0" t="0" r="4445" b="254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val="en-US" w:eastAsia="zh-CN"/>
      </w:rPr>
      <w:t xml:space="preserve">     </w:t>
    </w:r>
    <w:r>
      <w:rPr>
        <w:rFonts w:hint="eastAsia"/>
      </w:rPr>
      <w:t xml:space="preserve">         DNA试剂耗材采购项目        </w:t>
    </w:r>
    <w:r>
      <w:rPr>
        <w:rFonts w:hint="eastAsia"/>
        <w:lang w:val="en-US" w:eastAsia="zh-CN"/>
      </w:rPr>
      <w:t xml:space="preserve">          </w:t>
    </w:r>
    <w:r>
      <w:rPr>
        <w:rFonts w:hint="eastAsi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Pr>
        <w:rFonts w:hint="eastAsia"/>
      </w:rPr>
      <mc:AlternateContent>
        <mc:Choice Requires="wpg">
          <w:drawing>
            <wp:inline xmlns:wp="http://schemas.openxmlformats.org/drawingml/2006/wordprocessingDrawing" distT="0" distB="0" distL="0" distR="0">
              <wp:extent cx="281305" cy="245110"/>
              <wp:effectExtent l="0" t="0" r="0" b="0"/>
              <wp:docPr id="4"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DNA试剂耗材采购项目                     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Pr>
        <w:rFonts w:hint="eastAsia"/>
      </w:rPr>
      <mc:AlternateContent>
        <mc:Choice Requires="wpg">
          <w:drawing>
            <wp:inline xmlns:wp="http://schemas.openxmlformats.org/drawingml/2006/wordprocessingDrawing" distT="0" distB="0" distL="0" distR="0">
              <wp:extent cx="281305" cy="245110"/>
              <wp:effectExtent l="0" t="0" r="10160" b="3175"/>
              <wp:docPr id="5"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DNA试剂耗材采购项目                     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Pr>
        <w:rFonts w:hint="eastAsia"/>
      </w:rPr>
      <mc:AlternateContent>
        <mc:Choice Requires="wpg">
          <w:drawing>
            <wp:inline xmlns:wp="http://schemas.openxmlformats.org/drawingml/2006/wordprocessingDrawing" distT="0" distB="0" distL="0" distR="0">
              <wp:extent cx="281305" cy="245110"/>
              <wp:effectExtent l="0" t="0" r="0" b="0"/>
              <wp:docPr id="6"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val="en-US" w:eastAsia="zh-CN"/>
      </w:rPr>
      <w:t xml:space="preserve">             </w:t>
    </w:r>
    <w:r>
      <w:rPr>
        <w:rFonts w:hint="eastAsia"/>
      </w:rPr>
      <w:t xml:space="preserve">                   DNA试剂耗材采购项目  </w:t>
    </w:r>
    <w:r>
      <w:rPr>
        <w:rFonts w:hint="eastAsia"/>
        <w:lang w:val="en-US" w:eastAsia="zh-CN"/>
      </w:rPr>
      <w:t xml:space="preserve">         </w:t>
    </w:r>
    <w:r>
      <w:rPr>
        <w:rFonts w:hint="eastAsi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rPr>
        <w:rFonts w:ascii="宋体" w:hAnsi="宋体" w:eastAsia="宋体" w:cs="宋体"/>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3">
    <w:name w:val="Heading 1 Char"/>
    <w:basedOn w:val="1028"/>
    <w:link w:val="1019"/>
    <w:uiPriority w:val="9"/>
    <w:rPr>
      <w:rFonts w:ascii="Arial" w:hAnsi="Arial" w:eastAsia="Arial" w:cs="Arial"/>
      <w:sz w:val="40"/>
      <w:szCs w:val="40"/>
    </w:rPr>
  </w:style>
  <w:style w:type="character" w:styleId="984">
    <w:name w:val="Heading 2 Char"/>
    <w:basedOn w:val="1028"/>
    <w:link w:val="1020"/>
    <w:uiPriority w:val="9"/>
    <w:rPr>
      <w:rFonts w:ascii="Arial" w:hAnsi="Arial" w:eastAsia="Arial" w:cs="Arial"/>
      <w:sz w:val="34"/>
    </w:rPr>
  </w:style>
  <w:style w:type="character" w:styleId="985">
    <w:name w:val="Heading 3 Char"/>
    <w:basedOn w:val="1028"/>
    <w:link w:val="1021"/>
    <w:uiPriority w:val="9"/>
    <w:rPr>
      <w:rFonts w:ascii="Arial" w:hAnsi="Arial" w:eastAsia="Arial" w:cs="Arial"/>
      <w:sz w:val="30"/>
      <w:szCs w:val="30"/>
    </w:rPr>
  </w:style>
  <w:style w:type="character" w:styleId="986">
    <w:name w:val="Heading 4 Char"/>
    <w:basedOn w:val="1028"/>
    <w:link w:val="1022"/>
    <w:uiPriority w:val="9"/>
    <w:rPr>
      <w:rFonts w:ascii="Arial" w:hAnsi="Arial" w:eastAsia="Arial" w:cs="Arial"/>
      <w:b/>
      <w:bCs/>
      <w:sz w:val="26"/>
      <w:szCs w:val="26"/>
    </w:rPr>
  </w:style>
  <w:style w:type="character" w:styleId="987">
    <w:name w:val="Heading 5 Char"/>
    <w:basedOn w:val="1028"/>
    <w:link w:val="1023"/>
    <w:uiPriority w:val="9"/>
    <w:rPr>
      <w:rFonts w:ascii="Arial" w:hAnsi="Arial" w:eastAsia="Arial" w:cs="Arial"/>
      <w:b/>
      <w:bCs/>
      <w:sz w:val="24"/>
      <w:szCs w:val="24"/>
    </w:rPr>
  </w:style>
  <w:style w:type="character" w:styleId="988">
    <w:name w:val="Heading 6 Char"/>
    <w:basedOn w:val="1028"/>
    <w:link w:val="1024"/>
    <w:uiPriority w:val="9"/>
    <w:rPr>
      <w:rFonts w:ascii="Arial" w:hAnsi="Arial" w:eastAsia="Arial" w:cs="Arial"/>
      <w:b/>
      <w:bCs/>
      <w:sz w:val="22"/>
      <w:szCs w:val="22"/>
    </w:rPr>
  </w:style>
  <w:style w:type="character" w:styleId="989">
    <w:name w:val="Heading 7 Char"/>
    <w:basedOn w:val="1028"/>
    <w:link w:val="1025"/>
    <w:uiPriority w:val="9"/>
    <w:rPr>
      <w:rFonts w:ascii="Arial" w:hAnsi="Arial" w:eastAsia="Arial" w:cs="Arial"/>
      <w:b/>
      <w:bCs/>
      <w:i/>
      <w:iCs/>
      <w:sz w:val="22"/>
      <w:szCs w:val="22"/>
    </w:rPr>
  </w:style>
  <w:style w:type="character" w:styleId="990">
    <w:name w:val="Heading 8 Char"/>
    <w:basedOn w:val="1028"/>
    <w:link w:val="1026"/>
    <w:uiPriority w:val="9"/>
    <w:rPr>
      <w:rFonts w:ascii="Arial" w:hAnsi="Arial" w:eastAsia="Arial" w:cs="Arial"/>
      <w:i/>
      <w:iCs/>
      <w:sz w:val="22"/>
      <w:szCs w:val="22"/>
    </w:rPr>
  </w:style>
  <w:style w:type="character" w:styleId="991">
    <w:name w:val="Heading 9 Char"/>
    <w:basedOn w:val="1028"/>
    <w:link w:val="1027"/>
    <w:uiPriority w:val="9"/>
    <w:rPr>
      <w:rFonts w:ascii="Arial" w:hAnsi="Arial" w:eastAsia="Arial" w:cs="Arial"/>
      <w:i/>
      <w:iCs/>
      <w:sz w:val="21"/>
      <w:szCs w:val="21"/>
    </w:rPr>
  </w:style>
  <w:style w:type="character" w:styleId="992">
    <w:name w:val="Title Char"/>
    <w:basedOn w:val="1028"/>
    <w:link w:val="1055"/>
    <w:uiPriority w:val="10"/>
    <w:rPr>
      <w:sz w:val="48"/>
      <w:szCs w:val="48"/>
    </w:rPr>
  </w:style>
  <w:style w:type="character" w:styleId="993">
    <w:name w:val="Subtitle Char"/>
    <w:basedOn w:val="1028"/>
    <w:link w:val="1048"/>
    <w:uiPriority w:val="11"/>
    <w:rPr>
      <w:sz w:val="24"/>
      <w:szCs w:val="24"/>
    </w:rPr>
  </w:style>
  <w:style w:type="character" w:styleId="994">
    <w:name w:val="Header Char"/>
    <w:basedOn w:val="1028"/>
    <w:link w:val="1045"/>
    <w:uiPriority w:val="99"/>
  </w:style>
  <w:style w:type="character" w:styleId="995">
    <w:name w:val="Caption Char"/>
    <w:basedOn w:val="1032"/>
    <w:link w:val="1044"/>
    <w:uiPriority w:val="99"/>
  </w:style>
  <w:style w:type="table" w:styleId="996">
    <w:name w:val="Plain Table 1"/>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7">
    <w:name w:val="Plain Table 2"/>
    <w:basedOn w:val="10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8">
    <w:name w:val="Plain Table 3"/>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9">
    <w:name w:val="Plain Table 4"/>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0">
    <w:name w:val="Plain Table 5"/>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1">
    <w:name w:val="Grid Table 1 Light"/>
    <w:basedOn w:val="10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2">
    <w:name w:val="Grid Table 2"/>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3">
    <w:name w:val="Grid Table 3"/>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4"/>
    <w:basedOn w:val="10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5">
    <w:name w:val="Grid Table 5 Dark"/>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6">
    <w:name w:val="Grid Table 6 Colorful"/>
    <w:basedOn w:val="10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7">
    <w:name w:val="Grid Table 7 Colorful"/>
    <w:basedOn w:val="10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8">
    <w:name w:val="List Table 1 Light"/>
    <w:basedOn w:val="10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name w:val="List Table 2"/>
    <w:basedOn w:val="10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0">
    <w:name w:val="List Table 3"/>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1">
    <w:name w:val="List Table 4"/>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5 Dark"/>
    <w:basedOn w:val="10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6 Colorful"/>
    <w:basedOn w:val="10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4">
    <w:name w:val="List Table 7 Colorful"/>
    <w:basedOn w:val="10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15">
    <w:name w:val="Footnote Text Char"/>
    <w:link w:val="1049"/>
    <w:uiPriority w:val="99"/>
    <w:rPr>
      <w:sz w:val="18"/>
    </w:rPr>
  </w:style>
  <w:style w:type="character" w:styleId="1016">
    <w:name w:val="Endnote Text Char"/>
    <w:link w:val="1042"/>
    <w:uiPriority w:val="99"/>
    <w:rPr>
      <w:sz w:val="20"/>
    </w:rPr>
  </w:style>
  <w:style w:type="paragraph" w:styleId="1017">
    <w:name w:val="TOC Heading"/>
    <w:uiPriority w:val="39"/>
    <w:unhideWhenUsed/>
  </w:style>
  <w:style w:type="paragraph" w:styleId="101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1019">
    <w:name w:val="Heading 1"/>
    <w:basedOn w:val="1018"/>
    <w:next w:val="1018"/>
    <w:link w:val="1083"/>
    <w:uiPriority w:val="9"/>
    <w:qFormat/>
    <w:pPr>
      <w:keepLines/>
      <w:keepNext/>
      <w:spacing w:before="480" w:after="200"/>
      <w:outlineLvl w:val="0"/>
    </w:pPr>
    <w:rPr>
      <w:rFonts w:ascii="Arial" w:hAnsi="Arial" w:eastAsia="Arial" w:cs="Arial"/>
      <w:sz w:val="40"/>
      <w:szCs w:val="40"/>
    </w:rPr>
  </w:style>
  <w:style w:type="paragraph" w:styleId="1020">
    <w:name w:val="Heading 2"/>
    <w:basedOn w:val="1018"/>
    <w:next w:val="1018"/>
    <w:link w:val="1084"/>
    <w:uiPriority w:val="9"/>
    <w:unhideWhenUsed/>
    <w:qFormat/>
    <w:pPr>
      <w:keepLines/>
      <w:keepNext/>
      <w:spacing w:before="360" w:after="200"/>
      <w:outlineLvl w:val="1"/>
    </w:pPr>
    <w:rPr>
      <w:rFonts w:ascii="Arial" w:hAnsi="Arial" w:eastAsia="Arial" w:cs="Arial"/>
      <w:sz w:val="34"/>
    </w:rPr>
  </w:style>
  <w:style w:type="paragraph" w:styleId="1021">
    <w:name w:val="Heading 3"/>
    <w:basedOn w:val="1018"/>
    <w:next w:val="1018"/>
    <w:link w:val="1085"/>
    <w:uiPriority w:val="9"/>
    <w:unhideWhenUsed/>
    <w:qFormat/>
    <w:pPr>
      <w:keepLines/>
      <w:keepNext/>
      <w:spacing w:before="320" w:after="200"/>
      <w:outlineLvl w:val="2"/>
    </w:pPr>
    <w:rPr>
      <w:rFonts w:ascii="Arial" w:hAnsi="Arial" w:eastAsia="Arial" w:cs="Arial"/>
      <w:sz w:val="30"/>
      <w:szCs w:val="30"/>
    </w:rPr>
  </w:style>
  <w:style w:type="paragraph" w:styleId="1022">
    <w:name w:val="Heading 4"/>
    <w:basedOn w:val="1018"/>
    <w:next w:val="1018"/>
    <w:link w:val="1086"/>
    <w:uiPriority w:val="9"/>
    <w:unhideWhenUsed/>
    <w:qFormat/>
    <w:pPr>
      <w:keepLines/>
      <w:keepNext/>
      <w:spacing w:before="320" w:after="200"/>
      <w:outlineLvl w:val="3"/>
    </w:pPr>
    <w:rPr>
      <w:rFonts w:ascii="Arial" w:hAnsi="Arial" w:eastAsia="Arial" w:cs="Arial"/>
      <w:b/>
      <w:bCs/>
      <w:sz w:val="26"/>
      <w:szCs w:val="26"/>
    </w:rPr>
  </w:style>
  <w:style w:type="paragraph" w:styleId="1023">
    <w:name w:val="Heading 5"/>
    <w:basedOn w:val="1018"/>
    <w:next w:val="1018"/>
    <w:link w:val="1087"/>
    <w:uiPriority w:val="9"/>
    <w:unhideWhenUsed/>
    <w:qFormat/>
    <w:pPr>
      <w:keepLines/>
      <w:keepNext/>
      <w:spacing w:before="320" w:after="200"/>
      <w:outlineLvl w:val="4"/>
    </w:pPr>
    <w:rPr>
      <w:rFonts w:ascii="Arial" w:hAnsi="Arial" w:eastAsia="Arial" w:cs="Arial"/>
      <w:b/>
      <w:bCs/>
      <w:sz w:val="24"/>
      <w:szCs w:val="24"/>
    </w:rPr>
  </w:style>
  <w:style w:type="paragraph" w:styleId="1024">
    <w:name w:val="Heading 6"/>
    <w:basedOn w:val="1018"/>
    <w:next w:val="1018"/>
    <w:link w:val="1088"/>
    <w:uiPriority w:val="9"/>
    <w:unhideWhenUsed/>
    <w:qFormat/>
    <w:pPr>
      <w:keepLines/>
      <w:keepNext/>
      <w:spacing w:before="320" w:after="200"/>
      <w:outlineLvl w:val="5"/>
    </w:pPr>
    <w:rPr>
      <w:rFonts w:ascii="Arial" w:hAnsi="Arial" w:eastAsia="Arial" w:cs="Arial"/>
      <w:b/>
      <w:bCs/>
      <w:sz w:val="22"/>
      <w:szCs w:val="22"/>
    </w:rPr>
  </w:style>
  <w:style w:type="paragraph" w:styleId="1025">
    <w:name w:val="Heading 7"/>
    <w:basedOn w:val="1018"/>
    <w:next w:val="1018"/>
    <w:link w:val="1089"/>
    <w:uiPriority w:val="9"/>
    <w:unhideWhenUsed/>
    <w:qFormat/>
    <w:pPr>
      <w:keepLines/>
      <w:keepNext/>
      <w:spacing w:before="320" w:after="200"/>
      <w:outlineLvl w:val="6"/>
    </w:pPr>
    <w:rPr>
      <w:rFonts w:ascii="Arial" w:hAnsi="Arial" w:eastAsia="Arial" w:cs="Arial"/>
      <w:b/>
      <w:bCs/>
      <w:i/>
      <w:iCs/>
      <w:sz w:val="22"/>
      <w:szCs w:val="22"/>
    </w:rPr>
  </w:style>
  <w:style w:type="paragraph" w:styleId="1026">
    <w:name w:val="Heading 8"/>
    <w:basedOn w:val="1018"/>
    <w:next w:val="1018"/>
    <w:link w:val="1090"/>
    <w:uiPriority w:val="9"/>
    <w:unhideWhenUsed/>
    <w:qFormat/>
    <w:pPr>
      <w:keepLines/>
      <w:keepNext/>
      <w:spacing w:before="320" w:after="200"/>
      <w:outlineLvl w:val="7"/>
    </w:pPr>
    <w:rPr>
      <w:rFonts w:ascii="Arial" w:hAnsi="Arial" w:eastAsia="Arial" w:cs="Arial"/>
      <w:i/>
      <w:iCs/>
      <w:sz w:val="22"/>
      <w:szCs w:val="22"/>
    </w:rPr>
  </w:style>
  <w:style w:type="paragraph" w:styleId="1027">
    <w:name w:val="Heading 9"/>
    <w:basedOn w:val="1018"/>
    <w:next w:val="1018"/>
    <w:link w:val="1091"/>
    <w:uiPriority w:val="9"/>
    <w:unhideWhenUsed/>
    <w:qFormat/>
    <w:pPr>
      <w:keepLines/>
      <w:keepNext/>
      <w:spacing w:before="320" w:after="200"/>
      <w:outlineLvl w:val="8"/>
    </w:pPr>
    <w:rPr>
      <w:rFonts w:ascii="Arial" w:hAnsi="Arial" w:eastAsia="Arial" w:cs="Arial"/>
      <w:i/>
      <w:iCs/>
    </w:rPr>
  </w:style>
  <w:style w:type="character" w:styleId="1028" w:default="1">
    <w:name w:val="Default Paragraph Font"/>
    <w:uiPriority w:val="1"/>
    <w:semiHidden/>
    <w:unhideWhenUsed/>
    <w:qFormat/>
  </w:style>
  <w:style w:type="table" w:styleId="1029" w:default="1">
    <w:name w:val="Normal Table"/>
    <w:uiPriority w:val="99"/>
    <w:semiHidden/>
    <w:unhideWhenUsed/>
    <w:qFormat/>
    <w:tblPr>
      <w:tblCellMar>
        <w:left w:w="108" w:type="dxa"/>
        <w:top w:w="0" w:type="dxa"/>
        <w:right w:w="108" w:type="dxa"/>
        <w:bottom w:w="0" w:type="dxa"/>
      </w:tblCellMar>
    </w:tblPr>
  </w:style>
  <w:style w:type="paragraph" w:styleId="1030">
    <w:name w:val="toc 7"/>
    <w:basedOn w:val="1018"/>
    <w:next w:val="1018"/>
    <w:uiPriority w:val="39"/>
    <w:unhideWhenUsed/>
    <w:qFormat/>
    <w:pPr>
      <w:ind w:left="1701"/>
      <w:spacing w:after="57"/>
    </w:pPr>
  </w:style>
  <w:style w:type="paragraph" w:styleId="1031">
    <w:name w:val="Normal Indent"/>
    <w:basedOn w:val="1018"/>
    <w:uiPriority w:val="0"/>
    <w:qFormat/>
    <w:pPr>
      <w:ind w:firstLine="420"/>
    </w:pPr>
  </w:style>
  <w:style w:type="paragraph" w:styleId="1032">
    <w:name w:val="Caption"/>
    <w:basedOn w:val="1018"/>
    <w:next w:val="10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3">
    <w:name w:val="annotation text"/>
    <w:basedOn w:val="1018"/>
    <w:uiPriority w:val="99"/>
    <w:semiHidden/>
    <w:unhideWhenUsed/>
    <w:qFormat/>
    <w:pPr>
      <w:jc w:val="left"/>
    </w:pPr>
  </w:style>
  <w:style w:type="paragraph" w:styleId="1034">
    <w:name w:val="Body Text"/>
    <w:basedOn w:val="1018"/>
    <w:next w:val="1018"/>
    <w:uiPriority w:val="99"/>
    <w:qFormat/>
    <w:pPr>
      <w:spacing w:after="120"/>
    </w:pPr>
    <w:rPr>
      <w:rFonts w:ascii="Calibri" w:hAnsi="Calibri"/>
    </w:rPr>
  </w:style>
  <w:style w:type="paragraph" w:styleId="1035">
    <w:name w:val="Body Text Indent"/>
    <w:basedOn w:val="1018"/>
    <w:next w:val="1036"/>
    <w:uiPriority w:val="99"/>
    <w:unhideWhenUsed/>
    <w:qFormat/>
    <w:pPr>
      <w:ind w:firstLine="425"/>
      <w:spacing w:line="360" w:lineRule="auto"/>
    </w:pPr>
  </w:style>
  <w:style w:type="paragraph" w:styleId="1036">
    <w:name w:val="envelope return"/>
    <w:basedOn w:val="1018"/>
    <w:uiPriority w:val="99"/>
    <w:unhideWhenUsed/>
    <w:qFormat/>
    <w:rPr>
      <w:rFonts w:ascii="Arial" w:hAnsi="Arial"/>
    </w:rPr>
  </w:style>
  <w:style w:type="paragraph" w:styleId="1037">
    <w:name w:val="Block Text"/>
    <w:basedOn w:val="1018"/>
    <w:uiPriority w:val="0"/>
    <w:qFormat/>
    <w:pPr>
      <w:ind w:left="256" w:right="6" w:firstLine="624"/>
    </w:pPr>
    <w:rPr>
      <w:rFonts w:eastAsia="仿宋_GB2312"/>
      <w:sz w:val="28"/>
      <w:szCs w:val="20"/>
    </w:rPr>
  </w:style>
  <w:style w:type="paragraph" w:styleId="1038">
    <w:name w:val="toc 5"/>
    <w:basedOn w:val="1018"/>
    <w:next w:val="1018"/>
    <w:uiPriority w:val="39"/>
    <w:unhideWhenUsed/>
    <w:qFormat/>
    <w:pPr>
      <w:ind w:left="1134"/>
      <w:spacing w:after="57"/>
    </w:pPr>
  </w:style>
  <w:style w:type="paragraph" w:styleId="1039">
    <w:name w:val="toc 3"/>
    <w:basedOn w:val="1018"/>
    <w:next w:val="1018"/>
    <w:uiPriority w:val="39"/>
    <w:unhideWhenUsed/>
    <w:qFormat/>
    <w:pPr>
      <w:ind w:left="567"/>
      <w:spacing w:after="57"/>
    </w:pPr>
  </w:style>
  <w:style w:type="paragraph" w:styleId="1040">
    <w:name w:val="Plain Text"/>
    <w:basedOn w:val="1018"/>
    <w:uiPriority w:val="99"/>
    <w:qFormat/>
    <w:rPr>
      <w:rFonts w:ascii="宋体" w:hAnsi="Courier New" w:cs="宋体"/>
    </w:rPr>
  </w:style>
  <w:style w:type="paragraph" w:styleId="1041">
    <w:name w:val="toc 8"/>
    <w:basedOn w:val="1018"/>
    <w:next w:val="1018"/>
    <w:uiPriority w:val="39"/>
    <w:unhideWhenUsed/>
    <w:qFormat/>
    <w:pPr>
      <w:ind w:left="1984"/>
      <w:spacing w:after="57"/>
    </w:pPr>
  </w:style>
  <w:style w:type="paragraph" w:styleId="1042">
    <w:name w:val="endnote text"/>
    <w:basedOn w:val="1018"/>
    <w:link w:val="1099"/>
    <w:uiPriority w:val="99"/>
    <w:semiHidden/>
    <w:unhideWhenUsed/>
    <w:qFormat/>
    <w:rPr>
      <w:sz w:val="20"/>
    </w:rPr>
  </w:style>
  <w:style w:type="paragraph" w:styleId="1043">
    <w:name w:val="Balloon Text"/>
    <w:basedOn w:val="1018"/>
    <w:link w:val="1360"/>
    <w:uiPriority w:val="99"/>
    <w:semiHidden/>
    <w:unhideWhenUsed/>
    <w:qFormat/>
    <w:rPr>
      <w:sz w:val="18"/>
      <w:szCs w:val="18"/>
    </w:rPr>
  </w:style>
  <w:style w:type="paragraph" w:styleId="1044">
    <w:name w:val="Footer"/>
    <w:basedOn w:val="1018"/>
    <w:link w:val="1097"/>
    <w:uiPriority w:val="99"/>
    <w:unhideWhenUsed/>
    <w:qFormat/>
    <w:pPr>
      <w:tabs>
        <w:tab w:val="center" w:pos="7143" w:leader="none"/>
        <w:tab w:val="right" w:pos="14287" w:leader="none"/>
      </w:tabs>
    </w:pPr>
  </w:style>
  <w:style w:type="paragraph" w:styleId="1045">
    <w:name w:val="Header"/>
    <w:basedOn w:val="1018"/>
    <w:link w:val="1096"/>
    <w:uiPriority w:val="99"/>
    <w:unhideWhenUsed/>
    <w:qFormat/>
    <w:pPr>
      <w:tabs>
        <w:tab w:val="center" w:pos="7143" w:leader="none"/>
        <w:tab w:val="right" w:pos="14287" w:leader="none"/>
      </w:tabs>
    </w:pPr>
  </w:style>
  <w:style w:type="paragraph" w:styleId="1046">
    <w:name w:val="toc 1"/>
    <w:basedOn w:val="1018"/>
    <w:next w:val="1018"/>
    <w:uiPriority w:val="39"/>
    <w:unhideWhenUsed/>
    <w:qFormat/>
    <w:pPr>
      <w:spacing w:after="57"/>
    </w:pPr>
  </w:style>
  <w:style w:type="paragraph" w:styleId="1047">
    <w:name w:val="toc 4"/>
    <w:basedOn w:val="1018"/>
    <w:next w:val="1018"/>
    <w:uiPriority w:val="39"/>
    <w:unhideWhenUsed/>
    <w:qFormat/>
    <w:pPr>
      <w:ind w:left="850"/>
      <w:spacing w:after="57"/>
    </w:pPr>
  </w:style>
  <w:style w:type="paragraph" w:styleId="1048">
    <w:name w:val="Subtitle"/>
    <w:basedOn w:val="1018"/>
    <w:next w:val="1018"/>
    <w:link w:val="1093"/>
    <w:uiPriority w:val="11"/>
    <w:qFormat/>
    <w:pPr>
      <w:spacing w:before="200" w:after="200"/>
    </w:pPr>
    <w:rPr>
      <w:sz w:val="24"/>
      <w:szCs w:val="24"/>
    </w:rPr>
  </w:style>
  <w:style w:type="paragraph" w:styleId="1049">
    <w:name w:val="footnote text"/>
    <w:basedOn w:val="1018"/>
    <w:link w:val="1098"/>
    <w:uiPriority w:val="99"/>
    <w:semiHidden/>
    <w:unhideWhenUsed/>
    <w:qFormat/>
    <w:pPr>
      <w:spacing w:after="40"/>
    </w:pPr>
    <w:rPr>
      <w:sz w:val="18"/>
    </w:rPr>
  </w:style>
  <w:style w:type="paragraph" w:styleId="1050">
    <w:name w:val="toc 6"/>
    <w:basedOn w:val="1018"/>
    <w:next w:val="1018"/>
    <w:uiPriority w:val="39"/>
    <w:unhideWhenUsed/>
    <w:qFormat/>
    <w:pPr>
      <w:ind w:left="1417"/>
      <w:spacing w:after="57"/>
    </w:pPr>
  </w:style>
  <w:style w:type="paragraph" w:styleId="1051">
    <w:name w:val="table of figures"/>
    <w:basedOn w:val="1018"/>
    <w:next w:val="1018"/>
    <w:uiPriority w:val="99"/>
    <w:unhideWhenUsed/>
    <w:qFormat/>
  </w:style>
  <w:style w:type="paragraph" w:styleId="1052">
    <w:name w:val="toc 2"/>
    <w:basedOn w:val="1018"/>
    <w:next w:val="1018"/>
    <w:uiPriority w:val="39"/>
    <w:unhideWhenUsed/>
    <w:qFormat/>
    <w:pPr>
      <w:ind w:left="283"/>
      <w:spacing w:after="57"/>
    </w:pPr>
  </w:style>
  <w:style w:type="paragraph" w:styleId="1053">
    <w:name w:val="toc 9"/>
    <w:basedOn w:val="1018"/>
    <w:next w:val="1018"/>
    <w:uiPriority w:val="39"/>
    <w:unhideWhenUsed/>
    <w:qFormat/>
    <w:pPr>
      <w:ind w:left="2268"/>
      <w:spacing w:after="57"/>
    </w:pPr>
  </w:style>
  <w:style w:type="paragraph" w:styleId="1054">
    <w:name w:val="Normal (Web)"/>
    <w:basedOn w:val="1018"/>
    <w:uiPriority w:val="0"/>
    <w:qFormat/>
    <w:pPr>
      <w:jc w:val="left"/>
      <w:spacing w:beforeAutospacing="1" w:afterAutospacing="1"/>
    </w:pPr>
    <w:rPr>
      <w:sz w:val="24"/>
    </w:rPr>
  </w:style>
  <w:style w:type="paragraph" w:styleId="1055">
    <w:name w:val="Title"/>
    <w:basedOn w:val="1018"/>
    <w:next w:val="1018"/>
    <w:link w:val="1092"/>
    <w:uiPriority w:val="10"/>
    <w:qFormat/>
    <w:pPr>
      <w:contextualSpacing/>
      <w:spacing w:before="300" w:after="200"/>
    </w:pPr>
    <w:rPr>
      <w:sz w:val="48"/>
      <w:szCs w:val="48"/>
    </w:rPr>
  </w:style>
  <w:style w:type="paragraph" w:styleId="1056">
    <w:name w:val="Body Text First Indent 2"/>
    <w:basedOn w:val="1035"/>
    <w:uiPriority w:val="0"/>
    <w:qFormat/>
    <w:pPr>
      <w:ind w:firstLine="420"/>
    </w:pPr>
    <w:rPr>
      <w:rFonts w:ascii="宋体" w:hAnsi="宋体"/>
    </w:rPr>
  </w:style>
  <w:style w:type="table" w:styleId="10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8">
    <w:name w:val="Strong"/>
    <w:basedOn w:val="1028"/>
    <w:uiPriority w:val="0"/>
    <w:qFormat/>
    <w:rPr>
      <w:b/>
    </w:rPr>
  </w:style>
  <w:style w:type="character" w:styleId="1059">
    <w:name w:val="endnote reference"/>
    <w:uiPriority w:val="99"/>
    <w:semiHidden/>
    <w:unhideWhenUsed/>
    <w:qFormat/>
    <w:rPr>
      <w:vertAlign w:val="superscript"/>
    </w:rPr>
  </w:style>
  <w:style w:type="character" w:styleId="1060">
    <w:name w:val="Hyperlink"/>
    <w:uiPriority w:val="99"/>
    <w:unhideWhenUsed/>
    <w:qFormat/>
    <w:rPr>
      <w:color w:val="0000ff" w:themeColor="hyperlink"/>
      <w:u w:val="single"/>
      <w14:textFill>
        <w14:solidFill>
          <w14:schemeClr w14:val="hlink"/>
        </w14:solidFill>
      </w14:textFill>
    </w:rPr>
  </w:style>
  <w:style w:type="character" w:styleId="1061">
    <w:name w:val="annotation reference"/>
    <w:basedOn w:val="1028"/>
    <w:uiPriority w:val="99"/>
    <w:semiHidden/>
    <w:unhideWhenUsed/>
    <w:qFormat/>
    <w:rPr>
      <w:sz w:val="21"/>
      <w:szCs w:val="21"/>
    </w:rPr>
  </w:style>
  <w:style w:type="character" w:styleId="1062">
    <w:name w:val="footnote reference"/>
    <w:uiPriority w:val="99"/>
    <w:unhideWhenUsed/>
    <w:qFormat/>
    <w:rPr>
      <w:vertAlign w:val="superscript"/>
    </w:rPr>
  </w:style>
  <w:style w:type="paragraph" w:styleId="1063" w:customStyle="1">
    <w:name w:val="正文首行缩进 211"/>
    <w:basedOn w:val="1064"/>
    <w:next w:val="1018"/>
    <w:uiPriority w:val="99"/>
    <w:qFormat/>
    <w:pPr>
      <w:ind w:left="0" w:firstLine="420"/>
      <w:spacing w:after="0" w:line="360" w:lineRule="auto"/>
    </w:pPr>
    <w:rPr>
      <w:rFonts w:ascii="宋体" w:hAnsi="宋体"/>
    </w:rPr>
  </w:style>
  <w:style w:type="paragraph" w:styleId="1064" w:customStyle="1">
    <w:name w:val="正文文本缩进11"/>
    <w:basedOn w:val="1065"/>
    <w:next w:val="1076"/>
    <w:uiPriority w:val="0"/>
    <w:qFormat/>
    <w:pPr>
      <w:ind w:left="420"/>
      <w:spacing w:after="120"/>
    </w:pPr>
  </w:style>
  <w:style w:type="paragraph" w:styleId="1065" w:customStyle="1">
    <w:name w:val="正文11"/>
    <w:next w:val="1066"/>
    <w:link w:val="1177"/>
    <w:uiPriority w:val="0"/>
    <w:qFormat/>
    <w:pPr>
      <w:jc w:val="both"/>
    </w:pPr>
    <w:rPr>
      <w:rFonts w:ascii="Times New Roman" w:hAnsi="Times New Roman" w:eastAsia="宋体" w:cs="Times New Roman"/>
      <w:lang w:val="en-US" w:eastAsia="zh-CN" w:bidi="ar-SA"/>
    </w:rPr>
  </w:style>
  <w:style w:type="paragraph" w:styleId="1066" w:customStyle="1">
    <w:name w:val="文本块1"/>
    <w:basedOn w:val="1067"/>
    <w:next w:val="1077"/>
    <w:uiPriority w:val="0"/>
    <w:qFormat/>
    <w:pPr>
      <w:ind w:left="256" w:right="6" w:firstLine="624"/>
    </w:pPr>
    <w:rPr>
      <w:rFonts w:eastAsia="仿宋_GB2312"/>
      <w:sz w:val="28"/>
    </w:rPr>
  </w:style>
  <w:style w:type="paragraph" w:styleId="1067" w:customStyle="1">
    <w:name w:val="正文111"/>
    <w:next w:val="1068"/>
    <w:link w:val="1178"/>
    <w:uiPriority w:val="0"/>
    <w:qFormat/>
    <w:pPr>
      <w:jc w:val="both"/>
      <w:widowControl w:val="off"/>
    </w:pPr>
    <w:rPr>
      <w:rFonts w:ascii="Calibri" w:hAnsi="Calibri" w:eastAsia="宋体" w:cs="Calibri"/>
      <w:color w:val="000000"/>
      <w:sz w:val="22"/>
      <w:szCs w:val="22"/>
      <w:lang w:val="en-US" w:eastAsia="zh-CN" w:bidi="ar-SA"/>
    </w:rPr>
  </w:style>
  <w:style w:type="paragraph" w:styleId="1068" w:customStyle="1">
    <w:name w:val="正文文本缩进1"/>
    <w:basedOn w:val="1069"/>
    <w:next w:val="1076"/>
    <w:uiPriority w:val="0"/>
    <w:qFormat/>
    <w:pPr>
      <w:ind w:left="420"/>
      <w:spacing w:after="120"/>
    </w:pPr>
  </w:style>
  <w:style w:type="paragraph" w:styleId="1069" w:customStyle="1">
    <w:name w:val="正文1"/>
    <w:basedOn w:val="1067"/>
    <w:next w:val="1070"/>
    <w:link w:val="1358"/>
    <w:uiPriority w:val="0"/>
    <w:qFormat/>
  </w:style>
  <w:style w:type="paragraph" w:styleId="1070" w:customStyle="1">
    <w:name w:val="目录 11"/>
    <w:basedOn w:val="1071"/>
    <w:next w:val="1074"/>
    <w:uiPriority w:val="0"/>
    <w:qFormat/>
  </w:style>
  <w:style w:type="paragraph" w:styleId="1071" w:customStyle="1">
    <w:name w:val="正文112"/>
    <w:next w:val="1072"/>
    <w:uiPriority w:val="0"/>
    <w:qFormat/>
    <w:pPr>
      <w:jc w:val="both"/>
      <w:widowControl w:val="off"/>
    </w:pPr>
    <w:rPr>
      <w:rFonts w:ascii="Times New Roman" w:hAnsi="Times New Roman" w:eastAsia="宋体" w:cs="Times New Roman"/>
      <w:sz w:val="21"/>
      <w:szCs w:val="24"/>
      <w:lang w:val="en-US" w:eastAsia="zh-CN" w:bidi="ar-SA"/>
    </w:rPr>
  </w:style>
  <w:style w:type="paragraph" w:styleId="1072" w:customStyle="1">
    <w:name w:val="正文首行缩进1"/>
    <w:basedOn w:val="1073"/>
    <w:next w:val="1063"/>
    <w:uiPriority w:val="0"/>
    <w:qFormat/>
    <w:pPr>
      <w:ind w:firstLine="420"/>
    </w:pPr>
  </w:style>
  <w:style w:type="paragraph" w:styleId="1073" w:customStyle="1">
    <w:name w:val="正文文本11"/>
    <w:basedOn w:val="1074"/>
    <w:next w:val="1067"/>
    <w:uiPriority w:val="0"/>
    <w:qFormat/>
    <w:pPr>
      <w:spacing w:after="120"/>
    </w:pPr>
  </w:style>
  <w:style w:type="paragraph" w:styleId="1074" w:customStyle="1">
    <w:name w:val="正文12"/>
    <w:next w:val="1075"/>
    <w:uiPriority w:val="0"/>
    <w:qFormat/>
    <w:pPr>
      <w:jc w:val="both"/>
      <w:widowControl w:val="off"/>
    </w:pPr>
    <w:rPr>
      <w:rFonts w:ascii="Times New Roman" w:hAnsi="Times New Roman" w:eastAsia="宋体" w:cs="Times New Roman"/>
      <w:sz w:val="21"/>
      <w:szCs w:val="24"/>
      <w:lang w:val="en-US" w:eastAsia="zh-CN" w:bidi="ar-SA"/>
    </w:rPr>
  </w:style>
  <w:style w:type="paragraph" w:styleId="1075" w:customStyle="1">
    <w:name w:val="无间隔1"/>
    <w:uiPriority w:val="1"/>
    <w:qFormat/>
    <w:pPr>
      <w:jc w:val="both"/>
      <w:widowControl w:val="off"/>
    </w:pPr>
    <w:rPr>
      <w:rFonts w:ascii="宋体" w:hAnsi="宋体" w:eastAsia="宋体" w:cs="宋体"/>
      <w:sz w:val="21"/>
      <w:szCs w:val="22"/>
      <w:lang w:val="en-US" w:eastAsia="zh-CN" w:bidi="ar-SA"/>
    </w:rPr>
  </w:style>
  <w:style w:type="paragraph" w:styleId="1076" w:customStyle="1">
    <w:name w:val="寄信人地址1"/>
    <w:basedOn w:val="1065"/>
    <w:uiPriority w:val="0"/>
    <w:qFormat/>
    <w:rPr>
      <w:rFonts w:ascii="Arial" w:hAnsi="Arial"/>
    </w:rPr>
  </w:style>
  <w:style w:type="paragraph" w:styleId="1077" w:customStyle="1">
    <w:name w:val="标题 41"/>
    <w:basedOn w:val="1074"/>
    <w:next w:val="1065"/>
    <w:uiPriority w:val="0"/>
    <w:qFormat/>
    <w:pPr>
      <w:keepLines/>
      <w:keepNext/>
      <w:spacing w:line="360" w:lineRule="auto"/>
      <w:outlineLvl w:val="3"/>
    </w:pPr>
    <w:rPr>
      <w:rFonts w:ascii="Arial" w:hAnsi="Arial"/>
      <w:b/>
      <w:bCs/>
      <w:sz w:val="21"/>
      <w:szCs w:val="28"/>
    </w:rPr>
  </w:style>
  <w:style w:type="paragraph" w:styleId="1078" w:customStyle="1">
    <w:name w:val="脚注文本1"/>
    <w:basedOn w:val="1069"/>
    <w:next w:val="1079"/>
    <w:uiPriority w:val="0"/>
    <w:qFormat/>
    <w:pPr>
      <w:jc w:val="left"/>
    </w:pPr>
    <w:rPr>
      <w:rFonts w:ascii="宋体" w:eastAsia="Times New Roman"/>
      <w:sz w:val="18"/>
      <w:szCs w:val="18"/>
    </w:rPr>
  </w:style>
  <w:style w:type="paragraph" w:styleId="1079" w:customStyle="1">
    <w:name w:val="索引 51"/>
    <w:basedOn w:val="1069"/>
    <w:next w:val="1069"/>
    <w:uiPriority w:val="0"/>
    <w:qFormat/>
    <w:pPr>
      <w:ind w:left="798"/>
      <w:jc w:val="left"/>
    </w:pPr>
    <w:rPr>
      <w:rFonts w:ascii="Calibri" w:hAnsi="Calibri"/>
    </w:rPr>
  </w:style>
  <w:style w:type="paragraph" w:styleId="1080" w:customStyle="1">
    <w:name w:val="标题 21"/>
    <w:basedOn w:val="1067"/>
    <w:next w:val="1018"/>
    <w:uiPriority w:val="9"/>
    <w:qFormat/>
    <w:pPr>
      <w:keepLines/>
      <w:keepNext/>
      <w:spacing w:before="360" w:after="200"/>
      <w:outlineLvl w:val="1"/>
    </w:pPr>
    <w:rPr>
      <w:rFonts w:ascii="Arial" w:hAnsi="Arial" w:eastAsia="Arial"/>
      <w:sz w:val="34"/>
      <w:szCs w:val="20"/>
    </w:rPr>
  </w:style>
  <w:style w:type="paragraph" w:styleId="1081" w:customStyle="1">
    <w:name w:val="标题1"/>
    <w:basedOn w:val="1018"/>
    <w:next w:val="1071"/>
    <w:link w:val="1154"/>
    <w:uiPriority w:val="10"/>
    <w:qFormat/>
    <w:pPr>
      <w:contextualSpacing/>
      <w:spacing w:before="300" w:after="200"/>
    </w:pPr>
    <w:rPr>
      <w:sz w:val="48"/>
      <w:szCs w:val="48"/>
    </w:rPr>
  </w:style>
  <w:style w:type="paragraph" w:styleId="1082" w:customStyle="1">
    <w:name w:val="正文文本1"/>
    <w:basedOn w:val="1069"/>
    <w:next w:val="1074"/>
    <w:uiPriority w:val="0"/>
    <w:qFormat/>
    <w:pPr>
      <w:spacing w:after="120"/>
    </w:pPr>
    <w:rPr>
      <w:rFonts w:ascii="Calibri" w:hAnsi="Calibri"/>
    </w:rPr>
  </w:style>
  <w:style w:type="character" w:styleId="1083" w:customStyle="1">
    <w:name w:val="标题 1 字符"/>
    <w:link w:val="1019"/>
    <w:uiPriority w:val="9"/>
    <w:qFormat/>
    <w:rPr>
      <w:rFonts w:ascii="Arial" w:hAnsi="Arial" w:eastAsia="Arial" w:cs="Arial"/>
      <w:sz w:val="40"/>
      <w:szCs w:val="40"/>
    </w:rPr>
  </w:style>
  <w:style w:type="character" w:styleId="1084" w:customStyle="1">
    <w:name w:val="标题 2 字符"/>
    <w:link w:val="1020"/>
    <w:uiPriority w:val="9"/>
    <w:qFormat/>
    <w:rPr>
      <w:rFonts w:ascii="Arial" w:hAnsi="Arial" w:eastAsia="Arial" w:cs="Arial"/>
      <w:sz w:val="34"/>
    </w:rPr>
  </w:style>
  <w:style w:type="character" w:styleId="1085" w:customStyle="1">
    <w:name w:val="标题 3 字符"/>
    <w:link w:val="1021"/>
    <w:uiPriority w:val="9"/>
    <w:qFormat/>
    <w:rPr>
      <w:rFonts w:ascii="Arial" w:hAnsi="Arial" w:eastAsia="Arial" w:cs="Arial"/>
      <w:sz w:val="30"/>
      <w:szCs w:val="30"/>
    </w:rPr>
  </w:style>
  <w:style w:type="character" w:styleId="1086" w:customStyle="1">
    <w:name w:val="标题 4 字符"/>
    <w:link w:val="1022"/>
    <w:uiPriority w:val="9"/>
    <w:qFormat/>
    <w:rPr>
      <w:rFonts w:ascii="Arial" w:hAnsi="Arial" w:eastAsia="Arial" w:cs="Arial"/>
      <w:b/>
      <w:bCs/>
      <w:sz w:val="26"/>
      <w:szCs w:val="26"/>
    </w:rPr>
  </w:style>
  <w:style w:type="character" w:styleId="1087" w:customStyle="1">
    <w:name w:val="标题 5 字符"/>
    <w:link w:val="1023"/>
    <w:uiPriority w:val="9"/>
    <w:qFormat/>
    <w:rPr>
      <w:rFonts w:ascii="Arial" w:hAnsi="Arial" w:eastAsia="Arial" w:cs="Arial"/>
      <w:b/>
      <w:bCs/>
      <w:sz w:val="24"/>
      <w:szCs w:val="24"/>
    </w:rPr>
  </w:style>
  <w:style w:type="character" w:styleId="1088" w:customStyle="1">
    <w:name w:val="标题 6 字符"/>
    <w:link w:val="1024"/>
    <w:uiPriority w:val="9"/>
    <w:qFormat/>
    <w:rPr>
      <w:rFonts w:ascii="Arial" w:hAnsi="Arial" w:eastAsia="Arial" w:cs="Arial"/>
      <w:b/>
      <w:bCs/>
      <w:sz w:val="22"/>
      <w:szCs w:val="22"/>
    </w:rPr>
  </w:style>
  <w:style w:type="character" w:styleId="1089" w:customStyle="1">
    <w:name w:val="标题 7 字符"/>
    <w:link w:val="1025"/>
    <w:uiPriority w:val="9"/>
    <w:qFormat/>
    <w:rPr>
      <w:rFonts w:ascii="Arial" w:hAnsi="Arial" w:eastAsia="Arial" w:cs="Arial"/>
      <w:b/>
      <w:bCs/>
      <w:i/>
      <w:iCs/>
      <w:sz w:val="22"/>
      <w:szCs w:val="22"/>
    </w:rPr>
  </w:style>
  <w:style w:type="character" w:styleId="1090" w:customStyle="1">
    <w:name w:val="标题 8 字符"/>
    <w:link w:val="1026"/>
    <w:uiPriority w:val="9"/>
    <w:qFormat/>
    <w:rPr>
      <w:rFonts w:ascii="Arial" w:hAnsi="Arial" w:eastAsia="Arial" w:cs="Arial"/>
      <w:i/>
      <w:iCs/>
      <w:sz w:val="22"/>
      <w:szCs w:val="22"/>
    </w:rPr>
  </w:style>
  <w:style w:type="character" w:styleId="1091" w:customStyle="1">
    <w:name w:val="标题 9 字符"/>
    <w:link w:val="1027"/>
    <w:uiPriority w:val="9"/>
    <w:qFormat/>
    <w:rPr>
      <w:rFonts w:ascii="Arial" w:hAnsi="Arial" w:eastAsia="Arial" w:cs="Arial"/>
      <w:i/>
      <w:iCs/>
      <w:sz w:val="21"/>
      <w:szCs w:val="21"/>
    </w:rPr>
  </w:style>
  <w:style w:type="character" w:styleId="1092" w:customStyle="1">
    <w:name w:val="标题 字符"/>
    <w:link w:val="1055"/>
    <w:uiPriority w:val="10"/>
    <w:qFormat/>
    <w:rPr>
      <w:sz w:val="48"/>
      <w:szCs w:val="48"/>
    </w:rPr>
  </w:style>
  <w:style w:type="character" w:styleId="1093" w:customStyle="1">
    <w:name w:val="副标题 字符"/>
    <w:link w:val="1048"/>
    <w:uiPriority w:val="11"/>
    <w:qFormat/>
    <w:rPr>
      <w:sz w:val="24"/>
      <w:szCs w:val="24"/>
    </w:rPr>
  </w:style>
  <w:style w:type="character" w:styleId="1094" w:customStyle="1">
    <w:name w:val="Quote Char"/>
    <w:uiPriority w:val="29"/>
    <w:qFormat/>
    <w:rPr>
      <w:i/>
    </w:rPr>
  </w:style>
  <w:style w:type="character" w:styleId="1095" w:customStyle="1">
    <w:name w:val="Intense Quote Char"/>
    <w:uiPriority w:val="30"/>
    <w:qFormat/>
    <w:rPr>
      <w:i/>
    </w:rPr>
  </w:style>
  <w:style w:type="character" w:styleId="1096" w:customStyle="1">
    <w:name w:val="页眉 字符"/>
    <w:link w:val="1045"/>
    <w:uiPriority w:val="99"/>
    <w:qFormat/>
  </w:style>
  <w:style w:type="character" w:styleId="1097" w:customStyle="1">
    <w:name w:val="页脚 字符"/>
    <w:link w:val="1044"/>
    <w:uiPriority w:val="99"/>
    <w:qFormat/>
  </w:style>
  <w:style w:type="character" w:styleId="1098" w:customStyle="1">
    <w:name w:val="脚注文本 字符"/>
    <w:link w:val="1049"/>
    <w:uiPriority w:val="99"/>
    <w:qFormat/>
    <w:rPr>
      <w:sz w:val="18"/>
    </w:rPr>
  </w:style>
  <w:style w:type="character" w:styleId="1099" w:customStyle="1">
    <w:name w:val="尾注文本 字符"/>
    <w:link w:val="1042"/>
    <w:uiPriority w:val="99"/>
    <w:qFormat/>
    <w:rPr>
      <w:sz w:val="20"/>
    </w:rPr>
  </w:style>
  <w:style w:type="paragraph" w:styleId="1100" w:customStyle="1">
    <w:name w:val="TOC 标题1"/>
    <w:uiPriority w:val="39"/>
    <w:unhideWhenUsed/>
    <w:qFormat/>
    <w:rPr>
      <w:rFonts w:ascii="Times New Roman" w:hAnsi="Times New Roman" w:eastAsia="宋体" w:cs="Times New Roman"/>
      <w:lang w:val="en-US" w:eastAsia="zh-CN" w:bidi="ar-SA"/>
    </w:rPr>
  </w:style>
  <w:style w:type="paragraph" w:styleId="1101" w:customStyle="1">
    <w:name w:val="标题 1111"/>
    <w:basedOn w:val="1018"/>
    <w:next w:val="1018"/>
    <w:link w:val="1112"/>
    <w:uiPriority w:val="9"/>
    <w:qFormat/>
    <w:pPr>
      <w:keepLines/>
      <w:keepNext/>
      <w:spacing w:before="480" w:after="200"/>
      <w:outlineLvl w:val="0"/>
    </w:pPr>
    <w:rPr>
      <w:rFonts w:ascii="Arial" w:hAnsi="Arial" w:eastAsia="Arial" w:cs="Arial"/>
      <w:sz w:val="40"/>
      <w:szCs w:val="40"/>
    </w:rPr>
  </w:style>
  <w:style w:type="paragraph" w:styleId="1102" w:customStyle="1">
    <w:name w:val="标题 211"/>
    <w:basedOn w:val="1018"/>
    <w:next w:val="1018"/>
    <w:link w:val="1113"/>
    <w:uiPriority w:val="9"/>
    <w:unhideWhenUsed/>
    <w:qFormat/>
    <w:pPr>
      <w:keepLines/>
      <w:keepNext/>
      <w:spacing w:before="360" w:after="200"/>
      <w:outlineLvl w:val="1"/>
    </w:pPr>
    <w:rPr>
      <w:rFonts w:ascii="Arial" w:hAnsi="Arial" w:eastAsia="Arial" w:cs="Arial"/>
      <w:sz w:val="34"/>
    </w:rPr>
  </w:style>
  <w:style w:type="paragraph" w:styleId="1103" w:customStyle="1">
    <w:name w:val="标题 311"/>
    <w:basedOn w:val="1018"/>
    <w:next w:val="1018"/>
    <w:link w:val="1114"/>
    <w:uiPriority w:val="9"/>
    <w:unhideWhenUsed/>
    <w:qFormat/>
    <w:pPr>
      <w:keepLines/>
      <w:keepNext/>
      <w:spacing w:before="320" w:after="200"/>
      <w:outlineLvl w:val="2"/>
    </w:pPr>
    <w:rPr>
      <w:rFonts w:ascii="Arial" w:hAnsi="Arial" w:eastAsia="Arial" w:cs="Arial"/>
      <w:sz w:val="30"/>
      <w:szCs w:val="30"/>
    </w:rPr>
  </w:style>
  <w:style w:type="paragraph" w:styleId="1104" w:customStyle="1">
    <w:name w:val="标题 411"/>
    <w:basedOn w:val="1018"/>
    <w:next w:val="1018"/>
    <w:link w:val="1115"/>
    <w:uiPriority w:val="9"/>
    <w:unhideWhenUsed/>
    <w:qFormat/>
    <w:pPr>
      <w:keepLines/>
      <w:keepNext/>
      <w:spacing w:before="320" w:after="200"/>
      <w:outlineLvl w:val="3"/>
    </w:pPr>
    <w:rPr>
      <w:rFonts w:ascii="Arial" w:hAnsi="Arial" w:eastAsia="Arial" w:cs="Arial"/>
      <w:b/>
      <w:bCs/>
      <w:sz w:val="26"/>
      <w:szCs w:val="26"/>
    </w:rPr>
  </w:style>
  <w:style w:type="paragraph" w:styleId="1105" w:customStyle="1">
    <w:name w:val="标题 51"/>
    <w:basedOn w:val="1018"/>
    <w:next w:val="1018"/>
    <w:link w:val="1116"/>
    <w:uiPriority w:val="9"/>
    <w:unhideWhenUsed/>
    <w:qFormat/>
    <w:pPr>
      <w:keepLines/>
      <w:keepNext/>
      <w:spacing w:before="320" w:after="200"/>
      <w:outlineLvl w:val="4"/>
    </w:pPr>
    <w:rPr>
      <w:rFonts w:ascii="Arial" w:hAnsi="Arial" w:eastAsia="Arial" w:cs="Arial"/>
      <w:b/>
      <w:bCs/>
      <w:sz w:val="24"/>
      <w:szCs w:val="24"/>
    </w:rPr>
  </w:style>
  <w:style w:type="paragraph" w:styleId="1106" w:customStyle="1">
    <w:name w:val="标题 61"/>
    <w:basedOn w:val="1018"/>
    <w:next w:val="1018"/>
    <w:link w:val="1117"/>
    <w:uiPriority w:val="9"/>
    <w:unhideWhenUsed/>
    <w:qFormat/>
    <w:pPr>
      <w:keepLines/>
      <w:keepNext/>
      <w:spacing w:before="320" w:after="200"/>
      <w:outlineLvl w:val="5"/>
    </w:pPr>
    <w:rPr>
      <w:rFonts w:ascii="Arial" w:hAnsi="Arial" w:eastAsia="Arial" w:cs="Arial"/>
      <w:b/>
      <w:bCs/>
      <w:sz w:val="22"/>
      <w:szCs w:val="22"/>
    </w:rPr>
  </w:style>
  <w:style w:type="paragraph" w:styleId="1107" w:customStyle="1">
    <w:name w:val="标题 71"/>
    <w:basedOn w:val="1018"/>
    <w:next w:val="1018"/>
    <w:link w:val="1118"/>
    <w:uiPriority w:val="9"/>
    <w:unhideWhenUsed/>
    <w:qFormat/>
    <w:pPr>
      <w:keepLines/>
      <w:keepNext/>
      <w:spacing w:before="320" w:after="200"/>
      <w:outlineLvl w:val="6"/>
    </w:pPr>
    <w:rPr>
      <w:rFonts w:ascii="Arial" w:hAnsi="Arial" w:eastAsia="Arial" w:cs="Arial"/>
      <w:b/>
      <w:bCs/>
      <w:i/>
      <w:iCs/>
      <w:sz w:val="22"/>
      <w:szCs w:val="22"/>
    </w:rPr>
  </w:style>
  <w:style w:type="paragraph" w:styleId="1108" w:customStyle="1">
    <w:name w:val="标题 81"/>
    <w:basedOn w:val="1018"/>
    <w:next w:val="1018"/>
    <w:link w:val="1119"/>
    <w:uiPriority w:val="9"/>
    <w:unhideWhenUsed/>
    <w:qFormat/>
    <w:pPr>
      <w:keepLines/>
      <w:keepNext/>
      <w:spacing w:before="320" w:after="200"/>
      <w:outlineLvl w:val="7"/>
    </w:pPr>
    <w:rPr>
      <w:rFonts w:ascii="Arial" w:hAnsi="Arial" w:eastAsia="Arial" w:cs="Arial"/>
      <w:i/>
      <w:iCs/>
      <w:sz w:val="22"/>
      <w:szCs w:val="22"/>
    </w:rPr>
  </w:style>
  <w:style w:type="paragraph" w:styleId="1109" w:customStyle="1">
    <w:name w:val="标题 91"/>
    <w:basedOn w:val="1018"/>
    <w:next w:val="1018"/>
    <w:link w:val="1120"/>
    <w:uiPriority w:val="9"/>
    <w:unhideWhenUsed/>
    <w:qFormat/>
    <w:pPr>
      <w:keepLines/>
      <w:keepNext/>
      <w:spacing w:before="320" w:after="200"/>
      <w:outlineLvl w:val="8"/>
    </w:pPr>
    <w:rPr>
      <w:rFonts w:ascii="Arial" w:hAnsi="Arial" w:eastAsia="Arial" w:cs="Arial"/>
      <w:i/>
      <w:iCs/>
    </w:rPr>
  </w:style>
  <w:style w:type="character" w:styleId="1110" w:customStyle="1">
    <w:name w:val="默认段落字体11"/>
    <w:uiPriority w:val="1"/>
    <w:unhideWhenUsed/>
    <w:qFormat/>
  </w:style>
  <w:style w:type="table" w:styleId="1111" w:customStyle="1">
    <w:name w:val="普通表格11"/>
    <w:uiPriority w:val="99"/>
    <w:unhideWhenUsed/>
    <w:qFormat/>
    <w:tblPr>
      <w:tblCellMar>
        <w:left w:w="0" w:type="dxa"/>
        <w:top w:w="0" w:type="dxa"/>
        <w:right w:w="0" w:type="dxa"/>
        <w:bottom w:w="0" w:type="dxa"/>
      </w:tblCellMar>
    </w:tblPr>
  </w:style>
  <w:style w:type="character" w:styleId="1112" w:customStyle="1">
    <w:name w:val="标题 1 Char1"/>
    <w:link w:val="1101"/>
    <w:uiPriority w:val="9"/>
    <w:qFormat/>
    <w:rPr>
      <w:rFonts w:ascii="Arial" w:hAnsi="Arial" w:eastAsia="Arial" w:cs="Arial"/>
      <w:sz w:val="40"/>
      <w:szCs w:val="40"/>
    </w:rPr>
  </w:style>
  <w:style w:type="character" w:styleId="1113" w:customStyle="1">
    <w:name w:val="标题 2 Char"/>
    <w:link w:val="1102"/>
    <w:uiPriority w:val="9"/>
    <w:qFormat/>
    <w:rPr>
      <w:rFonts w:ascii="Arial" w:hAnsi="Arial" w:eastAsia="Arial" w:cs="Arial"/>
      <w:sz w:val="34"/>
    </w:rPr>
  </w:style>
  <w:style w:type="character" w:styleId="1114" w:customStyle="1">
    <w:name w:val="标题 3 Char"/>
    <w:link w:val="1103"/>
    <w:uiPriority w:val="9"/>
    <w:qFormat/>
    <w:rPr>
      <w:rFonts w:ascii="Arial" w:hAnsi="Arial" w:eastAsia="Arial" w:cs="Arial"/>
      <w:sz w:val="30"/>
      <w:szCs w:val="30"/>
    </w:rPr>
  </w:style>
  <w:style w:type="character" w:styleId="1115" w:customStyle="1">
    <w:name w:val="标题 4 Char"/>
    <w:link w:val="1104"/>
    <w:uiPriority w:val="9"/>
    <w:qFormat/>
    <w:rPr>
      <w:rFonts w:ascii="Arial" w:hAnsi="Arial" w:eastAsia="Arial" w:cs="Arial"/>
      <w:b/>
      <w:bCs/>
      <w:sz w:val="26"/>
      <w:szCs w:val="26"/>
    </w:rPr>
  </w:style>
  <w:style w:type="character" w:styleId="1116" w:customStyle="1">
    <w:name w:val="标题 5 Char"/>
    <w:link w:val="1105"/>
    <w:uiPriority w:val="9"/>
    <w:qFormat/>
    <w:rPr>
      <w:rFonts w:ascii="Arial" w:hAnsi="Arial" w:eastAsia="Arial" w:cs="Arial"/>
      <w:b/>
      <w:bCs/>
      <w:sz w:val="24"/>
      <w:szCs w:val="24"/>
    </w:rPr>
  </w:style>
  <w:style w:type="character" w:styleId="1117" w:customStyle="1">
    <w:name w:val="标题 6 Char"/>
    <w:link w:val="1106"/>
    <w:uiPriority w:val="9"/>
    <w:qFormat/>
    <w:rPr>
      <w:rFonts w:ascii="Arial" w:hAnsi="Arial" w:eastAsia="Arial" w:cs="Arial"/>
      <w:b/>
      <w:bCs/>
      <w:sz w:val="22"/>
      <w:szCs w:val="22"/>
    </w:rPr>
  </w:style>
  <w:style w:type="character" w:styleId="1118" w:customStyle="1">
    <w:name w:val="标题 7 Char"/>
    <w:link w:val="1107"/>
    <w:uiPriority w:val="9"/>
    <w:qFormat/>
    <w:rPr>
      <w:rFonts w:ascii="Arial" w:hAnsi="Arial" w:eastAsia="Arial" w:cs="Arial"/>
      <w:b/>
      <w:bCs/>
      <w:i/>
      <w:iCs/>
      <w:sz w:val="22"/>
      <w:szCs w:val="22"/>
    </w:rPr>
  </w:style>
  <w:style w:type="character" w:styleId="1119" w:customStyle="1">
    <w:name w:val="标题 8 Char"/>
    <w:link w:val="1108"/>
    <w:uiPriority w:val="9"/>
    <w:qFormat/>
    <w:rPr>
      <w:rFonts w:ascii="Arial" w:hAnsi="Arial" w:eastAsia="Arial" w:cs="Arial"/>
      <w:i/>
      <w:iCs/>
      <w:sz w:val="22"/>
      <w:szCs w:val="22"/>
    </w:rPr>
  </w:style>
  <w:style w:type="character" w:styleId="1120" w:customStyle="1">
    <w:name w:val="标题 9 Char"/>
    <w:link w:val="1109"/>
    <w:uiPriority w:val="9"/>
    <w:qFormat/>
    <w:rPr>
      <w:rFonts w:ascii="Arial" w:hAnsi="Arial" w:eastAsia="Arial" w:cs="Arial"/>
      <w:i/>
      <w:iCs/>
      <w:sz w:val="21"/>
      <w:szCs w:val="21"/>
    </w:rPr>
  </w:style>
  <w:style w:type="paragraph" w:styleId="1121" w:customStyle="1">
    <w:name w:val="目录 71"/>
    <w:basedOn w:val="1018"/>
    <w:next w:val="1018"/>
    <w:uiPriority w:val="39"/>
    <w:unhideWhenUsed/>
    <w:qFormat/>
    <w:pPr>
      <w:ind w:left="1701"/>
      <w:spacing w:after="57"/>
    </w:pPr>
  </w:style>
  <w:style w:type="paragraph" w:styleId="1122" w:customStyle="1">
    <w:name w:val="题注1"/>
    <w:basedOn w:val="1018"/>
    <w:next w:val="1018"/>
    <w:uiPriority w:val="35"/>
    <w:unhideWhenUsed/>
    <w:qFormat/>
    <w:pPr>
      <w:spacing w:line="276" w:lineRule="auto"/>
    </w:pPr>
    <w:rPr>
      <w:b/>
      <w:bCs/>
      <w:color w:val="4f81bd"/>
      <w:sz w:val="18"/>
      <w:szCs w:val="18"/>
    </w:rPr>
  </w:style>
  <w:style w:type="paragraph" w:styleId="1123" w:customStyle="1">
    <w:name w:val="索引 512"/>
    <w:basedOn w:val="1018"/>
    <w:next w:val="1018"/>
    <w:uiPriority w:val="0"/>
    <w:qFormat/>
    <w:pPr>
      <w:ind w:left="798"/>
    </w:pPr>
    <w:rPr>
      <w:rFonts w:ascii="Calibri" w:hAnsi="Calibri"/>
    </w:rPr>
  </w:style>
  <w:style w:type="paragraph" w:styleId="1124" w:customStyle="1">
    <w:name w:val="引文目录标题1"/>
    <w:basedOn w:val="1018"/>
    <w:next w:val="1018"/>
    <w:uiPriority w:val="99"/>
    <w:qFormat/>
    <w:pPr>
      <w:spacing w:before="120"/>
    </w:pPr>
    <w:rPr>
      <w:rFonts w:ascii="Cambria" w:hAnsi="Cambria" w:cs="Cambria"/>
      <w:sz w:val="24"/>
    </w:rPr>
  </w:style>
  <w:style w:type="paragraph" w:styleId="1125" w:customStyle="1">
    <w:name w:val="批注文字11"/>
    <w:basedOn w:val="1018"/>
    <w:link w:val="1126"/>
    <w:uiPriority w:val="99"/>
    <w:unhideWhenUsed/>
    <w:qFormat/>
    <w:pPr>
      <w:jc w:val="left"/>
    </w:pPr>
  </w:style>
  <w:style w:type="character" w:styleId="1126" w:customStyle="1">
    <w:name w:val="批注文字 Char"/>
    <w:basedOn w:val="1110"/>
    <w:link w:val="1125"/>
    <w:uiPriority w:val="99"/>
    <w:semiHidden/>
    <w:qFormat/>
    <w:rPr>
      <w:sz w:val="21"/>
      <w:szCs w:val="21"/>
    </w:rPr>
  </w:style>
  <w:style w:type="paragraph" w:styleId="1127" w:customStyle="1">
    <w:name w:val="正文文本112"/>
    <w:basedOn w:val="1018"/>
    <w:next w:val="1018"/>
    <w:uiPriority w:val="0"/>
    <w:qFormat/>
    <w:pPr>
      <w:jc w:val="left"/>
      <w:spacing w:after="120"/>
    </w:pPr>
    <w:rPr>
      <w:sz w:val="20"/>
      <w:szCs w:val="20"/>
    </w:rPr>
  </w:style>
  <w:style w:type="paragraph" w:styleId="1128" w:customStyle="1">
    <w:name w:val="正文文本缩进111"/>
    <w:basedOn w:val="1018"/>
    <w:next w:val="1129"/>
    <w:uiPriority w:val="0"/>
    <w:qFormat/>
    <w:pPr>
      <w:ind w:left="420"/>
      <w:spacing w:after="120"/>
    </w:pPr>
  </w:style>
  <w:style w:type="paragraph" w:styleId="1129" w:customStyle="1">
    <w:name w:val="寄信人地址11"/>
    <w:basedOn w:val="1018"/>
    <w:uiPriority w:val="0"/>
    <w:qFormat/>
    <w:rPr>
      <w:rFonts w:ascii="Arial" w:hAnsi="Arial"/>
    </w:rPr>
  </w:style>
  <w:style w:type="paragraph" w:styleId="1130" w:customStyle="1">
    <w:name w:val="文本块12"/>
    <w:basedOn w:val="1018"/>
    <w:uiPriority w:val="0"/>
    <w:qFormat/>
    <w:pPr>
      <w:ind w:left="420" w:right="33"/>
      <w:jc w:val="left"/>
    </w:pPr>
    <w:rPr>
      <w:sz w:val="24"/>
      <w:szCs w:val="20"/>
    </w:rPr>
  </w:style>
  <w:style w:type="paragraph" w:styleId="1131" w:customStyle="1">
    <w:name w:val="目录 51"/>
    <w:basedOn w:val="1018"/>
    <w:next w:val="1018"/>
    <w:uiPriority w:val="39"/>
    <w:unhideWhenUsed/>
    <w:qFormat/>
    <w:pPr>
      <w:ind w:left="1134"/>
      <w:spacing w:after="57"/>
    </w:pPr>
  </w:style>
  <w:style w:type="paragraph" w:styleId="1132" w:customStyle="1">
    <w:name w:val="目录 31"/>
    <w:basedOn w:val="1018"/>
    <w:next w:val="1018"/>
    <w:uiPriority w:val="39"/>
    <w:unhideWhenUsed/>
    <w:qFormat/>
    <w:pPr>
      <w:ind w:left="567"/>
      <w:spacing w:after="57"/>
    </w:pPr>
  </w:style>
  <w:style w:type="paragraph" w:styleId="1133" w:customStyle="1">
    <w:name w:val="纯文本11"/>
    <w:basedOn w:val="1018"/>
    <w:uiPriority w:val="0"/>
    <w:qFormat/>
    <w:rPr>
      <w:rFonts w:ascii="宋体" w:hAnsi="Courier New" w:eastAsia="仿宋_GB2312"/>
      <w:sz w:val="30"/>
      <w:szCs w:val="20"/>
    </w:rPr>
  </w:style>
  <w:style w:type="paragraph" w:styleId="1134" w:customStyle="1">
    <w:name w:val="目录 81"/>
    <w:basedOn w:val="1018"/>
    <w:next w:val="1018"/>
    <w:uiPriority w:val="39"/>
    <w:unhideWhenUsed/>
    <w:qFormat/>
    <w:pPr>
      <w:ind w:left="1984"/>
      <w:spacing w:after="57"/>
    </w:pPr>
  </w:style>
  <w:style w:type="paragraph" w:styleId="1135" w:customStyle="1">
    <w:name w:val="正文文本缩进 21"/>
    <w:basedOn w:val="1018"/>
    <w:uiPriority w:val="0"/>
    <w:qFormat/>
    <w:pPr>
      <w:ind w:left="420"/>
      <w:spacing w:after="120" w:line="480" w:lineRule="auto"/>
    </w:pPr>
  </w:style>
  <w:style w:type="paragraph" w:styleId="1136" w:customStyle="1">
    <w:name w:val="尾注文本1"/>
    <w:basedOn w:val="1018"/>
    <w:link w:val="1137"/>
    <w:uiPriority w:val="99"/>
    <w:unhideWhenUsed/>
    <w:qFormat/>
    <w:rPr>
      <w:sz w:val="20"/>
    </w:rPr>
  </w:style>
  <w:style w:type="character" w:styleId="1137" w:customStyle="1">
    <w:name w:val="尾注文本 Char"/>
    <w:link w:val="1136"/>
    <w:uiPriority w:val="99"/>
    <w:qFormat/>
    <w:rPr>
      <w:sz w:val="20"/>
    </w:rPr>
  </w:style>
  <w:style w:type="paragraph" w:styleId="1138" w:customStyle="1">
    <w:name w:val="批注框文本11"/>
    <w:basedOn w:val="1018"/>
    <w:link w:val="1139"/>
    <w:uiPriority w:val="99"/>
    <w:unhideWhenUsed/>
    <w:qFormat/>
    <w:rPr>
      <w:sz w:val="18"/>
      <w:szCs w:val="18"/>
    </w:rPr>
  </w:style>
  <w:style w:type="character" w:styleId="1139" w:customStyle="1">
    <w:name w:val="批注框文本 Char1"/>
    <w:basedOn w:val="1110"/>
    <w:link w:val="1138"/>
    <w:uiPriority w:val="99"/>
    <w:semiHidden/>
    <w:qFormat/>
    <w:rPr>
      <w:sz w:val="18"/>
      <w:szCs w:val="18"/>
    </w:rPr>
  </w:style>
  <w:style w:type="paragraph" w:styleId="1140" w:customStyle="1">
    <w:name w:val="页脚11"/>
    <w:basedOn w:val="1018"/>
    <w:link w:val="1141"/>
    <w:uiPriority w:val="99"/>
    <w:unhideWhenUsed/>
    <w:qFormat/>
    <w:pPr>
      <w:tabs>
        <w:tab w:val="center" w:pos="7143" w:leader="none"/>
        <w:tab w:val="right" w:pos="14287" w:leader="none"/>
      </w:tabs>
    </w:pPr>
  </w:style>
  <w:style w:type="character" w:styleId="1141" w:customStyle="1">
    <w:name w:val="页脚 Char"/>
    <w:link w:val="1140"/>
    <w:uiPriority w:val="99"/>
    <w:qFormat/>
  </w:style>
  <w:style w:type="paragraph" w:styleId="1142" w:customStyle="1">
    <w:name w:val="页眉11"/>
    <w:basedOn w:val="1018"/>
    <w:link w:val="1143"/>
    <w:uiPriority w:val="99"/>
    <w:unhideWhenUsed/>
    <w:qFormat/>
    <w:pPr>
      <w:tabs>
        <w:tab w:val="center" w:pos="7143" w:leader="none"/>
        <w:tab w:val="right" w:pos="14287" w:leader="none"/>
      </w:tabs>
    </w:pPr>
  </w:style>
  <w:style w:type="character" w:styleId="1143" w:customStyle="1">
    <w:name w:val="页眉 Char"/>
    <w:link w:val="1142"/>
    <w:uiPriority w:val="99"/>
    <w:qFormat/>
  </w:style>
  <w:style w:type="paragraph" w:styleId="1144" w:customStyle="1">
    <w:name w:val="目录 11111"/>
    <w:basedOn w:val="1018"/>
    <w:next w:val="1018"/>
    <w:uiPriority w:val="39"/>
    <w:unhideWhenUsed/>
    <w:qFormat/>
    <w:pPr>
      <w:spacing w:after="57"/>
    </w:pPr>
  </w:style>
  <w:style w:type="paragraph" w:styleId="1145" w:customStyle="1">
    <w:name w:val="目录 41"/>
    <w:basedOn w:val="1018"/>
    <w:next w:val="1018"/>
    <w:uiPriority w:val="39"/>
    <w:unhideWhenUsed/>
    <w:qFormat/>
    <w:pPr>
      <w:ind w:left="850"/>
      <w:spacing w:after="57"/>
    </w:pPr>
  </w:style>
  <w:style w:type="paragraph" w:styleId="1146" w:customStyle="1">
    <w:name w:val="副标题1"/>
    <w:basedOn w:val="1018"/>
    <w:next w:val="1018"/>
    <w:link w:val="1147"/>
    <w:uiPriority w:val="11"/>
    <w:qFormat/>
    <w:pPr>
      <w:spacing w:before="200" w:after="200"/>
    </w:pPr>
    <w:rPr>
      <w:sz w:val="24"/>
      <w:szCs w:val="24"/>
    </w:rPr>
  </w:style>
  <w:style w:type="character" w:styleId="1147" w:customStyle="1">
    <w:name w:val="副标题 Char"/>
    <w:link w:val="1146"/>
    <w:uiPriority w:val="11"/>
    <w:qFormat/>
    <w:rPr>
      <w:sz w:val="24"/>
      <w:szCs w:val="24"/>
    </w:rPr>
  </w:style>
  <w:style w:type="paragraph" w:styleId="1148" w:customStyle="1">
    <w:name w:val="脚注文本12"/>
    <w:basedOn w:val="1018"/>
    <w:next w:val="1123"/>
    <w:link w:val="1149"/>
    <w:uiPriority w:val="99"/>
    <w:unhideWhenUsed/>
    <w:qFormat/>
    <w:pPr>
      <w:spacing w:after="40"/>
    </w:pPr>
    <w:rPr>
      <w:sz w:val="18"/>
    </w:rPr>
  </w:style>
  <w:style w:type="character" w:styleId="1149" w:customStyle="1">
    <w:name w:val="脚注文本 Char1"/>
    <w:link w:val="1148"/>
    <w:uiPriority w:val="99"/>
    <w:qFormat/>
    <w:rPr>
      <w:sz w:val="18"/>
    </w:rPr>
  </w:style>
  <w:style w:type="paragraph" w:styleId="1150" w:customStyle="1">
    <w:name w:val="目录 61"/>
    <w:basedOn w:val="1018"/>
    <w:next w:val="1018"/>
    <w:uiPriority w:val="39"/>
    <w:unhideWhenUsed/>
    <w:qFormat/>
    <w:pPr>
      <w:ind w:left="1417"/>
      <w:spacing w:after="57"/>
    </w:pPr>
  </w:style>
  <w:style w:type="paragraph" w:styleId="1151" w:customStyle="1">
    <w:name w:val="图表目录1"/>
    <w:basedOn w:val="1018"/>
    <w:next w:val="1018"/>
    <w:uiPriority w:val="99"/>
    <w:unhideWhenUsed/>
    <w:qFormat/>
  </w:style>
  <w:style w:type="paragraph" w:styleId="1152" w:customStyle="1">
    <w:name w:val="目录 21"/>
    <w:basedOn w:val="1018"/>
    <w:next w:val="1018"/>
    <w:uiPriority w:val="39"/>
    <w:unhideWhenUsed/>
    <w:qFormat/>
    <w:pPr>
      <w:ind w:left="283"/>
      <w:spacing w:after="57"/>
    </w:pPr>
  </w:style>
  <w:style w:type="paragraph" w:styleId="1153" w:customStyle="1">
    <w:name w:val="目录 91"/>
    <w:basedOn w:val="1018"/>
    <w:next w:val="1018"/>
    <w:uiPriority w:val="39"/>
    <w:unhideWhenUsed/>
    <w:qFormat/>
    <w:pPr>
      <w:ind w:left="2268"/>
      <w:spacing w:after="57"/>
    </w:pPr>
  </w:style>
  <w:style w:type="character" w:styleId="1154" w:customStyle="1">
    <w:name w:val="标题 Char"/>
    <w:link w:val="1081"/>
    <w:uiPriority w:val="10"/>
    <w:qFormat/>
    <w:rPr>
      <w:sz w:val="48"/>
      <w:szCs w:val="48"/>
    </w:rPr>
  </w:style>
  <w:style w:type="paragraph" w:styleId="1155" w:customStyle="1">
    <w:name w:val="批注主题1"/>
    <w:basedOn w:val="1125"/>
    <w:next w:val="1125"/>
    <w:link w:val="1156"/>
    <w:uiPriority w:val="99"/>
    <w:unhideWhenUsed/>
    <w:qFormat/>
    <w:rPr>
      <w:b/>
      <w:bCs/>
    </w:rPr>
  </w:style>
  <w:style w:type="character" w:styleId="1156" w:customStyle="1">
    <w:name w:val="批注主题 Char"/>
    <w:basedOn w:val="1126"/>
    <w:link w:val="1155"/>
    <w:uiPriority w:val="99"/>
    <w:semiHidden/>
    <w:qFormat/>
    <w:rPr>
      <w:b/>
      <w:bCs/>
      <w:sz w:val="21"/>
      <w:szCs w:val="21"/>
    </w:rPr>
  </w:style>
  <w:style w:type="paragraph" w:styleId="1157" w:customStyle="1">
    <w:name w:val="正文首行缩进 21"/>
    <w:basedOn w:val="1068"/>
    <w:uiPriority w:val="99"/>
    <w:unhideWhenUsed/>
    <w:qFormat/>
    <w:pPr>
      <w:ind w:firstLine="420"/>
    </w:pPr>
  </w:style>
  <w:style w:type="paragraph" w:styleId="1158" w:customStyle="1">
    <w:name w:val="标题 111"/>
    <w:basedOn w:val="1065"/>
    <w:next w:val="1065"/>
    <w:uiPriority w:val="0"/>
    <w:qFormat/>
    <w:pPr>
      <w:jc w:val="center"/>
      <w:keepLines/>
      <w:keepNext/>
      <w:spacing w:line="578" w:lineRule="auto"/>
      <w:outlineLvl w:val="0"/>
    </w:pPr>
    <w:rPr>
      <w:rFonts w:eastAsia="新宋体"/>
      <w:b/>
      <w:bCs/>
      <w:sz w:val="30"/>
      <w:szCs w:val="44"/>
    </w:rPr>
  </w:style>
  <w:style w:type="table" w:styleId="1159" w:customStyle="1">
    <w:name w:val="网格型11"/>
    <w:uiPriority w:val="59"/>
    <w:qFormat/>
    <w:tblPr>
      <w:tblCellMar>
        <w:left w:w="0" w:type="dxa"/>
        <w:top w:w="0" w:type="dxa"/>
        <w:right w:w="0" w:type="dxa"/>
        <w:bottom w:w="0" w:type="dxa"/>
      </w:tblCellMar>
    </w:tblPr>
  </w:style>
  <w:style w:type="character" w:styleId="1160" w:customStyle="1">
    <w:name w:val="要点1"/>
    <w:basedOn w:val="1110"/>
    <w:uiPriority w:val="22"/>
    <w:qFormat/>
    <w:rPr>
      <w:b/>
    </w:rPr>
  </w:style>
  <w:style w:type="character" w:styleId="1161" w:customStyle="1">
    <w:name w:val="尾注引用1"/>
    <w:uiPriority w:val="99"/>
    <w:unhideWhenUsed/>
    <w:qFormat/>
    <w:rPr>
      <w:vertAlign w:val="superscript"/>
    </w:rPr>
  </w:style>
  <w:style w:type="character" w:styleId="1162" w:customStyle="1">
    <w:name w:val="超链接11"/>
    <w:uiPriority w:val="99"/>
    <w:unhideWhenUsed/>
    <w:qFormat/>
    <w:rPr>
      <w:color w:val="0000ff"/>
      <w:u w:val="single"/>
    </w:rPr>
  </w:style>
  <w:style w:type="character" w:styleId="1163" w:customStyle="1">
    <w:name w:val="批注引用11"/>
    <w:basedOn w:val="1110"/>
    <w:uiPriority w:val="99"/>
    <w:unhideWhenUsed/>
    <w:qFormat/>
    <w:rPr>
      <w:sz w:val="21"/>
      <w:szCs w:val="21"/>
    </w:rPr>
  </w:style>
  <w:style w:type="character" w:styleId="1164" w:customStyle="1">
    <w:name w:val="脚注引用1"/>
    <w:uiPriority w:val="99"/>
    <w:unhideWhenUsed/>
    <w:qFormat/>
    <w:rPr>
      <w:vertAlign w:val="superscript"/>
    </w:rPr>
  </w:style>
  <w:style w:type="character" w:styleId="1165" w:customStyle="1">
    <w:name w:val="标题 1 Char"/>
    <w:link w:val="1166"/>
    <w:uiPriority w:val="0"/>
    <w:qFormat/>
    <w:rPr>
      <w:rFonts w:eastAsia="新宋体"/>
      <w:b/>
      <w:bCs/>
      <w:sz w:val="30"/>
      <w:szCs w:val="44"/>
    </w:rPr>
  </w:style>
  <w:style w:type="paragraph" w:styleId="1166" w:customStyle="1">
    <w:name w:val="标题 11"/>
    <w:basedOn w:val="1074"/>
    <w:next w:val="1074"/>
    <w:link w:val="1165"/>
    <w:uiPriority w:val="0"/>
    <w:qFormat/>
    <w:pPr>
      <w:jc w:val="center"/>
      <w:keepLines/>
      <w:keepNext/>
      <w:spacing w:line="578" w:lineRule="auto"/>
      <w:outlineLvl w:val="0"/>
    </w:pPr>
    <w:rPr>
      <w:rFonts w:eastAsia="新宋体"/>
      <w:b/>
      <w:bCs/>
      <w:sz w:val="30"/>
      <w:szCs w:val="44"/>
    </w:rPr>
  </w:style>
  <w:style w:type="paragraph" w:styleId="1167" w:customStyle="1">
    <w:name w:val="文本块11"/>
    <w:basedOn w:val="1168"/>
    <w:uiPriority w:val="0"/>
    <w:qFormat/>
    <w:pPr>
      <w:ind w:left="256" w:right="6" w:firstLine="624"/>
    </w:pPr>
    <w:rPr>
      <w:rFonts w:eastAsia="仿宋_GB2312"/>
      <w:sz w:val="28"/>
      <w:szCs w:val="20"/>
    </w:rPr>
  </w:style>
  <w:style w:type="paragraph" w:styleId="1168" w:customStyle="1">
    <w:name w:val="正文121"/>
    <w:next w:val="1167"/>
    <w:uiPriority w:val="0"/>
    <w:qFormat/>
    <w:pPr>
      <w:jc w:val="both"/>
      <w:widowControl w:val="off"/>
    </w:pPr>
    <w:rPr>
      <w:rFonts w:ascii="Calibri" w:hAnsi="Calibri" w:eastAsia="宋体" w:cs="Times New Roman"/>
      <w:sz w:val="21"/>
      <w:szCs w:val="24"/>
      <w:lang w:val="en-US" w:eastAsia="zh-CN" w:bidi="ar-SA"/>
    </w:rPr>
  </w:style>
  <w:style w:type="character" w:styleId="1169" w:customStyle="1">
    <w:name w:val="超链接1"/>
    <w:uiPriority w:val="99"/>
    <w:qFormat/>
    <w:rPr>
      <w:rFonts w:cs="Times New Roman"/>
      <w:color w:val="0000ff"/>
      <w:u w:val="single"/>
    </w:rPr>
  </w:style>
  <w:style w:type="character" w:styleId="1170" w:customStyle="1">
    <w:name w:val="NormalCharacter1"/>
    <w:uiPriority w:val="0"/>
    <w:qFormat/>
    <w:rPr>
      <w:lang w:val="en-US" w:eastAsia="zh-CN" w:bidi="ar-SA"/>
    </w:rPr>
  </w:style>
  <w:style w:type="character" w:styleId="1171" w:customStyle="1">
    <w:name w:val="Footer Char"/>
    <w:uiPriority w:val="99"/>
    <w:qFormat/>
  </w:style>
  <w:style w:type="paragraph" w:styleId="1172" w:customStyle="1">
    <w:name w:val="一级条标题"/>
    <w:basedOn w:val="1173"/>
    <w:next w:val="11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73" w:customStyle="1">
    <w:name w:val="章标题"/>
    <w:next w:val="106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74" w:customStyle="1">
    <w:name w:val="段"/>
    <w:basedOn w:val="1175"/>
    <w:next w:val="1018"/>
    <w:uiPriority w:val="0"/>
    <w:qFormat/>
    <w:pPr>
      <w:ind w:firstLine="200"/>
    </w:pPr>
    <w:rPr>
      <w:rFonts w:hint="eastAsia" w:ascii="宋体"/>
    </w:rPr>
  </w:style>
  <w:style w:type="paragraph" w:styleId="1175" w:customStyle="1">
    <w:name w:val="正文13"/>
    <w:next w:val="1176"/>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目录 111"/>
    <w:basedOn w:val="1175"/>
    <w:next w:val="1074"/>
    <w:uiPriority w:val="0"/>
    <w:qFormat/>
    <w:pPr>
      <w:spacing w:after="57"/>
    </w:pPr>
  </w:style>
  <w:style w:type="character" w:styleId="1177" w:customStyle="1">
    <w:name w:val="NormalCharacter11"/>
    <w:link w:val="1065"/>
    <w:uiPriority w:val="0"/>
    <w:qFormat/>
    <w:rPr>
      <w:rFonts w:ascii="Times New Roman" w:hAnsi="Times New Roman" w:eastAsia="宋体" w:cs="Times New Roman"/>
      <w:sz w:val="21"/>
      <w:szCs w:val="24"/>
      <w:lang w:val="en-US" w:eastAsia="zh-CN" w:bidi="ar-SA"/>
    </w:rPr>
  </w:style>
  <w:style w:type="character" w:styleId="1178" w:customStyle="1">
    <w:name w:val="font51"/>
    <w:basedOn w:val="1110"/>
    <w:link w:val="1067"/>
    <w:uiPriority w:val="0"/>
    <w:qFormat/>
    <w:rPr>
      <w:rFonts w:ascii="Calibri" w:hAnsi="Calibri" w:cs="Calibri"/>
      <w:color w:val="000000"/>
      <w:sz w:val="22"/>
      <w:szCs w:val="22"/>
      <w:u w:val="none"/>
    </w:rPr>
  </w:style>
  <w:style w:type="character" w:styleId="1179" w:customStyle="1">
    <w:name w:val="font101"/>
    <w:basedOn w:val="1180"/>
    <w:uiPriority w:val="0"/>
    <w:qFormat/>
    <w:rPr>
      <w:rFonts w:hint="eastAsia" w:ascii="宋体" w:hAnsi="宋体" w:eastAsia="宋体" w:cs="宋体"/>
      <w:color w:val="ff0000"/>
      <w:sz w:val="20"/>
      <w:szCs w:val="20"/>
      <w:u w:val="none"/>
    </w:rPr>
  </w:style>
  <w:style w:type="character" w:styleId="1180" w:customStyle="1">
    <w:name w:val="默认段落字体1"/>
    <w:uiPriority w:val="1"/>
    <w:unhideWhenUsed/>
    <w:qFormat/>
  </w:style>
  <w:style w:type="character" w:styleId="1181" w:customStyle="1">
    <w:name w:val="font81"/>
    <w:basedOn w:val="1180"/>
    <w:uiPriority w:val="0"/>
    <w:qFormat/>
    <w:rPr>
      <w:rFonts w:hint="eastAsia" w:ascii="宋体" w:hAnsi="宋体" w:eastAsia="宋体" w:cs="宋体"/>
      <w:color w:val="ff0000"/>
      <w:sz w:val="20"/>
      <w:szCs w:val="20"/>
      <w:u w:val="none"/>
    </w:rPr>
  </w:style>
  <w:style w:type="character" w:styleId="1182" w:customStyle="1">
    <w:name w:val="批注引用1"/>
    <w:basedOn w:val="1180"/>
    <w:uiPriority w:val="0"/>
    <w:qFormat/>
    <w:rPr>
      <w:sz w:val="21"/>
      <w:szCs w:val="21"/>
    </w:rPr>
  </w:style>
  <w:style w:type="character" w:styleId="1183" w:customStyle="1">
    <w:name w:val="font112"/>
    <w:basedOn w:val="1180"/>
    <w:uiPriority w:val="0"/>
    <w:qFormat/>
    <w:rPr>
      <w:rFonts w:hint="eastAsia" w:ascii="宋体" w:hAnsi="宋体" w:eastAsia="宋体" w:cs="宋体"/>
      <w:color w:val="000000"/>
      <w:sz w:val="20"/>
      <w:szCs w:val="20"/>
      <w:u w:val="none"/>
    </w:rPr>
  </w:style>
  <w:style w:type="character" w:styleId="1184" w:customStyle="1">
    <w:name w:val="正文文本 Char"/>
    <w:basedOn w:val="1180"/>
    <w:link w:val="1185"/>
    <w:uiPriority w:val="0"/>
    <w:qFormat/>
    <w:rPr>
      <w:rFonts w:ascii="Verdana" w:hAnsi="Verdana"/>
      <w:sz w:val="24"/>
      <w:szCs w:val="18"/>
    </w:rPr>
  </w:style>
  <w:style w:type="paragraph" w:styleId="1185" w:customStyle="1">
    <w:name w:val="正文文本111"/>
    <w:basedOn w:val="1018"/>
    <w:next w:val="1172"/>
    <w:link w:val="1184"/>
    <w:uiPriority w:val="0"/>
    <w:qFormat/>
    <w:rPr>
      <w:rFonts w:ascii="Verdana" w:hAnsi="Verdana"/>
      <w:sz w:val="24"/>
      <w:szCs w:val="18"/>
    </w:rPr>
  </w:style>
  <w:style w:type="character" w:styleId="1186" w:customStyle="1">
    <w:name w:val="font21"/>
    <w:basedOn w:val="1180"/>
    <w:uiPriority w:val="0"/>
    <w:qFormat/>
    <w:rPr>
      <w:rFonts w:hint="eastAsia" w:ascii="宋体" w:hAnsi="宋体" w:eastAsia="宋体" w:cs="宋体"/>
      <w:color w:val="000000"/>
      <w:sz w:val="20"/>
      <w:szCs w:val="20"/>
      <w:u w:val="none"/>
    </w:rPr>
  </w:style>
  <w:style w:type="character" w:styleId="1187" w:customStyle="1">
    <w:name w:val="引用 字符"/>
    <w:link w:val="1188"/>
    <w:uiPriority w:val="29"/>
    <w:qFormat/>
    <w:rPr>
      <w:i/>
    </w:rPr>
  </w:style>
  <w:style w:type="paragraph" w:styleId="1188">
    <w:name w:val="Quote"/>
    <w:basedOn w:val="1018"/>
    <w:next w:val="1018"/>
    <w:link w:val="1187"/>
    <w:uiPriority w:val="29"/>
    <w:qFormat/>
    <w:pPr>
      <w:ind w:left="720" w:right="720"/>
    </w:pPr>
    <w:rPr>
      <w:i/>
    </w:rPr>
  </w:style>
  <w:style w:type="character" w:styleId="1189" w:customStyle="1">
    <w:name w:val="明显引用 字符"/>
    <w:link w:val="1190"/>
    <w:uiPriority w:val="30"/>
    <w:qFormat/>
    <w:rPr>
      <w:i/>
    </w:rPr>
  </w:style>
  <w:style w:type="paragraph" w:styleId="1190">
    <w:name w:val="Intense Quote"/>
    <w:basedOn w:val="1018"/>
    <w:next w:val="1018"/>
    <w:link w:val="11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1" w:customStyle="1">
    <w:name w:val="批注框文本 Char"/>
    <w:basedOn w:val="1180"/>
    <w:link w:val="1192"/>
    <w:uiPriority w:val="0"/>
    <w:qFormat/>
    <w:rPr>
      <w:rFonts w:ascii="Calibri" w:hAnsi="Calibri" w:eastAsia="宋体" w:cs="Times New Roman"/>
      <w:sz w:val="18"/>
      <w:szCs w:val="18"/>
    </w:rPr>
  </w:style>
  <w:style w:type="paragraph" w:styleId="1192" w:customStyle="1">
    <w:name w:val="批注框文本1"/>
    <w:basedOn w:val="1018"/>
    <w:link w:val="1191"/>
    <w:uiPriority w:val="0"/>
    <w:qFormat/>
    <w:rPr>
      <w:sz w:val="18"/>
      <w:szCs w:val="18"/>
    </w:rPr>
  </w:style>
  <w:style w:type="character" w:styleId="1193" w:customStyle="1">
    <w:name w:val="脚注文本 Char"/>
    <w:basedOn w:val="1180"/>
    <w:link w:val="1194"/>
    <w:uiPriority w:val="0"/>
    <w:qFormat/>
    <w:rPr>
      <w:rFonts w:ascii="宋体" w:hAnsi="Calibri" w:eastAsia="Times New Roman"/>
      <w:sz w:val="18"/>
      <w:szCs w:val="18"/>
    </w:rPr>
  </w:style>
  <w:style w:type="paragraph" w:styleId="1194" w:customStyle="1">
    <w:name w:val="脚注文本11"/>
    <w:basedOn w:val="1018"/>
    <w:next w:val="1195"/>
    <w:link w:val="1193"/>
    <w:uiPriority w:val="0"/>
    <w:qFormat/>
    <w:pPr>
      <w:jc w:val="left"/>
    </w:pPr>
    <w:rPr>
      <w:rFonts w:ascii="宋体" w:eastAsia="Times New Roman"/>
      <w:sz w:val="18"/>
      <w:szCs w:val="18"/>
    </w:rPr>
  </w:style>
  <w:style w:type="paragraph" w:styleId="1195" w:customStyle="1">
    <w:name w:val="索引 511"/>
    <w:basedOn w:val="1018"/>
    <w:next w:val="1018"/>
    <w:uiPriority w:val="0"/>
    <w:qFormat/>
    <w:pPr>
      <w:ind w:left="798"/>
      <w:jc w:val="left"/>
    </w:pPr>
  </w:style>
  <w:style w:type="character" w:styleId="1196" w:customStyle="1">
    <w:name w:val="页码1"/>
    <w:basedOn w:val="1180"/>
    <w:uiPriority w:val="0"/>
    <w:qFormat/>
  </w:style>
  <w:style w:type="character" w:styleId="1197" w:customStyle="1">
    <w:name w:val="font71"/>
    <w:basedOn w:val="1180"/>
    <w:uiPriority w:val="0"/>
    <w:qFormat/>
    <w:rPr>
      <w:rFonts w:hint="eastAsia" w:ascii="宋体" w:hAnsi="宋体" w:eastAsia="宋体" w:cs="宋体"/>
      <w:color w:val="000000"/>
      <w:sz w:val="20"/>
      <w:szCs w:val="20"/>
      <w:u w:val="none"/>
    </w:rPr>
  </w:style>
  <w:style w:type="character" w:styleId="1198" w:customStyle="1">
    <w:name w:val="font01"/>
    <w:basedOn w:val="1110"/>
    <w:uiPriority w:val="0"/>
    <w:qFormat/>
    <w:rPr>
      <w:rFonts w:hint="eastAsia" w:ascii="宋体" w:hAnsi="宋体" w:eastAsia="宋体" w:cs="宋体"/>
      <w:color w:val="000000"/>
      <w:sz w:val="21"/>
      <w:szCs w:val="21"/>
      <w:u w:val="none"/>
    </w:rPr>
  </w:style>
  <w:style w:type="character" w:styleId="1199" w:customStyle="1">
    <w:name w:val="font91"/>
    <w:basedOn w:val="1180"/>
    <w:uiPriority w:val="0"/>
    <w:qFormat/>
    <w:rPr>
      <w:rFonts w:hint="eastAsia" w:ascii="宋体" w:hAnsi="宋体" w:eastAsia="宋体" w:cs="宋体"/>
      <w:color w:val="000000"/>
      <w:sz w:val="20"/>
      <w:szCs w:val="20"/>
      <w:u w:val="none"/>
    </w:rPr>
  </w:style>
  <w:style w:type="character" w:styleId="1200" w:customStyle="1">
    <w:name w:val="font61"/>
    <w:basedOn w:val="1110"/>
    <w:uiPriority w:val="0"/>
    <w:qFormat/>
    <w:rPr>
      <w:rFonts w:ascii="Calibri" w:hAnsi="Calibri" w:cs="Calibri"/>
      <w:color w:val="000000"/>
      <w:sz w:val="24"/>
      <w:szCs w:val="24"/>
      <w:u w:val="none"/>
    </w:rPr>
  </w:style>
  <w:style w:type="character" w:styleId="1201" w:customStyle="1">
    <w:name w:val="font11"/>
    <w:basedOn w:val="1110"/>
    <w:uiPriority w:val="0"/>
    <w:qFormat/>
    <w:rPr>
      <w:rFonts w:hint="eastAsia" w:ascii="宋体" w:hAnsi="宋体" w:eastAsia="宋体" w:cs="宋体"/>
      <w:color w:val="000000"/>
      <w:sz w:val="22"/>
      <w:szCs w:val="22"/>
      <w:u w:val="none"/>
    </w:rPr>
  </w:style>
  <w:style w:type="character" w:styleId="1202" w:customStyle="1">
    <w:name w:val="font41"/>
    <w:basedOn w:val="1110"/>
    <w:uiPriority w:val="0"/>
    <w:qFormat/>
    <w:rPr>
      <w:rFonts w:ascii="Calibri" w:hAnsi="Calibri" w:cs="Calibri"/>
      <w:color w:val="000000"/>
      <w:sz w:val="28"/>
      <w:szCs w:val="28"/>
      <w:u w:val="none"/>
    </w:rPr>
  </w:style>
  <w:style w:type="paragraph" w:styleId="1203" w:customStyle="1">
    <w:name w:val="标题 31"/>
    <w:basedOn w:val="1018"/>
    <w:next w:val="1018"/>
    <w:uiPriority w:val="0"/>
    <w:qFormat/>
    <w:pPr>
      <w:jc w:val="left"/>
      <w:spacing w:beforeAutospacing="1" w:afterAutospacing="1"/>
      <w:outlineLvl w:val="2"/>
    </w:pPr>
    <w:rPr>
      <w:rFonts w:hint="eastAsia" w:ascii="宋体" w:hAnsi="宋体"/>
      <w:b/>
      <w:bCs/>
      <w:sz w:val="27"/>
      <w:szCs w:val="27"/>
    </w:rPr>
  </w:style>
  <w:style w:type="paragraph" w:styleId="1204">
    <w:name w:val="List Paragraph"/>
    <w:basedOn w:val="1018"/>
    <w:uiPriority w:val="34"/>
    <w:qFormat/>
    <w:pPr>
      <w:contextualSpacing/>
      <w:ind w:left="720"/>
    </w:pPr>
  </w:style>
  <w:style w:type="paragraph" w:styleId="1205" w:customStyle="1">
    <w:name w:val="批注文字1"/>
    <w:basedOn w:val="1018"/>
    <w:uiPriority w:val="0"/>
    <w:qFormat/>
    <w:pPr>
      <w:jc w:val="left"/>
    </w:pPr>
  </w:style>
  <w:style w:type="paragraph" w:styleId="1206" w:customStyle="1">
    <w:name w:val="文本块111"/>
    <w:basedOn w:val="1018"/>
    <w:uiPriority w:val="0"/>
    <w:qFormat/>
    <w:pPr>
      <w:ind w:left="256" w:right="6" w:firstLine="624"/>
    </w:pPr>
    <w:rPr>
      <w:rFonts w:eastAsia="仿宋_GB2312"/>
      <w:sz w:val="28"/>
      <w:szCs w:val="20"/>
    </w:rPr>
  </w:style>
  <w:style w:type="paragraph" w:styleId="1207" w:customStyle="1">
    <w:name w:val="正文缩进1"/>
    <w:basedOn w:val="1018"/>
    <w:uiPriority w:val="99"/>
    <w:qFormat/>
    <w:pPr>
      <w:ind w:firstLine="420"/>
    </w:pPr>
  </w:style>
  <w:style w:type="paragraph" w:styleId="1208" w:customStyle="1">
    <w:name w:val="TOC 标题11"/>
    <w:uiPriority w:val="39"/>
    <w:unhideWhenUsed/>
    <w:qFormat/>
    <w:rPr>
      <w:rFonts w:ascii="Times New Roman" w:hAnsi="Times New Roman" w:eastAsia="宋体" w:cs="Times New Roman"/>
      <w:lang w:val="en-US" w:eastAsia="zh-CN" w:bidi="ar-SA"/>
    </w:rPr>
  </w:style>
  <w:style w:type="paragraph" w:styleId="1209" w:customStyle="1">
    <w:name w:val="列出段落1"/>
    <w:basedOn w:val="1069"/>
    <w:uiPriority w:val="0"/>
    <w:qFormat/>
    <w:pPr>
      <w:ind w:firstLine="420"/>
    </w:pPr>
    <w:rPr>
      <w:rFonts w:ascii="Calibri" w:hAnsi="Calibri"/>
    </w:rPr>
  </w:style>
  <w:style w:type="paragraph" w:styleId="1210">
    <w:name w:val="No Spacing"/>
    <w:uiPriority w:val="1"/>
    <w:qFormat/>
    <w:rPr>
      <w:rFonts w:ascii="Times New Roman" w:hAnsi="Times New Roman" w:eastAsia="宋体" w:cs="Times New Roman"/>
      <w:lang w:val="en-US" w:eastAsia="zh-CN" w:bidi="ar-SA"/>
    </w:rPr>
  </w:style>
  <w:style w:type="paragraph" w:styleId="1211" w:customStyle="1">
    <w:name w:val="纯文本1"/>
    <w:basedOn w:val="1168"/>
    <w:uiPriority w:val="0"/>
    <w:qFormat/>
    <w:rPr>
      <w:rFonts w:ascii="宋体" w:hAnsi="Courier New"/>
    </w:rPr>
  </w:style>
  <w:style w:type="paragraph" w:styleId="1212" w:customStyle="1">
    <w:name w:val="BlockQuote1"/>
    <w:basedOn w:val="1065"/>
    <w:uiPriority w:val="0"/>
    <w:qFormat/>
    <w:pPr>
      <w:ind w:left="256" w:right="6" w:firstLine="624"/>
    </w:pPr>
    <w:rPr>
      <w:rFonts w:eastAsia="仿宋_GB2312"/>
      <w:sz w:val="28"/>
    </w:rPr>
  </w:style>
  <w:style w:type="paragraph" w:styleId="1213" w:customStyle="1">
    <w:name w:val="日期1"/>
    <w:basedOn w:val="1018"/>
    <w:next w:val="1018"/>
    <w:uiPriority w:val="0"/>
    <w:qFormat/>
    <w:rPr>
      <w:rFonts w:eastAsia="仿宋_GB2312"/>
      <w:sz w:val="28"/>
      <w:szCs w:val="20"/>
    </w:rPr>
  </w:style>
  <w:style w:type="paragraph" w:styleId="1214" w:customStyle="1">
    <w:name w:val="页脚1"/>
    <w:basedOn w:val="1018"/>
    <w:uiPriority w:val="0"/>
    <w:qFormat/>
    <w:pPr>
      <w:jc w:val="left"/>
      <w:tabs>
        <w:tab w:val="center" w:pos="4153" w:leader="none"/>
        <w:tab w:val="right" w:pos="8306" w:leader="none"/>
      </w:tabs>
    </w:pPr>
    <w:rPr>
      <w:sz w:val="18"/>
    </w:rPr>
  </w:style>
  <w:style w:type="paragraph" w:styleId="1215" w:customStyle="1">
    <w:name w:val="页眉1"/>
    <w:basedOn w:val="1018"/>
    <w:uiPriority w:val="0"/>
    <w:qFormat/>
    <w:pPr>
      <w:jc w:val="center"/>
      <w:tabs>
        <w:tab w:val="center" w:pos="4153" w:leader="none"/>
        <w:tab w:val="right" w:pos="8306" w:leader="none"/>
      </w:tabs>
      <w:pBdr>
        <w:bottom w:val="single" w:color="000000" w:sz="6" w:space="1"/>
      </w:pBdr>
    </w:pPr>
    <w:rPr>
      <w:sz w:val="18"/>
      <w:szCs w:val="18"/>
    </w:rPr>
  </w:style>
  <w:style w:type="paragraph" w:styleId="1216" w:customStyle="1">
    <w:name w:val="普通(网站)1"/>
    <w:basedOn w:val="1018"/>
    <w:uiPriority w:val="0"/>
    <w:qFormat/>
    <w:pPr>
      <w:jc w:val="left"/>
      <w:spacing w:beforeAutospacing="1" w:afterAutospacing="1"/>
    </w:pPr>
    <w:rPr>
      <w:sz w:val="24"/>
    </w:rPr>
  </w:style>
  <w:style w:type="paragraph" w:styleId="1217" w:customStyle="1">
    <w:name w:val="BlockQuote11"/>
    <w:basedOn w:val="1018"/>
    <w:uiPriority w:val="0"/>
    <w:qFormat/>
    <w:pPr>
      <w:ind w:left="256" w:right="6" w:firstLine="624"/>
    </w:pPr>
    <w:rPr>
      <w:rFonts w:eastAsia="仿宋_GB2312"/>
      <w:sz w:val="28"/>
    </w:rPr>
  </w:style>
  <w:style w:type="paragraph" w:styleId="1218" w:customStyle="1">
    <w:name w:val="Default"/>
    <w:next w:val="1018"/>
    <w:uiPriority w:val="0"/>
    <w:qFormat/>
    <w:pPr>
      <w:widowControl w:val="off"/>
    </w:pPr>
    <w:rPr>
      <w:rFonts w:ascii="Times New Roman" w:hAnsi="Times New Roman" w:eastAsia="宋体" w:cs="Calibri"/>
      <w:color w:val="000000"/>
      <w:sz w:val="24"/>
      <w:szCs w:val="24"/>
      <w:lang w:val="en-US" w:eastAsia="zh-CN" w:bidi="ar-SA"/>
    </w:rPr>
  </w:style>
  <w:style w:type="paragraph" w:styleId="1219" w:customStyle="1">
    <w:name w:val="首行缩进"/>
    <w:basedOn w:val="1018"/>
    <w:uiPriority w:val="0"/>
    <w:qFormat/>
    <w:pPr>
      <w:ind w:firstLine="420"/>
      <w:spacing w:line="360" w:lineRule="auto"/>
    </w:pPr>
  </w:style>
  <w:style w:type="paragraph" w:styleId="1220" w:customStyle="1">
    <w:name w:val="Heading21"/>
    <w:basedOn w:val="1018"/>
    <w:next w:val="1018"/>
    <w:uiPriority w:val="0"/>
    <w:qFormat/>
    <w:pPr>
      <w:keepLines/>
      <w:keepNext/>
    </w:pPr>
    <w:rPr>
      <w:rFonts w:ascii="Arial" w:hAnsi="Arial"/>
      <w:sz w:val="28"/>
    </w:rPr>
  </w:style>
  <w:style w:type="paragraph" w:styleId="1221" w:customStyle="1">
    <w:name w:val="标准"/>
    <w:basedOn w:val="1018"/>
    <w:uiPriority w:val="0"/>
    <w:qFormat/>
    <w:pPr>
      <w:ind w:firstLine="200"/>
      <w:spacing w:line="360" w:lineRule="auto"/>
    </w:pPr>
    <w:rPr>
      <w:rFonts w:cs="宋体"/>
      <w:szCs w:val="20"/>
    </w:rPr>
  </w:style>
  <w:style w:type="paragraph" w:styleId="1222" w:customStyle="1">
    <w:name w:val="列出段落2"/>
    <w:basedOn w:val="1018"/>
    <w:uiPriority w:val="34"/>
    <w:qFormat/>
    <w:pPr>
      <w:ind w:firstLine="420"/>
    </w:pPr>
  </w:style>
  <w:style w:type="paragraph" w:styleId="1223" w:customStyle="1">
    <w:name w:val="正文（缩进）"/>
    <w:basedOn w:val="1018"/>
    <w:uiPriority w:val="0"/>
    <w:qFormat/>
    <w:pPr>
      <w:ind w:firstLine="480"/>
      <w:spacing w:line="360" w:lineRule="auto"/>
    </w:pPr>
    <w:rPr>
      <w:sz w:val="24"/>
    </w:rPr>
  </w:style>
  <w:style w:type="paragraph" w:styleId="1224" w:customStyle="1">
    <w:name w:val="Table Paragraph"/>
    <w:basedOn w:val="1065"/>
    <w:uiPriority w:val="0"/>
    <w:qFormat/>
    <w:pPr>
      <w:jc w:val="left"/>
      <w:widowControl w:val="off"/>
    </w:pPr>
    <w:rPr>
      <w:rFonts w:ascii="仿宋" w:hAnsi="仿宋" w:eastAsia="仿宋"/>
      <w:sz w:val="22"/>
      <w:szCs w:val="22"/>
    </w:rPr>
  </w:style>
  <w:style w:type="paragraph" w:styleId="1225" w:customStyle="1">
    <w:name w:val="p0"/>
    <w:basedOn w:val="1018"/>
    <w:uiPriority w:val="0"/>
    <w:qFormat/>
  </w:style>
  <w:style w:type="paragraph" w:styleId="1226" w:customStyle="1">
    <w:name w:val="Normal1"/>
    <w:uiPriority w:val="0"/>
    <w:qFormat/>
    <w:pPr>
      <w:jc w:val="both"/>
    </w:pPr>
    <w:rPr>
      <w:rFonts w:ascii="Times New Roman" w:hAnsi="Times New Roman" w:eastAsia="宋体" w:cs="Times New Roman"/>
      <w:sz w:val="21"/>
      <w:szCs w:val="21"/>
      <w:lang w:val="en-US" w:eastAsia="zh-CN" w:bidi="ar-SA"/>
    </w:rPr>
  </w:style>
  <w:style w:type="paragraph" w:styleId="1227" w:customStyle="1">
    <w:name w:val="WPSOffice手动目录 1"/>
    <w:uiPriority w:val="0"/>
    <w:qFormat/>
    <w:rPr>
      <w:rFonts w:ascii="Times New Roman" w:hAnsi="Times New Roman" w:eastAsia="宋体" w:cs="Times New Roman"/>
      <w:lang w:val="en-US" w:eastAsia="zh-CN" w:bidi="ar-SA"/>
    </w:rPr>
  </w:style>
  <w:style w:type="paragraph" w:styleId="1228" w:customStyle="1">
    <w:name w:val="目录 1111"/>
    <w:basedOn w:val="1018"/>
    <w:next w:val="1018"/>
    <w:uiPriority w:val="39"/>
    <w:unhideWhenUsed/>
    <w:qFormat/>
    <w:pPr>
      <w:jc w:val="left"/>
      <w:spacing w:after="100" w:line="259" w:lineRule="auto"/>
      <w:widowControl/>
    </w:pPr>
    <w:rPr>
      <w:rFonts w:ascii="Calibri" w:hAnsi="Calibri"/>
      <w:sz w:val="22"/>
      <w:szCs w:val="22"/>
    </w:rPr>
  </w:style>
  <w:style w:type="table" w:styleId="1229" w:customStyle="1">
    <w:name w:val="Table Grid Light"/>
    <w:uiPriority w:val="59"/>
    <w:qFormat/>
    <w:tblPr>
      <w:tblCellMar>
        <w:left w:w="0" w:type="dxa"/>
        <w:top w:w="0" w:type="dxa"/>
        <w:right w:w="0" w:type="dxa"/>
        <w:bottom w:w="0" w:type="dxa"/>
      </w:tblCellMar>
    </w:tblPr>
  </w:style>
  <w:style w:type="table" w:styleId="1230" w:customStyle="1">
    <w:name w:val="无格式表格 11"/>
    <w:uiPriority w:val="59"/>
    <w:qFormat/>
    <w:tblPr>
      <w:tblCellMar>
        <w:left w:w="0" w:type="dxa"/>
        <w:top w:w="0" w:type="dxa"/>
        <w:right w:w="0" w:type="dxa"/>
        <w:bottom w:w="0" w:type="dxa"/>
      </w:tblCellMar>
    </w:tblPr>
  </w:style>
  <w:style w:type="table" w:styleId="1231" w:customStyle="1">
    <w:name w:val="无格式表格 21"/>
    <w:uiPriority w:val="59"/>
    <w:qFormat/>
    <w:tblPr>
      <w:tblCellMar>
        <w:left w:w="0" w:type="dxa"/>
        <w:top w:w="0" w:type="dxa"/>
        <w:right w:w="0" w:type="dxa"/>
        <w:bottom w:w="0" w:type="dxa"/>
      </w:tblCellMar>
    </w:tblPr>
  </w:style>
  <w:style w:type="table" w:styleId="1232" w:customStyle="1">
    <w:name w:val="无格式表格 31"/>
    <w:uiPriority w:val="99"/>
    <w:qFormat/>
    <w:tblPr>
      <w:tblCellMar>
        <w:left w:w="0" w:type="dxa"/>
        <w:top w:w="0" w:type="dxa"/>
        <w:right w:w="0" w:type="dxa"/>
        <w:bottom w:w="0" w:type="dxa"/>
      </w:tblCellMar>
    </w:tblPr>
  </w:style>
  <w:style w:type="table" w:styleId="1233" w:customStyle="1">
    <w:name w:val="无格式表格 41"/>
    <w:uiPriority w:val="99"/>
    <w:qFormat/>
    <w:tblPr>
      <w:tblCellMar>
        <w:left w:w="0" w:type="dxa"/>
        <w:top w:w="0" w:type="dxa"/>
        <w:right w:w="0" w:type="dxa"/>
        <w:bottom w:w="0" w:type="dxa"/>
      </w:tblCellMar>
    </w:tblPr>
  </w:style>
  <w:style w:type="table" w:styleId="1234" w:customStyle="1">
    <w:name w:val="无格式表格 51"/>
    <w:uiPriority w:val="99"/>
    <w:qFormat/>
    <w:tblPr>
      <w:tblCellMar>
        <w:left w:w="0" w:type="dxa"/>
        <w:top w:w="0" w:type="dxa"/>
        <w:right w:w="0" w:type="dxa"/>
        <w:bottom w:w="0" w:type="dxa"/>
      </w:tblCellMar>
    </w:tblPr>
  </w:style>
  <w:style w:type="table" w:styleId="1235" w:customStyle="1">
    <w:name w:val="网格表 1 浅色1"/>
    <w:uiPriority w:val="99"/>
    <w:qFormat/>
    <w:tblPr>
      <w:tblCellMar>
        <w:left w:w="0" w:type="dxa"/>
        <w:top w:w="0" w:type="dxa"/>
        <w:right w:w="0" w:type="dxa"/>
        <w:bottom w:w="0" w:type="dxa"/>
      </w:tblCellMar>
    </w:tblPr>
  </w:style>
  <w:style w:type="table" w:styleId="1236" w:customStyle="1">
    <w:name w:val="Grid Table 1 Light - Accent 1"/>
    <w:uiPriority w:val="99"/>
    <w:qFormat/>
    <w:tblPr>
      <w:tblCellMar>
        <w:left w:w="0" w:type="dxa"/>
        <w:top w:w="0" w:type="dxa"/>
        <w:right w:w="0" w:type="dxa"/>
        <w:bottom w:w="0" w:type="dxa"/>
      </w:tblCellMar>
    </w:tblPr>
  </w:style>
  <w:style w:type="table" w:styleId="1237" w:customStyle="1">
    <w:name w:val="Grid Table 1 Light - Accent 2"/>
    <w:uiPriority w:val="99"/>
    <w:qFormat/>
    <w:tblPr>
      <w:tblCellMar>
        <w:left w:w="0" w:type="dxa"/>
        <w:top w:w="0" w:type="dxa"/>
        <w:right w:w="0" w:type="dxa"/>
        <w:bottom w:w="0" w:type="dxa"/>
      </w:tblCellMar>
    </w:tblPr>
  </w:style>
  <w:style w:type="table" w:styleId="1238" w:customStyle="1">
    <w:name w:val="Grid Table 1 Light - Accent 3"/>
    <w:uiPriority w:val="99"/>
    <w:qFormat/>
    <w:tblPr>
      <w:tblCellMar>
        <w:left w:w="0" w:type="dxa"/>
        <w:top w:w="0" w:type="dxa"/>
        <w:right w:w="0" w:type="dxa"/>
        <w:bottom w:w="0" w:type="dxa"/>
      </w:tblCellMar>
    </w:tblPr>
  </w:style>
  <w:style w:type="table" w:styleId="1239" w:customStyle="1">
    <w:name w:val="Grid Table 1 Light - Accent 4"/>
    <w:uiPriority w:val="99"/>
    <w:qFormat/>
    <w:tblPr>
      <w:tblCellMar>
        <w:left w:w="0" w:type="dxa"/>
        <w:top w:w="0" w:type="dxa"/>
        <w:right w:w="0" w:type="dxa"/>
        <w:bottom w:w="0" w:type="dxa"/>
      </w:tblCellMar>
    </w:tblPr>
  </w:style>
  <w:style w:type="table" w:styleId="1240" w:customStyle="1">
    <w:name w:val="Grid Table 1 Light - Accent 5"/>
    <w:uiPriority w:val="99"/>
    <w:qFormat/>
    <w:tblPr>
      <w:tblCellMar>
        <w:left w:w="0" w:type="dxa"/>
        <w:top w:w="0" w:type="dxa"/>
        <w:right w:w="0" w:type="dxa"/>
        <w:bottom w:w="0" w:type="dxa"/>
      </w:tblCellMar>
    </w:tblPr>
  </w:style>
  <w:style w:type="table" w:styleId="1241" w:customStyle="1">
    <w:name w:val="Grid Table 1 Light - Accent 6"/>
    <w:uiPriority w:val="99"/>
    <w:qFormat/>
    <w:tblPr>
      <w:tblCellMar>
        <w:left w:w="0" w:type="dxa"/>
        <w:top w:w="0" w:type="dxa"/>
        <w:right w:w="0" w:type="dxa"/>
        <w:bottom w:w="0" w:type="dxa"/>
      </w:tblCellMar>
    </w:tblPr>
  </w:style>
  <w:style w:type="table" w:styleId="1242" w:customStyle="1">
    <w:name w:val="网格表 21"/>
    <w:uiPriority w:val="99"/>
    <w:qFormat/>
    <w:tblPr>
      <w:tblCellMar>
        <w:left w:w="0" w:type="dxa"/>
        <w:top w:w="0" w:type="dxa"/>
        <w:right w:w="0" w:type="dxa"/>
        <w:bottom w:w="0" w:type="dxa"/>
      </w:tblCellMar>
    </w:tblPr>
  </w:style>
  <w:style w:type="table" w:styleId="1243" w:customStyle="1">
    <w:name w:val="Grid Table 2 - Accent 1"/>
    <w:uiPriority w:val="99"/>
    <w:qFormat/>
    <w:tblPr>
      <w:tblCellMar>
        <w:left w:w="0" w:type="dxa"/>
        <w:top w:w="0" w:type="dxa"/>
        <w:right w:w="0" w:type="dxa"/>
        <w:bottom w:w="0" w:type="dxa"/>
      </w:tblCellMar>
    </w:tblPr>
  </w:style>
  <w:style w:type="table" w:styleId="1244" w:customStyle="1">
    <w:name w:val="Grid Table 2 - Accent 2"/>
    <w:uiPriority w:val="99"/>
    <w:qFormat/>
    <w:tblPr>
      <w:tblCellMar>
        <w:left w:w="0" w:type="dxa"/>
        <w:top w:w="0" w:type="dxa"/>
        <w:right w:w="0" w:type="dxa"/>
        <w:bottom w:w="0" w:type="dxa"/>
      </w:tblCellMar>
    </w:tblPr>
  </w:style>
  <w:style w:type="table" w:styleId="1245" w:customStyle="1">
    <w:name w:val="Grid Table 2 - Accent 3"/>
    <w:uiPriority w:val="99"/>
    <w:qFormat/>
    <w:tblPr>
      <w:tblCellMar>
        <w:left w:w="0" w:type="dxa"/>
        <w:top w:w="0" w:type="dxa"/>
        <w:right w:w="0" w:type="dxa"/>
        <w:bottom w:w="0" w:type="dxa"/>
      </w:tblCellMar>
    </w:tblPr>
  </w:style>
  <w:style w:type="table" w:styleId="1246" w:customStyle="1">
    <w:name w:val="Grid Table 2 - Accent 4"/>
    <w:uiPriority w:val="99"/>
    <w:qFormat/>
    <w:tblPr>
      <w:tblCellMar>
        <w:left w:w="0" w:type="dxa"/>
        <w:top w:w="0" w:type="dxa"/>
        <w:right w:w="0" w:type="dxa"/>
        <w:bottom w:w="0" w:type="dxa"/>
      </w:tblCellMar>
    </w:tblPr>
  </w:style>
  <w:style w:type="table" w:styleId="1247" w:customStyle="1">
    <w:name w:val="Grid Table 2 - Accent 5"/>
    <w:uiPriority w:val="99"/>
    <w:qFormat/>
    <w:tblPr>
      <w:tblCellMar>
        <w:left w:w="0" w:type="dxa"/>
        <w:top w:w="0" w:type="dxa"/>
        <w:right w:w="0" w:type="dxa"/>
        <w:bottom w:w="0" w:type="dxa"/>
      </w:tblCellMar>
    </w:tblPr>
  </w:style>
  <w:style w:type="table" w:styleId="1248" w:customStyle="1">
    <w:name w:val="Grid Table 2 - Accent 6"/>
    <w:uiPriority w:val="99"/>
    <w:qFormat/>
    <w:tblPr>
      <w:tblCellMar>
        <w:left w:w="0" w:type="dxa"/>
        <w:top w:w="0" w:type="dxa"/>
        <w:right w:w="0" w:type="dxa"/>
        <w:bottom w:w="0" w:type="dxa"/>
      </w:tblCellMar>
    </w:tblPr>
  </w:style>
  <w:style w:type="table" w:styleId="1249" w:customStyle="1">
    <w:name w:val="网格表 31"/>
    <w:uiPriority w:val="99"/>
    <w:qFormat/>
    <w:tblPr>
      <w:tblCellMar>
        <w:left w:w="0" w:type="dxa"/>
        <w:top w:w="0" w:type="dxa"/>
        <w:right w:w="0" w:type="dxa"/>
        <w:bottom w:w="0" w:type="dxa"/>
      </w:tblCellMar>
    </w:tblPr>
  </w:style>
  <w:style w:type="table" w:styleId="1250" w:customStyle="1">
    <w:name w:val="Grid Table 3 - Accent 1"/>
    <w:uiPriority w:val="99"/>
    <w:qFormat/>
    <w:tblPr>
      <w:tblCellMar>
        <w:left w:w="0" w:type="dxa"/>
        <w:top w:w="0" w:type="dxa"/>
        <w:right w:w="0" w:type="dxa"/>
        <w:bottom w:w="0" w:type="dxa"/>
      </w:tblCellMar>
    </w:tblPr>
  </w:style>
  <w:style w:type="table" w:styleId="1251" w:customStyle="1">
    <w:name w:val="Grid Table 3 - Accent 2"/>
    <w:uiPriority w:val="99"/>
    <w:qFormat/>
    <w:tblPr>
      <w:tblCellMar>
        <w:left w:w="0" w:type="dxa"/>
        <w:top w:w="0" w:type="dxa"/>
        <w:right w:w="0" w:type="dxa"/>
        <w:bottom w:w="0" w:type="dxa"/>
      </w:tblCellMar>
    </w:tblPr>
  </w:style>
  <w:style w:type="table" w:styleId="1252" w:customStyle="1">
    <w:name w:val="Grid Table 3 - Accent 3"/>
    <w:uiPriority w:val="99"/>
    <w:qFormat/>
    <w:tblPr>
      <w:tblCellMar>
        <w:left w:w="0" w:type="dxa"/>
        <w:top w:w="0" w:type="dxa"/>
        <w:right w:w="0" w:type="dxa"/>
        <w:bottom w:w="0" w:type="dxa"/>
      </w:tblCellMar>
    </w:tblPr>
  </w:style>
  <w:style w:type="table" w:styleId="1253" w:customStyle="1">
    <w:name w:val="Grid Table 3 - Accent 4"/>
    <w:uiPriority w:val="99"/>
    <w:qFormat/>
    <w:tblPr>
      <w:tblCellMar>
        <w:left w:w="0" w:type="dxa"/>
        <w:top w:w="0" w:type="dxa"/>
        <w:right w:w="0" w:type="dxa"/>
        <w:bottom w:w="0" w:type="dxa"/>
      </w:tblCellMar>
    </w:tblPr>
  </w:style>
  <w:style w:type="table" w:styleId="1254" w:customStyle="1">
    <w:name w:val="Grid Table 3 - Accent 5"/>
    <w:uiPriority w:val="99"/>
    <w:qFormat/>
    <w:tblPr>
      <w:tblCellMar>
        <w:left w:w="0" w:type="dxa"/>
        <w:top w:w="0" w:type="dxa"/>
        <w:right w:w="0" w:type="dxa"/>
        <w:bottom w:w="0" w:type="dxa"/>
      </w:tblCellMar>
    </w:tblPr>
  </w:style>
  <w:style w:type="table" w:styleId="1255" w:customStyle="1">
    <w:name w:val="Grid Table 3 - Accent 6"/>
    <w:uiPriority w:val="99"/>
    <w:qFormat/>
    <w:tblPr>
      <w:tblCellMar>
        <w:left w:w="0" w:type="dxa"/>
        <w:top w:w="0" w:type="dxa"/>
        <w:right w:w="0" w:type="dxa"/>
        <w:bottom w:w="0" w:type="dxa"/>
      </w:tblCellMar>
    </w:tblPr>
  </w:style>
  <w:style w:type="table" w:styleId="1256" w:customStyle="1">
    <w:name w:val="网格表 41"/>
    <w:uiPriority w:val="59"/>
    <w:qFormat/>
    <w:tblPr>
      <w:tblCellMar>
        <w:left w:w="0" w:type="dxa"/>
        <w:top w:w="0" w:type="dxa"/>
        <w:right w:w="0" w:type="dxa"/>
        <w:bottom w:w="0" w:type="dxa"/>
      </w:tblCellMar>
    </w:tblPr>
  </w:style>
  <w:style w:type="table" w:styleId="1257" w:customStyle="1">
    <w:name w:val="Grid Table 4 - Accent 1"/>
    <w:uiPriority w:val="59"/>
    <w:qFormat/>
    <w:tblPr>
      <w:tblCellMar>
        <w:left w:w="0" w:type="dxa"/>
        <w:top w:w="0" w:type="dxa"/>
        <w:right w:w="0" w:type="dxa"/>
        <w:bottom w:w="0" w:type="dxa"/>
      </w:tblCellMar>
    </w:tblPr>
  </w:style>
  <w:style w:type="table" w:styleId="1258" w:customStyle="1">
    <w:name w:val="Grid Table 4 - Accent 2"/>
    <w:uiPriority w:val="59"/>
    <w:qFormat/>
    <w:tblPr>
      <w:tblCellMar>
        <w:left w:w="0" w:type="dxa"/>
        <w:top w:w="0" w:type="dxa"/>
        <w:right w:w="0" w:type="dxa"/>
        <w:bottom w:w="0" w:type="dxa"/>
      </w:tblCellMar>
    </w:tblPr>
  </w:style>
  <w:style w:type="table" w:styleId="1259" w:customStyle="1">
    <w:name w:val="Grid Table 4 - Accent 3"/>
    <w:uiPriority w:val="59"/>
    <w:qFormat/>
    <w:tblPr>
      <w:tblCellMar>
        <w:left w:w="0" w:type="dxa"/>
        <w:top w:w="0" w:type="dxa"/>
        <w:right w:w="0" w:type="dxa"/>
        <w:bottom w:w="0" w:type="dxa"/>
      </w:tblCellMar>
    </w:tblPr>
  </w:style>
  <w:style w:type="table" w:styleId="1260" w:customStyle="1">
    <w:name w:val="Grid Table 4 - Accent 4"/>
    <w:uiPriority w:val="59"/>
    <w:qFormat/>
    <w:tblPr>
      <w:tblCellMar>
        <w:left w:w="0" w:type="dxa"/>
        <w:top w:w="0" w:type="dxa"/>
        <w:right w:w="0" w:type="dxa"/>
        <w:bottom w:w="0" w:type="dxa"/>
      </w:tblCellMar>
    </w:tblPr>
  </w:style>
  <w:style w:type="table" w:styleId="1261" w:customStyle="1">
    <w:name w:val="Grid Table 4 - Accent 5"/>
    <w:uiPriority w:val="59"/>
    <w:qFormat/>
    <w:tblPr>
      <w:tblCellMar>
        <w:left w:w="0" w:type="dxa"/>
        <w:top w:w="0" w:type="dxa"/>
        <w:right w:w="0" w:type="dxa"/>
        <w:bottom w:w="0" w:type="dxa"/>
      </w:tblCellMar>
    </w:tblPr>
  </w:style>
  <w:style w:type="table" w:styleId="1262" w:customStyle="1">
    <w:name w:val="Grid Table 4 - Accent 6"/>
    <w:uiPriority w:val="59"/>
    <w:qFormat/>
    <w:tblPr>
      <w:tblCellMar>
        <w:left w:w="0" w:type="dxa"/>
        <w:top w:w="0" w:type="dxa"/>
        <w:right w:w="0" w:type="dxa"/>
        <w:bottom w:w="0" w:type="dxa"/>
      </w:tblCellMar>
    </w:tblPr>
  </w:style>
  <w:style w:type="table" w:styleId="1263" w:customStyle="1">
    <w:name w:val="网格表 5 深色1"/>
    <w:uiPriority w:val="99"/>
    <w:qFormat/>
    <w:tblPr>
      <w:tblCellMar>
        <w:left w:w="0" w:type="dxa"/>
        <w:top w:w="0" w:type="dxa"/>
        <w:right w:w="0" w:type="dxa"/>
        <w:bottom w:w="0" w:type="dxa"/>
      </w:tblCellMar>
    </w:tblPr>
  </w:style>
  <w:style w:type="table" w:styleId="1264" w:customStyle="1">
    <w:name w:val="Grid Table 5 Dark- Accent 1"/>
    <w:uiPriority w:val="99"/>
    <w:qFormat/>
    <w:tblPr>
      <w:tblCellMar>
        <w:left w:w="0" w:type="dxa"/>
        <w:top w:w="0" w:type="dxa"/>
        <w:right w:w="0" w:type="dxa"/>
        <w:bottom w:w="0" w:type="dxa"/>
      </w:tblCellMar>
    </w:tblPr>
  </w:style>
  <w:style w:type="table" w:styleId="1265" w:customStyle="1">
    <w:name w:val="Grid Table 5 Dark - Accent 2"/>
    <w:uiPriority w:val="99"/>
    <w:qFormat/>
    <w:tblPr>
      <w:tblCellMar>
        <w:left w:w="0" w:type="dxa"/>
        <w:top w:w="0" w:type="dxa"/>
        <w:right w:w="0" w:type="dxa"/>
        <w:bottom w:w="0" w:type="dxa"/>
      </w:tblCellMar>
    </w:tblPr>
  </w:style>
  <w:style w:type="table" w:styleId="1266" w:customStyle="1">
    <w:name w:val="Grid Table 5 Dark - Accent 3"/>
    <w:uiPriority w:val="99"/>
    <w:qFormat/>
    <w:tblPr>
      <w:tblCellMar>
        <w:left w:w="0" w:type="dxa"/>
        <w:top w:w="0" w:type="dxa"/>
        <w:right w:w="0" w:type="dxa"/>
        <w:bottom w:w="0" w:type="dxa"/>
      </w:tblCellMar>
    </w:tblPr>
  </w:style>
  <w:style w:type="table" w:styleId="1267" w:customStyle="1">
    <w:name w:val="Grid Table 5 Dark- Accent 4"/>
    <w:uiPriority w:val="99"/>
    <w:qFormat/>
    <w:tblPr>
      <w:tblCellMar>
        <w:left w:w="0" w:type="dxa"/>
        <w:top w:w="0" w:type="dxa"/>
        <w:right w:w="0" w:type="dxa"/>
        <w:bottom w:w="0" w:type="dxa"/>
      </w:tblCellMar>
    </w:tblPr>
  </w:style>
  <w:style w:type="table" w:styleId="1268" w:customStyle="1">
    <w:name w:val="Grid Table 5 Dark - Accent 5"/>
    <w:uiPriority w:val="99"/>
    <w:qFormat/>
    <w:tblPr>
      <w:tblCellMar>
        <w:left w:w="0" w:type="dxa"/>
        <w:top w:w="0" w:type="dxa"/>
        <w:right w:w="0" w:type="dxa"/>
        <w:bottom w:w="0" w:type="dxa"/>
      </w:tblCellMar>
    </w:tblPr>
  </w:style>
  <w:style w:type="table" w:styleId="1269" w:customStyle="1">
    <w:name w:val="Grid Table 5 Dark - Accent 6"/>
    <w:uiPriority w:val="99"/>
    <w:qFormat/>
    <w:tblPr>
      <w:tblCellMar>
        <w:left w:w="0" w:type="dxa"/>
        <w:top w:w="0" w:type="dxa"/>
        <w:right w:w="0" w:type="dxa"/>
        <w:bottom w:w="0" w:type="dxa"/>
      </w:tblCellMar>
    </w:tblPr>
  </w:style>
  <w:style w:type="table" w:styleId="1270" w:customStyle="1">
    <w:name w:val="网格表 6 彩色1"/>
    <w:uiPriority w:val="99"/>
    <w:qFormat/>
    <w:tblPr>
      <w:tblCellMar>
        <w:left w:w="0" w:type="dxa"/>
        <w:top w:w="0" w:type="dxa"/>
        <w:right w:w="0" w:type="dxa"/>
        <w:bottom w:w="0" w:type="dxa"/>
      </w:tblCellMar>
    </w:tblPr>
  </w:style>
  <w:style w:type="table" w:styleId="1271" w:customStyle="1">
    <w:name w:val="Grid Table 6 Colorful - Accent 1"/>
    <w:uiPriority w:val="99"/>
    <w:qFormat/>
    <w:tblPr>
      <w:tblCellMar>
        <w:left w:w="0" w:type="dxa"/>
        <w:top w:w="0" w:type="dxa"/>
        <w:right w:w="0" w:type="dxa"/>
        <w:bottom w:w="0" w:type="dxa"/>
      </w:tblCellMar>
    </w:tblPr>
  </w:style>
  <w:style w:type="table" w:styleId="1272" w:customStyle="1">
    <w:name w:val="Grid Table 6 Colorful - Accent 2"/>
    <w:uiPriority w:val="99"/>
    <w:qFormat/>
    <w:tblPr>
      <w:tblCellMar>
        <w:left w:w="0" w:type="dxa"/>
        <w:top w:w="0" w:type="dxa"/>
        <w:right w:w="0" w:type="dxa"/>
        <w:bottom w:w="0" w:type="dxa"/>
      </w:tblCellMar>
    </w:tblPr>
  </w:style>
  <w:style w:type="table" w:styleId="1273" w:customStyle="1">
    <w:name w:val="Grid Table 6 Colorful - Accent 3"/>
    <w:uiPriority w:val="99"/>
    <w:qFormat/>
    <w:tblPr>
      <w:tblCellMar>
        <w:left w:w="0" w:type="dxa"/>
        <w:top w:w="0" w:type="dxa"/>
        <w:right w:w="0" w:type="dxa"/>
        <w:bottom w:w="0" w:type="dxa"/>
      </w:tblCellMar>
    </w:tblPr>
  </w:style>
  <w:style w:type="table" w:styleId="1274" w:customStyle="1">
    <w:name w:val="Grid Table 6 Colorful - Accent 4"/>
    <w:uiPriority w:val="99"/>
    <w:qFormat/>
    <w:tblPr>
      <w:tblCellMar>
        <w:left w:w="0" w:type="dxa"/>
        <w:top w:w="0" w:type="dxa"/>
        <w:right w:w="0" w:type="dxa"/>
        <w:bottom w:w="0" w:type="dxa"/>
      </w:tblCellMar>
    </w:tblPr>
  </w:style>
  <w:style w:type="table" w:styleId="1275" w:customStyle="1">
    <w:name w:val="Grid Table 6 Colorful - Accent 5"/>
    <w:uiPriority w:val="99"/>
    <w:qFormat/>
    <w:tblPr>
      <w:tblCellMar>
        <w:left w:w="0" w:type="dxa"/>
        <w:top w:w="0" w:type="dxa"/>
        <w:right w:w="0" w:type="dxa"/>
        <w:bottom w:w="0" w:type="dxa"/>
      </w:tblCellMar>
    </w:tblPr>
  </w:style>
  <w:style w:type="table" w:styleId="1276" w:customStyle="1">
    <w:name w:val="Grid Table 6 Colorful - Accent 6"/>
    <w:uiPriority w:val="99"/>
    <w:qFormat/>
    <w:tblPr>
      <w:tblCellMar>
        <w:left w:w="0" w:type="dxa"/>
        <w:top w:w="0" w:type="dxa"/>
        <w:right w:w="0" w:type="dxa"/>
        <w:bottom w:w="0" w:type="dxa"/>
      </w:tblCellMar>
    </w:tblPr>
  </w:style>
  <w:style w:type="table" w:styleId="1277" w:customStyle="1">
    <w:name w:val="网格表 7 彩色1"/>
    <w:uiPriority w:val="99"/>
    <w:qFormat/>
    <w:tblPr>
      <w:tblCellMar>
        <w:left w:w="0" w:type="dxa"/>
        <w:top w:w="0" w:type="dxa"/>
        <w:right w:w="0" w:type="dxa"/>
        <w:bottom w:w="0" w:type="dxa"/>
      </w:tblCellMar>
    </w:tblPr>
  </w:style>
  <w:style w:type="table" w:styleId="1278" w:customStyle="1">
    <w:name w:val="Grid Table 7 Colorful - Accent 1"/>
    <w:uiPriority w:val="99"/>
    <w:qFormat/>
    <w:tblPr>
      <w:tblCellMar>
        <w:left w:w="0" w:type="dxa"/>
        <w:top w:w="0" w:type="dxa"/>
        <w:right w:w="0" w:type="dxa"/>
        <w:bottom w:w="0" w:type="dxa"/>
      </w:tblCellMar>
    </w:tblPr>
  </w:style>
  <w:style w:type="table" w:styleId="1279" w:customStyle="1">
    <w:name w:val="Grid Table 7 Colorful - Accent 2"/>
    <w:uiPriority w:val="99"/>
    <w:qFormat/>
    <w:tblPr>
      <w:tblCellMar>
        <w:left w:w="0" w:type="dxa"/>
        <w:top w:w="0" w:type="dxa"/>
        <w:right w:w="0" w:type="dxa"/>
        <w:bottom w:w="0" w:type="dxa"/>
      </w:tblCellMar>
    </w:tblPr>
  </w:style>
  <w:style w:type="table" w:styleId="1280" w:customStyle="1">
    <w:name w:val="Grid Table 7 Colorful - Accent 3"/>
    <w:uiPriority w:val="99"/>
    <w:qFormat/>
    <w:tblPr>
      <w:tblCellMar>
        <w:left w:w="0" w:type="dxa"/>
        <w:top w:w="0" w:type="dxa"/>
        <w:right w:w="0" w:type="dxa"/>
        <w:bottom w:w="0" w:type="dxa"/>
      </w:tblCellMar>
    </w:tblPr>
  </w:style>
  <w:style w:type="table" w:styleId="1281" w:customStyle="1">
    <w:name w:val="Grid Table 7 Colorful - Accent 4"/>
    <w:uiPriority w:val="99"/>
    <w:qFormat/>
    <w:tblPr>
      <w:tblCellMar>
        <w:left w:w="0" w:type="dxa"/>
        <w:top w:w="0" w:type="dxa"/>
        <w:right w:w="0" w:type="dxa"/>
        <w:bottom w:w="0" w:type="dxa"/>
      </w:tblCellMar>
    </w:tblPr>
  </w:style>
  <w:style w:type="table" w:styleId="1282" w:customStyle="1">
    <w:name w:val="Grid Table 7 Colorful - Accent 5"/>
    <w:uiPriority w:val="99"/>
    <w:qFormat/>
    <w:tblPr>
      <w:tblCellMar>
        <w:left w:w="0" w:type="dxa"/>
        <w:top w:w="0" w:type="dxa"/>
        <w:right w:w="0" w:type="dxa"/>
        <w:bottom w:w="0" w:type="dxa"/>
      </w:tblCellMar>
    </w:tblPr>
  </w:style>
  <w:style w:type="table" w:styleId="1283" w:customStyle="1">
    <w:name w:val="Grid Table 7 Colorful - Accent 6"/>
    <w:uiPriority w:val="99"/>
    <w:qFormat/>
    <w:tblPr>
      <w:tblCellMar>
        <w:left w:w="0" w:type="dxa"/>
        <w:top w:w="0" w:type="dxa"/>
        <w:right w:w="0" w:type="dxa"/>
        <w:bottom w:w="0" w:type="dxa"/>
      </w:tblCellMar>
    </w:tblPr>
  </w:style>
  <w:style w:type="table" w:styleId="1284" w:customStyle="1">
    <w:name w:val="清单表 1 浅色1"/>
    <w:uiPriority w:val="99"/>
    <w:qFormat/>
    <w:tblPr>
      <w:tblCellMar>
        <w:left w:w="0" w:type="dxa"/>
        <w:top w:w="0" w:type="dxa"/>
        <w:right w:w="0" w:type="dxa"/>
        <w:bottom w:w="0" w:type="dxa"/>
      </w:tblCellMar>
    </w:tblPr>
  </w:style>
  <w:style w:type="table" w:styleId="1285" w:customStyle="1">
    <w:name w:val="List Table 1 Light - Accent 1"/>
    <w:uiPriority w:val="99"/>
    <w:qFormat/>
    <w:tblPr>
      <w:tblCellMar>
        <w:left w:w="0" w:type="dxa"/>
        <w:top w:w="0" w:type="dxa"/>
        <w:right w:w="0" w:type="dxa"/>
        <w:bottom w:w="0" w:type="dxa"/>
      </w:tblCellMar>
    </w:tblPr>
  </w:style>
  <w:style w:type="table" w:styleId="1286" w:customStyle="1">
    <w:name w:val="List Table 1 Light - Accent 2"/>
    <w:uiPriority w:val="99"/>
    <w:qFormat/>
    <w:tblPr>
      <w:tblCellMar>
        <w:left w:w="0" w:type="dxa"/>
        <w:top w:w="0" w:type="dxa"/>
        <w:right w:w="0" w:type="dxa"/>
        <w:bottom w:w="0" w:type="dxa"/>
      </w:tblCellMar>
    </w:tblPr>
  </w:style>
  <w:style w:type="table" w:styleId="1287" w:customStyle="1">
    <w:name w:val="List Table 1 Light - Accent 3"/>
    <w:uiPriority w:val="99"/>
    <w:qFormat/>
    <w:tblPr>
      <w:tblCellMar>
        <w:left w:w="0" w:type="dxa"/>
        <w:top w:w="0" w:type="dxa"/>
        <w:right w:w="0" w:type="dxa"/>
        <w:bottom w:w="0" w:type="dxa"/>
      </w:tblCellMar>
    </w:tblPr>
  </w:style>
  <w:style w:type="table" w:styleId="1288" w:customStyle="1">
    <w:name w:val="List Table 1 Light - Accent 4"/>
    <w:uiPriority w:val="99"/>
    <w:qFormat/>
    <w:tblPr>
      <w:tblCellMar>
        <w:left w:w="0" w:type="dxa"/>
        <w:top w:w="0" w:type="dxa"/>
        <w:right w:w="0" w:type="dxa"/>
        <w:bottom w:w="0" w:type="dxa"/>
      </w:tblCellMar>
    </w:tblPr>
  </w:style>
  <w:style w:type="table" w:styleId="1289" w:customStyle="1">
    <w:name w:val="List Table 1 Light - Accent 5"/>
    <w:uiPriority w:val="99"/>
    <w:qFormat/>
    <w:tblPr>
      <w:tblCellMar>
        <w:left w:w="0" w:type="dxa"/>
        <w:top w:w="0" w:type="dxa"/>
        <w:right w:w="0" w:type="dxa"/>
        <w:bottom w:w="0" w:type="dxa"/>
      </w:tblCellMar>
    </w:tblPr>
  </w:style>
  <w:style w:type="table" w:styleId="1290" w:customStyle="1">
    <w:name w:val="List Table 7 Colorful - Accent 1"/>
    <w:uiPriority w:val="99"/>
    <w:qFormat/>
    <w:tblPr>
      <w:tblCellMar>
        <w:left w:w="0" w:type="dxa"/>
        <w:top w:w="0" w:type="dxa"/>
        <w:right w:w="0" w:type="dxa"/>
        <w:bottom w:w="0" w:type="dxa"/>
      </w:tblCellMar>
    </w:tblPr>
  </w:style>
  <w:style w:type="table" w:styleId="1291" w:customStyle="1">
    <w:name w:val="List Table 1 Light - Accent 6"/>
    <w:uiPriority w:val="99"/>
    <w:qFormat/>
    <w:tblPr>
      <w:tblCellMar>
        <w:left w:w="0" w:type="dxa"/>
        <w:top w:w="0" w:type="dxa"/>
        <w:right w:w="0" w:type="dxa"/>
        <w:bottom w:w="0" w:type="dxa"/>
      </w:tblCellMar>
    </w:tblPr>
  </w:style>
  <w:style w:type="table" w:styleId="1292" w:customStyle="1">
    <w:name w:val="List Table 6 Colorful - Accent 5"/>
    <w:uiPriority w:val="99"/>
    <w:qFormat/>
    <w:tblPr>
      <w:tblCellMar>
        <w:left w:w="0" w:type="dxa"/>
        <w:top w:w="0" w:type="dxa"/>
        <w:right w:w="0" w:type="dxa"/>
        <w:bottom w:w="0" w:type="dxa"/>
      </w:tblCellMar>
    </w:tblPr>
  </w:style>
  <w:style w:type="table" w:styleId="1293" w:customStyle="1">
    <w:name w:val="清单表 21"/>
    <w:uiPriority w:val="99"/>
    <w:qFormat/>
    <w:tblPr>
      <w:tblCellMar>
        <w:left w:w="0" w:type="dxa"/>
        <w:top w:w="0" w:type="dxa"/>
        <w:right w:w="0" w:type="dxa"/>
        <w:bottom w:w="0" w:type="dxa"/>
      </w:tblCellMar>
    </w:tblPr>
  </w:style>
  <w:style w:type="table" w:styleId="1294" w:customStyle="1">
    <w:name w:val="List Table 2 - Accent 1"/>
    <w:uiPriority w:val="99"/>
    <w:qFormat/>
    <w:tblPr>
      <w:tblCellMar>
        <w:left w:w="0" w:type="dxa"/>
        <w:top w:w="0" w:type="dxa"/>
        <w:right w:w="0" w:type="dxa"/>
        <w:bottom w:w="0" w:type="dxa"/>
      </w:tblCellMar>
    </w:tblPr>
  </w:style>
  <w:style w:type="table" w:styleId="1295" w:customStyle="1">
    <w:name w:val="Lined - Accent 4"/>
    <w:uiPriority w:val="99"/>
    <w:qFormat/>
    <w:rPr>
      <w:color w:val="404040"/>
    </w:rPr>
    <w:tblPr>
      <w:tblCellMar>
        <w:left w:w="0" w:type="dxa"/>
        <w:top w:w="0" w:type="dxa"/>
        <w:right w:w="0" w:type="dxa"/>
        <w:bottom w:w="0" w:type="dxa"/>
      </w:tblCellMar>
    </w:tblPr>
  </w:style>
  <w:style w:type="table" w:styleId="1296" w:customStyle="1">
    <w:name w:val="List Table 2 - Accent 2"/>
    <w:uiPriority w:val="99"/>
    <w:qFormat/>
    <w:tblPr>
      <w:tblCellMar>
        <w:left w:w="0" w:type="dxa"/>
        <w:top w:w="0" w:type="dxa"/>
        <w:right w:w="0" w:type="dxa"/>
        <w:bottom w:w="0" w:type="dxa"/>
      </w:tblCellMar>
    </w:tblPr>
  </w:style>
  <w:style w:type="table" w:styleId="1297" w:customStyle="1">
    <w:name w:val="Lined - Accent 1"/>
    <w:uiPriority w:val="99"/>
    <w:qFormat/>
    <w:rPr>
      <w:color w:val="404040"/>
    </w:rPr>
    <w:tblPr>
      <w:tblCellMar>
        <w:left w:w="0" w:type="dxa"/>
        <w:top w:w="0" w:type="dxa"/>
        <w:right w:w="0" w:type="dxa"/>
        <w:bottom w:w="0" w:type="dxa"/>
      </w:tblCellMar>
    </w:tblPr>
  </w:style>
  <w:style w:type="table" w:styleId="1298" w:customStyle="1">
    <w:name w:val="List Table 2 - Accent 3"/>
    <w:uiPriority w:val="99"/>
    <w:qFormat/>
    <w:tblPr>
      <w:tblCellMar>
        <w:left w:w="0" w:type="dxa"/>
        <w:top w:w="0" w:type="dxa"/>
        <w:right w:w="0" w:type="dxa"/>
        <w:bottom w:w="0" w:type="dxa"/>
      </w:tblCellMar>
    </w:tblPr>
  </w:style>
  <w:style w:type="table" w:styleId="1299" w:customStyle="1">
    <w:name w:val="Bordered &amp; Lined - Accent 2"/>
    <w:uiPriority w:val="99"/>
    <w:qFormat/>
    <w:rPr>
      <w:color w:val="404040"/>
    </w:rPr>
    <w:tblPr>
      <w:tblCellMar>
        <w:left w:w="0" w:type="dxa"/>
        <w:top w:w="0" w:type="dxa"/>
        <w:right w:w="0" w:type="dxa"/>
        <w:bottom w:w="0" w:type="dxa"/>
      </w:tblCellMar>
    </w:tblPr>
  </w:style>
  <w:style w:type="table" w:styleId="1300" w:customStyle="1">
    <w:name w:val="List Table 2 - Accent 4"/>
    <w:uiPriority w:val="99"/>
    <w:qFormat/>
    <w:tblPr>
      <w:tblCellMar>
        <w:left w:w="0" w:type="dxa"/>
        <w:top w:w="0" w:type="dxa"/>
        <w:right w:w="0" w:type="dxa"/>
        <w:bottom w:w="0" w:type="dxa"/>
      </w:tblCellMar>
    </w:tblPr>
  </w:style>
  <w:style w:type="table" w:styleId="1301" w:customStyle="1">
    <w:name w:val="Lined - Accent"/>
    <w:uiPriority w:val="99"/>
    <w:qFormat/>
    <w:rPr>
      <w:color w:val="404040"/>
    </w:rPr>
    <w:tblPr>
      <w:tblCellMar>
        <w:left w:w="0" w:type="dxa"/>
        <w:top w:w="0" w:type="dxa"/>
        <w:right w:w="0" w:type="dxa"/>
        <w:bottom w:w="0" w:type="dxa"/>
      </w:tblCellMar>
    </w:tblPr>
  </w:style>
  <w:style w:type="table" w:styleId="1302" w:customStyle="1">
    <w:name w:val="List Table 2 - Accent 5"/>
    <w:uiPriority w:val="99"/>
    <w:qFormat/>
    <w:tblPr>
      <w:tblCellMar>
        <w:left w:w="0" w:type="dxa"/>
        <w:top w:w="0" w:type="dxa"/>
        <w:right w:w="0" w:type="dxa"/>
        <w:bottom w:w="0" w:type="dxa"/>
      </w:tblCellMar>
    </w:tblPr>
  </w:style>
  <w:style w:type="table" w:styleId="1303" w:customStyle="1">
    <w:name w:val="Lined - Accent 2"/>
    <w:uiPriority w:val="99"/>
    <w:qFormat/>
    <w:rPr>
      <w:color w:val="404040"/>
    </w:rPr>
    <w:tblPr>
      <w:tblCellMar>
        <w:left w:w="0" w:type="dxa"/>
        <w:top w:w="0" w:type="dxa"/>
        <w:right w:w="0" w:type="dxa"/>
        <w:bottom w:w="0" w:type="dxa"/>
      </w:tblCellMar>
    </w:tblPr>
  </w:style>
  <w:style w:type="table" w:styleId="1304" w:customStyle="1">
    <w:name w:val="List Table 2 - Accent 6"/>
    <w:uiPriority w:val="99"/>
    <w:qFormat/>
    <w:tblPr>
      <w:tblCellMar>
        <w:left w:w="0" w:type="dxa"/>
        <w:top w:w="0" w:type="dxa"/>
        <w:right w:w="0" w:type="dxa"/>
        <w:bottom w:w="0" w:type="dxa"/>
      </w:tblCellMar>
    </w:tblPr>
  </w:style>
  <w:style w:type="table" w:styleId="1305" w:customStyle="1">
    <w:name w:val="List Table 6 Colorful - Accent 6"/>
    <w:uiPriority w:val="99"/>
    <w:qFormat/>
    <w:tblPr>
      <w:tblCellMar>
        <w:left w:w="0" w:type="dxa"/>
        <w:top w:w="0" w:type="dxa"/>
        <w:right w:w="0" w:type="dxa"/>
        <w:bottom w:w="0" w:type="dxa"/>
      </w:tblCellMar>
    </w:tblPr>
  </w:style>
  <w:style w:type="table" w:styleId="1306" w:customStyle="1">
    <w:name w:val="清单表 31"/>
    <w:uiPriority w:val="99"/>
    <w:qFormat/>
    <w:tblPr>
      <w:tblCellMar>
        <w:left w:w="0" w:type="dxa"/>
        <w:top w:w="0" w:type="dxa"/>
        <w:right w:w="0" w:type="dxa"/>
        <w:bottom w:w="0" w:type="dxa"/>
      </w:tblCellMar>
    </w:tblPr>
  </w:style>
  <w:style w:type="table" w:styleId="1307" w:customStyle="1">
    <w:name w:val="List Table 3 - Accent 1"/>
    <w:uiPriority w:val="99"/>
    <w:qFormat/>
    <w:tblPr>
      <w:tblCellMar>
        <w:left w:w="0" w:type="dxa"/>
        <w:top w:w="0" w:type="dxa"/>
        <w:right w:w="0" w:type="dxa"/>
        <w:bottom w:w="0" w:type="dxa"/>
      </w:tblCellMar>
    </w:tblPr>
  </w:style>
  <w:style w:type="table" w:styleId="1308" w:customStyle="1">
    <w:name w:val="清单表 7 彩色1"/>
    <w:uiPriority w:val="99"/>
    <w:qFormat/>
    <w:tblPr>
      <w:tblCellMar>
        <w:left w:w="0" w:type="dxa"/>
        <w:top w:w="0" w:type="dxa"/>
        <w:right w:w="0" w:type="dxa"/>
        <w:bottom w:w="0" w:type="dxa"/>
      </w:tblCellMar>
    </w:tblPr>
  </w:style>
  <w:style w:type="table" w:styleId="1309" w:customStyle="1">
    <w:name w:val="List Table 3 - Accent 2"/>
    <w:uiPriority w:val="99"/>
    <w:qFormat/>
    <w:tblPr>
      <w:tblCellMar>
        <w:left w:w="0" w:type="dxa"/>
        <w:top w:w="0" w:type="dxa"/>
        <w:right w:w="0" w:type="dxa"/>
        <w:bottom w:w="0" w:type="dxa"/>
      </w:tblCellMar>
    </w:tblPr>
  </w:style>
  <w:style w:type="table" w:styleId="1310" w:customStyle="1">
    <w:name w:val="List Table 3 - Accent 3"/>
    <w:uiPriority w:val="99"/>
    <w:qFormat/>
    <w:tblPr>
      <w:tblCellMar>
        <w:left w:w="0" w:type="dxa"/>
        <w:top w:w="0" w:type="dxa"/>
        <w:right w:w="0" w:type="dxa"/>
        <w:bottom w:w="0" w:type="dxa"/>
      </w:tblCellMar>
    </w:tblPr>
  </w:style>
  <w:style w:type="table" w:styleId="1311" w:customStyle="1">
    <w:name w:val="Lined - Accent 3"/>
    <w:uiPriority w:val="99"/>
    <w:qFormat/>
    <w:rPr>
      <w:color w:val="404040"/>
    </w:rPr>
    <w:tblPr>
      <w:tblCellMar>
        <w:left w:w="0" w:type="dxa"/>
        <w:top w:w="0" w:type="dxa"/>
        <w:right w:w="0" w:type="dxa"/>
        <w:bottom w:w="0" w:type="dxa"/>
      </w:tblCellMar>
    </w:tblPr>
  </w:style>
  <w:style w:type="table" w:styleId="1312" w:customStyle="1">
    <w:name w:val="List Table 3 - Accent 4"/>
    <w:uiPriority w:val="99"/>
    <w:qFormat/>
    <w:tblPr>
      <w:tblCellMar>
        <w:left w:w="0" w:type="dxa"/>
        <w:top w:w="0" w:type="dxa"/>
        <w:right w:w="0" w:type="dxa"/>
        <w:bottom w:w="0" w:type="dxa"/>
      </w:tblCellMar>
    </w:tblPr>
  </w:style>
  <w:style w:type="table" w:styleId="1313" w:customStyle="1">
    <w:name w:val="List Table 3 - Accent 5"/>
    <w:uiPriority w:val="99"/>
    <w:qFormat/>
    <w:tblPr>
      <w:tblCellMar>
        <w:left w:w="0" w:type="dxa"/>
        <w:top w:w="0" w:type="dxa"/>
        <w:right w:w="0" w:type="dxa"/>
        <w:bottom w:w="0" w:type="dxa"/>
      </w:tblCellMar>
    </w:tblPr>
  </w:style>
  <w:style w:type="table" w:styleId="1314" w:customStyle="1">
    <w:name w:val="List Table 6 Colorful - Accent 3"/>
    <w:uiPriority w:val="99"/>
    <w:qFormat/>
    <w:tblPr>
      <w:tblCellMar>
        <w:left w:w="0" w:type="dxa"/>
        <w:top w:w="0" w:type="dxa"/>
        <w:right w:w="0" w:type="dxa"/>
        <w:bottom w:w="0" w:type="dxa"/>
      </w:tblCellMar>
    </w:tblPr>
  </w:style>
  <w:style w:type="table" w:styleId="1315" w:customStyle="1">
    <w:name w:val="List Table 3 - Accent 6"/>
    <w:uiPriority w:val="99"/>
    <w:qFormat/>
    <w:tblPr>
      <w:tblCellMar>
        <w:left w:w="0" w:type="dxa"/>
        <w:top w:w="0" w:type="dxa"/>
        <w:right w:w="0" w:type="dxa"/>
        <w:bottom w:w="0" w:type="dxa"/>
      </w:tblCellMar>
    </w:tblPr>
  </w:style>
  <w:style w:type="table" w:styleId="1316" w:customStyle="1">
    <w:name w:val="List Table 6 Colorful - Accent 4"/>
    <w:uiPriority w:val="99"/>
    <w:qFormat/>
    <w:tblPr>
      <w:tblCellMar>
        <w:left w:w="0" w:type="dxa"/>
        <w:top w:w="0" w:type="dxa"/>
        <w:right w:w="0" w:type="dxa"/>
        <w:bottom w:w="0" w:type="dxa"/>
      </w:tblCellMar>
    </w:tblPr>
  </w:style>
  <w:style w:type="table" w:styleId="1317" w:customStyle="1">
    <w:name w:val="清单表 41"/>
    <w:uiPriority w:val="99"/>
    <w:qFormat/>
    <w:tblPr>
      <w:tblCellMar>
        <w:left w:w="0" w:type="dxa"/>
        <w:top w:w="0" w:type="dxa"/>
        <w:right w:w="0" w:type="dxa"/>
        <w:bottom w:w="0" w:type="dxa"/>
      </w:tblCellMar>
    </w:tblPr>
  </w:style>
  <w:style w:type="table" w:styleId="1318" w:customStyle="1">
    <w:name w:val="List Table 7 Colorful - Accent 4"/>
    <w:uiPriority w:val="99"/>
    <w:qFormat/>
    <w:tblPr>
      <w:tblCellMar>
        <w:left w:w="0" w:type="dxa"/>
        <w:top w:w="0" w:type="dxa"/>
        <w:right w:w="0" w:type="dxa"/>
        <w:bottom w:w="0" w:type="dxa"/>
      </w:tblCellMar>
    </w:tblPr>
  </w:style>
  <w:style w:type="table" w:styleId="1319" w:customStyle="1">
    <w:name w:val="List Table 4 - Accent 1"/>
    <w:uiPriority w:val="99"/>
    <w:qFormat/>
    <w:tblPr>
      <w:tblCellMar>
        <w:left w:w="0" w:type="dxa"/>
        <w:top w:w="0" w:type="dxa"/>
        <w:right w:w="0" w:type="dxa"/>
        <w:bottom w:w="0" w:type="dxa"/>
      </w:tblCellMar>
    </w:tblPr>
  </w:style>
  <w:style w:type="table" w:styleId="1320" w:customStyle="1">
    <w:name w:val="Lined - Accent 6"/>
    <w:uiPriority w:val="99"/>
    <w:qFormat/>
    <w:rPr>
      <w:color w:val="404040"/>
    </w:rPr>
    <w:tblPr>
      <w:tblCellMar>
        <w:left w:w="0" w:type="dxa"/>
        <w:top w:w="0" w:type="dxa"/>
        <w:right w:w="0" w:type="dxa"/>
        <w:bottom w:w="0" w:type="dxa"/>
      </w:tblCellMar>
    </w:tblPr>
  </w:style>
  <w:style w:type="table" w:styleId="1321" w:customStyle="1">
    <w:name w:val="List Table 4 - Accent 2"/>
    <w:uiPriority w:val="99"/>
    <w:qFormat/>
    <w:tblPr>
      <w:tblCellMar>
        <w:left w:w="0" w:type="dxa"/>
        <w:top w:w="0" w:type="dxa"/>
        <w:right w:w="0" w:type="dxa"/>
        <w:bottom w:w="0" w:type="dxa"/>
      </w:tblCellMar>
    </w:tblPr>
  </w:style>
  <w:style w:type="table" w:styleId="1322" w:customStyle="1">
    <w:name w:val="List Table 7 Colorful - Accent 3"/>
    <w:uiPriority w:val="99"/>
    <w:qFormat/>
    <w:tblPr>
      <w:tblCellMar>
        <w:left w:w="0" w:type="dxa"/>
        <w:top w:w="0" w:type="dxa"/>
        <w:right w:w="0" w:type="dxa"/>
        <w:bottom w:w="0" w:type="dxa"/>
      </w:tblCellMar>
    </w:tblPr>
  </w:style>
  <w:style w:type="table" w:styleId="1323" w:customStyle="1">
    <w:name w:val="List Table 4 - Accent 3"/>
    <w:uiPriority w:val="99"/>
    <w:qFormat/>
    <w:tblPr>
      <w:tblCellMar>
        <w:left w:w="0" w:type="dxa"/>
        <w:top w:w="0" w:type="dxa"/>
        <w:right w:w="0" w:type="dxa"/>
        <w:bottom w:w="0" w:type="dxa"/>
      </w:tblCellMar>
    </w:tblPr>
  </w:style>
  <w:style w:type="table" w:styleId="1324" w:customStyle="1">
    <w:name w:val="List Table 4 - Accent 4"/>
    <w:uiPriority w:val="99"/>
    <w:qFormat/>
    <w:tblPr>
      <w:tblCellMar>
        <w:left w:w="0" w:type="dxa"/>
        <w:top w:w="0" w:type="dxa"/>
        <w:right w:w="0" w:type="dxa"/>
        <w:bottom w:w="0" w:type="dxa"/>
      </w:tblCellMar>
    </w:tblPr>
  </w:style>
  <w:style w:type="table" w:styleId="1325" w:customStyle="1">
    <w:name w:val="List Table 4 - Accent 5"/>
    <w:uiPriority w:val="99"/>
    <w:qFormat/>
    <w:tblPr>
      <w:tblCellMar>
        <w:left w:w="0" w:type="dxa"/>
        <w:top w:w="0" w:type="dxa"/>
        <w:right w:w="0" w:type="dxa"/>
        <w:bottom w:w="0" w:type="dxa"/>
      </w:tblCellMar>
    </w:tblPr>
  </w:style>
  <w:style w:type="table" w:styleId="1326" w:customStyle="1">
    <w:name w:val="List Table 7 Colorful - Accent 6"/>
    <w:uiPriority w:val="99"/>
    <w:qFormat/>
    <w:tblPr>
      <w:tblCellMar>
        <w:left w:w="0" w:type="dxa"/>
        <w:top w:w="0" w:type="dxa"/>
        <w:right w:w="0" w:type="dxa"/>
        <w:bottom w:w="0" w:type="dxa"/>
      </w:tblCellMar>
    </w:tblPr>
  </w:style>
  <w:style w:type="table" w:styleId="1327" w:customStyle="1">
    <w:name w:val="List Table 4 - Accent 6"/>
    <w:uiPriority w:val="99"/>
    <w:qFormat/>
    <w:tblPr>
      <w:tblCellMar>
        <w:left w:w="0" w:type="dxa"/>
        <w:top w:w="0" w:type="dxa"/>
        <w:right w:w="0" w:type="dxa"/>
        <w:bottom w:w="0" w:type="dxa"/>
      </w:tblCellMar>
    </w:tblPr>
  </w:style>
  <w:style w:type="table" w:styleId="1328" w:customStyle="1">
    <w:name w:val="List Table 7 Colorful - Accent 2"/>
    <w:uiPriority w:val="99"/>
    <w:qFormat/>
    <w:tblPr>
      <w:tblCellMar>
        <w:left w:w="0" w:type="dxa"/>
        <w:top w:w="0" w:type="dxa"/>
        <w:right w:w="0" w:type="dxa"/>
        <w:bottom w:w="0" w:type="dxa"/>
      </w:tblCellMar>
    </w:tblPr>
  </w:style>
  <w:style w:type="table" w:styleId="1329" w:customStyle="1">
    <w:name w:val="清单表 5 深色1"/>
    <w:uiPriority w:val="99"/>
    <w:qFormat/>
    <w:tblPr>
      <w:tblCellMar>
        <w:left w:w="0" w:type="dxa"/>
        <w:top w:w="0" w:type="dxa"/>
        <w:right w:w="0" w:type="dxa"/>
        <w:bottom w:w="0" w:type="dxa"/>
      </w:tblCellMar>
    </w:tblPr>
  </w:style>
  <w:style w:type="table" w:styleId="1330" w:customStyle="1">
    <w:name w:val="List Table 7 Colorful - Accent 5"/>
    <w:uiPriority w:val="99"/>
    <w:qFormat/>
    <w:tblPr>
      <w:tblCellMar>
        <w:left w:w="0" w:type="dxa"/>
        <w:top w:w="0" w:type="dxa"/>
        <w:right w:w="0" w:type="dxa"/>
        <w:bottom w:w="0" w:type="dxa"/>
      </w:tblCellMar>
    </w:tblPr>
  </w:style>
  <w:style w:type="table" w:styleId="1331" w:customStyle="1">
    <w:name w:val="List Table 5 Dark - Accent 1"/>
    <w:uiPriority w:val="99"/>
    <w:qFormat/>
    <w:tblPr>
      <w:tblCellMar>
        <w:left w:w="0" w:type="dxa"/>
        <w:top w:w="0" w:type="dxa"/>
        <w:right w:w="0" w:type="dxa"/>
        <w:bottom w:w="0" w:type="dxa"/>
      </w:tblCellMar>
    </w:tblPr>
  </w:style>
  <w:style w:type="table" w:styleId="1332" w:customStyle="1">
    <w:name w:val="List Table 5 Dark - Accent 2"/>
    <w:uiPriority w:val="99"/>
    <w:qFormat/>
    <w:tblPr>
      <w:tblCellMar>
        <w:left w:w="0" w:type="dxa"/>
        <w:top w:w="0" w:type="dxa"/>
        <w:right w:w="0" w:type="dxa"/>
        <w:bottom w:w="0" w:type="dxa"/>
      </w:tblCellMar>
    </w:tblPr>
  </w:style>
  <w:style w:type="table" w:styleId="1333" w:customStyle="1">
    <w:name w:val="List Table 5 Dark - Accent 3"/>
    <w:uiPriority w:val="99"/>
    <w:qFormat/>
    <w:tblPr>
      <w:tblCellMar>
        <w:left w:w="0" w:type="dxa"/>
        <w:top w:w="0" w:type="dxa"/>
        <w:right w:w="0" w:type="dxa"/>
        <w:bottom w:w="0" w:type="dxa"/>
      </w:tblCellMar>
    </w:tblPr>
  </w:style>
  <w:style w:type="table" w:styleId="1334" w:customStyle="1">
    <w:name w:val="Bordered &amp; Lined - Accent"/>
    <w:uiPriority w:val="99"/>
    <w:qFormat/>
    <w:rPr>
      <w:color w:val="404040"/>
    </w:rPr>
    <w:tblPr>
      <w:tblCellMar>
        <w:left w:w="0" w:type="dxa"/>
        <w:top w:w="0" w:type="dxa"/>
        <w:right w:w="0" w:type="dxa"/>
        <w:bottom w:w="0" w:type="dxa"/>
      </w:tblCellMar>
    </w:tblPr>
  </w:style>
  <w:style w:type="table" w:styleId="1335" w:customStyle="1">
    <w:name w:val="List Table 5 Dark - Accent 4"/>
    <w:uiPriority w:val="99"/>
    <w:qFormat/>
    <w:tblPr>
      <w:tblCellMar>
        <w:left w:w="0" w:type="dxa"/>
        <w:top w:w="0" w:type="dxa"/>
        <w:right w:w="0" w:type="dxa"/>
        <w:bottom w:w="0" w:type="dxa"/>
      </w:tblCellMar>
    </w:tblPr>
  </w:style>
  <w:style w:type="table" w:styleId="1336" w:customStyle="1">
    <w:name w:val="Lined - Accent 5"/>
    <w:uiPriority w:val="99"/>
    <w:qFormat/>
    <w:rPr>
      <w:color w:val="404040"/>
    </w:rPr>
    <w:tblPr>
      <w:tblCellMar>
        <w:left w:w="0" w:type="dxa"/>
        <w:top w:w="0" w:type="dxa"/>
        <w:right w:w="0" w:type="dxa"/>
        <w:bottom w:w="0" w:type="dxa"/>
      </w:tblCellMar>
    </w:tblPr>
  </w:style>
  <w:style w:type="table" w:styleId="1337" w:customStyle="1">
    <w:name w:val="List Table 5 Dark - Accent 5"/>
    <w:uiPriority w:val="99"/>
    <w:qFormat/>
    <w:tblPr>
      <w:tblCellMar>
        <w:left w:w="0" w:type="dxa"/>
        <w:top w:w="0" w:type="dxa"/>
        <w:right w:w="0" w:type="dxa"/>
        <w:bottom w:w="0" w:type="dxa"/>
      </w:tblCellMar>
    </w:tblPr>
  </w:style>
  <w:style w:type="table" w:styleId="1338" w:customStyle="1">
    <w:name w:val="Bordered &amp; Lined - Accent 4"/>
    <w:uiPriority w:val="99"/>
    <w:qFormat/>
    <w:rPr>
      <w:color w:val="404040"/>
    </w:rPr>
    <w:tblPr>
      <w:tblCellMar>
        <w:left w:w="0" w:type="dxa"/>
        <w:top w:w="0" w:type="dxa"/>
        <w:right w:w="0" w:type="dxa"/>
        <w:bottom w:w="0" w:type="dxa"/>
      </w:tblCellMar>
    </w:tblPr>
  </w:style>
  <w:style w:type="table" w:styleId="1339" w:customStyle="1">
    <w:name w:val="List Table 5 Dark - Accent 6"/>
    <w:uiPriority w:val="99"/>
    <w:qFormat/>
    <w:tblPr>
      <w:tblCellMar>
        <w:left w:w="0" w:type="dxa"/>
        <w:top w:w="0" w:type="dxa"/>
        <w:right w:w="0" w:type="dxa"/>
        <w:bottom w:w="0" w:type="dxa"/>
      </w:tblCellMar>
    </w:tblPr>
  </w:style>
  <w:style w:type="table" w:styleId="1340" w:customStyle="1">
    <w:name w:val="Bordered &amp; Lined - Accent 5"/>
    <w:uiPriority w:val="99"/>
    <w:qFormat/>
    <w:rPr>
      <w:color w:val="404040"/>
    </w:rPr>
    <w:tblPr>
      <w:tblCellMar>
        <w:left w:w="0" w:type="dxa"/>
        <w:top w:w="0" w:type="dxa"/>
        <w:right w:w="0" w:type="dxa"/>
        <w:bottom w:w="0" w:type="dxa"/>
      </w:tblCellMar>
    </w:tblPr>
  </w:style>
  <w:style w:type="table" w:styleId="1341" w:customStyle="1">
    <w:name w:val="清单表 6 彩色1"/>
    <w:uiPriority w:val="99"/>
    <w:qFormat/>
    <w:tblPr>
      <w:tblCellMar>
        <w:left w:w="0" w:type="dxa"/>
        <w:top w:w="0" w:type="dxa"/>
        <w:right w:w="0" w:type="dxa"/>
        <w:bottom w:w="0" w:type="dxa"/>
      </w:tblCellMar>
    </w:tblPr>
  </w:style>
  <w:style w:type="table" w:styleId="1342" w:customStyle="1">
    <w:name w:val="Bordered &amp; Lined - Accent 1"/>
    <w:uiPriority w:val="99"/>
    <w:qFormat/>
    <w:rPr>
      <w:color w:val="404040"/>
    </w:rPr>
    <w:tblPr>
      <w:tblCellMar>
        <w:left w:w="0" w:type="dxa"/>
        <w:top w:w="0" w:type="dxa"/>
        <w:right w:w="0" w:type="dxa"/>
        <w:bottom w:w="0" w:type="dxa"/>
      </w:tblCellMar>
    </w:tblPr>
  </w:style>
  <w:style w:type="table" w:styleId="1343" w:customStyle="1">
    <w:name w:val="List Table 6 Colorful - Accent 1"/>
    <w:uiPriority w:val="99"/>
    <w:qFormat/>
    <w:tblPr>
      <w:tblCellMar>
        <w:left w:w="0" w:type="dxa"/>
        <w:top w:w="0" w:type="dxa"/>
        <w:right w:w="0" w:type="dxa"/>
        <w:bottom w:w="0" w:type="dxa"/>
      </w:tblCellMar>
    </w:tblPr>
  </w:style>
  <w:style w:type="table" w:styleId="1344" w:customStyle="1">
    <w:name w:val="Bordered &amp; Lined - Accent 3"/>
    <w:uiPriority w:val="99"/>
    <w:qFormat/>
    <w:rPr>
      <w:color w:val="404040"/>
    </w:rPr>
    <w:tblPr>
      <w:tblCellMar>
        <w:left w:w="0" w:type="dxa"/>
        <w:top w:w="0" w:type="dxa"/>
        <w:right w:w="0" w:type="dxa"/>
        <w:bottom w:w="0" w:type="dxa"/>
      </w:tblCellMar>
    </w:tblPr>
  </w:style>
  <w:style w:type="table" w:styleId="1345" w:customStyle="1">
    <w:name w:val="List Table 6 Colorful - Accent 2"/>
    <w:uiPriority w:val="99"/>
    <w:qFormat/>
    <w:tblPr>
      <w:tblCellMar>
        <w:left w:w="0" w:type="dxa"/>
        <w:top w:w="0" w:type="dxa"/>
        <w:right w:w="0" w:type="dxa"/>
        <w:bottom w:w="0" w:type="dxa"/>
      </w:tblCellMar>
    </w:tblPr>
  </w:style>
  <w:style w:type="table" w:styleId="1346" w:customStyle="1">
    <w:name w:val="Bordered &amp; Lined - Accent 6"/>
    <w:uiPriority w:val="99"/>
    <w:qFormat/>
    <w:rPr>
      <w:color w:val="404040"/>
    </w:rPr>
    <w:tblPr>
      <w:tblCellMar>
        <w:left w:w="0" w:type="dxa"/>
        <w:top w:w="0" w:type="dxa"/>
        <w:right w:w="0" w:type="dxa"/>
        <w:bottom w:w="0" w:type="dxa"/>
      </w:tblCellMar>
    </w:tblPr>
  </w:style>
  <w:style w:type="table" w:styleId="1347" w:customStyle="1">
    <w:name w:val="Bordered"/>
    <w:uiPriority w:val="99"/>
    <w:qFormat/>
    <w:tblPr>
      <w:tblCellMar>
        <w:left w:w="0" w:type="dxa"/>
        <w:top w:w="0" w:type="dxa"/>
        <w:right w:w="0" w:type="dxa"/>
        <w:bottom w:w="0" w:type="dxa"/>
      </w:tblCellMar>
    </w:tblPr>
  </w:style>
  <w:style w:type="table" w:styleId="1348" w:customStyle="1">
    <w:name w:val="Bordered - Accent 1"/>
    <w:uiPriority w:val="99"/>
    <w:qFormat/>
    <w:tblPr>
      <w:tblCellMar>
        <w:left w:w="0" w:type="dxa"/>
        <w:top w:w="0" w:type="dxa"/>
        <w:right w:w="0" w:type="dxa"/>
        <w:bottom w:w="0" w:type="dxa"/>
      </w:tblCellMar>
    </w:tblPr>
  </w:style>
  <w:style w:type="table" w:styleId="1349" w:customStyle="1">
    <w:name w:val="Bordered - Accent 2"/>
    <w:uiPriority w:val="99"/>
    <w:qFormat/>
    <w:tblPr>
      <w:tblCellMar>
        <w:left w:w="0" w:type="dxa"/>
        <w:top w:w="0" w:type="dxa"/>
        <w:right w:w="0" w:type="dxa"/>
        <w:bottom w:w="0" w:type="dxa"/>
      </w:tblCellMar>
    </w:tblPr>
  </w:style>
  <w:style w:type="table" w:styleId="1350" w:customStyle="1">
    <w:name w:val="Bordered - Accent 3"/>
    <w:uiPriority w:val="99"/>
    <w:qFormat/>
    <w:tblPr>
      <w:tblCellMar>
        <w:left w:w="0" w:type="dxa"/>
        <w:top w:w="0" w:type="dxa"/>
        <w:right w:w="0" w:type="dxa"/>
        <w:bottom w:w="0" w:type="dxa"/>
      </w:tblCellMar>
    </w:tblPr>
  </w:style>
  <w:style w:type="table" w:styleId="1351" w:customStyle="1">
    <w:name w:val="Bordered - Accent 4"/>
    <w:uiPriority w:val="99"/>
    <w:qFormat/>
    <w:tblPr>
      <w:tblCellMar>
        <w:left w:w="0" w:type="dxa"/>
        <w:top w:w="0" w:type="dxa"/>
        <w:right w:w="0" w:type="dxa"/>
        <w:bottom w:w="0" w:type="dxa"/>
      </w:tblCellMar>
    </w:tblPr>
  </w:style>
  <w:style w:type="table" w:styleId="1352" w:customStyle="1">
    <w:name w:val="Bordered - Accent 5"/>
    <w:uiPriority w:val="99"/>
    <w:qFormat/>
    <w:tblPr>
      <w:tblCellMar>
        <w:left w:w="0" w:type="dxa"/>
        <w:top w:w="0" w:type="dxa"/>
        <w:right w:w="0" w:type="dxa"/>
        <w:bottom w:w="0" w:type="dxa"/>
      </w:tblCellMar>
    </w:tblPr>
  </w:style>
  <w:style w:type="table" w:styleId="1353" w:customStyle="1">
    <w:name w:val="Bordered - Accent 6"/>
    <w:uiPriority w:val="99"/>
    <w:qFormat/>
    <w:tblPr>
      <w:tblCellMar>
        <w:left w:w="0" w:type="dxa"/>
        <w:top w:w="0" w:type="dxa"/>
        <w:right w:w="0" w:type="dxa"/>
        <w:bottom w:w="0" w:type="dxa"/>
      </w:tblCellMar>
    </w:tblPr>
  </w:style>
  <w:style w:type="table" w:styleId="1354" w:customStyle="1">
    <w:name w:val="普通表格1"/>
    <w:uiPriority w:val="99"/>
    <w:unhideWhenUsed/>
    <w:qFormat/>
    <w:tblPr>
      <w:tblCellMar>
        <w:left w:w="0" w:type="dxa"/>
        <w:top w:w="0" w:type="dxa"/>
        <w:right w:w="0" w:type="dxa"/>
        <w:bottom w:w="0" w:type="dxa"/>
      </w:tblCellMar>
    </w:tblPr>
  </w:style>
  <w:style w:type="table" w:styleId="1355" w:customStyle="1">
    <w:name w:val="网格型1"/>
    <w:basedOn w:val="1354"/>
    <w:uiPriority w:val="59"/>
    <w:qFormat/>
    <w:rPr>
      <w:rFonts w:ascii="Calibri" w:hAnsi="Calibri"/>
      <w:sz w:val="21"/>
      <w:szCs w:val="22"/>
    </w:rPr>
    <w:tblPr/>
  </w:style>
  <w:style w:type="table" w:styleId="1356" w:customStyle="1">
    <w:name w:val="网格型6"/>
    <w:basedOn w:val="1111"/>
    <w:uiPriority w:val="99"/>
    <w:unhideWhenUsed/>
    <w:qFormat/>
    <w:rPr>
      <w:rFonts w:eastAsia="Times New Roman"/>
    </w:rPr>
    <w:tblPr/>
  </w:style>
  <w:style w:type="table" w:styleId="1357"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character" w:styleId="1358" w:customStyle="1">
    <w:name w:val="NormalCharacter"/>
    <w:link w:val="1069"/>
    <w:uiPriority w:val="0"/>
    <w:semiHidden/>
    <w:qFormat/>
    <w:rPr>
      <w:rFonts w:hint="default" w:ascii="Times New Roman" w:hAnsi="Times New Roman" w:eastAsia="宋体" w:cs="Times New Roman"/>
      <w:sz w:val="21"/>
      <w:szCs w:val="24"/>
      <w:lang w:val="en-US" w:eastAsia="zh-CN" w:bidi="ar-SA"/>
    </w:rPr>
  </w:style>
  <w:style w:type="paragraph" w:styleId="1359" w:customStyle="1">
    <w:name w:val="普通(网站)111"/>
    <w:basedOn w:val="1018"/>
    <w:uiPriority w:val="99"/>
    <w:unhideWhenUsed/>
    <w:qFormat/>
    <w:pPr>
      <w:jc w:val="left"/>
      <w:spacing w:before="100" w:beforeAutospacing="1" w:after="100" w:afterAutospacing="1"/>
    </w:pPr>
    <w:rPr>
      <w:sz w:val="24"/>
    </w:rPr>
  </w:style>
  <w:style w:type="character" w:styleId="1360" w:customStyle="1">
    <w:name w:val="批注框文本 字符"/>
    <w:basedOn w:val="1028"/>
    <w:link w:val="1043"/>
    <w:uiPriority w:val="99"/>
    <w:semiHidden/>
    <w:qFormat/>
    <w:rPr>
      <w:sz w:val="18"/>
      <w:szCs w:val="18"/>
    </w:rPr>
  </w:style>
  <w:style w:type="numbering" w:styleId="13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customXml" Target="../customXml/item1.xml" /><Relationship Id="rId23" Type="http://schemas.openxmlformats.org/officeDocument/2006/relationships/image" Target="media/image2.jpg"/><Relationship Id="rId24" Type="http://schemas.openxmlformats.org/officeDocument/2006/relationships/image" Target="media/image3.png"/><Relationship Id="rId2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dc:creator>
  <cp:lastModifiedBy>夏海燕</cp:lastModifiedBy>
  <cp:revision>17</cp:revision>
  <dcterms:created xsi:type="dcterms:W3CDTF">2014-10-30T04:08:00Z</dcterms:created>
  <dcterms:modified xsi:type="dcterms:W3CDTF">2026-08-18T09:28:34Z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8144E9C6C89E4C3FA0E77C1232E0B796_13</vt:lpwstr>
  </property>
  <property fmtid="{D5CDD505-2E9C-101B-9397-08002B2CF9AE}" pid="4" name="KSOTemplateDocerSaveRecord">
    <vt:lpwstr>eyJoZGlkIjoiMTNmY2UwODcxMjkyMzE5NzNiYmZjYjhhYmM4NDBmMDciLCJ1c2VySWQiOiIyODI0Nzc1NjYifQ==</vt:lpwstr>
  </property>
</Properties>
</file>