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91587">
      <w:pPr>
        <w:pBdr>
          <w:top w:val="none" w:color="000000" w:sz="0" w:space="0"/>
          <w:left w:val="none" w:color="000000" w:sz="0" w:space="0"/>
          <w:bottom w:val="none" w:color="000000" w:sz="0" w:space="0"/>
          <w:right w:val="none" w:color="000000" w:sz="0" w:space="0"/>
        </w:pBdr>
        <w:spacing w:before="0" w:after="0" w:line="479" w:lineRule="atLeast"/>
        <w:ind w:left="0" w:right="0" w:firstLine="480" w:firstLineChars="200"/>
        <w:jc w:val="left"/>
        <w:rPr>
          <w:rFonts w:hint="default" w:ascii="宋体" w:hAnsi="宋体" w:eastAsia="宋体" w:cs="宋体"/>
          <w:b w:val="0"/>
          <w:bCs/>
          <w:color w:val="000000"/>
          <w:kern w:val="0"/>
          <w:sz w:val="24"/>
          <w:szCs w:val="24"/>
        </w:rPr>
      </w:pPr>
      <w:r>
        <w:rPr>
          <w:rFonts w:hint="default" w:ascii="宋体" w:hAnsi="宋体" w:eastAsia="宋体" w:cs="宋体"/>
          <w:b w:val="0"/>
          <w:bCs/>
          <w:color w:val="000000"/>
          <w:kern w:val="0"/>
          <w:sz w:val="24"/>
          <w:szCs w:val="24"/>
        </w:rPr>
        <w:t>如有建议或意见，请以书面形式并加盖公章、注明联系人、联系方式，于2026年</w:t>
      </w:r>
      <w:r>
        <w:rPr>
          <w:rFonts w:hint="eastAsia" w:ascii="宋体" w:hAnsi="宋体" w:eastAsia="宋体" w:cs="宋体"/>
          <w:b w:val="0"/>
          <w:bCs/>
          <w:color w:val="000000"/>
          <w:kern w:val="0"/>
          <w:sz w:val="24"/>
          <w:szCs w:val="24"/>
          <w:lang w:val="en-US" w:eastAsia="zh-CN"/>
        </w:rPr>
        <w:t>10</w:t>
      </w:r>
      <w:r>
        <w:rPr>
          <w:rFonts w:hint="default" w:ascii="宋体" w:hAnsi="宋体" w:eastAsia="宋体" w:cs="宋体"/>
          <w:b w:val="0"/>
          <w:bCs/>
          <w:color w:val="000000"/>
          <w:kern w:val="0"/>
          <w:sz w:val="24"/>
          <w:szCs w:val="24"/>
        </w:rPr>
        <w:t>月</w:t>
      </w:r>
      <w:r>
        <w:rPr>
          <w:rFonts w:hint="eastAsia" w:ascii="宋体" w:hAnsi="宋体" w:eastAsia="宋体" w:cs="宋体"/>
          <w:b w:val="0"/>
          <w:bCs/>
          <w:color w:val="000000"/>
          <w:kern w:val="0"/>
          <w:sz w:val="24"/>
          <w:szCs w:val="24"/>
          <w:lang w:val="en-US" w:eastAsia="zh-CN"/>
        </w:rPr>
        <w:t>8</w:t>
      </w:r>
      <w:r>
        <w:rPr>
          <w:rFonts w:hint="default" w:ascii="宋体" w:hAnsi="宋体" w:eastAsia="宋体" w:cs="宋体"/>
          <w:b w:val="0"/>
          <w:bCs/>
          <w:color w:val="000000"/>
          <w:kern w:val="0"/>
          <w:sz w:val="24"/>
          <w:szCs w:val="24"/>
        </w:rPr>
        <w:t>日17:00之前送至我单位，逾期不受理（如邮寄，2026年</w:t>
      </w:r>
      <w:r>
        <w:rPr>
          <w:rFonts w:hint="eastAsia" w:ascii="宋体" w:hAnsi="宋体" w:eastAsia="宋体" w:cs="宋体"/>
          <w:b w:val="0"/>
          <w:bCs/>
          <w:color w:val="000000"/>
          <w:kern w:val="0"/>
          <w:sz w:val="24"/>
          <w:szCs w:val="24"/>
          <w:lang w:val="en-US" w:eastAsia="zh-CN"/>
        </w:rPr>
        <w:t>10</w:t>
      </w:r>
      <w:r>
        <w:rPr>
          <w:rFonts w:hint="default" w:ascii="宋体" w:hAnsi="宋体" w:eastAsia="宋体" w:cs="宋体"/>
          <w:b w:val="0"/>
          <w:bCs/>
          <w:color w:val="000000"/>
          <w:kern w:val="0"/>
          <w:sz w:val="24"/>
          <w:szCs w:val="24"/>
        </w:rPr>
        <w:t>月</w:t>
      </w:r>
      <w:r>
        <w:rPr>
          <w:rFonts w:hint="eastAsia" w:ascii="宋体" w:hAnsi="宋体" w:eastAsia="宋体" w:cs="宋体"/>
          <w:b w:val="0"/>
          <w:bCs/>
          <w:color w:val="000000"/>
          <w:kern w:val="0"/>
          <w:sz w:val="24"/>
          <w:szCs w:val="24"/>
          <w:lang w:val="en-US" w:eastAsia="zh-CN"/>
        </w:rPr>
        <w:t>8</w:t>
      </w:r>
      <w:r>
        <w:rPr>
          <w:rFonts w:hint="default" w:ascii="宋体" w:hAnsi="宋体" w:eastAsia="宋体" w:cs="宋体"/>
          <w:b w:val="0"/>
          <w:bCs/>
          <w:color w:val="000000"/>
          <w:kern w:val="0"/>
          <w:sz w:val="24"/>
          <w:szCs w:val="24"/>
        </w:rPr>
        <w:t>日17:00之后到达本公司的邮件将不再受理）。</w:t>
      </w:r>
    </w:p>
    <w:p w14:paraId="717EF0B8">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1626FDFD">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4C76398">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4AC1B00D">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7553A5B7">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4C07CDE9">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6FEB4A2">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BF1DF60">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3F272557">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349C6FE6">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18206F2A">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6CB0B27B">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097777FC">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FA24B66">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1B63EABD">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37475B87">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D1CD537">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555F8A7E">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4776576B">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2946FA5D">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宋体" w:hAnsi="宋体" w:eastAsia="宋体" w:cs="宋体"/>
          <w:b/>
          <w:color w:val="000000"/>
          <w:kern w:val="0"/>
          <w:sz w:val="30"/>
        </w:rPr>
      </w:pPr>
    </w:p>
    <w:p w14:paraId="71B00F3D">
      <w:pPr>
        <w:pBdr>
          <w:top w:val="none" w:color="000000" w:sz="0" w:space="0"/>
          <w:left w:val="none" w:color="000000" w:sz="0" w:space="0"/>
          <w:bottom w:val="none" w:color="000000" w:sz="0" w:space="0"/>
          <w:right w:val="none" w:color="000000" w:sz="0" w:space="0"/>
        </w:pBdr>
        <w:spacing w:before="0" w:after="0" w:line="479" w:lineRule="atLeast"/>
        <w:ind w:left="0" w:right="0" w:firstLine="0"/>
        <w:jc w:val="center"/>
        <w:rPr>
          <w:rFonts w:hint="default" w:ascii="Times New Roman" w:hAnsi="Times New Roman" w:eastAsia="宋体" w:cs="Times New Roman"/>
          <w:kern w:val="0"/>
        </w:rPr>
      </w:pPr>
      <w:r>
        <w:rPr>
          <w:rFonts w:hint="default" w:ascii="宋体" w:hAnsi="宋体" w:eastAsia="宋体" w:cs="宋体"/>
          <w:b/>
          <w:color w:val="000000"/>
          <w:kern w:val="0"/>
          <w:sz w:val="30"/>
        </w:rPr>
        <w:t>第六章采购需求</w:t>
      </w:r>
    </w:p>
    <w:p w14:paraId="68ADA691">
      <w:pPr>
        <w:spacing w:line="520" w:lineRule="exact"/>
        <w:rPr>
          <w:rFonts w:hint="default" w:ascii="宋体" w:hAnsi="宋体" w:eastAsia="宋体" w:cs="宋体"/>
          <w:b/>
          <w:color w:val="000000"/>
          <w:kern w:val="0"/>
          <w:sz w:val="24"/>
        </w:rPr>
      </w:pPr>
      <w:r>
        <w:rPr>
          <w:rFonts w:hint="eastAsia" w:ascii="宋体" w:hAnsi="宋体" w:eastAsia="宋体" w:cs="宋体"/>
          <w:b/>
          <w:color w:val="000000"/>
          <w:kern w:val="0"/>
          <w:sz w:val="24"/>
        </w:rPr>
        <w:t>一、本项目不接受超过人民币</w:t>
      </w:r>
      <w:r>
        <w:rPr>
          <w:rFonts w:hint="eastAsia" w:ascii="宋体" w:hAnsi="宋体" w:eastAsia="宋体" w:cs="宋体"/>
          <w:b/>
          <w:color w:val="000000"/>
          <w:kern w:val="0"/>
          <w:sz w:val="24"/>
          <w:lang w:val="en-US" w:eastAsia="zh-CN"/>
        </w:rPr>
        <w:t>434</w:t>
      </w:r>
      <w:r>
        <w:rPr>
          <w:rFonts w:hint="eastAsia" w:ascii="宋体" w:hAnsi="宋体" w:eastAsia="宋体" w:cs="宋体"/>
          <w:b/>
          <w:color w:val="000000"/>
          <w:kern w:val="0"/>
          <w:sz w:val="24"/>
        </w:rPr>
        <w:t>万元（采购项目预算金额）的投标报价。</w:t>
      </w:r>
    </w:p>
    <w:p w14:paraId="73F7B29F">
      <w:pPr>
        <w:spacing w:line="520" w:lineRule="exact"/>
        <w:rPr>
          <w:rFonts w:hint="eastAsia" w:ascii="宋体" w:hAnsi="宋体" w:eastAsia="宋体" w:cs="宋体"/>
          <w:b/>
          <w:color w:val="000000"/>
          <w:kern w:val="0"/>
          <w:sz w:val="24"/>
        </w:rPr>
      </w:pPr>
      <w:r>
        <w:rPr>
          <w:rFonts w:hint="eastAsia" w:ascii="宋体" w:hAnsi="宋体" w:eastAsia="宋体" w:cs="宋体"/>
          <w:b/>
          <w:color w:val="000000"/>
          <w:kern w:val="0"/>
          <w:sz w:val="24"/>
        </w:rPr>
        <w:t>注：投标报价</w:t>
      </w:r>
      <w:r>
        <w:rPr>
          <w:rFonts w:hint="eastAsia" w:ascii="宋体" w:hAnsi="宋体" w:eastAsia="宋体" w:cs="宋体"/>
          <w:b/>
          <w:color w:val="000000"/>
          <w:kern w:val="0"/>
          <w:sz w:val="24"/>
          <w:lang w:val="en-US" w:eastAsia="zh-CN"/>
        </w:rPr>
        <w:t>须包含</w:t>
      </w:r>
      <w:r>
        <w:rPr>
          <w:rFonts w:hint="eastAsia" w:ascii="宋体" w:hAnsi="宋体" w:eastAsia="宋体" w:cs="宋体"/>
          <w:b/>
          <w:color w:val="000000"/>
          <w:kern w:val="0"/>
          <w:sz w:val="24"/>
        </w:rPr>
        <w:t>人员薪酬、社保、人身意外险、体检、劳保、服装、加班费、各项福利、培训等全部用工成本采购人不另行支付任何额外费用。</w:t>
      </w:r>
    </w:p>
    <w:p w14:paraId="139997D2">
      <w:pPr>
        <w:keepNext w:val="0"/>
        <w:keepLines w:val="0"/>
        <w:pageBreakBefore w:val="0"/>
        <w:widowControl w:val="0"/>
        <w:numPr>
          <w:ilvl w:val="0"/>
          <w:numId w:val="0"/>
        </w:numPr>
        <w:spacing w:line="360" w:lineRule="auto"/>
        <w:jc w:val="left"/>
        <w:rPr>
          <w:rFonts w:hint="default" w:ascii="宋体" w:hAnsi="宋体" w:eastAsia="宋体" w:cs="Times New Roman"/>
          <w:b/>
          <w:color w:val="auto"/>
          <w:kern w:val="0"/>
          <w:sz w:val="24"/>
          <w:szCs w:val="24"/>
          <w:highlight w:val="none"/>
          <w:lang w:val="en-US" w:eastAsia="zh-CN" w:bidi="ar-SA"/>
        </w:rPr>
      </w:pPr>
      <w:r>
        <w:rPr>
          <w:rFonts w:hint="default" w:ascii="宋体" w:hAnsi="宋体" w:eastAsia="宋体" w:cs="Times New Roman"/>
          <w:b/>
          <w:kern w:val="0"/>
          <w:sz w:val="24"/>
          <w:szCs w:val="24"/>
          <w:highlight w:val="none"/>
          <w:lang w:val="en-US" w:eastAsia="zh-CN" w:bidi="ar-SA"/>
        </w:rPr>
        <w:t>二、项目名称：</w:t>
      </w:r>
      <w:r>
        <w:rPr>
          <w:rFonts w:hint="eastAsia" w:ascii="宋体" w:hAnsi="宋体" w:eastAsia="宋体" w:cs="Times New Roman"/>
          <w:b/>
          <w:kern w:val="0"/>
          <w:sz w:val="24"/>
          <w:szCs w:val="24"/>
          <w:highlight w:val="none"/>
          <w:lang w:val="en-US" w:eastAsia="zh-CN" w:bidi="ar-SA"/>
        </w:rPr>
        <w:t>江苏九里湖国家湿地公园绿化养护服务</w:t>
      </w:r>
    </w:p>
    <w:p w14:paraId="7AC251A2">
      <w:pPr>
        <w:keepNext w:val="0"/>
        <w:keepLines w:val="0"/>
        <w:pageBreakBefore w:val="0"/>
        <w:widowControl w:val="0"/>
        <w:numPr>
          <w:ilvl w:val="0"/>
          <w:numId w:val="0"/>
        </w:numPr>
        <w:spacing w:line="360" w:lineRule="auto"/>
        <w:jc w:val="left"/>
        <w:rPr>
          <w:rFonts w:hint="default" w:ascii="宋体" w:hAnsi="Times New Roman" w:eastAsia="宋体" w:cs="仿宋"/>
          <w:color w:val="auto"/>
          <w:kern w:val="0"/>
          <w:sz w:val="24"/>
          <w:szCs w:val="24"/>
          <w:highlight w:val="none"/>
          <w:lang w:val="en-US" w:eastAsia="zh-CN" w:bidi="ar-SA"/>
        </w:rPr>
      </w:pPr>
      <w:r>
        <w:rPr>
          <w:rFonts w:hint="default" w:ascii="宋体" w:hAnsi="宋体" w:eastAsia="宋体" w:cs="Times New Roman"/>
          <w:b/>
          <w:color w:val="auto"/>
          <w:kern w:val="0"/>
          <w:sz w:val="24"/>
          <w:szCs w:val="24"/>
          <w:highlight w:val="none"/>
          <w:lang w:val="en-US" w:eastAsia="zh-CN" w:bidi="ar-SA"/>
        </w:rPr>
        <w:t>三、项目内容：江苏省九里湖国家湿地公园管理中心</w:t>
      </w:r>
      <w:r>
        <w:rPr>
          <w:rFonts w:hint="eastAsia" w:ascii="宋体" w:hAnsi="宋体" w:eastAsia="宋体" w:cs="Times New Roman"/>
          <w:b/>
          <w:color w:val="auto"/>
          <w:kern w:val="0"/>
          <w:sz w:val="24"/>
          <w:szCs w:val="24"/>
          <w:highlight w:val="none"/>
          <w:lang w:val="en-US" w:eastAsia="zh-CN" w:bidi="ar-SA"/>
        </w:rPr>
        <w:t>的园林绿化管理、消防及园林设施维护。</w:t>
      </w:r>
      <w:r>
        <w:rPr>
          <w:rFonts w:hint="eastAsia" w:ascii="宋体" w:hAnsi="Times New Roman" w:eastAsia="宋体" w:cs="仿宋"/>
          <w:color w:val="auto"/>
          <w:kern w:val="0"/>
          <w:sz w:val="24"/>
          <w:szCs w:val="24"/>
          <w:highlight w:val="none"/>
          <w:lang w:val="en-US" w:eastAsia="zh-CN" w:bidi="ar-SA"/>
        </w:rPr>
        <w:t>服务范围内所有绿地和行道树的养护管理,包括但不限于园艺养护（修剪、除草、施肥等）、卫生保洁、秩序管理、</w:t>
      </w:r>
      <w:r>
        <w:rPr>
          <w:rFonts w:hint="eastAsia" w:ascii="宋体" w:hAnsi="宋体" w:eastAsia="宋体" w:cs="宋体"/>
          <w:color w:val="auto"/>
          <w:kern w:val="0"/>
          <w:sz w:val="24"/>
          <w:szCs w:val="24"/>
          <w:highlight w:val="none"/>
          <w:lang w:val="en-US" w:eastAsia="zh-CN" w:bidi="ar-SA"/>
        </w:rPr>
        <w:t>园林设施日常维修保养</w:t>
      </w:r>
      <w:r>
        <w:rPr>
          <w:rFonts w:hint="eastAsia" w:ascii="宋体" w:hAnsi="Times New Roman" w:eastAsia="宋体" w:cs="仿宋"/>
          <w:color w:val="auto"/>
          <w:kern w:val="0"/>
          <w:sz w:val="24"/>
          <w:szCs w:val="24"/>
          <w:highlight w:val="none"/>
          <w:lang w:val="en-US" w:eastAsia="zh-CN" w:bidi="ar-SA"/>
        </w:rPr>
        <w:t>、病虫害防治、园林垃圾无害化处理、垃圾清理清运、城管数字化案件处理、12345工单处理、园林植物补植种植迁移、抗旱防汛防冻防火</w:t>
      </w:r>
      <w:r>
        <w:rPr>
          <w:rFonts w:hint="default" w:ascii="宋体" w:hAnsi="Times New Roman" w:eastAsia="宋体" w:cs="仿宋"/>
          <w:color w:val="auto"/>
          <w:kern w:val="0"/>
          <w:sz w:val="24"/>
          <w:szCs w:val="24"/>
          <w:highlight w:val="none"/>
          <w:lang w:val="en-US" w:eastAsia="zh-CN" w:bidi="ar-SA"/>
        </w:rPr>
        <w:t>等各类应急抢险</w:t>
      </w:r>
      <w:r>
        <w:rPr>
          <w:rFonts w:hint="eastAsia" w:ascii="宋体" w:hAnsi="Times New Roman" w:eastAsia="宋体" w:cs="仿宋"/>
          <w:color w:val="auto"/>
          <w:kern w:val="0"/>
          <w:sz w:val="24"/>
          <w:szCs w:val="24"/>
          <w:highlight w:val="none"/>
          <w:lang w:val="en-US" w:eastAsia="zh-CN" w:bidi="ar-SA"/>
        </w:rPr>
        <w:t>、文明城市卫生城市等各类创建评比、安全生产及其他重大活动。</w:t>
      </w:r>
    </w:p>
    <w:tbl>
      <w:tblPr>
        <w:tblStyle w:val="2"/>
        <w:tblW w:w="8186" w:type="dxa"/>
        <w:jc w:val="center"/>
        <w:tblLayout w:type="autofit"/>
        <w:tblCellMar>
          <w:top w:w="0" w:type="dxa"/>
          <w:left w:w="108" w:type="dxa"/>
          <w:bottom w:w="0" w:type="dxa"/>
          <w:right w:w="108" w:type="dxa"/>
        </w:tblCellMar>
      </w:tblPr>
      <w:tblGrid>
        <w:gridCol w:w="772"/>
        <w:gridCol w:w="5346"/>
        <w:gridCol w:w="2068"/>
      </w:tblGrid>
      <w:tr w14:paraId="7BF5CBAF">
        <w:tblPrEx>
          <w:tblCellMar>
            <w:top w:w="0" w:type="dxa"/>
            <w:left w:w="108" w:type="dxa"/>
            <w:bottom w:w="0" w:type="dxa"/>
            <w:right w:w="108" w:type="dxa"/>
          </w:tblCellMar>
        </w:tblPrEx>
        <w:trPr>
          <w:trHeight w:val="420" w:hRule="atLeast"/>
          <w:jc w:val="center"/>
        </w:trPr>
        <w:tc>
          <w:tcPr>
            <w:tcW w:w="772" w:type="dxa"/>
            <w:tcBorders>
              <w:top w:val="single" w:color="000000" w:sz="4" w:space="0"/>
              <w:left w:val="single" w:color="000000" w:sz="4" w:space="0"/>
              <w:bottom w:val="single" w:color="000000" w:sz="4" w:space="0"/>
              <w:right w:val="single" w:color="000000" w:sz="4" w:space="0"/>
            </w:tcBorders>
            <w:noWrap w:val="0"/>
            <w:vAlign w:val="center"/>
          </w:tcPr>
          <w:p w14:paraId="074398CB">
            <w:pPr>
              <w:widowControl/>
              <w:jc w:val="center"/>
              <w:rPr>
                <w:rFonts w:hint="default" w:ascii="宋体" w:hAnsi="宋体" w:eastAsia="宋体" w:cs="Times New Roman"/>
                <w:kern w:val="0"/>
                <w:sz w:val="24"/>
                <w:szCs w:val="24"/>
                <w:highlight w:val="none"/>
                <w:lang w:val="en-US" w:eastAsia="zh-CN" w:bidi="ar-SA"/>
              </w:rPr>
            </w:pPr>
            <w:r>
              <w:rPr>
                <w:rFonts w:hint="eastAsia" w:ascii="宋体" w:hAnsi="宋体" w:eastAsia="宋体" w:cs="Times New Roman"/>
                <w:kern w:val="0"/>
                <w:sz w:val="24"/>
                <w:szCs w:val="24"/>
                <w:highlight w:val="none"/>
                <w:lang w:val="en-US" w:eastAsia="zh-CN" w:bidi="ar-SA"/>
              </w:rPr>
              <w:t>序号</w:t>
            </w:r>
          </w:p>
        </w:tc>
        <w:tc>
          <w:tcPr>
            <w:tcW w:w="5346" w:type="dxa"/>
            <w:tcBorders>
              <w:top w:val="single" w:color="000000" w:sz="4" w:space="0"/>
              <w:left w:val="nil"/>
              <w:bottom w:val="single" w:color="000000" w:sz="4" w:space="0"/>
              <w:right w:val="single" w:color="000000" w:sz="4" w:space="0"/>
            </w:tcBorders>
            <w:noWrap w:val="0"/>
            <w:vAlign w:val="center"/>
          </w:tcPr>
          <w:p w14:paraId="504680FF">
            <w:pPr>
              <w:widowControl/>
              <w:spacing w:line="500" w:lineRule="exact"/>
              <w:jc w:val="center"/>
              <w:rPr>
                <w:rFonts w:hint="default" w:ascii="宋体" w:hAnsi="宋体" w:eastAsia="宋体" w:cs="Times New Roman"/>
                <w:kern w:val="0"/>
                <w:sz w:val="24"/>
                <w:szCs w:val="24"/>
                <w:highlight w:val="none"/>
                <w:lang w:val="en-US" w:eastAsia="zh-CN" w:bidi="ar-SA"/>
              </w:rPr>
            </w:pPr>
            <w:r>
              <w:rPr>
                <w:rFonts w:hint="default" w:ascii="宋体" w:hAnsi="宋体" w:eastAsia="宋体" w:cs="Times New Roman"/>
                <w:kern w:val="0"/>
                <w:sz w:val="24"/>
                <w:szCs w:val="24"/>
                <w:highlight w:val="none"/>
                <w:lang w:val="en-US" w:eastAsia="zh-CN" w:bidi="ar-SA"/>
              </w:rPr>
              <w:t>具体位置及范围</w:t>
            </w:r>
          </w:p>
        </w:tc>
        <w:tc>
          <w:tcPr>
            <w:tcW w:w="2068" w:type="dxa"/>
            <w:tcBorders>
              <w:top w:val="single" w:color="000000" w:sz="4" w:space="0"/>
              <w:left w:val="nil"/>
              <w:bottom w:val="single" w:color="000000" w:sz="4" w:space="0"/>
              <w:right w:val="single" w:color="000000" w:sz="4" w:space="0"/>
            </w:tcBorders>
            <w:noWrap w:val="0"/>
            <w:vAlign w:val="center"/>
          </w:tcPr>
          <w:p w14:paraId="79831A6D">
            <w:pPr>
              <w:widowControl/>
              <w:jc w:val="center"/>
              <w:rPr>
                <w:rFonts w:hint="default" w:ascii="宋体" w:hAnsi="宋体" w:eastAsia="宋体" w:cs="Times New Roman"/>
                <w:kern w:val="0"/>
                <w:sz w:val="24"/>
                <w:szCs w:val="24"/>
                <w:highlight w:val="none"/>
                <w:lang w:val="en-US" w:eastAsia="zh-CN" w:bidi="ar-SA"/>
              </w:rPr>
            </w:pPr>
            <w:r>
              <w:rPr>
                <w:rFonts w:hint="default" w:ascii="宋体" w:hAnsi="宋体" w:eastAsia="宋体" w:cs="Times New Roman"/>
                <w:kern w:val="0"/>
                <w:sz w:val="24"/>
                <w:szCs w:val="24"/>
                <w:highlight w:val="none"/>
                <w:lang w:val="en-US" w:eastAsia="zh-CN" w:bidi="ar-SA"/>
              </w:rPr>
              <w:t>绿地面积(㎡)</w:t>
            </w:r>
          </w:p>
        </w:tc>
      </w:tr>
      <w:tr w14:paraId="275DEB73">
        <w:tblPrEx>
          <w:tblCellMar>
            <w:top w:w="0" w:type="dxa"/>
            <w:left w:w="108" w:type="dxa"/>
            <w:bottom w:w="0" w:type="dxa"/>
            <w:right w:w="108" w:type="dxa"/>
          </w:tblCellMar>
        </w:tblPrEx>
        <w:trPr>
          <w:trHeight w:val="488" w:hRule="atLeast"/>
          <w:jc w:val="center"/>
        </w:trPr>
        <w:tc>
          <w:tcPr>
            <w:tcW w:w="772" w:type="dxa"/>
            <w:tcBorders>
              <w:top w:val="single" w:color="000000" w:sz="4" w:space="0"/>
              <w:left w:val="single" w:color="000000" w:sz="4" w:space="0"/>
              <w:bottom w:val="single" w:color="000000" w:sz="4" w:space="0"/>
              <w:right w:val="single" w:color="000000" w:sz="4" w:space="0"/>
            </w:tcBorders>
            <w:noWrap w:val="0"/>
            <w:vAlign w:val="center"/>
          </w:tcPr>
          <w:p w14:paraId="1F0E4C9D">
            <w:pPr>
              <w:widowControl/>
              <w:jc w:val="center"/>
              <w:rPr>
                <w:rFonts w:hint="default" w:ascii="宋体" w:hAnsi="宋体" w:eastAsia="宋体" w:cs="Times New Roman"/>
                <w:kern w:val="0"/>
                <w:sz w:val="24"/>
                <w:szCs w:val="24"/>
                <w:highlight w:val="none"/>
                <w:lang w:val="en-US" w:eastAsia="zh-CN" w:bidi="ar-SA"/>
              </w:rPr>
            </w:pPr>
            <w:r>
              <w:rPr>
                <w:rFonts w:hint="eastAsia" w:ascii="宋体" w:hAnsi="宋体" w:eastAsia="宋体" w:cs="Times New Roman"/>
                <w:kern w:val="0"/>
                <w:sz w:val="24"/>
                <w:szCs w:val="24"/>
                <w:highlight w:val="none"/>
                <w:lang w:val="en-US" w:eastAsia="zh-CN" w:bidi="ar-SA"/>
              </w:rPr>
              <w:t>1</w:t>
            </w:r>
          </w:p>
        </w:tc>
        <w:tc>
          <w:tcPr>
            <w:tcW w:w="5346" w:type="dxa"/>
            <w:tcBorders>
              <w:top w:val="single" w:color="000000" w:sz="4" w:space="0"/>
              <w:left w:val="nil"/>
              <w:bottom w:val="single" w:color="000000" w:sz="4" w:space="0"/>
              <w:right w:val="single" w:color="000000" w:sz="4" w:space="0"/>
            </w:tcBorders>
            <w:noWrap w:val="0"/>
            <w:vAlign w:val="center"/>
          </w:tcPr>
          <w:p w14:paraId="2BB085EE">
            <w:pPr>
              <w:widowControl w:val="0"/>
              <w:jc w:val="both"/>
              <w:rPr>
                <w:rFonts w:hint="default" w:ascii="宋体" w:hAnsi="宋体" w:eastAsia="宋体" w:cs="Times New Roman"/>
                <w:kern w:val="0"/>
                <w:sz w:val="24"/>
                <w:szCs w:val="24"/>
                <w:highlight w:val="none"/>
                <w:lang w:val="en-US" w:eastAsia="zh-CN" w:bidi="ar-SA"/>
              </w:rPr>
            </w:pPr>
            <w:r>
              <w:rPr>
                <w:rFonts w:hint="eastAsia" w:ascii="宋体" w:hAnsi="宋体" w:eastAsia="宋体" w:cs="Times New Roman"/>
                <w:kern w:val="0"/>
                <w:sz w:val="24"/>
                <w:szCs w:val="24"/>
                <w:highlight w:val="none"/>
                <w:lang w:val="en-US" w:eastAsia="zh-CN" w:bidi="ar-SA"/>
              </w:rPr>
              <w:t>九里湖东湖、西湖矿南路停车场西侧入口向东至西湖南岸木栈桥东首入口、西湖南岸木栈桥东首入口向西至北矿南路停车场西侧、小北湖、垃圾场及公园内四季草花更换（一年四次，870平方米）</w:t>
            </w:r>
          </w:p>
        </w:tc>
        <w:tc>
          <w:tcPr>
            <w:tcW w:w="2068" w:type="dxa"/>
            <w:tcBorders>
              <w:top w:val="single" w:color="000000" w:sz="4" w:space="0"/>
              <w:left w:val="nil"/>
              <w:bottom w:val="single" w:color="000000" w:sz="4" w:space="0"/>
              <w:right w:val="single" w:color="000000" w:sz="4" w:space="0"/>
            </w:tcBorders>
            <w:noWrap w:val="0"/>
            <w:vAlign w:val="center"/>
          </w:tcPr>
          <w:p w14:paraId="5E25A0F3">
            <w:pPr>
              <w:widowControl/>
              <w:jc w:val="center"/>
              <w:rPr>
                <w:rFonts w:hint="default" w:ascii="宋体" w:hAnsi="宋体" w:eastAsia="宋体" w:cs="Times New Roman"/>
                <w:kern w:val="0"/>
                <w:sz w:val="24"/>
                <w:szCs w:val="24"/>
                <w:highlight w:val="none"/>
                <w:lang w:val="en-US" w:eastAsia="zh-CN" w:bidi="ar-SA"/>
              </w:rPr>
            </w:pPr>
            <w:r>
              <w:rPr>
                <w:rFonts w:hint="eastAsia" w:ascii="宋体" w:hAnsi="宋体" w:eastAsia="宋体" w:cs="Times New Roman"/>
                <w:kern w:val="0"/>
                <w:sz w:val="24"/>
                <w:szCs w:val="24"/>
                <w:highlight w:val="none"/>
                <w:lang w:val="en-US" w:eastAsia="zh-CN" w:bidi="ar-SA"/>
              </w:rPr>
              <w:t>621392</w:t>
            </w:r>
          </w:p>
        </w:tc>
      </w:tr>
    </w:tbl>
    <w:p w14:paraId="733D3AC6">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
          <w:color w:val="000000"/>
          <w:kern w:val="0"/>
          <w:sz w:val="24"/>
          <w:szCs w:val="24"/>
          <w:highlight w:val="none"/>
          <w:lang w:val="en-US" w:eastAsia="zh-CN" w:bidi="ar-SA"/>
        </w:rPr>
      </w:pPr>
      <w:r>
        <w:rPr>
          <w:rFonts w:hint="default" w:ascii="宋体" w:hAnsi="宋体" w:eastAsia="宋体" w:cs="Times New Roman"/>
          <w:b/>
          <w:color w:val="000000"/>
          <w:kern w:val="0"/>
          <w:sz w:val="24"/>
          <w:szCs w:val="24"/>
          <w:highlight w:val="none"/>
          <w:lang w:val="en-US" w:eastAsia="zh-CN" w:bidi="ar-SA"/>
        </w:rPr>
        <w:t>四、本项目管护期限：自合同签定之日起2年。</w:t>
      </w:r>
    </w:p>
    <w:p w14:paraId="64CD7F77">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
          <w:color w:val="000000"/>
          <w:kern w:val="0"/>
          <w:sz w:val="24"/>
          <w:szCs w:val="24"/>
          <w:highlight w:val="none"/>
          <w:lang w:val="en-US" w:eastAsia="zh-CN" w:bidi="ar-SA"/>
        </w:rPr>
      </w:pPr>
      <w:r>
        <w:rPr>
          <w:rFonts w:hint="default" w:ascii="宋体" w:hAnsi="宋体" w:eastAsia="宋体" w:cs="Times New Roman"/>
          <w:b/>
          <w:color w:val="000000"/>
          <w:kern w:val="0"/>
          <w:sz w:val="24"/>
          <w:szCs w:val="24"/>
          <w:highlight w:val="none"/>
          <w:lang w:val="en-US" w:eastAsia="zh-CN" w:bidi="ar-SA"/>
        </w:rPr>
        <w:t>五、工作人员配备和养护机械设备配置要求（本条为实质性响应指标，如有任何一项不满足或负偏离则视为无效报价）：</w:t>
      </w:r>
    </w:p>
    <w:p w14:paraId="0BABC5D6">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Cs/>
          <w:color w:val="000000"/>
          <w:kern w:val="0"/>
          <w:sz w:val="24"/>
          <w:szCs w:val="24"/>
          <w:highlight w:val="none"/>
          <w:lang w:val="en-US" w:eastAsia="zh-CN" w:bidi="ar-SA"/>
        </w:rPr>
      </w:pPr>
      <w:r>
        <w:rPr>
          <w:rFonts w:hint="default" w:ascii="宋体" w:hAnsi="宋体" w:eastAsia="宋体" w:cs="Times New Roman"/>
          <w:bCs/>
          <w:color w:val="000000"/>
          <w:kern w:val="0"/>
          <w:sz w:val="24"/>
          <w:szCs w:val="24"/>
          <w:highlight w:val="none"/>
          <w:lang w:val="en-US" w:eastAsia="zh-CN" w:bidi="ar-SA"/>
        </w:rPr>
        <w:t>（一）工作人员配备</w:t>
      </w:r>
    </w:p>
    <w:p w14:paraId="2B7FEC92">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eastAsia" w:ascii="宋体" w:hAnsi="宋体" w:eastAsia="宋体" w:cs="Times New Roman"/>
          <w:bCs/>
          <w:color w:val="000000"/>
          <w:kern w:val="0"/>
          <w:sz w:val="24"/>
          <w:szCs w:val="24"/>
          <w:highlight w:val="none"/>
          <w:lang w:val="en-US" w:eastAsia="zh-CN" w:bidi="ar-SA"/>
        </w:rPr>
      </w:pPr>
      <w:r>
        <w:rPr>
          <w:rFonts w:hint="eastAsia" w:ascii="宋体" w:hAnsi="宋体" w:eastAsia="宋体" w:cs="Times New Roman"/>
          <w:bCs/>
          <w:color w:val="000000"/>
          <w:kern w:val="0"/>
          <w:sz w:val="24"/>
          <w:szCs w:val="24"/>
          <w:highlight w:val="none"/>
          <w:lang w:val="en-US" w:eastAsia="zh-CN" w:bidi="ar-SA"/>
        </w:rPr>
        <w:t>1、</w:t>
      </w:r>
      <w:r>
        <w:rPr>
          <w:rFonts w:hint="default" w:ascii="宋体" w:hAnsi="宋体" w:eastAsia="宋体" w:cs="Times New Roman"/>
          <w:bCs/>
          <w:color w:val="000000"/>
          <w:kern w:val="0"/>
          <w:sz w:val="24"/>
          <w:szCs w:val="24"/>
          <w:highlight w:val="none"/>
          <w:lang w:val="en-US" w:eastAsia="zh-CN" w:bidi="ar-SA"/>
        </w:rPr>
        <w:t>本项目配备</w:t>
      </w:r>
      <w:r>
        <w:rPr>
          <w:rFonts w:hint="default" w:ascii="宋体" w:hAnsi="宋体" w:eastAsia="宋体" w:cs="Times New Roman"/>
          <w:bCs/>
          <w:kern w:val="0"/>
          <w:sz w:val="24"/>
          <w:szCs w:val="24"/>
          <w:highlight w:val="none"/>
          <w:lang w:val="en-US" w:eastAsia="zh-CN" w:bidi="ar-SA"/>
        </w:rPr>
        <w:t>项目负责人常驻现场，并不得同时兼任其他同类项目的项目负责人。</w:t>
      </w:r>
    </w:p>
    <w:p w14:paraId="5748832D">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eastAsia" w:ascii="宋体" w:hAnsi="宋体" w:eastAsia="宋体" w:cs="Times New Roman"/>
          <w:bCs/>
          <w:color w:val="000000"/>
          <w:kern w:val="0"/>
          <w:sz w:val="24"/>
          <w:szCs w:val="24"/>
          <w:highlight w:val="none"/>
          <w:lang w:val="en-US" w:eastAsia="zh-CN" w:bidi="ar-SA"/>
        </w:rPr>
      </w:pPr>
      <w:r>
        <w:rPr>
          <w:rFonts w:hint="eastAsia" w:ascii="宋体" w:hAnsi="宋体" w:eastAsia="宋体" w:cs="Times New Roman"/>
          <w:bCs/>
          <w:color w:val="000000"/>
          <w:kern w:val="0"/>
          <w:sz w:val="24"/>
          <w:szCs w:val="24"/>
          <w:highlight w:val="none"/>
          <w:lang w:val="en-US" w:eastAsia="zh-CN" w:bidi="ar-SA"/>
        </w:rPr>
        <w:t>2、本项目各标段的人员配备要求</w:t>
      </w:r>
      <w:r>
        <w:rPr>
          <w:rFonts w:hint="default" w:ascii="宋体" w:hAnsi="宋体" w:eastAsia="宋体" w:cs="Times New Roman"/>
          <w:color w:val="000000"/>
          <w:kern w:val="0"/>
          <w:sz w:val="24"/>
          <w:szCs w:val="24"/>
          <w:highlight w:val="none"/>
          <w:lang w:val="en-US" w:eastAsia="zh-CN" w:bidi="ar-SA"/>
        </w:rPr>
        <w:t>工种配置全面、比例合理，且能根据季节性和阶段性养护工作对现场工作人员进行量化配置，满足养护管理需要</w:t>
      </w:r>
      <w:r>
        <w:rPr>
          <w:rFonts w:hint="eastAsia" w:ascii="Times New Roman" w:hAnsi="Times New Roman" w:eastAsia="宋体" w:cs="Times New Roman"/>
          <w:kern w:val="0"/>
          <w:sz w:val="21"/>
          <w:szCs w:val="24"/>
          <w:highlight w:val="none"/>
          <w:lang w:val="en-US" w:eastAsia="zh-CN" w:bidi="ar-SA"/>
        </w:rPr>
        <w:t>，</w:t>
      </w:r>
      <w:r>
        <w:rPr>
          <w:rFonts w:hint="eastAsia" w:ascii="宋体" w:hAnsi="宋体" w:eastAsia="宋体" w:cs="Times New Roman"/>
          <w:bCs/>
          <w:kern w:val="0"/>
          <w:sz w:val="24"/>
          <w:szCs w:val="24"/>
          <w:highlight w:val="none"/>
          <w:lang w:val="en-US" w:eastAsia="zh-CN" w:bidi="ar-SA"/>
        </w:rPr>
        <w:t>具体人员名单应在合同签订前提交给采购人备案。</w:t>
      </w:r>
    </w:p>
    <w:p w14:paraId="5A9E7732">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Cs/>
          <w:color w:val="000000"/>
          <w:kern w:val="0"/>
          <w:sz w:val="24"/>
          <w:szCs w:val="24"/>
          <w:highlight w:val="none"/>
          <w:lang w:val="en-US" w:eastAsia="zh-CN" w:bidi="ar-SA"/>
        </w:rPr>
      </w:pPr>
      <w:r>
        <w:rPr>
          <w:rFonts w:hint="eastAsia" w:ascii="宋体" w:hAnsi="宋体" w:eastAsia="宋体" w:cs="Times New Roman"/>
          <w:bCs/>
          <w:color w:val="000000"/>
          <w:kern w:val="0"/>
          <w:sz w:val="24"/>
          <w:szCs w:val="24"/>
          <w:highlight w:val="none"/>
          <w:lang w:val="en-US" w:eastAsia="zh-CN" w:bidi="ar-SA"/>
        </w:rPr>
        <w:t>3</w:t>
      </w:r>
      <w:r>
        <w:rPr>
          <w:rFonts w:hint="default" w:ascii="宋体" w:hAnsi="宋体" w:eastAsia="宋体" w:cs="Times New Roman"/>
          <w:bCs/>
          <w:color w:val="000000"/>
          <w:kern w:val="0"/>
          <w:sz w:val="24"/>
          <w:szCs w:val="24"/>
          <w:highlight w:val="none"/>
          <w:lang w:val="en-US" w:eastAsia="zh-CN" w:bidi="ar-SA"/>
        </w:rPr>
        <w:t>、上岗人员必须统一着装，每日工作时间8个小时。</w:t>
      </w:r>
    </w:p>
    <w:p w14:paraId="21EC36B4">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Cs/>
          <w:color w:val="000000"/>
          <w:kern w:val="0"/>
          <w:sz w:val="24"/>
          <w:szCs w:val="24"/>
          <w:highlight w:val="none"/>
          <w:lang w:val="en-US" w:eastAsia="zh-CN" w:bidi="ar-SA"/>
        </w:rPr>
      </w:pPr>
      <w:r>
        <w:rPr>
          <w:rFonts w:hint="eastAsia" w:ascii="宋体" w:hAnsi="宋体" w:eastAsia="宋体" w:cs="Times New Roman"/>
          <w:bCs/>
          <w:color w:val="000000"/>
          <w:kern w:val="0"/>
          <w:sz w:val="24"/>
          <w:szCs w:val="24"/>
          <w:highlight w:val="none"/>
          <w:lang w:val="en-US" w:eastAsia="zh-CN" w:bidi="ar-SA"/>
        </w:rPr>
        <w:t>4</w:t>
      </w:r>
      <w:r>
        <w:rPr>
          <w:rFonts w:hint="default" w:ascii="宋体" w:hAnsi="宋体" w:eastAsia="宋体" w:cs="Times New Roman"/>
          <w:bCs/>
          <w:color w:val="000000"/>
          <w:kern w:val="0"/>
          <w:sz w:val="24"/>
          <w:szCs w:val="24"/>
          <w:highlight w:val="none"/>
          <w:lang w:val="en-US" w:eastAsia="zh-CN" w:bidi="ar-SA"/>
        </w:rPr>
        <w:t>、提供全天24小时应急服务，在市区有固定办公地点、值班人员及联系电话。</w:t>
      </w:r>
    </w:p>
    <w:p w14:paraId="5334017D">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Cs/>
          <w:color w:val="auto"/>
          <w:kern w:val="0"/>
          <w:sz w:val="24"/>
          <w:szCs w:val="24"/>
          <w:highlight w:val="none"/>
          <w:lang w:val="en-US" w:eastAsia="zh-CN" w:bidi="ar-SA"/>
        </w:rPr>
      </w:pPr>
      <w:r>
        <w:rPr>
          <w:rFonts w:hint="eastAsia" w:ascii="宋体" w:hAnsi="宋体" w:eastAsia="宋体" w:cs="Times New Roman"/>
          <w:bCs/>
          <w:color w:val="auto"/>
          <w:kern w:val="0"/>
          <w:sz w:val="24"/>
          <w:szCs w:val="24"/>
          <w:highlight w:val="none"/>
          <w:lang w:val="en-US" w:eastAsia="zh-CN" w:bidi="ar-SA"/>
        </w:rPr>
        <w:t>5、中标单位必须按照《中华人民共和国劳动法》相关要求，按时发放工人薪资。</w:t>
      </w:r>
    </w:p>
    <w:p w14:paraId="7E47645C">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Cs/>
          <w:color w:val="auto"/>
          <w:kern w:val="0"/>
          <w:sz w:val="24"/>
          <w:szCs w:val="24"/>
          <w:highlight w:val="none"/>
          <w:lang w:val="en-US" w:eastAsia="zh-CN" w:bidi="ar-SA"/>
        </w:rPr>
      </w:pPr>
      <w:r>
        <w:rPr>
          <w:rFonts w:hint="default" w:ascii="宋体" w:hAnsi="宋体" w:eastAsia="宋体" w:cs="Times New Roman"/>
          <w:bCs/>
          <w:color w:val="auto"/>
          <w:kern w:val="0"/>
          <w:sz w:val="24"/>
          <w:szCs w:val="24"/>
          <w:highlight w:val="none"/>
          <w:lang w:val="en-US" w:eastAsia="zh-CN" w:bidi="ar-SA"/>
        </w:rPr>
        <w:t>（二）养护机械设备配置</w:t>
      </w:r>
    </w:p>
    <w:tbl>
      <w:tblPr>
        <w:tblStyle w:val="2"/>
        <w:tblW w:w="79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69"/>
        <w:gridCol w:w="1932"/>
        <w:gridCol w:w="1080"/>
        <w:gridCol w:w="2003"/>
        <w:gridCol w:w="1801"/>
      </w:tblGrid>
      <w:tr w14:paraId="4DAA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5" w:hRule="atLeast"/>
          <w:jc w:val="center"/>
        </w:trPr>
        <w:tc>
          <w:tcPr>
            <w:tcW w:w="1169" w:type="dxa"/>
            <w:noWrap w:val="0"/>
            <w:vAlign w:val="center"/>
          </w:tcPr>
          <w:p w14:paraId="49C154ED">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序号</w:t>
            </w:r>
          </w:p>
        </w:tc>
        <w:tc>
          <w:tcPr>
            <w:tcW w:w="1932" w:type="dxa"/>
            <w:noWrap w:val="0"/>
            <w:vAlign w:val="center"/>
          </w:tcPr>
          <w:p w14:paraId="71E1BB8B">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其中水车等机动车辆</w:t>
            </w:r>
          </w:p>
        </w:tc>
        <w:tc>
          <w:tcPr>
            <w:tcW w:w="1080" w:type="dxa"/>
            <w:noWrap w:val="0"/>
            <w:vAlign w:val="center"/>
          </w:tcPr>
          <w:p w14:paraId="7F01F942">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水泵</w:t>
            </w:r>
          </w:p>
        </w:tc>
        <w:tc>
          <w:tcPr>
            <w:tcW w:w="2003" w:type="dxa"/>
            <w:noWrap w:val="0"/>
            <w:vAlign w:val="center"/>
          </w:tcPr>
          <w:p w14:paraId="270CBAE8">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喷药机具</w:t>
            </w:r>
          </w:p>
        </w:tc>
        <w:tc>
          <w:tcPr>
            <w:tcW w:w="1801" w:type="dxa"/>
            <w:noWrap w:val="0"/>
            <w:vAlign w:val="center"/>
          </w:tcPr>
          <w:p w14:paraId="23A7529C">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小型专业园林机具</w:t>
            </w:r>
          </w:p>
        </w:tc>
      </w:tr>
      <w:tr w14:paraId="620D4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 w:hRule="atLeast"/>
          <w:jc w:val="center"/>
        </w:trPr>
        <w:tc>
          <w:tcPr>
            <w:tcW w:w="1169" w:type="dxa"/>
            <w:noWrap w:val="0"/>
            <w:vAlign w:val="center"/>
          </w:tcPr>
          <w:p w14:paraId="78AACA9D">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1</w:t>
            </w:r>
          </w:p>
        </w:tc>
        <w:tc>
          <w:tcPr>
            <w:tcW w:w="1932" w:type="dxa"/>
            <w:noWrap w:val="0"/>
            <w:vAlign w:val="center"/>
          </w:tcPr>
          <w:p w14:paraId="315BC445">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1</w:t>
            </w:r>
            <w:r>
              <w:rPr>
                <w:rFonts w:hint="default" w:ascii="宋体" w:hAnsi="宋体" w:eastAsia="宋体" w:cs="Times New Roman"/>
                <w:color w:val="auto"/>
                <w:kern w:val="0"/>
                <w:sz w:val="24"/>
                <w:szCs w:val="24"/>
                <w:highlight w:val="none"/>
                <w:lang w:val="en-US" w:eastAsia="zh-CN" w:bidi="ar-SA"/>
              </w:rPr>
              <w:t>台（含）以上</w:t>
            </w:r>
          </w:p>
        </w:tc>
        <w:tc>
          <w:tcPr>
            <w:tcW w:w="1080" w:type="dxa"/>
            <w:noWrap w:val="0"/>
            <w:vAlign w:val="center"/>
          </w:tcPr>
          <w:p w14:paraId="6B5361E4">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4</w:t>
            </w:r>
            <w:r>
              <w:rPr>
                <w:rFonts w:hint="default" w:ascii="宋体" w:hAnsi="宋体" w:eastAsia="宋体" w:cs="Times New Roman"/>
                <w:color w:val="auto"/>
                <w:kern w:val="0"/>
                <w:sz w:val="24"/>
                <w:szCs w:val="24"/>
                <w:highlight w:val="none"/>
                <w:lang w:val="en-US" w:eastAsia="zh-CN" w:bidi="ar-SA"/>
              </w:rPr>
              <w:t>台</w:t>
            </w:r>
          </w:p>
        </w:tc>
        <w:tc>
          <w:tcPr>
            <w:tcW w:w="2003" w:type="dxa"/>
            <w:noWrap w:val="0"/>
            <w:vAlign w:val="center"/>
          </w:tcPr>
          <w:p w14:paraId="6A740514">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喷药喷雾器4台</w:t>
            </w:r>
          </w:p>
        </w:tc>
        <w:tc>
          <w:tcPr>
            <w:tcW w:w="1801" w:type="dxa"/>
            <w:noWrap w:val="0"/>
            <w:vAlign w:val="center"/>
          </w:tcPr>
          <w:p w14:paraId="6C1FEAD7">
            <w:pPr>
              <w:keepNext w:val="0"/>
              <w:keepLines w:val="0"/>
              <w:pageBreakBefore w:val="0"/>
              <w:widowControl w:val="0"/>
              <w:kinsoku/>
              <w:wordWrap/>
              <w:overflowPunct/>
              <w:topLinePunct w:val="0"/>
              <w:autoSpaceDE/>
              <w:autoSpaceDN/>
              <w:bidi w:val="0"/>
              <w:adjustRightInd/>
              <w:snapToGrid/>
              <w:spacing w:line="400" w:lineRule="atLeast"/>
              <w:ind w:left="0" w:firstLine="0"/>
              <w:jc w:val="center"/>
              <w:textAlignment w:val="auto"/>
              <w:rPr>
                <w:rFonts w:hint="default" w:ascii="宋体" w:hAnsi="宋体" w:eastAsia="宋体" w:cs="Times New Roman"/>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绿篱机12台、割灌机12台</w:t>
            </w:r>
          </w:p>
        </w:tc>
      </w:tr>
    </w:tbl>
    <w:p w14:paraId="0F86BF04">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eastAsia" w:ascii="宋体" w:hAnsi="宋体" w:eastAsia="宋体" w:cs="Times New Roman"/>
          <w:b/>
          <w:color w:val="auto"/>
          <w:kern w:val="0"/>
          <w:sz w:val="24"/>
          <w:szCs w:val="24"/>
          <w:highlight w:val="none"/>
          <w:lang w:val="en-US" w:eastAsia="zh-CN" w:bidi="ar-SA"/>
        </w:rPr>
      </w:pPr>
      <w:r>
        <w:rPr>
          <w:rFonts w:hint="default" w:ascii="宋体" w:hAnsi="宋体" w:eastAsia="宋体" w:cs="Times New Roman"/>
          <w:bCs/>
          <w:color w:val="auto"/>
          <w:kern w:val="0"/>
          <w:sz w:val="24"/>
          <w:szCs w:val="24"/>
          <w:highlight w:val="none"/>
          <w:lang w:val="en-US" w:eastAsia="zh-CN" w:bidi="ar-SA"/>
        </w:rPr>
        <w:t>本项目所配备的设备不得同时用于其他同类项目。投标文件中须提供所配备养护机械设备的实物图片和购买发票复印件</w:t>
      </w:r>
      <w:r>
        <w:rPr>
          <w:rFonts w:hint="eastAsia" w:ascii="宋体" w:hAnsi="宋体" w:eastAsia="宋体" w:cs="Times New Roman"/>
          <w:bCs/>
          <w:color w:val="auto"/>
          <w:kern w:val="0"/>
          <w:sz w:val="24"/>
          <w:szCs w:val="24"/>
          <w:highlight w:val="none"/>
          <w:lang w:val="en-US" w:eastAsia="zh-CN" w:bidi="ar-SA"/>
        </w:rPr>
        <w:t>。</w:t>
      </w:r>
    </w:p>
    <w:p w14:paraId="527C1988">
      <w:pPr>
        <w:keepNext w:val="0"/>
        <w:keepLines w:val="0"/>
        <w:pageBreakBefore w:val="0"/>
        <w:widowControl w:val="0"/>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
          <w:color w:val="auto"/>
          <w:kern w:val="0"/>
          <w:sz w:val="24"/>
          <w:szCs w:val="24"/>
          <w:highlight w:val="none"/>
          <w:lang w:val="en-US" w:eastAsia="zh-CN" w:bidi="ar-SA"/>
        </w:rPr>
      </w:pPr>
      <w:r>
        <w:rPr>
          <w:rFonts w:hint="default" w:ascii="宋体" w:hAnsi="宋体" w:eastAsia="宋体" w:cs="Times New Roman"/>
          <w:b/>
          <w:color w:val="auto"/>
          <w:kern w:val="0"/>
          <w:sz w:val="24"/>
          <w:szCs w:val="24"/>
          <w:highlight w:val="none"/>
          <w:lang w:val="en-US" w:eastAsia="zh-CN" w:bidi="ar-SA"/>
        </w:rPr>
        <w:t>说明：投标文件中必须提供“投标人对“工作人员配备和养护机械设备配置”的承诺”文件，且所承诺的内容不得低于上述要求，并附所配备养护机械设备的实物图片和购买发票复印件。</w:t>
      </w:r>
      <w:r>
        <w:rPr>
          <w:rFonts w:hint="eastAsia" w:ascii="宋体" w:hAnsi="宋体" w:eastAsia="宋体" w:cs="Times New Roman"/>
          <w:b/>
          <w:color w:val="auto"/>
          <w:kern w:val="0"/>
          <w:sz w:val="24"/>
          <w:szCs w:val="24"/>
          <w:highlight w:val="none"/>
          <w:lang w:val="en-US" w:eastAsia="zh-CN" w:bidi="ar-SA"/>
        </w:rPr>
        <w:t>其中水车等机动车辆可以租赁，须提供照片和租赁合同及车辆行驶证、车辆保险等证件资料。</w:t>
      </w:r>
    </w:p>
    <w:p w14:paraId="6ACACF93">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b/>
          <w:color w:val="auto"/>
          <w:kern w:val="0"/>
          <w:sz w:val="24"/>
          <w:szCs w:val="24"/>
          <w:highlight w:val="none"/>
          <w:lang w:val="en-US" w:eastAsia="zh-CN" w:bidi="ar-SA"/>
        </w:rPr>
      </w:pPr>
      <w:r>
        <w:rPr>
          <w:rFonts w:hint="default" w:ascii="宋体" w:hAnsi="宋体" w:eastAsia="宋体" w:cs="Times New Roman"/>
          <w:b/>
          <w:color w:val="auto"/>
          <w:kern w:val="0"/>
          <w:sz w:val="24"/>
          <w:szCs w:val="24"/>
          <w:highlight w:val="none"/>
          <w:lang w:val="en-US" w:eastAsia="zh-CN" w:bidi="ar-SA"/>
        </w:rPr>
        <w:t>六、管护内容：</w:t>
      </w:r>
    </w:p>
    <w:p w14:paraId="221B3816">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1、负责所有绿地的动植物资源的管护工作，防止出现盗、砍、滥伐林木等破坏林木行为和破坏绿地的出现。</w:t>
      </w:r>
    </w:p>
    <w:p w14:paraId="7B4BB8F3">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2、负责所管护绿地内森林防火、宣传、值班、巡查和扑救工作。</w:t>
      </w:r>
    </w:p>
    <w:p w14:paraId="78262B3C">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3、承担所有绿地森林病虫害的预测</w:t>
      </w:r>
      <w:r>
        <w:rPr>
          <w:rFonts w:hint="default" w:ascii="宋体" w:hAnsi="宋体" w:eastAsia="宋体" w:cs="Times New Roman"/>
          <w:color w:val="auto"/>
          <w:kern w:val="0"/>
          <w:sz w:val="24"/>
          <w:szCs w:val="24"/>
          <w:highlight w:val="none"/>
          <w:lang w:val="en-US" w:eastAsia="zh-CN" w:bidi="ar-SA"/>
        </w:rPr>
        <w:t>简报，根据采购人要求及时做好病虫害防治工作。</w:t>
      </w:r>
    </w:p>
    <w:p w14:paraId="6FEC5D75">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4、负责所有绿地的自然环境和人文景观的保护工作，承担所有绿地内环境卫生常态保洁、死株的清理</w:t>
      </w:r>
      <w:r>
        <w:rPr>
          <w:rFonts w:hint="eastAsia" w:ascii="宋体" w:hAnsi="宋体" w:eastAsia="宋体" w:cs="Times New Roman"/>
          <w:color w:val="auto"/>
          <w:kern w:val="0"/>
          <w:sz w:val="24"/>
          <w:szCs w:val="24"/>
          <w:highlight w:val="none"/>
          <w:lang w:val="en-US" w:eastAsia="zh-CN" w:bidi="ar-SA"/>
        </w:rPr>
        <w:t>清运</w:t>
      </w:r>
      <w:r>
        <w:rPr>
          <w:rFonts w:hint="default" w:ascii="宋体" w:hAnsi="宋体" w:eastAsia="宋体" w:cs="Times New Roman"/>
          <w:color w:val="auto"/>
          <w:kern w:val="0"/>
          <w:sz w:val="24"/>
          <w:szCs w:val="24"/>
          <w:highlight w:val="none"/>
          <w:lang w:val="en-US" w:eastAsia="zh-CN" w:bidi="ar-SA"/>
        </w:rPr>
        <w:t>工作。</w:t>
      </w:r>
    </w:p>
    <w:p w14:paraId="1B339615">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5、</w:t>
      </w:r>
      <w:r>
        <w:rPr>
          <w:rFonts w:hint="eastAsia" w:ascii="宋体" w:hAnsi="宋体" w:eastAsia="宋体" w:cs="Times New Roman"/>
          <w:color w:val="auto"/>
          <w:kern w:val="0"/>
          <w:sz w:val="24"/>
          <w:szCs w:val="24"/>
          <w:highlight w:val="none"/>
          <w:lang w:val="en-US" w:eastAsia="zh-CN" w:bidi="ar-SA"/>
        </w:rPr>
        <w:t>采取相应措施，杜绝</w:t>
      </w:r>
      <w:r>
        <w:rPr>
          <w:rFonts w:hint="default" w:ascii="宋体" w:hAnsi="宋体" w:eastAsia="宋体" w:cs="Times New Roman"/>
          <w:color w:val="auto"/>
          <w:kern w:val="0"/>
          <w:sz w:val="24"/>
          <w:szCs w:val="24"/>
          <w:highlight w:val="none"/>
          <w:lang w:val="en-US" w:eastAsia="zh-CN" w:bidi="ar-SA"/>
        </w:rPr>
        <w:t>所有绿地内私埋乱葬坟墓</w:t>
      </w:r>
      <w:r>
        <w:rPr>
          <w:rFonts w:hint="eastAsia" w:ascii="宋体" w:hAnsi="宋体" w:eastAsia="宋体" w:cs="Times New Roman"/>
          <w:color w:val="auto"/>
          <w:kern w:val="0"/>
          <w:sz w:val="24"/>
          <w:szCs w:val="24"/>
          <w:highlight w:val="none"/>
          <w:lang w:val="en-US" w:eastAsia="zh-CN" w:bidi="ar-SA"/>
        </w:rPr>
        <w:t>的行为，及时制止并上报</w:t>
      </w:r>
      <w:r>
        <w:rPr>
          <w:rFonts w:hint="default" w:ascii="宋体" w:hAnsi="宋体" w:eastAsia="宋体" w:cs="Times New Roman"/>
          <w:color w:val="auto"/>
          <w:kern w:val="0"/>
          <w:sz w:val="24"/>
          <w:szCs w:val="24"/>
          <w:highlight w:val="none"/>
          <w:lang w:val="en-US" w:eastAsia="zh-CN" w:bidi="ar-SA"/>
        </w:rPr>
        <w:t>。</w:t>
      </w:r>
    </w:p>
    <w:p w14:paraId="2891D2C3">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6、积极协助所管护绿地内的资源调查、科研活动、宣传教育、项目建设等工作。</w:t>
      </w:r>
    </w:p>
    <w:p w14:paraId="445BDF68">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7、按时参加采购人组织的相关培训、会议等活动，完成采购人要求的其他事宜。</w:t>
      </w:r>
    </w:p>
    <w:p w14:paraId="78CC9989">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8、园区基础设施维护，相关费用由中标人承担，采购人不再支付任何费用。</w:t>
      </w:r>
    </w:p>
    <w:p w14:paraId="518E2CE3">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9、建立健全台账制度。</w:t>
      </w:r>
    </w:p>
    <w:p w14:paraId="492151CC">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left="0" w:firstLine="0"/>
        <w:jc w:val="left"/>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b/>
          <w:color w:val="auto"/>
          <w:kern w:val="0"/>
          <w:sz w:val="24"/>
          <w:szCs w:val="24"/>
          <w:highlight w:val="none"/>
          <w:lang w:val="en-US" w:eastAsia="zh-CN" w:bidi="ar-SA"/>
        </w:rPr>
        <w:t>七、绿地养护管理质量标准：</w:t>
      </w:r>
    </w:p>
    <w:p w14:paraId="19CA779A">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 xml:space="preserve">1、中标人必须高度重视安全生产工作，应定期向采购人汇报绿地管理计划及保障绿地安全的有关措施，确保全年不出安全责任事故。 </w:t>
      </w:r>
    </w:p>
    <w:p w14:paraId="3E01D823">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2、全年不发生一起</w:t>
      </w:r>
      <w:r>
        <w:rPr>
          <w:rFonts w:hint="default" w:ascii="宋体" w:hAnsi="宋体" w:eastAsia="宋体" w:cs="Times New Roman"/>
          <w:b/>
          <w:bCs/>
          <w:color w:val="auto"/>
          <w:kern w:val="0"/>
          <w:sz w:val="24"/>
          <w:szCs w:val="24"/>
          <w:highlight w:val="none"/>
          <w:lang w:val="en-US" w:eastAsia="zh-CN" w:bidi="ar-SA"/>
        </w:rPr>
        <w:t>较大</w:t>
      </w:r>
      <w:r>
        <w:rPr>
          <w:rFonts w:hint="default" w:ascii="宋体" w:hAnsi="宋体" w:eastAsia="宋体" w:cs="Times New Roman"/>
          <w:color w:val="auto"/>
          <w:kern w:val="0"/>
          <w:sz w:val="24"/>
          <w:szCs w:val="24"/>
          <w:highlight w:val="none"/>
          <w:lang w:val="en-US" w:eastAsia="zh-CN" w:bidi="ar-SA"/>
        </w:rPr>
        <w:t>森林火灾</w:t>
      </w:r>
      <w:r>
        <w:rPr>
          <w:rFonts w:hint="eastAsia" w:ascii="宋体" w:hAnsi="宋体" w:eastAsia="宋体" w:cs="Times New Roman"/>
          <w:color w:val="auto"/>
          <w:kern w:val="0"/>
          <w:sz w:val="24"/>
          <w:szCs w:val="24"/>
          <w:highlight w:val="none"/>
          <w:lang w:val="en-US" w:eastAsia="zh-CN" w:bidi="ar-SA"/>
        </w:rPr>
        <w:t>；确保乔木</w:t>
      </w:r>
      <w:r>
        <w:rPr>
          <w:rFonts w:hint="default" w:ascii="宋体" w:hAnsi="宋体" w:eastAsia="宋体" w:cs="Times New Roman"/>
          <w:color w:val="auto"/>
          <w:kern w:val="0"/>
          <w:sz w:val="24"/>
          <w:szCs w:val="24"/>
          <w:highlight w:val="none"/>
          <w:lang w:val="en-US" w:eastAsia="zh-CN" w:bidi="ar-SA"/>
        </w:rPr>
        <w:t>受灾率为0。</w:t>
      </w:r>
    </w:p>
    <w:p w14:paraId="52B89BE8">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3、森林病虫害监测预报准确率100%，具</w:t>
      </w:r>
      <w:r>
        <w:rPr>
          <w:rFonts w:hint="default" w:ascii="宋体" w:hAnsi="宋体" w:eastAsia="宋体" w:cs="Times New Roman"/>
          <w:color w:val="auto"/>
          <w:kern w:val="0"/>
          <w:sz w:val="24"/>
          <w:szCs w:val="24"/>
          <w:highlight w:val="none"/>
          <w:lang w:val="en-US" w:eastAsia="zh-CN" w:bidi="ar-SA"/>
        </w:rPr>
        <w:t>体防治由采购人和成交供应商双方另行商定。</w:t>
      </w:r>
    </w:p>
    <w:p w14:paraId="63AB0AE5">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4、及时做好林内树木正常修剪，及时清理枯枝、病木、弱木、断压木等。每日做好巡查日志，冬季芦苇进行全面收割（没有芦苇的地方做好防火隔离带）及</w:t>
      </w:r>
      <w:r>
        <w:rPr>
          <w:rFonts w:hint="eastAsia" w:ascii="宋体" w:hAnsi="宋体" w:eastAsia="宋体" w:cs="Times New Roman"/>
          <w:color w:val="auto"/>
          <w:kern w:val="0"/>
          <w:sz w:val="24"/>
          <w:szCs w:val="24"/>
          <w:highlight w:val="none"/>
          <w:lang w:val="en-US" w:eastAsia="zh-CN" w:bidi="ar-SA"/>
        </w:rPr>
        <w:t>清运</w:t>
      </w:r>
      <w:r>
        <w:rPr>
          <w:rFonts w:hint="default" w:ascii="宋体" w:hAnsi="宋体" w:eastAsia="宋体" w:cs="Times New Roman"/>
          <w:color w:val="auto"/>
          <w:kern w:val="0"/>
          <w:sz w:val="24"/>
          <w:szCs w:val="24"/>
          <w:highlight w:val="none"/>
          <w:lang w:val="en-US" w:eastAsia="zh-CN" w:bidi="ar-SA"/>
        </w:rPr>
        <w:t>。</w:t>
      </w:r>
    </w:p>
    <w:p w14:paraId="6EF28B6E">
      <w:pPr>
        <w:keepNext w:val="0"/>
        <w:keepLines w:val="0"/>
        <w:pageBreakBefore w:val="0"/>
        <w:widowControl w:val="0"/>
        <w:numPr>
          <w:ilvl w:val="0"/>
          <w:numId w:val="1"/>
        </w:numPr>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default" w:ascii="宋体" w:hAnsi="宋体" w:eastAsia="宋体" w:cs="Times New Roman"/>
          <w:color w:val="auto"/>
          <w:kern w:val="0"/>
          <w:sz w:val="24"/>
          <w:szCs w:val="24"/>
          <w:highlight w:val="none"/>
          <w:lang w:val="en-US" w:eastAsia="zh-CN" w:bidi="ar-SA"/>
        </w:rPr>
        <w:t>林缘边建设防火隔离带，林内基本无杂草，杂草率不超过10%。隔离带建设具体工作由采购人和中标人双方另行商定。</w:t>
      </w:r>
    </w:p>
    <w:p w14:paraId="39453D18">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5</w:t>
      </w:r>
      <w:r>
        <w:rPr>
          <w:rFonts w:hint="default" w:ascii="宋体" w:hAnsi="宋体" w:eastAsia="宋体" w:cs="Times New Roman"/>
          <w:color w:val="auto"/>
          <w:kern w:val="0"/>
          <w:sz w:val="24"/>
          <w:szCs w:val="24"/>
          <w:highlight w:val="none"/>
          <w:lang w:val="en-US" w:eastAsia="zh-CN" w:bidi="ar-SA"/>
        </w:rPr>
        <w:t>、防止盗、砍、滥伐林木等破坏林木行为和破坏林地</w:t>
      </w:r>
      <w:r>
        <w:rPr>
          <w:rFonts w:hint="eastAsia" w:ascii="宋体" w:hAnsi="宋体" w:eastAsia="宋体" w:cs="Times New Roman"/>
          <w:color w:val="auto"/>
          <w:kern w:val="0"/>
          <w:sz w:val="24"/>
          <w:szCs w:val="24"/>
          <w:highlight w:val="none"/>
          <w:lang w:val="en-US" w:eastAsia="zh-CN" w:bidi="ar-SA"/>
        </w:rPr>
        <w:t>行为</w:t>
      </w:r>
      <w:r>
        <w:rPr>
          <w:rFonts w:hint="default" w:ascii="宋体" w:hAnsi="宋体" w:eastAsia="宋体" w:cs="Times New Roman"/>
          <w:color w:val="auto"/>
          <w:kern w:val="0"/>
          <w:sz w:val="24"/>
          <w:szCs w:val="24"/>
          <w:highlight w:val="none"/>
          <w:lang w:val="en-US" w:eastAsia="zh-CN" w:bidi="ar-SA"/>
        </w:rPr>
        <w:t>的出现。</w:t>
      </w:r>
    </w:p>
    <w:p w14:paraId="7BD10817">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6</w:t>
      </w:r>
      <w:r>
        <w:rPr>
          <w:rFonts w:hint="default" w:ascii="宋体" w:hAnsi="宋体" w:eastAsia="宋体" w:cs="Times New Roman"/>
          <w:color w:val="auto"/>
          <w:kern w:val="0"/>
          <w:sz w:val="24"/>
          <w:szCs w:val="24"/>
          <w:highlight w:val="none"/>
          <w:lang w:val="en-US" w:eastAsia="zh-CN" w:bidi="ar-SA"/>
        </w:rPr>
        <w:t>、绿地内无明显杂物，基本无白色污染，无外来建筑垃圾等堆物。</w:t>
      </w:r>
    </w:p>
    <w:p w14:paraId="7E81F874">
      <w:pPr>
        <w:keepNext w:val="0"/>
        <w:keepLines w:val="0"/>
        <w:pageBreakBefore w:val="0"/>
        <w:widowControl w:val="0"/>
        <w:kinsoku/>
        <w:wordWrap/>
        <w:overflowPunct/>
        <w:topLinePunct w:val="0"/>
        <w:autoSpaceDE/>
        <w:autoSpaceDN/>
        <w:bidi w:val="0"/>
        <w:adjustRightInd/>
        <w:snapToGrid/>
        <w:spacing w:line="400" w:lineRule="atLeast"/>
        <w:ind w:left="0" w:firstLine="0"/>
        <w:jc w:val="both"/>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7、及时对死树进行排查并做好更换工作，更换时应按原树种的同规格，同类型植株进行更换，更换前需报采购人同意。</w:t>
      </w:r>
    </w:p>
    <w:p w14:paraId="0AECE48A">
      <w:pPr>
        <w:pBdr>
          <w:top w:val="none" w:color="000000" w:sz="0" w:space="0"/>
          <w:left w:val="none" w:color="000000" w:sz="0" w:space="0"/>
          <w:bottom w:val="none" w:color="000000" w:sz="0" w:space="0"/>
          <w:right w:val="none" w:color="000000" w:sz="0" w:space="0"/>
        </w:pBdr>
        <w:spacing w:before="0" w:after="0"/>
        <w:ind w:left="0" w:right="0" w:firstLine="0"/>
        <w:jc w:val="both"/>
        <w:rPr>
          <w:color w:val="auto"/>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FA75E9"/>
    <w:rsid w:val="08422DA8"/>
    <w:rsid w:val="11C54263"/>
    <w:rsid w:val="136F7498"/>
    <w:rsid w:val="155203F3"/>
    <w:rsid w:val="1BA01B1B"/>
    <w:rsid w:val="210C3AEC"/>
    <w:rsid w:val="23CE7442"/>
    <w:rsid w:val="2EB55486"/>
    <w:rsid w:val="2F397E65"/>
    <w:rsid w:val="424219C4"/>
    <w:rsid w:val="43490C7D"/>
    <w:rsid w:val="4FE04410"/>
    <w:rsid w:val="52A955BC"/>
    <w:rsid w:val="540B1521"/>
    <w:rsid w:val="55FA75E9"/>
    <w:rsid w:val="57807F63"/>
    <w:rsid w:val="5D986A78"/>
    <w:rsid w:val="634822C3"/>
    <w:rsid w:val="65146CC3"/>
    <w:rsid w:val="74BC73BF"/>
    <w:rsid w:val="7D3651F8"/>
    <w:rsid w:val="7D697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6204</Words>
  <Characters>6414</Characters>
  <Lines>0</Lines>
  <Paragraphs>0</Paragraphs>
  <TotalTime>0</TotalTime>
  <ScaleCrop>false</ScaleCrop>
  <LinksUpToDate>false</LinksUpToDate>
  <CharactersWithSpaces>6470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2026-08-07T07:12:00Z</dcterms:created>
  <dc:creator>Administrator</dc:creator>
  <cp:lastModifiedBy>Administrator</cp:lastModifiedBy>
  <dcterms:modified xsi:type="dcterms:W3CDTF">2026-09-30T07:32:03Z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D024EFF457854855A92D3EB4A3D0DD19_11</vt:lpwstr>
  </property>
  <property fmtid="{D5CDD505-2E9C-101B-9397-08002B2CF9AE}" pid="4" name="KSOTemplateDocerSaveRecord">
    <vt:lpwstr>eyJoZGlkIjoiOGEzZDQ3MDg5YTBmYjcwMWQyYjY5NWE5MTZmZjI4OTMiLCJ1c2VySWQiOiI1Nzk3Mjk3OTAifQ==</vt:lpwstr>
  </property>
</Properties>
</file>