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customXml/itemProps5.xml" ContentType="application/vnd.openxmlformats-officedocument.customXmlPropertie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25"/>
        <w:rPr>
          <w:color w:val="auto"/>
          <w:highlight w:val="none"/>
        </w:rPr>
        <w:outlineLvl w:val="9"/>
      </w:pPr>
      <w:r>
        <w:rPr>
          <w:color w:val="auto"/>
          <w:highlight w:val="none"/>
        </w:rPr>
      </w:r>
      <w:r/>
    </w:p>
    <w:p>
      <w:pPr>
        <w:pStyle w:val="822"/>
        <w:spacing w:line="360" w:lineRule="auto"/>
        <w:widowControl w:val="off"/>
        <w:rPr>
          <w:rStyle w:val="1097"/>
          <w:rFonts w:hint="eastAsia" w:ascii="仿宋" w:hAnsi="仿宋" w:eastAsia="仿宋" w:cs="仿宋"/>
          <w:color w:val="auto"/>
          <w:sz w:val="110"/>
          <w:highlight w:val="none"/>
        </w:rPr>
      </w:pPr>
      <w:r>
        <w:rPr>
          <w:rFonts w:hint="eastAsia" w:ascii="仿宋" w:hAnsi="仿宋" w:eastAsia="仿宋" w:cs="仿宋"/>
          <w:color w:val="auto"/>
          <w:sz w:val="110"/>
          <w:highlight w:val="none"/>
        </w:rPr>
      </w:r>
      <w:r/>
    </w:p>
    <w:p>
      <w:pPr>
        <w:pStyle w:val="822"/>
        <w:jc w:val="center"/>
        <w:spacing w:line="360" w:lineRule="auto"/>
        <w:widowControl w:val="off"/>
        <w:rPr>
          <w:rStyle w:val="1097"/>
          <w:rFonts w:hint="eastAsia" w:ascii="仿宋" w:hAnsi="仿宋" w:eastAsia="仿宋" w:cs="仿宋"/>
          <w:color w:val="auto"/>
          <w:sz w:val="110"/>
          <w:highlight w:val="none"/>
        </w:rPr>
      </w:pPr>
      <w:r>
        <w:rPr>
          <w:rStyle w:val="1097"/>
          <w:rFonts w:hint="eastAsia" w:ascii="仿宋" w:hAnsi="仿宋" w:eastAsia="仿宋" w:cs="仿宋"/>
          <w:color w:val="auto"/>
          <w:sz w:val="110"/>
          <w:highlight w:val="none"/>
        </w:rPr>
        <w:t xml:space="preserve">竞争性磋商文件</w:t>
      </w:r>
      <w:r/>
    </w:p>
    <w:p>
      <w:pPr>
        <w:pStyle w:val="822"/>
        <w:jc w:val="left"/>
        <w:spacing w:line="360" w:lineRule="auto"/>
        <w:widowControl w:val="off"/>
        <w:rPr>
          <w:rStyle w:val="1097"/>
          <w:rFonts w:hint="eastAsia" w:ascii="仿宋" w:hAnsi="仿宋" w:eastAsia="仿宋" w:cs="仿宋"/>
          <w:b/>
          <w:color w:val="auto"/>
          <w:sz w:val="32"/>
          <w:highlight w:val="none"/>
        </w:rPr>
      </w:pPr>
      <w:r>
        <w:rPr>
          <w:rFonts w:hint="eastAsia" w:ascii="仿宋" w:hAnsi="仿宋" w:eastAsia="仿宋" w:cs="仿宋"/>
          <w:b/>
          <w:color w:val="auto"/>
          <w:sz w:val="32"/>
          <w:highlight w:val="none"/>
        </w:rPr>
      </w:r>
      <w:r/>
    </w:p>
    <w:p>
      <w:pPr>
        <w:pStyle w:val="823"/>
        <w:spacing w:line="360" w:lineRule="auto"/>
        <w:rPr>
          <w:rStyle w:val="1097"/>
          <w:rFonts w:hint="eastAsia" w:ascii="仿宋" w:hAnsi="仿宋" w:eastAsia="仿宋" w:cs="仿宋"/>
          <w:b/>
          <w:color w:val="auto"/>
          <w:sz w:val="32"/>
          <w:highlight w:val="none"/>
        </w:rPr>
      </w:pPr>
      <w:r>
        <w:rPr>
          <w:rFonts w:hint="eastAsia" w:ascii="仿宋" w:hAnsi="仿宋" w:eastAsia="仿宋" w:cs="仿宋"/>
          <w:b/>
          <w:color w:val="auto"/>
          <w:sz w:val="32"/>
          <w:highlight w:val="none"/>
        </w:rPr>
      </w:r>
      <w:r/>
    </w:p>
    <w:p>
      <w:pPr>
        <w:pStyle w:val="823"/>
        <w:spacing w:line="360" w:lineRule="auto"/>
        <w:rPr>
          <w:rStyle w:val="1097"/>
          <w:rFonts w:hint="eastAsia" w:ascii="仿宋" w:hAnsi="仿宋" w:eastAsia="仿宋" w:cs="仿宋"/>
          <w:b/>
          <w:color w:val="auto"/>
          <w:sz w:val="32"/>
          <w:highlight w:val="none"/>
        </w:rPr>
      </w:pPr>
      <w:r>
        <w:rPr>
          <w:rFonts w:hint="eastAsia" w:ascii="仿宋" w:hAnsi="仿宋" w:eastAsia="仿宋" w:cs="仿宋"/>
          <w:b/>
          <w:color w:val="auto"/>
          <w:sz w:val="32"/>
          <w:highlight w:val="none"/>
        </w:rPr>
      </w:r>
      <w:r/>
    </w:p>
    <w:p>
      <w:pPr>
        <w:pStyle w:val="822"/>
        <w:ind w:firstLine="630"/>
        <w:jc w:val="left"/>
        <w:spacing w:line="360" w:lineRule="auto"/>
        <w:widowControl w:val="off"/>
        <w:rPr>
          <w:rStyle w:val="1097"/>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pStyle w:val="822"/>
        <w:ind w:left="2877" w:hanging="1600"/>
        <w:jc w:val="left"/>
        <w:spacing w:line="360" w:lineRule="auto"/>
        <w:widowControl w:val="off"/>
        <w:rPr>
          <w:rStyle w:val="1097"/>
          <w:rFonts w:hint="eastAsia" w:ascii="仿宋" w:hAnsi="仿宋" w:eastAsia="仿宋" w:cs="仿宋"/>
          <w:color w:val="auto"/>
          <w:sz w:val="32"/>
          <w:highlight w:val="none"/>
          <w:lang w:eastAsia="zh-CN"/>
        </w:rPr>
      </w:pPr>
      <w:r>
        <w:rPr>
          <w:rStyle w:val="1097"/>
          <w:rFonts w:hint="eastAsia" w:ascii="仿宋" w:hAnsi="仿宋" w:eastAsia="仿宋" w:cs="仿宋"/>
          <w:color w:val="auto"/>
          <w:sz w:val="32"/>
          <w:highlight w:val="none"/>
        </w:rPr>
        <w:t xml:space="preserve">项目名称：</w:t>
      </w:r>
      <w:r>
        <w:rPr>
          <w:rStyle w:val="1097"/>
          <w:rFonts w:hint="eastAsia" w:ascii="仿宋" w:hAnsi="仿宋" w:eastAsia="仿宋" w:cs="仿宋"/>
          <w:color w:val="auto"/>
          <w:sz w:val="32"/>
          <w:highlight w:val="none"/>
          <w:lang w:eastAsia="zh-CN"/>
        </w:rPr>
        <w:t xml:space="preserve">黄河东片区道路雨污分流路面修复工程项目</w:t>
      </w:r>
      <w:r/>
    </w:p>
    <w:p>
      <w:pPr>
        <w:pStyle w:val="822"/>
        <w:ind w:left="840" w:firstLine="420"/>
        <w:jc w:val="left"/>
        <w:spacing w:line="360" w:lineRule="auto"/>
        <w:widowControl w:val="off"/>
        <w:rPr>
          <w:rStyle w:val="1097"/>
          <w:rFonts w:hint="eastAsia" w:ascii="仿宋" w:hAnsi="仿宋" w:eastAsia="仿宋" w:cs="仿宋"/>
          <w:color w:val="auto"/>
          <w:sz w:val="32"/>
          <w:highlight w:val="none"/>
          <w:lang w:eastAsia="zh-CN"/>
        </w:rPr>
      </w:pPr>
      <w:r>
        <w:rPr>
          <w:rStyle w:val="1097"/>
          <w:rFonts w:hint="eastAsia" w:ascii="仿宋" w:hAnsi="仿宋" w:eastAsia="仿宋" w:cs="仿宋"/>
          <w:color w:val="auto"/>
          <w:sz w:val="32"/>
          <w:highlight w:val="none"/>
        </w:rPr>
        <w:t xml:space="preserve">项目编号：</w:t>
      </w:r>
      <w:r>
        <w:rPr>
          <w:rStyle w:val="1097"/>
          <w:rFonts w:hint="eastAsia" w:ascii="仿宋" w:hAnsi="仿宋" w:eastAsia="仿宋" w:cs="仿宋"/>
          <w:color w:val="auto"/>
          <w:sz w:val="32"/>
          <w:szCs w:val="22"/>
          <w:highlight w:val="none"/>
          <w:lang w:eastAsia="zh-CN"/>
        </w:rPr>
        <w:t xml:space="preserve">JSZC-320302-JSSZ-C2026-0052</w:t>
      </w:r>
      <w:r/>
    </w:p>
    <w:p>
      <w:pPr>
        <w:pStyle w:val="822"/>
        <w:ind w:left="840" w:firstLine="420"/>
        <w:jc w:val="left"/>
        <w:spacing w:line="360" w:lineRule="auto"/>
        <w:widowControl w:val="off"/>
        <w:rPr>
          <w:rStyle w:val="1097"/>
          <w:rFonts w:hint="eastAsia" w:ascii="仿宋" w:hAnsi="仿宋" w:eastAsia="仿宋" w:cs="仿宋"/>
          <w:color w:val="auto"/>
          <w:sz w:val="32"/>
          <w:highlight w:val="none"/>
          <w:lang w:eastAsia="zh-CN"/>
        </w:rPr>
      </w:pPr>
      <w:r>
        <w:rPr>
          <w:rStyle w:val="1097"/>
          <w:rFonts w:hint="eastAsia" w:ascii="仿宋" w:hAnsi="仿宋" w:eastAsia="仿宋" w:cs="仿宋"/>
          <w:color w:val="auto"/>
          <w:sz w:val="32"/>
          <w:highlight w:val="none"/>
        </w:rPr>
        <w:t xml:space="preserve">采 购 人：</w:t>
      </w:r>
      <w:r>
        <w:rPr>
          <w:rStyle w:val="1097"/>
          <w:rFonts w:hint="eastAsia" w:ascii="仿宋" w:hAnsi="仿宋" w:eastAsia="仿宋" w:cs="仿宋"/>
          <w:color w:val="auto"/>
          <w:sz w:val="32"/>
          <w:highlight w:val="none"/>
          <w:lang w:eastAsia="zh-CN"/>
        </w:rPr>
        <w:t xml:space="preserve">徐州市鼓楼区城市管理局</w:t>
      </w:r>
      <w:r/>
    </w:p>
    <w:p>
      <w:pPr>
        <w:pStyle w:val="822"/>
        <w:ind w:firstLine="960"/>
        <w:jc w:val="left"/>
        <w:spacing w:line="360" w:lineRule="auto"/>
        <w:widowControl w:val="off"/>
        <w:rPr>
          <w:rStyle w:val="1097"/>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pStyle w:val="823"/>
        <w:spacing w:line="360" w:lineRule="auto"/>
        <w:rPr>
          <w:rStyle w:val="1097"/>
          <w:rFonts w:hint="eastAsia" w:ascii="仿宋" w:hAnsi="仿宋" w:eastAsia="仿宋" w:cs="仿宋"/>
          <w:color w:val="auto"/>
          <w:sz w:val="15"/>
          <w:szCs w:val="15"/>
          <w:highlight w:val="none"/>
        </w:rPr>
      </w:pPr>
      <w:r>
        <w:rPr>
          <w:rFonts w:hint="eastAsia" w:ascii="仿宋" w:hAnsi="仿宋" w:eastAsia="仿宋" w:cs="仿宋"/>
          <w:color w:val="auto"/>
          <w:sz w:val="15"/>
          <w:szCs w:val="15"/>
          <w:highlight w:val="none"/>
        </w:rPr>
      </w:r>
      <w:r/>
    </w:p>
    <w:p>
      <w:pPr>
        <w:pStyle w:val="822"/>
        <w:jc w:val="center"/>
        <w:spacing w:line="360" w:lineRule="auto"/>
        <w:widowControl w:val="off"/>
        <w:rPr>
          <w:rStyle w:val="1097"/>
          <w:rFonts w:hint="eastAsia" w:ascii="仿宋" w:hAnsi="仿宋" w:eastAsia="仿宋" w:cs="仿宋"/>
          <w:color w:val="auto"/>
          <w:sz w:val="32"/>
          <w:highlight w:val="none"/>
          <w:lang w:eastAsia="zh-CN"/>
        </w:rPr>
      </w:pPr>
      <w:r>
        <w:rPr>
          <w:rFonts w:hint="eastAsia" w:ascii="仿宋" w:hAnsi="仿宋" w:eastAsia="仿宋" w:cs="仿宋"/>
          <w:color w:val="auto"/>
          <w:sz w:val="32"/>
          <w:highlight w:val="none"/>
        </w:rPr>
        <w:t xml:space="preserve">采购代理机构：</w:t>
      </w:r>
      <w:r>
        <w:rPr>
          <w:rFonts w:hint="eastAsia" w:ascii="仿宋" w:hAnsi="仿宋" w:eastAsia="仿宋" w:cs="仿宋"/>
          <w:color w:val="auto"/>
          <w:sz w:val="32"/>
          <w:highlight w:val="none"/>
          <w:lang w:eastAsia="zh-CN"/>
        </w:rPr>
        <w:t xml:space="preserve">江苏苏咨工程咨询有限责任公司</w:t>
      </w:r>
      <w:r/>
    </w:p>
    <w:p>
      <w:pPr>
        <w:pStyle w:val="823"/>
        <w:ind w:left="0" w:right="0" w:firstLine="56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pStyle w:val="822"/>
        <w:jc w:val="center"/>
        <w:spacing w:line="360" w:lineRule="auto"/>
        <w:widowControl w:val="off"/>
        <w:rPr>
          <w:rStyle w:val="1097"/>
          <w:rFonts w:hint="eastAsia" w:ascii="仿宋" w:hAnsi="仿宋" w:eastAsia="仿宋" w:cs="仿宋"/>
          <w:color w:val="auto"/>
          <w:sz w:val="32"/>
          <w:highlight w:val="none"/>
        </w:rPr>
      </w:pPr>
      <w:r>
        <w:rPr>
          <w:rStyle w:val="1097"/>
          <w:rFonts w:hint="eastAsia" w:ascii="仿宋" w:hAnsi="仿宋" w:eastAsia="仿宋" w:cs="仿宋"/>
          <w:color w:val="auto"/>
          <w:sz w:val="32"/>
          <w:highlight w:val="none"/>
        </w:rPr>
        <w:t xml:space="preserve">二〇二六年</w:t>
      </w:r>
      <w:r>
        <w:rPr>
          <w:rStyle w:val="1097"/>
          <w:rFonts w:hint="eastAsia" w:ascii="仿宋" w:hAnsi="仿宋" w:eastAsia="仿宋" w:cs="仿宋"/>
          <w:color w:val="auto"/>
          <w:sz w:val="32"/>
          <w:highlight w:val="none"/>
          <w:lang w:val="en-US" w:eastAsia="zh-CN"/>
        </w:rPr>
        <w:t xml:space="preserve">八</w:t>
      </w:r>
      <w:r>
        <w:rPr>
          <w:rStyle w:val="1097"/>
          <w:rFonts w:hint="eastAsia" w:ascii="仿宋" w:hAnsi="仿宋" w:eastAsia="仿宋" w:cs="仿宋"/>
          <w:color w:val="auto"/>
          <w:sz w:val="32"/>
          <w:highlight w:val="none"/>
        </w:rPr>
        <w:t xml:space="preserve">月 </w:t>
      </w:r>
      <w:r>
        <w:rPr>
          <w:rFonts w:hint="eastAsia" w:ascii="仿宋" w:hAnsi="仿宋" w:eastAsia="仿宋" w:cs="仿宋"/>
          <w:b/>
          <w:bCs/>
          <w:color w:val="auto"/>
          <w:highlight w:val="none"/>
        </w:rPr>
        <w:br w:type="page" w:clear="all"/>
      </w:r>
      <w:r/>
    </w:p>
    <w:sdt>
      <w:sdtPr>
        <w15:appearance w15:val="boundingBox"/>
        <w:id w:val="147480767"/>
        <w:docPartObj>
          <w:docPartGallery w:val="Table of Contents"/>
          <w:docPartUnique w:val="true"/>
        </w:docPartObj>
        <w:rPr>
          <w:rFonts w:hint="eastAsia" w:ascii="仿宋" w:hAnsi="仿宋" w:eastAsia="仿宋" w:cs="仿宋"/>
          <w:color w:val="auto"/>
          <w:sz w:val="40"/>
          <w:szCs w:val="40"/>
          <w:highlight w:val="none"/>
        </w:rPr>
      </w:sdtPr>
      <w:sdtContent>
        <w:p>
          <w:pPr>
            <w:jc w:val="center"/>
            <w:spacing w:line="360" w:lineRule="auto"/>
            <w:rPr>
              <w:rFonts w:hint="eastAsia" w:ascii="仿宋" w:hAnsi="仿宋" w:eastAsia="仿宋" w:cs="仿宋"/>
              <w:color w:val="auto"/>
              <w:sz w:val="40"/>
              <w:szCs w:val="40"/>
              <w:highlight w:val="none"/>
            </w:rPr>
          </w:pPr>
          <w:r>
            <w:rPr>
              <w:rFonts w:hint="eastAsia" w:ascii="仿宋" w:hAnsi="仿宋" w:eastAsia="仿宋" w:cs="仿宋"/>
              <w:color w:val="auto"/>
              <w:sz w:val="40"/>
              <w:szCs w:val="40"/>
              <w:highlight w:val="none"/>
            </w:rPr>
            <w:t xml:space="preserve">目  录</w:t>
          </w:r>
          <w:r/>
        </w:p>
        <w:p>
          <w:pPr>
            <w:pStyle w:val="845"/>
            <w:spacing w:line="360" w:lineRule="auto"/>
            <w:tabs>
              <w:tab w:val="right" w:pos="9286" w:leader="dot"/>
            </w:tabs>
            <w:rPr>
              <w:color w:val="auto"/>
              <w:sz w:val="24"/>
              <w:szCs w:val="24"/>
              <w:highlight w:val="none"/>
            </w:rPr>
          </w:pPr>
          <w:r>
            <w:rPr>
              <w:rFonts w:hint="eastAsia" w:ascii="仿宋" w:hAnsi="仿宋" w:eastAsia="仿宋" w:cs="仿宋"/>
              <w:b/>
              <w:bCs/>
              <w:color w:val="auto"/>
              <w:highlight w:val="none"/>
              <w:lang w:val="zh-CN"/>
            </w:rPr>
            <w:fldChar w:fldCharType="begin"/>
          </w:r>
          <w:r>
            <w:rPr>
              <w:rFonts w:hint="eastAsia" w:ascii="仿宋" w:hAnsi="仿宋" w:eastAsia="仿宋" w:cs="仿宋"/>
              <w:b/>
              <w:bCs/>
              <w:color w:val="auto"/>
              <w:highlight w:val="none"/>
              <w:lang w:val="zh-CN"/>
            </w:rPr>
            <w:instrText xml:space="preserve">TOC \o "1-2" \h \u </w:instrText>
          </w:r>
          <w:r>
            <w:rPr>
              <w:rFonts w:hint="eastAsia" w:ascii="仿宋" w:hAnsi="仿宋" w:eastAsia="仿宋" w:cs="仿宋"/>
              <w:b/>
              <w:bCs/>
              <w:color w:val="auto"/>
              <w:highlight w:val="none"/>
              <w:lang w:val="zh-CN"/>
            </w:rPr>
            <w:fldChar w:fldCharType="separate"/>
          </w:r>
          <w:r>
            <w:rPr>
              <w:color w:val="auto"/>
              <w:highlight w:val="none"/>
            </w:rPr>
            <w:fldChar w:fldCharType="begin"/>
          </w:r>
          <w:r>
            <w:rPr>
              <w:color w:val="auto"/>
              <w:highlight w:val="none"/>
            </w:rPr>
            <w:instrText xml:space="preserve"> HYPERLINK \l "_Toc4015" </w:instrText>
          </w:r>
          <w:r>
            <w:rPr>
              <w:color w:val="auto"/>
              <w:highlight w:val="none"/>
            </w:rPr>
            <w:fldChar w:fldCharType="separate"/>
          </w:r>
          <w:r>
            <w:rPr>
              <w:rFonts w:hint="eastAsia" w:ascii="仿宋" w:hAnsi="仿宋" w:eastAsia="仿宋" w:cs="仿宋"/>
              <w:color w:val="auto"/>
              <w:sz w:val="24"/>
              <w:szCs w:val="24"/>
              <w:highlight w:val="none"/>
            </w:rPr>
            <w:t xml:space="preserve">第一章 项目说明</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_Toc4015 \h </w:instrText>
          </w:r>
          <w:r>
            <w:rPr>
              <w:color w:val="auto"/>
              <w:sz w:val="24"/>
              <w:szCs w:val="24"/>
              <w:highlight w:val="none"/>
            </w:rPr>
            <w:fldChar w:fldCharType="separate"/>
          </w:r>
          <w:r>
            <w:rPr>
              <w:color w:val="auto"/>
              <w:sz w:val="24"/>
              <w:szCs w:val="24"/>
              <w:highlight w:val="none"/>
            </w:rPr>
            <w:t xml:space="preserve">3</w:t>
          </w:r>
          <w:r>
            <w:rPr>
              <w:color w:val="auto"/>
              <w:sz w:val="24"/>
              <w:szCs w:val="24"/>
              <w:highlight w:val="none"/>
            </w:rPr>
            <w:fldChar w:fldCharType="end"/>
          </w:r>
          <w:r>
            <w:rPr>
              <w:color w:val="auto"/>
              <w:sz w:val="24"/>
              <w:szCs w:val="24"/>
              <w:highlight w:val="none"/>
            </w:rPr>
            <w:fldChar w:fldCharType="end"/>
          </w:r>
          <w:r/>
        </w:p>
        <w:p>
          <w:pPr>
            <w:pStyle w:val="845"/>
            <w:spacing w:line="360" w:lineRule="auto"/>
            <w:tabs>
              <w:tab w:val="right" w:pos="9286" w:leader="dot"/>
            </w:tabs>
            <w:rPr>
              <w:color w:val="auto"/>
              <w:sz w:val="24"/>
              <w:szCs w:val="24"/>
              <w:highlight w:val="none"/>
            </w:rPr>
          </w:pPr>
          <w:r>
            <w:rPr>
              <w:color w:val="auto"/>
              <w:highlight w:val="none"/>
            </w:rPr>
            <w:fldChar w:fldCharType="begin"/>
          </w:r>
          <w:r>
            <w:rPr>
              <w:color w:val="auto"/>
              <w:highlight w:val="none"/>
            </w:rPr>
            <w:instrText xml:space="preserve"> HYPERLINK \l "_Toc14500" </w:instrText>
          </w:r>
          <w:r>
            <w:rPr>
              <w:color w:val="auto"/>
              <w:highlight w:val="none"/>
            </w:rPr>
            <w:fldChar w:fldCharType="separate"/>
          </w:r>
          <w:r>
            <w:rPr>
              <w:rFonts w:hint="eastAsia" w:ascii="仿宋" w:hAnsi="仿宋" w:eastAsia="仿宋" w:cs="仿宋"/>
              <w:color w:val="auto"/>
              <w:sz w:val="24"/>
              <w:szCs w:val="24"/>
              <w:highlight w:val="none"/>
            </w:rPr>
            <w:t xml:space="preserve">第二章 响应文件要求</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_Toc14500 \h </w:instrText>
          </w:r>
          <w:r>
            <w:rPr>
              <w:color w:val="auto"/>
              <w:sz w:val="24"/>
              <w:szCs w:val="24"/>
              <w:highlight w:val="none"/>
            </w:rPr>
            <w:fldChar w:fldCharType="separate"/>
          </w:r>
          <w:r>
            <w:rPr>
              <w:color w:val="auto"/>
              <w:sz w:val="24"/>
              <w:szCs w:val="24"/>
              <w:highlight w:val="none"/>
            </w:rPr>
            <w:t xml:space="preserve">4</w:t>
          </w:r>
          <w:r>
            <w:rPr>
              <w:color w:val="auto"/>
              <w:sz w:val="24"/>
              <w:szCs w:val="24"/>
              <w:highlight w:val="none"/>
            </w:rPr>
            <w:fldChar w:fldCharType="end"/>
          </w:r>
          <w:r>
            <w:rPr>
              <w:color w:val="auto"/>
              <w:sz w:val="24"/>
              <w:szCs w:val="24"/>
              <w:highlight w:val="none"/>
            </w:rPr>
            <w:fldChar w:fldCharType="end"/>
          </w:r>
          <w:r/>
        </w:p>
        <w:p>
          <w:pPr>
            <w:pStyle w:val="845"/>
            <w:spacing w:line="360" w:lineRule="auto"/>
            <w:tabs>
              <w:tab w:val="right" w:pos="9286" w:leader="dot"/>
            </w:tabs>
            <w:rPr>
              <w:color w:val="auto"/>
              <w:sz w:val="24"/>
              <w:szCs w:val="24"/>
              <w:highlight w:val="none"/>
            </w:rPr>
          </w:pPr>
          <w:r>
            <w:rPr>
              <w:color w:val="auto"/>
              <w:highlight w:val="none"/>
            </w:rPr>
            <w:fldChar w:fldCharType="begin"/>
          </w:r>
          <w:r>
            <w:rPr>
              <w:color w:val="auto"/>
              <w:highlight w:val="none"/>
            </w:rPr>
            <w:instrText xml:space="preserve"> HYPERLINK \l "_Toc18823" </w:instrText>
          </w:r>
          <w:r>
            <w:rPr>
              <w:color w:val="auto"/>
              <w:highlight w:val="none"/>
            </w:rPr>
            <w:fldChar w:fldCharType="separate"/>
          </w:r>
          <w:r>
            <w:rPr>
              <w:rFonts w:hint="eastAsia" w:ascii="仿宋" w:hAnsi="仿宋" w:eastAsia="仿宋" w:cs="仿宋"/>
              <w:color w:val="auto"/>
              <w:sz w:val="24"/>
              <w:szCs w:val="24"/>
              <w:highlight w:val="none"/>
            </w:rPr>
            <w:t xml:space="preserve">第三章 磋商相关说明</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_Toc18823 \h </w:instrText>
          </w:r>
          <w:r>
            <w:rPr>
              <w:color w:val="auto"/>
              <w:sz w:val="24"/>
              <w:szCs w:val="24"/>
              <w:highlight w:val="none"/>
            </w:rPr>
            <w:fldChar w:fldCharType="separate"/>
          </w:r>
          <w:r>
            <w:rPr>
              <w:color w:val="auto"/>
              <w:sz w:val="24"/>
              <w:szCs w:val="24"/>
              <w:highlight w:val="none"/>
            </w:rPr>
            <w:t xml:space="preserve">8</w:t>
          </w:r>
          <w:r>
            <w:rPr>
              <w:color w:val="auto"/>
              <w:sz w:val="24"/>
              <w:szCs w:val="24"/>
              <w:highlight w:val="none"/>
            </w:rPr>
            <w:fldChar w:fldCharType="end"/>
          </w:r>
          <w:r>
            <w:rPr>
              <w:color w:val="auto"/>
              <w:sz w:val="24"/>
              <w:szCs w:val="24"/>
              <w:highlight w:val="none"/>
            </w:rPr>
            <w:fldChar w:fldCharType="end"/>
          </w:r>
          <w:r/>
        </w:p>
        <w:p>
          <w:pPr>
            <w:pStyle w:val="845"/>
            <w:spacing w:line="360" w:lineRule="auto"/>
            <w:tabs>
              <w:tab w:val="right" w:pos="9286" w:leader="dot"/>
            </w:tabs>
            <w:rPr>
              <w:color w:val="auto"/>
              <w:sz w:val="24"/>
              <w:szCs w:val="24"/>
              <w:highlight w:val="none"/>
            </w:rPr>
          </w:pPr>
          <w:r>
            <w:rPr>
              <w:color w:val="auto"/>
              <w:highlight w:val="none"/>
            </w:rPr>
            <w:fldChar w:fldCharType="begin"/>
          </w:r>
          <w:r>
            <w:rPr>
              <w:color w:val="auto"/>
              <w:highlight w:val="none"/>
            </w:rPr>
            <w:instrText xml:space="preserve"> HYPERLINK \l "_Toc12232" </w:instrText>
          </w:r>
          <w:r>
            <w:rPr>
              <w:color w:val="auto"/>
              <w:highlight w:val="none"/>
            </w:rPr>
            <w:fldChar w:fldCharType="separate"/>
          </w:r>
          <w:r>
            <w:rPr>
              <w:rFonts w:hint="eastAsia" w:ascii="仿宋" w:hAnsi="仿宋" w:eastAsia="仿宋" w:cs="仿宋"/>
              <w:bCs/>
              <w:color w:val="auto"/>
              <w:sz w:val="24"/>
              <w:szCs w:val="24"/>
              <w:highlight w:val="none"/>
            </w:rPr>
            <w:t xml:space="preserve">第四章 确定成交供应商及合同签订等</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_Toc12232 \h </w:instrText>
          </w:r>
          <w:r>
            <w:rPr>
              <w:color w:val="auto"/>
              <w:sz w:val="24"/>
              <w:szCs w:val="24"/>
              <w:highlight w:val="none"/>
            </w:rPr>
            <w:fldChar w:fldCharType="separate"/>
          </w:r>
          <w:r>
            <w:rPr>
              <w:color w:val="auto"/>
              <w:sz w:val="24"/>
              <w:szCs w:val="24"/>
              <w:highlight w:val="none"/>
            </w:rPr>
            <w:t xml:space="preserve">12</w:t>
          </w:r>
          <w:r>
            <w:rPr>
              <w:color w:val="auto"/>
              <w:sz w:val="24"/>
              <w:szCs w:val="24"/>
              <w:highlight w:val="none"/>
            </w:rPr>
            <w:fldChar w:fldCharType="end"/>
          </w:r>
          <w:r>
            <w:rPr>
              <w:color w:val="auto"/>
              <w:sz w:val="24"/>
              <w:szCs w:val="24"/>
              <w:highlight w:val="none"/>
            </w:rPr>
            <w:fldChar w:fldCharType="end"/>
          </w:r>
          <w:r/>
        </w:p>
        <w:p>
          <w:pPr>
            <w:pStyle w:val="845"/>
            <w:spacing w:line="360" w:lineRule="auto"/>
            <w:tabs>
              <w:tab w:val="right" w:pos="9286" w:leader="dot"/>
            </w:tabs>
            <w:rPr>
              <w:color w:val="auto"/>
              <w:sz w:val="24"/>
              <w:szCs w:val="24"/>
              <w:highlight w:val="none"/>
            </w:rPr>
          </w:pPr>
          <w:r>
            <w:rPr>
              <w:color w:val="auto"/>
              <w:highlight w:val="none"/>
            </w:rPr>
            <w:fldChar w:fldCharType="begin"/>
          </w:r>
          <w:r>
            <w:rPr>
              <w:color w:val="auto"/>
              <w:highlight w:val="none"/>
            </w:rPr>
            <w:instrText xml:space="preserve"> HYPERLINK \l "_Toc15793" </w:instrText>
          </w:r>
          <w:r>
            <w:rPr>
              <w:color w:val="auto"/>
              <w:highlight w:val="none"/>
            </w:rPr>
            <w:fldChar w:fldCharType="separate"/>
          </w:r>
          <w:r>
            <w:rPr>
              <w:rFonts w:hint="eastAsia" w:ascii="仿宋" w:hAnsi="仿宋" w:eastAsia="仿宋" w:cs="仿宋"/>
              <w:bCs/>
              <w:color w:val="auto"/>
              <w:sz w:val="24"/>
              <w:szCs w:val="24"/>
              <w:highlight w:val="none"/>
            </w:rPr>
            <w:t xml:space="preserve">第五章 磋商文件的澄清或者修改</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_Toc15793 \h </w:instrText>
          </w:r>
          <w:r>
            <w:rPr>
              <w:color w:val="auto"/>
              <w:sz w:val="24"/>
              <w:szCs w:val="24"/>
              <w:highlight w:val="none"/>
            </w:rPr>
            <w:fldChar w:fldCharType="separate"/>
          </w:r>
          <w:r>
            <w:rPr>
              <w:color w:val="auto"/>
              <w:sz w:val="24"/>
              <w:szCs w:val="24"/>
              <w:highlight w:val="none"/>
            </w:rPr>
            <w:t xml:space="preserve">13</w:t>
          </w:r>
          <w:r>
            <w:rPr>
              <w:color w:val="auto"/>
              <w:sz w:val="24"/>
              <w:szCs w:val="24"/>
              <w:highlight w:val="none"/>
            </w:rPr>
            <w:fldChar w:fldCharType="end"/>
          </w:r>
          <w:r>
            <w:rPr>
              <w:color w:val="auto"/>
              <w:sz w:val="24"/>
              <w:szCs w:val="24"/>
              <w:highlight w:val="none"/>
            </w:rPr>
            <w:fldChar w:fldCharType="end"/>
          </w:r>
          <w:r/>
        </w:p>
        <w:p>
          <w:pPr>
            <w:pStyle w:val="845"/>
            <w:spacing w:line="360" w:lineRule="auto"/>
            <w:tabs>
              <w:tab w:val="right" w:pos="9286" w:leader="dot"/>
            </w:tabs>
            <w:rPr>
              <w:color w:val="auto"/>
              <w:sz w:val="24"/>
              <w:szCs w:val="24"/>
              <w:highlight w:val="none"/>
            </w:rPr>
          </w:pPr>
          <w:r>
            <w:rPr>
              <w:color w:val="auto"/>
              <w:highlight w:val="none"/>
            </w:rPr>
            <w:fldChar w:fldCharType="begin"/>
          </w:r>
          <w:r>
            <w:rPr>
              <w:color w:val="auto"/>
              <w:highlight w:val="none"/>
            </w:rPr>
            <w:instrText xml:space="preserve"> HYPERLINK \l "_Toc28580" </w:instrText>
          </w:r>
          <w:r>
            <w:rPr>
              <w:color w:val="auto"/>
              <w:highlight w:val="none"/>
            </w:rPr>
            <w:fldChar w:fldCharType="separate"/>
          </w:r>
          <w:r>
            <w:rPr>
              <w:rFonts w:hint="eastAsia" w:ascii="仿宋" w:hAnsi="仿宋" w:eastAsia="仿宋" w:cs="仿宋"/>
              <w:bCs/>
              <w:color w:val="auto"/>
              <w:sz w:val="24"/>
              <w:szCs w:val="24"/>
              <w:highlight w:val="none"/>
            </w:rPr>
            <w:t xml:space="preserve">第六章 询问和质疑</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_Toc28580 \h </w:instrText>
          </w:r>
          <w:r>
            <w:rPr>
              <w:color w:val="auto"/>
              <w:sz w:val="24"/>
              <w:szCs w:val="24"/>
              <w:highlight w:val="none"/>
            </w:rPr>
            <w:fldChar w:fldCharType="separate"/>
          </w:r>
          <w:r>
            <w:rPr>
              <w:color w:val="auto"/>
              <w:sz w:val="24"/>
              <w:szCs w:val="24"/>
              <w:highlight w:val="none"/>
            </w:rPr>
            <w:t xml:space="preserve">13</w:t>
          </w:r>
          <w:r>
            <w:rPr>
              <w:color w:val="auto"/>
              <w:sz w:val="24"/>
              <w:szCs w:val="24"/>
              <w:highlight w:val="none"/>
            </w:rPr>
            <w:fldChar w:fldCharType="end"/>
          </w:r>
          <w:r>
            <w:rPr>
              <w:color w:val="auto"/>
              <w:sz w:val="24"/>
              <w:szCs w:val="24"/>
              <w:highlight w:val="none"/>
            </w:rPr>
            <w:fldChar w:fldCharType="end"/>
          </w:r>
          <w:r/>
        </w:p>
        <w:p>
          <w:pPr>
            <w:pStyle w:val="845"/>
            <w:spacing w:line="360" w:lineRule="auto"/>
            <w:tabs>
              <w:tab w:val="right" w:pos="9286" w:leader="dot"/>
            </w:tabs>
            <w:rPr>
              <w:color w:val="auto"/>
              <w:sz w:val="24"/>
              <w:szCs w:val="24"/>
              <w:highlight w:val="none"/>
            </w:rPr>
          </w:pPr>
          <w:r>
            <w:rPr>
              <w:color w:val="auto"/>
              <w:highlight w:val="none"/>
            </w:rPr>
            <w:fldChar w:fldCharType="begin"/>
          </w:r>
          <w:r>
            <w:rPr>
              <w:color w:val="auto"/>
              <w:highlight w:val="none"/>
            </w:rPr>
            <w:instrText xml:space="preserve"> HYPERLINK \l "_Toc11700" </w:instrText>
          </w:r>
          <w:r>
            <w:rPr>
              <w:color w:val="auto"/>
              <w:highlight w:val="none"/>
            </w:rPr>
            <w:fldChar w:fldCharType="separate"/>
          </w:r>
          <w:r>
            <w:rPr>
              <w:rFonts w:hint="eastAsia" w:ascii="仿宋" w:hAnsi="仿宋" w:eastAsia="仿宋" w:cs="仿宋"/>
              <w:color w:val="auto"/>
              <w:sz w:val="24"/>
              <w:szCs w:val="24"/>
              <w:highlight w:val="none"/>
            </w:rPr>
            <w:t xml:space="preserve">第七章 评分细则（综合评分法）</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_Toc11700 \h </w:instrText>
          </w:r>
          <w:r>
            <w:rPr>
              <w:color w:val="auto"/>
              <w:sz w:val="24"/>
              <w:szCs w:val="24"/>
              <w:highlight w:val="none"/>
            </w:rPr>
            <w:fldChar w:fldCharType="separate"/>
          </w:r>
          <w:r>
            <w:rPr>
              <w:color w:val="auto"/>
              <w:sz w:val="24"/>
              <w:szCs w:val="24"/>
              <w:highlight w:val="none"/>
            </w:rPr>
            <w:t xml:space="preserve">15</w:t>
          </w:r>
          <w:r>
            <w:rPr>
              <w:color w:val="auto"/>
              <w:sz w:val="24"/>
              <w:szCs w:val="24"/>
              <w:highlight w:val="none"/>
            </w:rPr>
            <w:fldChar w:fldCharType="end"/>
          </w:r>
          <w:r>
            <w:rPr>
              <w:color w:val="auto"/>
              <w:sz w:val="24"/>
              <w:szCs w:val="24"/>
              <w:highlight w:val="none"/>
            </w:rPr>
            <w:fldChar w:fldCharType="end"/>
          </w:r>
          <w:r/>
        </w:p>
        <w:p>
          <w:pPr>
            <w:pStyle w:val="845"/>
            <w:spacing w:line="360" w:lineRule="auto"/>
            <w:tabs>
              <w:tab w:val="right" w:pos="9286" w:leader="dot"/>
            </w:tabs>
            <w:rPr>
              <w:color w:val="auto"/>
              <w:sz w:val="24"/>
              <w:szCs w:val="24"/>
              <w:highlight w:val="none"/>
            </w:rPr>
          </w:pPr>
          <w:r>
            <w:rPr>
              <w:color w:val="auto"/>
              <w:highlight w:val="none"/>
            </w:rPr>
            <w:fldChar w:fldCharType="begin"/>
          </w:r>
          <w:r>
            <w:rPr>
              <w:color w:val="auto"/>
              <w:highlight w:val="none"/>
            </w:rPr>
            <w:instrText xml:space="preserve"> HYPERLINK \l "_Toc760" </w:instrText>
          </w:r>
          <w:r>
            <w:rPr>
              <w:color w:val="auto"/>
              <w:highlight w:val="none"/>
            </w:rPr>
            <w:fldChar w:fldCharType="separate"/>
          </w:r>
          <w:r>
            <w:rPr>
              <w:rFonts w:hint="eastAsia" w:ascii="仿宋" w:hAnsi="仿宋" w:eastAsia="仿宋" w:cs="仿宋"/>
              <w:color w:val="auto"/>
              <w:sz w:val="24"/>
              <w:szCs w:val="24"/>
              <w:highlight w:val="none"/>
            </w:rPr>
            <w:t xml:space="preserve">第八章 项目要求（采购需求）</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_Toc760 \h </w:instrText>
          </w:r>
          <w:r>
            <w:rPr>
              <w:color w:val="auto"/>
              <w:sz w:val="24"/>
              <w:szCs w:val="24"/>
              <w:highlight w:val="none"/>
            </w:rPr>
            <w:fldChar w:fldCharType="separate"/>
          </w:r>
          <w:r>
            <w:rPr>
              <w:color w:val="auto"/>
              <w:sz w:val="24"/>
              <w:szCs w:val="24"/>
              <w:highlight w:val="none"/>
            </w:rPr>
            <w:t xml:space="preserve">17</w:t>
          </w:r>
          <w:r>
            <w:rPr>
              <w:color w:val="auto"/>
              <w:sz w:val="24"/>
              <w:szCs w:val="24"/>
              <w:highlight w:val="none"/>
            </w:rPr>
            <w:fldChar w:fldCharType="end"/>
          </w:r>
          <w:r>
            <w:rPr>
              <w:color w:val="auto"/>
              <w:sz w:val="24"/>
              <w:szCs w:val="24"/>
              <w:highlight w:val="none"/>
            </w:rPr>
            <w:fldChar w:fldCharType="end"/>
          </w:r>
          <w:r/>
        </w:p>
        <w:p>
          <w:pPr>
            <w:pStyle w:val="845"/>
            <w:spacing w:line="360" w:lineRule="auto"/>
            <w:tabs>
              <w:tab w:val="right" w:pos="9286" w:leader="dot"/>
            </w:tabs>
            <w:rPr>
              <w:color w:val="auto"/>
              <w:sz w:val="24"/>
              <w:szCs w:val="24"/>
              <w:highlight w:val="none"/>
            </w:rPr>
          </w:pPr>
          <w:r>
            <w:rPr>
              <w:color w:val="auto"/>
              <w:highlight w:val="none"/>
            </w:rPr>
            <w:fldChar w:fldCharType="begin"/>
          </w:r>
          <w:r>
            <w:rPr>
              <w:color w:val="auto"/>
              <w:highlight w:val="none"/>
            </w:rPr>
            <w:instrText xml:space="preserve"> HYPERLINK \l "_Toc29502" </w:instrText>
          </w:r>
          <w:r>
            <w:rPr>
              <w:color w:val="auto"/>
              <w:highlight w:val="none"/>
            </w:rPr>
            <w:fldChar w:fldCharType="separate"/>
          </w:r>
          <w:r>
            <w:rPr>
              <w:rFonts w:hint="eastAsia" w:ascii="仿宋" w:hAnsi="仿宋" w:eastAsia="仿宋" w:cs="仿宋"/>
              <w:color w:val="auto"/>
              <w:sz w:val="24"/>
              <w:szCs w:val="24"/>
              <w:highlight w:val="none"/>
            </w:rPr>
            <w:t xml:space="preserve">第九章 响应文件相关格式</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_Toc29502 \h </w:instrText>
          </w:r>
          <w:r>
            <w:rPr>
              <w:color w:val="auto"/>
              <w:sz w:val="24"/>
              <w:szCs w:val="24"/>
              <w:highlight w:val="none"/>
            </w:rPr>
            <w:fldChar w:fldCharType="separate"/>
          </w:r>
          <w:r>
            <w:rPr>
              <w:color w:val="auto"/>
              <w:sz w:val="24"/>
              <w:szCs w:val="24"/>
              <w:highlight w:val="none"/>
            </w:rPr>
            <w:t xml:space="preserve">28</w:t>
          </w:r>
          <w:r>
            <w:rPr>
              <w:color w:val="auto"/>
              <w:sz w:val="24"/>
              <w:szCs w:val="24"/>
              <w:highlight w:val="none"/>
            </w:rPr>
            <w:fldChar w:fldCharType="end"/>
          </w:r>
          <w:r>
            <w:rPr>
              <w:color w:val="auto"/>
              <w:sz w:val="24"/>
              <w:szCs w:val="24"/>
              <w:highlight w:val="none"/>
            </w:rPr>
            <w:fldChar w:fldCharType="end"/>
          </w:r>
          <w:r/>
        </w:p>
        <w:p>
          <w:pPr>
            <w:pStyle w:val="845"/>
            <w:spacing w:line="360" w:lineRule="auto"/>
            <w:tabs>
              <w:tab w:val="right" w:pos="9286" w:leader="dot"/>
            </w:tabs>
            <w:rPr>
              <w:color w:val="auto"/>
              <w:sz w:val="24"/>
              <w:szCs w:val="24"/>
              <w:highlight w:val="none"/>
            </w:rPr>
          </w:pPr>
          <w:r>
            <w:rPr>
              <w:color w:val="auto"/>
              <w:highlight w:val="none"/>
            </w:rPr>
            <w:fldChar w:fldCharType="begin"/>
          </w:r>
          <w:r>
            <w:rPr>
              <w:color w:val="auto"/>
              <w:highlight w:val="none"/>
            </w:rPr>
            <w:instrText xml:space="preserve"> HYPERLINK \l "_Toc21721" </w:instrText>
          </w:r>
          <w:r>
            <w:rPr>
              <w:color w:val="auto"/>
              <w:highlight w:val="none"/>
            </w:rPr>
            <w:fldChar w:fldCharType="separate"/>
          </w:r>
          <w:r>
            <w:rPr>
              <w:rFonts w:hint="eastAsia" w:ascii="仿宋" w:hAnsi="仿宋" w:eastAsia="仿宋" w:cs="仿宋"/>
              <w:bCs/>
              <w:color w:val="auto"/>
              <w:sz w:val="24"/>
              <w:szCs w:val="24"/>
              <w:highlight w:val="none"/>
            </w:rPr>
            <w:t xml:space="preserve">第十章 拟签订的合同文本</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_Toc21721 \h </w:instrText>
          </w:r>
          <w:r>
            <w:rPr>
              <w:color w:val="auto"/>
              <w:sz w:val="24"/>
              <w:szCs w:val="24"/>
              <w:highlight w:val="none"/>
            </w:rPr>
            <w:fldChar w:fldCharType="separate"/>
          </w:r>
          <w:r>
            <w:rPr>
              <w:color w:val="auto"/>
              <w:sz w:val="24"/>
              <w:szCs w:val="24"/>
              <w:highlight w:val="none"/>
            </w:rPr>
            <w:t xml:space="preserve">42</w:t>
          </w:r>
          <w:r>
            <w:rPr>
              <w:color w:val="auto"/>
              <w:sz w:val="24"/>
              <w:szCs w:val="24"/>
              <w:highlight w:val="none"/>
            </w:rPr>
            <w:fldChar w:fldCharType="end"/>
          </w:r>
          <w:r>
            <w:rPr>
              <w:color w:val="auto"/>
              <w:sz w:val="24"/>
              <w:szCs w:val="24"/>
              <w:highlight w:val="none"/>
            </w:rPr>
            <w:fldChar w:fldCharType="end"/>
          </w:r>
          <w:r/>
        </w:p>
        <w:p>
          <w:pPr>
            <w:pStyle w:val="1191"/>
            <w:jc w:val="both"/>
            <w:keepLines w:val="0"/>
            <w:keepNext w:val="0"/>
            <w:spacing w:line="360" w:lineRule="auto"/>
            <w:widowControl w:val="off"/>
            <w:rPr>
              <w:rFonts w:hint="eastAsia" w:ascii="仿宋" w:hAnsi="仿宋" w:eastAsia="仿宋" w:cs="仿宋"/>
              <w:b/>
              <w:bCs/>
              <w:color w:val="auto"/>
              <w:highlight w:val="none"/>
              <w:lang w:val="zh-CN"/>
            </w:rPr>
          </w:pPr>
          <w:r>
            <w:rPr>
              <w:rFonts w:hint="eastAsia" w:ascii="仿宋" w:hAnsi="仿宋" w:eastAsia="仿宋" w:cs="仿宋"/>
              <w:bCs/>
              <w:color w:val="auto"/>
              <w:highlight w:val="none"/>
              <w:lang w:val="zh-CN"/>
            </w:rPr>
            <w:fldChar w:fldCharType="end"/>
          </w:r>
          <w:r/>
        </w:p>
      </w:sdtContent>
    </w:sdt>
    <w:p>
      <w:pPr>
        <w:pStyle w:val="822"/>
        <w:ind w:firstLine="320"/>
        <w:jc w:val="center"/>
        <w:spacing w:line="360" w:lineRule="auto"/>
        <w:widowControl w:val="off"/>
        <w:rPr>
          <w:rStyle w:val="1097"/>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rPr>
          <w:rStyle w:val="1097"/>
          <w:rFonts w:hint="eastAsia" w:ascii="仿宋" w:hAnsi="仿宋" w:eastAsia="仿宋" w:cs="仿宋"/>
          <w:b/>
          <w:color w:val="auto"/>
          <w:sz w:val="36"/>
          <w:highlight w:val="none"/>
        </w:rPr>
      </w:pPr>
      <w:r>
        <w:rPr>
          <w:rStyle w:val="1097"/>
          <w:rFonts w:hint="eastAsia" w:ascii="仿宋" w:hAnsi="仿宋" w:eastAsia="仿宋" w:cs="仿宋"/>
          <w:b/>
          <w:color w:val="auto"/>
          <w:sz w:val="36"/>
          <w:highlight w:val="none"/>
        </w:rPr>
        <w:br w:type="page" w:clear="all"/>
      </w:r>
      <w:r/>
    </w:p>
    <w:p>
      <w:pPr>
        <w:pStyle w:val="822"/>
        <w:jc w:val="center"/>
        <w:spacing w:line="360" w:lineRule="auto"/>
        <w:widowControl w:val="off"/>
        <w:rPr>
          <w:rStyle w:val="1097"/>
          <w:rFonts w:hint="eastAsia" w:ascii="仿宋" w:hAnsi="仿宋" w:eastAsia="仿宋" w:cs="仿宋"/>
          <w:b/>
          <w:color w:val="auto"/>
          <w:sz w:val="36"/>
          <w:highlight w:val="none"/>
        </w:rPr>
      </w:pPr>
      <w:r>
        <w:rPr>
          <w:rStyle w:val="1097"/>
          <w:rFonts w:hint="eastAsia" w:ascii="仿宋" w:hAnsi="仿宋" w:eastAsia="仿宋" w:cs="仿宋"/>
          <w:b/>
          <w:color w:val="auto"/>
          <w:sz w:val="36"/>
          <w:highlight w:val="none"/>
        </w:rPr>
        <w:t xml:space="preserve">竞争性磋商文件</w:t>
      </w:r>
      <w:r/>
    </w:p>
    <w:p>
      <w:pPr>
        <w:jc w:val="center"/>
        <w:rPr>
          <w:rFonts w:hint="eastAsia" w:eastAsia="仿宋"/>
          <w:color w:val="auto"/>
          <w:highlight w:val="none"/>
          <w:lang w:eastAsia="zh-CN"/>
        </w:rPr>
        <w:pBdr>
          <w:top w:val="none" w:color="000000" w:sz="0" w:space="0"/>
          <w:left w:val="none" w:color="000000" w:sz="0" w:space="0"/>
          <w:bottom w:val="none" w:color="000000" w:sz="0" w:space="0"/>
          <w:right w:val="none" w:color="000000" w:sz="0" w:space="0"/>
        </w:pBdr>
      </w:pPr>
      <w:r>
        <w:rPr>
          <w:rStyle w:val="1097"/>
          <w:rFonts w:hint="eastAsia" w:ascii="仿宋" w:hAnsi="仿宋" w:eastAsia="仿宋" w:cs="仿宋"/>
          <w:color w:val="auto"/>
          <w:szCs w:val="24"/>
          <w:highlight w:val="none"/>
        </w:rPr>
        <w:t xml:space="preserve">项目编号：</w:t>
      </w:r>
      <w:r>
        <w:rPr>
          <w:rFonts w:hint="eastAsia" w:ascii="仿宋" w:hAnsi="仿宋" w:eastAsia="仿宋" w:cs="仿宋"/>
          <w:color w:val="auto"/>
          <w:sz w:val="24"/>
          <w:highlight w:val="none"/>
          <w:lang w:eastAsia="zh-CN"/>
        </w:rPr>
        <w:t xml:space="preserve">JSZC-320302-JSSZ-C2026-0052</w:t>
      </w:r>
      <w:r/>
    </w:p>
    <w:p>
      <w:pPr>
        <w:pStyle w:val="822"/>
        <w:jc w:val="center"/>
        <w:spacing w:line="348" w:lineRule="auto"/>
        <w:widowControl w:val="off"/>
        <w:rPr>
          <w:rStyle w:val="1097"/>
          <w:rFonts w:hint="eastAsia" w:ascii="仿宋" w:hAnsi="仿宋" w:eastAsia="仿宋" w:cs="仿宋"/>
          <w:color w:val="auto"/>
          <w:highlight w:val="none"/>
        </w:rPr>
      </w:pPr>
      <w:r>
        <w:rPr>
          <w:rFonts w:hint="eastAsia" w:ascii="仿宋" w:hAnsi="仿宋" w:eastAsia="仿宋" w:cs="仿宋"/>
          <w:color w:val="auto"/>
          <w:highlight w:val="none"/>
        </w:rPr>
      </w:r>
      <w:r/>
    </w:p>
    <w:p>
      <w:pPr>
        <w:pStyle w:val="822"/>
        <w:jc w:val="left"/>
        <w:spacing w:line="348" w:lineRule="auto"/>
        <w:widowControl w:val="off"/>
        <w:tabs>
          <w:tab w:val="left" w:pos="324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（供应商）：</w:t>
      </w:r>
      <w:r/>
    </w:p>
    <w:p>
      <w:pPr>
        <w:pStyle w:val="822"/>
        <w:ind w:firstLine="499"/>
        <w:jc w:val="left"/>
        <w:spacing w:line="348" w:lineRule="auto"/>
        <w:widowControl w:val="off"/>
        <w:rPr>
          <w:rStyle w:val="1097"/>
          <w:rFonts w:hint="eastAsia" w:ascii="仿宋" w:hAnsi="仿宋" w:eastAsia="仿宋" w:cs="仿宋"/>
          <w:color w:val="auto"/>
          <w:szCs w:val="24"/>
          <w:highlight w:val="none"/>
        </w:rPr>
      </w:pPr>
      <w:r>
        <w:rPr>
          <w:rStyle w:val="1097"/>
          <w:rFonts w:hint="eastAsia" w:ascii="仿宋" w:hAnsi="仿宋" w:eastAsia="仿宋" w:cs="仿宋"/>
          <w:color w:val="auto"/>
          <w:szCs w:val="24"/>
          <w:highlight w:val="none"/>
        </w:rPr>
        <w:t xml:space="preserve">按照《中华人民共和国政府采购法》、《中华人民共和国政府采购法实施条例》及《政府采购竞争性磋商采购方式管理暂行办法》的规定，</w:t>
      </w:r>
      <w:r>
        <w:rPr>
          <w:rStyle w:val="1097"/>
          <w:rFonts w:hint="eastAsia" w:ascii="仿宋" w:hAnsi="仿宋" w:eastAsia="仿宋" w:cs="仿宋"/>
          <w:color w:val="auto"/>
          <w:szCs w:val="24"/>
          <w:highlight w:val="none"/>
          <w:u w:val="single"/>
          <w:lang w:eastAsia="zh-CN"/>
        </w:rPr>
        <w:t xml:space="preserve">江苏苏咨工程咨询有限责任公司</w:t>
      </w:r>
      <w:r>
        <w:rPr>
          <w:rStyle w:val="1097"/>
          <w:rFonts w:hint="eastAsia" w:ascii="仿宋" w:hAnsi="仿宋" w:eastAsia="仿宋" w:cs="仿宋"/>
          <w:color w:val="auto"/>
          <w:szCs w:val="24"/>
          <w:highlight w:val="none"/>
        </w:rPr>
        <w:t xml:space="preserve">对</w:t>
      </w:r>
      <w:r>
        <w:rPr>
          <w:rStyle w:val="1097"/>
          <w:rFonts w:hint="eastAsia" w:ascii="仿宋" w:hAnsi="仿宋" w:eastAsia="仿宋" w:cs="仿宋"/>
          <w:color w:val="auto"/>
          <w:szCs w:val="24"/>
          <w:highlight w:val="none"/>
          <w:u w:val="single"/>
          <w:lang w:eastAsia="zh-CN"/>
        </w:rPr>
        <w:t xml:space="preserve">黄河东片区道路雨污分流路面修复工程项目</w:t>
      </w:r>
      <w:r>
        <w:rPr>
          <w:rStyle w:val="1097"/>
          <w:rFonts w:hint="eastAsia" w:ascii="仿宋" w:hAnsi="仿宋" w:eastAsia="仿宋" w:cs="仿宋"/>
          <w:color w:val="auto"/>
          <w:szCs w:val="24"/>
          <w:highlight w:val="none"/>
        </w:rPr>
        <w:t xml:space="preserve">采取竞争性磋商采购方式进行采购。如贵单位有意与本公司合作，请按以下竞争性磋商文件（以下简称磋商文件）要求参加磋商。</w:t>
      </w:r>
      <w:r/>
    </w:p>
    <w:p>
      <w:pPr>
        <w:pStyle w:val="799"/>
        <w:rPr>
          <w:color w:val="auto"/>
          <w:highlight w:val="none"/>
        </w:rPr>
      </w:pPr>
      <w:r/>
      <w:bookmarkStart w:id="0" w:name="_Toc4015"/>
      <w:r/>
      <w:bookmarkStart w:id="1" w:name="_Toc80122283"/>
      <w:r/>
      <w:bookmarkStart w:id="2" w:name="_Toc21952"/>
      <w:r>
        <w:rPr>
          <w:rFonts w:hint="eastAsia"/>
          <w:color w:val="auto"/>
          <w:highlight w:val="none"/>
        </w:rPr>
        <w:t xml:space="preserve">第一章 项目说明</w:t>
      </w:r>
      <w:bookmarkEnd w:id="0"/>
      <w:r/>
      <w:bookmarkEnd w:id="1"/>
      <w:r/>
      <w:bookmarkEnd w:id="2"/>
      <w:r/>
      <w:r/>
    </w:p>
    <w:p>
      <w:pPr>
        <w:pStyle w:val="800"/>
        <w:rPr>
          <w:rStyle w:val="1097"/>
          <w:rFonts w:hint="eastAsia" w:ascii="仿宋" w:cs="仿宋"/>
          <w:color w:val="auto"/>
          <w:szCs w:val="24"/>
          <w:highlight w:val="none"/>
        </w:rPr>
      </w:pPr>
      <w:r>
        <w:rPr>
          <w:rStyle w:val="1097"/>
          <w:rFonts w:hint="eastAsia" w:ascii="仿宋" w:cs="仿宋"/>
          <w:color w:val="auto"/>
          <w:szCs w:val="24"/>
          <w:highlight w:val="none"/>
        </w:rPr>
        <w:t xml:space="preserve">一、项目概况</w:t>
      </w:r>
      <w:r/>
    </w:p>
    <w:p>
      <w:pPr>
        <w:pStyle w:val="822"/>
        <w:ind w:firstLine="480"/>
        <w:jc w:val="left"/>
        <w:spacing w:line="348" w:lineRule="auto"/>
        <w:widowControl w:val="off"/>
        <w:rPr>
          <w:rFonts w:hint="eastAsia" w:ascii="仿宋" w:hAnsi="仿宋" w:eastAsia="仿宋" w:cs="仿宋"/>
          <w:b/>
          <w:color w:val="auto"/>
          <w:sz w:val="24"/>
          <w:szCs w:val="24"/>
          <w:highlight w:val="none"/>
          <w:lang w:eastAsia="zh-CN"/>
        </w:rPr>
      </w:pPr>
      <w:r>
        <w:rPr>
          <w:rFonts w:hint="eastAsia" w:ascii="仿宋" w:hAnsi="仿宋" w:eastAsia="仿宋" w:cs="仿宋"/>
          <w:color w:val="auto"/>
          <w:sz w:val="24"/>
          <w:szCs w:val="24"/>
          <w:highlight w:val="none"/>
        </w:rPr>
        <w:t xml:space="preserve">1、采 购 人：</w:t>
      </w:r>
      <w:r>
        <w:rPr>
          <w:rFonts w:hint="eastAsia" w:ascii="仿宋" w:hAnsi="仿宋" w:eastAsia="仿宋" w:cs="仿宋"/>
          <w:color w:val="auto"/>
          <w:sz w:val="24"/>
          <w:szCs w:val="24"/>
          <w:highlight w:val="none"/>
          <w:lang w:eastAsia="zh-CN"/>
        </w:rPr>
        <w:t xml:space="preserve">徐州市鼓楼区城市管理局</w:t>
      </w:r>
      <w:r/>
    </w:p>
    <w:p>
      <w:pPr>
        <w:pStyle w:val="822"/>
        <w:ind w:firstLine="480"/>
        <w:jc w:val="left"/>
        <w:spacing w:line="348" w:lineRule="auto"/>
        <w:widowControl w:val="off"/>
        <w:rPr>
          <w:rStyle w:val="1097"/>
          <w:rFonts w:hint="eastAsia" w:ascii="仿宋" w:hAnsi="仿宋" w:eastAsia="仿宋" w:cs="仿宋"/>
          <w:color w:val="auto"/>
          <w:szCs w:val="24"/>
          <w:highlight w:val="none"/>
          <w:lang w:eastAsia="zh-CN"/>
        </w:rPr>
      </w:pPr>
      <w:r>
        <w:rPr>
          <w:rFonts w:hint="eastAsia" w:ascii="仿宋" w:hAnsi="仿宋" w:eastAsia="仿宋" w:cs="仿宋"/>
          <w:bCs/>
          <w:color w:val="auto"/>
          <w:sz w:val="24"/>
          <w:szCs w:val="24"/>
          <w:highlight w:val="none"/>
        </w:rPr>
        <w:t xml:space="preserve">2、项目名称</w:t>
      </w:r>
      <w:r>
        <w:rPr>
          <w:rFonts w:hint="eastAsia" w:ascii="仿宋" w:hAnsi="仿宋" w:eastAsia="仿宋" w:cs="仿宋"/>
          <w:color w:val="auto"/>
          <w:sz w:val="24"/>
          <w:szCs w:val="24"/>
          <w:highlight w:val="none"/>
        </w:rPr>
        <w:t xml:space="preserve">：</w:t>
      </w:r>
      <w:r>
        <w:rPr>
          <w:rStyle w:val="1097"/>
          <w:rFonts w:hint="eastAsia" w:ascii="仿宋" w:hAnsi="仿宋" w:eastAsia="仿宋" w:cs="仿宋"/>
          <w:color w:val="auto"/>
          <w:szCs w:val="24"/>
          <w:highlight w:val="none"/>
          <w:lang w:eastAsia="zh-CN"/>
        </w:rPr>
        <w:t xml:space="preserve">黄河东片区道路雨污分流路面修复工程项目</w:t>
      </w:r>
      <w:r/>
    </w:p>
    <w:p>
      <w:pPr>
        <w:pStyle w:val="822"/>
        <w:ind w:firstLine="480"/>
        <w:jc w:val="left"/>
        <w:spacing w:line="348"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3、项目编号：</w:t>
      </w:r>
      <w:r>
        <w:rPr>
          <w:rStyle w:val="1097"/>
          <w:rFonts w:hint="eastAsia" w:ascii="仿宋" w:hAnsi="仿宋" w:eastAsia="仿宋" w:cs="仿宋"/>
          <w:color w:val="auto"/>
          <w:szCs w:val="24"/>
          <w:highlight w:val="none"/>
          <w:lang w:eastAsia="zh-CN"/>
        </w:rPr>
        <w:t xml:space="preserve">JSZC-320302-JSSZ-C2026-0052</w:t>
      </w:r>
      <w:r/>
    </w:p>
    <w:p>
      <w:pPr>
        <w:pStyle w:val="800"/>
        <w:rPr>
          <w:rFonts w:hint="eastAsia" w:eastAsia="仿宋"/>
          <w:color w:val="auto"/>
          <w:highlight w:val="none"/>
          <w:lang w:eastAsia="zh-CN"/>
        </w:rPr>
      </w:pPr>
      <w:r>
        <w:rPr>
          <w:rFonts w:hint="eastAsia"/>
          <w:color w:val="auto"/>
          <w:highlight w:val="none"/>
        </w:rPr>
        <w:t xml:space="preserve">二、采购预算（采购项目预算金额）</w:t>
      </w:r>
      <w:r>
        <w:rPr>
          <w:rFonts w:hint="eastAsia"/>
          <w:b w:val="0"/>
          <w:bCs/>
          <w:color w:val="auto"/>
          <w:highlight w:val="none"/>
        </w:rPr>
        <w:t xml:space="preserve">：</w:t>
      </w:r>
      <w:r>
        <w:rPr>
          <w:rFonts w:hint="eastAsia" w:ascii="宋体" w:hAnsi="宋体"/>
          <w:sz w:val="24"/>
          <w:highlight w:val="none"/>
          <w:u w:val="single"/>
        </w:rPr>
        <w:t xml:space="preserve">约</w:t>
      </w:r>
      <w:r>
        <w:rPr>
          <w:rFonts w:hint="eastAsia" w:ascii="宋体" w:hAnsi="宋体"/>
          <w:sz w:val="24"/>
          <w:highlight w:val="none"/>
          <w:u w:val="single"/>
          <w:lang w:val="en-US" w:eastAsia="zh-CN"/>
        </w:rPr>
        <w:t xml:space="preserve">390</w:t>
      </w:r>
      <w:r>
        <w:rPr>
          <w:rFonts w:hint="eastAsia" w:ascii="宋体" w:hAnsi="宋体"/>
          <w:sz w:val="24"/>
          <w:highlight w:val="none"/>
          <w:u w:val="single"/>
        </w:rPr>
        <w:t xml:space="preserve">万元人民币</w:t>
      </w:r>
      <w:r>
        <w:rPr>
          <w:rFonts w:hint="eastAsia" w:ascii="宋体" w:hAnsi="宋体"/>
          <w:sz w:val="24"/>
          <w:highlight w:val="none"/>
          <w:u w:val="single"/>
          <w:lang w:eastAsia="zh-CN"/>
        </w:rPr>
        <w:t xml:space="preserve">。</w:t>
      </w:r>
      <w:r/>
    </w:p>
    <w:p>
      <w:pPr>
        <w:pStyle w:val="800"/>
        <w:rPr>
          <w:rFonts w:hint="eastAsia"/>
          <w:b w:val="0"/>
          <w:bCs/>
          <w:color w:val="auto"/>
          <w:highlight w:val="none"/>
        </w:rPr>
      </w:pPr>
      <w:r>
        <w:rPr>
          <w:rFonts w:hint="eastAsia"/>
          <w:color w:val="auto"/>
          <w:highlight w:val="none"/>
        </w:rPr>
        <w:t xml:space="preserve">三、采购邀请</w:t>
      </w:r>
      <w:r>
        <w:rPr>
          <w:rFonts w:hint="eastAsia"/>
          <w:b w:val="0"/>
          <w:bCs/>
          <w:color w:val="auto"/>
          <w:highlight w:val="none"/>
        </w:rPr>
        <w:t xml:space="preserve">：通过发布公告的方式欢迎符合相应资格条件的供应商参与竞争性磋商采购活动。</w:t>
      </w:r>
      <w:r/>
    </w:p>
    <w:p>
      <w:pPr>
        <w:pStyle w:val="800"/>
        <w:rPr>
          <w:rFonts w:hint="eastAsia"/>
          <w:color w:val="auto"/>
          <w:highlight w:val="none"/>
        </w:rPr>
      </w:pPr>
      <w:r>
        <w:rPr>
          <w:rFonts w:hint="eastAsia"/>
          <w:color w:val="auto"/>
          <w:highlight w:val="none"/>
        </w:rPr>
        <w:t xml:space="preserve">四、采购方式：</w:t>
      </w:r>
      <w:r/>
    </w:p>
    <w:p>
      <w:pPr>
        <w:pStyle w:val="822"/>
        <w:ind w:firstLine="480"/>
        <w:spacing w:line="34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1、采购人确定的采购项目属性：工程。</w:t>
      </w:r>
      <w:r/>
    </w:p>
    <w:p>
      <w:pPr>
        <w:pStyle w:val="822"/>
        <w:ind w:firstLine="480"/>
        <w:spacing w:line="34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2、本项目采用竞争性磋商采购方式。</w:t>
      </w:r>
      <w:r/>
    </w:p>
    <w:p>
      <w:pPr>
        <w:pStyle w:val="800"/>
        <w:rPr>
          <w:rFonts w:hint="eastAsia"/>
          <w:color w:val="auto"/>
          <w:highlight w:val="none"/>
        </w:rPr>
      </w:pPr>
      <w:r>
        <w:rPr>
          <w:rFonts w:hint="eastAsia"/>
          <w:color w:val="auto"/>
          <w:highlight w:val="none"/>
        </w:rPr>
        <w:t xml:space="preserve">五、采购需求</w:t>
      </w:r>
      <w:r>
        <w:rPr>
          <w:rFonts w:hint="eastAsia"/>
          <w:b w:val="0"/>
          <w:bCs/>
          <w:color w:val="auto"/>
          <w:highlight w:val="none"/>
        </w:rPr>
        <w:t xml:space="preserve">：详见第八章《项目要求（采购需求）》。</w:t>
      </w:r>
      <w:r/>
    </w:p>
    <w:p>
      <w:pPr>
        <w:pStyle w:val="800"/>
        <w:rPr>
          <w:rFonts w:hint="eastAsia"/>
          <w:b w:val="0"/>
          <w:bCs/>
          <w:color w:val="auto"/>
          <w:highlight w:val="none"/>
        </w:rPr>
      </w:pPr>
      <w:r>
        <w:rPr>
          <w:rFonts w:hint="eastAsia"/>
          <w:color w:val="auto"/>
          <w:highlight w:val="none"/>
        </w:rPr>
        <w:t xml:space="preserve">六、合同草案条款</w:t>
      </w:r>
      <w:r>
        <w:rPr>
          <w:rFonts w:hint="eastAsia"/>
          <w:b w:val="0"/>
          <w:bCs/>
          <w:color w:val="auto"/>
          <w:highlight w:val="none"/>
        </w:rPr>
        <w:t xml:space="preserve">：详见《磋商文件》第十章《拟签订的合同文本》。</w:t>
      </w:r>
      <w:r/>
    </w:p>
    <w:p>
      <w:pPr>
        <w:pStyle w:val="800"/>
        <w:rPr>
          <w:rFonts w:hint="eastAsia"/>
          <w:color w:val="auto"/>
          <w:highlight w:val="none"/>
        </w:rPr>
      </w:pPr>
      <w:r>
        <w:rPr>
          <w:rFonts w:hint="eastAsia"/>
          <w:color w:val="auto"/>
          <w:highlight w:val="none"/>
        </w:rPr>
        <w:t xml:space="preserve">七、供应商资格条件</w:t>
      </w:r>
      <w:r>
        <w:rPr>
          <w:rFonts w:hint="eastAsia"/>
          <w:b w:val="0"/>
          <w:bCs/>
          <w:color w:val="auto"/>
          <w:highlight w:val="none"/>
        </w:rPr>
        <w:t xml:space="preserve">：详见本项目竞争性磋商公告（项目编号：</w:t>
      </w:r>
      <w:r>
        <w:rPr>
          <w:rFonts w:hint="eastAsia"/>
          <w:b w:val="0"/>
          <w:bCs/>
          <w:color w:val="auto"/>
          <w:highlight w:val="none"/>
          <w:lang w:eastAsia="zh-CN"/>
        </w:rPr>
        <w:t xml:space="preserve">JSZC-320302-JSSZ-C2026-0052</w:t>
      </w:r>
      <w:r>
        <w:rPr>
          <w:rFonts w:hint="eastAsia"/>
          <w:b w:val="0"/>
          <w:bCs/>
          <w:color w:val="auto"/>
          <w:highlight w:val="none"/>
        </w:rPr>
        <w:t xml:space="preserve">）。</w:t>
      </w:r>
      <w:r/>
    </w:p>
    <w:p>
      <w:pPr>
        <w:pStyle w:val="822"/>
        <w:jc w:val="left"/>
        <w:spacing w:line="348" w:lineRule="auto"/>
        <w:widowControl w:val="off"/>
        <w:rPr>
          <w:rStyle w:val="1097"/>
          <w:rFonts w:hint="eastAsia" w:ascii="仿宋" w:hAnsi="仿宋" w:eastAsia="仿宋" w:cs="仿宋"/>
          <w:b/>
          <w:bCs/>
          <w:color w:val="auto"/>
          <w:szCs w:val="24"/>
          <w:highlight w:val="none"/>
        </w:rPr>
      </w:pPr>
      <w:r>
        <w:rPr>
          <w:rStyle w:val="1097"/>
          <w:rFonts w:hint="eastAsia" w:ascii="仿宋" w:hAnsi="仿宋" w:eastAsia="仿宋" w:cs="仿宋"/>
          <w:b/>
          <w:bCs/>
          <w:color w:val="auto"/>
          <w:szCs w:val="24"/>
          <w:highlight w:val="none"/>
        </w:rPr>
        <w:t xml:space="preserve">说明：</w:t>
      </w:r>
      <w:r/>
    </w:p>
    <w:p>
      <w:pPr>
        <w:pStyle w:val="822"/>
        <w:ind w:firstLine="480"/>
        <w:jc w:val="left"/>
        <w:spacing w:line="348" w:lineRule="auto"/>
        <w:widowControl w:val="off"/>
        <w:rPr>
          <w:rStyle w:val="1097"/>
          <w:rFonts w:hint="eastAsia" w:ascii="仿宋" w:hAnsi="仿宋" w:eastAsia="仿宋" w:cs="仿宋"/>
          <w:color w:val="auto"/>
          <w:szCs w:val="24"/>
          <w:highlight w:val="none"/>
        </w:rPr>
      </w:pPr>
      <w:r>
        <w:rPr>
          <w:rStyle w:val="1097"/>
          <w:rFonts w:hint="eastAsia" w:ascii="仿宋" w:hAnsi="仿宋" w:eastAsia="仿宋" w:cs="仿宋"/>
          <w:color w:val="auto"/>
          <w:szCs w:val="24"/>
          <w:highlight w:val="none"/>
        </w:rPr>
        <w:t xml:space="preserve">1、本项目不接受联合体参与采购活动。</w:t>
      </w:r>
      <w:r/>
    </w:p>
    <w:p>
      <w:pPr>
        <w:pStyle w:val="822"/>
        <w:ind w:firstLine="482"/>
        <w:jc w:val="left"/>
        <w:spacing w:line="348" w:lineRule="auto"/>
        <w:widowControl w:val="off"/>
        <w:rPr>
          <w:rStyle w:val="1097"/>
          <w:rFonts w:hint="eastAsia" w:ascii="仿宋" w:hAnsi="仿宋" w:eastAsia="仿宋" w:cs="仿宋"/>
          <w:color w:val="auto"/>
          <w:szCs w:val="24"/>
          <w:highlight w:val="none"/>
        </w:rPr>
      </w:pPr>
      <w:r>
        <w:rPr>
          <w:rStyle w:val="1097"/>
          <w:rFonts w:hint="eastAsia" w:ascii="仿宋" w:hAnsi="仿宋" w:eastAsia="仿宋" w:cs="仿宋"/>
          <w:color w:val="auto"/>
          <w:szCs w:val="24"/>
          <w:highlight w:val="none"/>
        </w:rPr>
        <w:t xml:space="preserve">2、单位负责人为同一人或者存在直接控股、管理关系的不同供应商，不得参加同一合同项下的政府采购活动。</w:t>
      </w:r>
      <w:r/>
    </w:p>
    <w:p>
      <w:pPr>
        <w:pStyle w:val="822"/>
        <w:ind w:firstLine="482"/>
        <w:jc w:val="left"/>
        <w:spacing w:line="348" w:lineRule="auto"/>
        <w:widowControl w:val="off"/>
        <w:rPr>
          <w:rStyle w:val="1097"/>
          <w:rFonts w:hint="eastAsia" w:ascii="仿宋" w:hAnsi="仿宋" w:eastAsia="仿宋" w:cs="仿宋"/>
          <w:color w:val="auto"/>
          <w:szCs w:val="24"/>
          <w:highlight w:val="none"/>
        </w:rPr>
      </w:pPr>
      <w:r>
        <w:rPr>
          <w:rStyle w:val="1097"/>
          <w:rFonts w:hint="eastAsia" w:ascii="仿宋" w:hAnsi="仿宋" w:eastAsia="仿宋" w:cs="仿宋"/>
          <w:color w:val="auto"/>
          <w:szCs w:val="24"/>
          <w:highlight w:val="none"/>
        </w:rPr>
        <w:t xml:space="preserve">3、为本采购项目提供整体设计、规范编制或者项目管理、审查等服务的供应商，不得再参加本采购项目的采购活动。</w:t>
      </w:r>
      <w:r/>
    </w:p>
    <w:p>
      <w:pPr>
        <w:pStyle w:val="822"/>
        <w:ind w:firstLine="480"/>
        <w:jc w:val="left"/>
        <w:spacing w:line="348" w:lineRule="auto"/>
        <w:widowControl w:val="off"/>
        <w:rPr>
          <w:rStyle w:val="1097"/>
          <w:rFonts w:hint="eastAsia" w:ascii="仿宋" w:hAnsi="仿宋" w:eastAsia="仿宋" w:cs="仿宋"/>
          <w:color w:val="auto"/>
          <w:szCs w:val="24"/>
          <w:highlight w:val="none"/>
        </w:rPr>
      </w:pPr>
      <w:r>
        <w:rPr>
          <w:rStyle w:val="1097"/>
          <w:rFonts w:hint="eastAsia" w:ascii="仿宋" w:hAnsi="仿宋" w:eastAsia="仿宋" w:cs="仿宋"/>
          <w:color w:val="auto"/>
          <w:szCs w:val="24"/>
          <w:highlight w:val="none"/>
        </w:rPr>
        <w:t xml:space="preserve">4、查询及使用供应商信用记录：</w:t>
      </w:r>
      <w:r/>
    </w:p>
    <w:p>
      <w:pPr>
        <w:pStyle w:val="822"/>
        <w:ind w:firstLine="480"/>
        <w:jc w:val="left"/>
        <w:spacing w:line="348" w:lineRule="auto"/>
        <w:widowControl w:val="off"/>
        <w:rPr>
          <w:rStyle w:val="1097"/>
          <w:rFonts w:hint="eastAsia" w:ascii="仿宋" w:hAnsi="仿宋" w:eastAsia="仿宋" w:cs="仿宋"/>
          <w:color w:val="auto"/>
          <w:szCs w:val="24"/>
          <w:highlight w:val="none"/>
        </w:rPr>
      </w:pPr>
      <w:r>
        <w:rPr>
          <w:rStyle w:val="1097"/>
          <w:rFonts w:hint="eastAsia" w:ascii="仿宋" w:hAnsi="仿宋" w:eastAsia="仿宋" w:cs="仿宋"/>
          <w:color w:val="auto"/>
          <w:szCs w:val="24"/>
          <w:highlight w:val="none"/>
        </w:rPr>
        <w:t xml:space="preserve">⑴由采购人查询信用信息。</w:t>
      </w:r>
      <w:r/>
    </w:p>
    <w:p>
      <w:pPr>
        <w:pStyle w:val="822"/>
        <w:ind w:firstLine="480"/>
        <w:jc w:val="left"/>
        <w:spacing w:line="348" w:lineRule="auto"/>
        <w:widowControl w:val="off"/>
        <w:rPr>
          <w:rStyle w:val="1097"/>
          <w:rFonts w:hint="eastAsia" w:ascii="仿宋" w:hAnsi="仿宋" w:eastAsia="仿宋" w:cs="仿宋"/>
          <w:color w:val="auto"/>
          <w:szCs w:val="24"/>
          <w:highlight w:val="none"/>
        </w:rPr>
      </w:pPr>
      <w:r>
        <w:rPr>
          <w:rStyle w:val="1097"/>
          <w:rFonts w:hint="eastAsia" w:ascii="仿宋" w:hAnsi="仿宋" w:eastAsia="仿宋" w:cs="仿宋"/>
          <w:color w:val="auto"/>
          <w:szCs w:val="24"/>
          <w:highlight w:val="none"/>
        </w:rPr>
        <w:t xml:space="preserve">⑵查询渠道包括：</w:t>
      </w:r>
      <w:r/>
    </w:p>
    <w:p>
      <w:pPr>
        <w:pStyle w:val="822"/>
        <w:ind w:firstLine="480"/>
        <w:jc w:val="left"/>
        <w:spacing w:line="348" w:lineRule="auto"/>
        <w:widowControl w:val="off"/>
        <w:rPr>
          <w:rStyle w:val="1097"/>
          <w:rFonts w:hint="eastAsia" w:ascii="仿宋" w:hAnsi="仿宋" w:eastAsia="仿宋" w:cs="仿宋"/>
          <w:color w:val="auto"/>
          <w:szCs w:val="24"/>
          <w:highlight w:val="none"/>
        </w:rPr>
      </w:pPr>
      <w:r>
        <w:rPr>
          <w:rStyle w:val="1097"/>
          <w:rFonts w:hint="eastAsia" w:ascii="仿宋" w:hAnsi="仿宋" w:eastAsia="仿宋" w:cs="仿宋"/>
          <w:color w:val="auto"/>
          <w:szCs w:val="24"/>
          <w:highlight w:val="none"/>
        </w:rPr>
        <w:t xml:space="preserve">①“信用中国”网（www.creditchina.gov.cn）；</w:t>
      </w:r>
      <w:r/>
    </w:p>
    <w:p>
      <w:pPr>
        <w:pStyle w:val="822"/>
        <w:ind w:firstLine="480"/>
        <w:jc w:val="left"/>
        <w:spacing w:line="348" w:lineRule="auto"/>
        <w:widowControl w:val="off"/>
        <w:rPr>
          <w:rStyle w:val="1097"/>
          <w:rFonts w:hint="eastAsia" w:ascii="仿宋" w:hAnsi="仿宋" w:eastAsia="仿宋" w:cs="仿宋"/>
          <w:color w:val="auto"/>
          <w:szCs w:val="24"/>
          <w:highlight w:val="none"/>
        </w:rPr>
      </w:pPr>
      <w:r>
        <w:rPr>
          <w:rStyle w:val="1097"/>
          <w:rFonts w:hint="eastAsia" w:ascii="仿宋" w:hAnsi="仿宋" w:eastAsia="仿宋" w:cs="仿宋"/>
          <w:color w:val="auto"/>
          <w:szCs w:val="24"/>
          <w:highlight w:val="none"/>
        </w:rPr>
        <w:t xml:space="preserve">②中国政府采购网（www.ccgp.gov.cn）；</w:t>
      </w:r>
      <w:r/>
    </w:p>
    <w:p>
      <w:pPr>
        <w:pStyle w:val="822"/>
        <w:ind w:firstLine="480"/>
        <w:jc w:val="left"/>
        <w:spacing w:line="348" w:lineRule="auto"/>
        <w:widowControl w:val="off"/>
        <w:rPr>
          <w:rStyle w:val="1097"/>
          <w:rFonts w:hint="eastAsia" w:ascii="仿宋" w:hAnsi="仿宋" w:eastAsia="仿宋" w:cs="仿宋"/>
          <w:color w:val="auto"/>
          <w:szCs w:val="24"/>
          <w:highlight w:val="none"/>
        </w:rPr>
      </w:pPr>
      <w:r>
        <w:rPr>
          <w:rStyle w:val="1097"/>
          <w:rFonts w:hint="eastAsia" w:ascii="仿宋" w:hAnsi="仿宋" w:eastAsia="仿宋" w:cs="仿宋"/>
          <w:color w:val="auto"/>
          <w:szCs w:val="24"/>
          <w:highlight w:val="none"/>
        </w:rPr>
        <w:t xml:space="preserve">③“信用江苏”网（http://credit.jiangsu.gov.cn/）；</w:t>
      </w:r>
      <w:r/>
    </w:p>
    <w:p>
      <w:pPr>
        <w:pStyle w:val="822"/>
        <w:ind w:firstLine="480"/>
        <w:jc w:val="left"/>
        <w:spacing w:line="348" w:lineRule="auto"/>
        <w:widowControl w:val="off"/>
        <w:rPr>
          <w:rStyle w:val="1097"/>
          <w:rFonts w:hint="eastAsia" w:ascii="仿宋" w:hAnsi="仿宋" w:eastAsia="仿宋" w:cs="仿宋"/>
          <w:color w:val="auto"/>
          <w:szCs w:val="24"/>
          <w:highlight w:val="none"/>
        </w:rPr>
      </w:pPr>
      <w:r>
        <w:rPr>
          <w:rStyle w:val="1097"/>
          <w:rFonts w:hint="eastAsia" w:ascii="仿宋" w:hAnsi="仿宋" w:eastAsia="仿宋" w:cs="仿宋"/>
          <w:color w:val="auto"/>
          <w:szCs w:val="24"/>
          <w:highlight w:val="none"/>
        </w:rPr>
        <w:t xml:space="preserve">④“信用中国（江苏徐州）”网（http://</w:t>
      </w:r>
      <w:r>
        <w:rPr>
          <w:color w:val="auto"/>
          <w:highlight w:val="none"/>
        </w:rPr>
        <w:fldChar w:fldCharType="begin"/>
      </w:r>
      <w:r>
        <w:rPr>
          <w:color w:val="auto"/>
          <w:highlight w:val="none"/>
        </w:rPr>
        <w:instrText xml:space="preserve"> HYPERLINK "http://www.xuzhoucredit.gov.cn）。" </w:instrText>
      </w:r>
      <w:r>
        <w:rPr>
          <w:color w:val="auto"/>
          <w:highlight w:val="none"/>
        </w:rPr>
        <w:fldChar w:fldCharType="separate"/>
      </w:r>
      <w:r>
        <w:rPr>
          <w:rStyle w:val="1097"/>
          <w:rFonts w:hint="eastAsia" w:ascii="仿宋" w:hAnsi="仿宋" w:eastAsia="仿宋" w:cs="仿宋"/>
          <w:color w:val="auto"/>
          <w:szCs w:val="24"/>
          <w:highlight w:val="none"/>
        </w:rPr>
        <w:t xml:space="preserve">www.xuzhoucredit.gov.cn）。</w:t>
      </w:r>
      <w:r>
        <w:rPr>
          <w:rStyle w:val="1097"/>
          <w:rFonts w:hint="eastAsia" w:ascii="仿宋" w:hAnsi="仿宋" w:eastAsia="仿宋" w:cs="仿宋"/>
          <w:color w:val="auto"/>
          <w:szCs w:val="24"/>
          <w:highlight w:val="none"/>
        </w:rPr>
        <w:fldChar w:fldCharType="end"/>
      </w:r>
      <w:r/>
    </w:p>
    <w:p>
      <w:pPr>
        <w:pStyle w:val="822"/>
        <w:ind w:firstLine="480"/>
        <w:jc w:val="left"/>
        <w:spacing w:line="348" w:lineRule="auto"/>
        <w:widowControl w:val="off"/>
        <w:rPr>
          <w:rStyle w:val="1097"/>
          <w:rFonts w:hint="eastAsia" w:ascii="仿宋" w:hAnsi="仿宋" w:eastAsia="仿宋" w:cs="仿宋"/>
          <w:color w:val="auto"/>
          <w:szCs w:val="24"/>
          <w:highlight w:val="none"/>
        </w:rPr>
      </w:pPr>
      <w:r>
        <w:rPr>
          <w:rStyle w:val="1097"/>
          <w:rFonts w:hint="eastAsia" w:ascii="仿宋" w:hAnsi="仿宋" w:eastAsia="仿宋" w:cs="仿宋"/>
          <w:color w:val="auto"/>
          <w:szCs w:val="24"/>
          <w:highlight w:val="none"/>
        </w:rPr>
        <w:t xml:space="preserve">⑶截止时点（查询环节）：首次响应文件开启后资格审查结束前。</w:t>
      </w:r>
      <w:r/>
    </w:p>
    <w:p>
      <w:pPr>
        <w:pStyle w:val="822"/>
        <w:ind w:firstLine="480"/>
        <w:jc w:val="left"/>
        <w:spacing w:line="348" w:lineRule="auto"/>
        <w:widowControl w:val="off"/>
        <w:rPr>
          <w:rStyle w:val="1097"/>
          <w:rFonts w:hint="eastAsia" w:ascii="仿宋" w:hAnsi="仿宋" w:eastAsia="仿宋" w:cs="仿宋"/>
          <w:color w:val="auto"/>
          <w:szCs w:val="24"/>
          <w:highlight w:val="none"/>
        </w:rPr>
      </w:pPr>
      <w:r>
        <w:rPr>
          <w:rStyle w:val="1097"/>
          <w:rFonts w:hint="eastAsia" w:ascii="仿宋" w:hAnsi="仿宋" w:eastAsia="仿宋" w:cs="仿宋"/>
          <w:color w:val="auto"/>
          <w:szCs w:val="24"/>
          <w:highlight w:val="none"/>
        </w:rPr>
        <w:t xml:space="preserve">⑷信用信息查询记录和证据留存的具体方式：网页截屏打印，与其他采购文件一并保存。</w:t>
      </w:r>
      <w:r/>
    </w:p>
    <w:p>
      <w:pPr>
        <w:pStyle w:val="822"/>
        <w:ind w:firstLine="480"/>
        <w:jc w:val="left"/>
        <w:spacing w:line="348" w:lineRule="auto"/>
        <w:widowControl w:val="off"/>
        <w:rPr>
          <w:rStyle w:val="1097"/>
          <w:rFonts w:hint="eastAsia" w:ascii="仿宋" w:hAnsi="仿宋" w:eastAsia="仿宋" w:cs="仿宋"/>
          <w:color w:val="auto"/>
          <w:szCs w:val="24"/>
          <w:highlight w:val="none"/>
        </w:rPr>
      </w:pPr>
      <w:r>
        <w:rPr>
          <w:rStyle w:val="1097"/>
          <w:rFonts w:hint="eastAsia" w:ascii="仿宋" w:hAnsi="仿宋" w:eastAsia="仿宋" w:cs="仿宋"/>
          <w:color w:val="auto"/>
          <w:szCs w:val="24"/>
          <w:highlight w:val="none"/>
        </w:rPr>
        <w:t xml:space="preserve">⑸信用信息的使用规则：</w:t>
      </w:r>
      <w:r/>
    </w:p>
    <w:p>
      <w:pPr>
        <w:pStyle w:val="822"/>
        <w:ind w:firstLine="480"/>
        <w:jc w:val="left"/>
        <w:spacing w:line="348" w:lineRule="auto"/>
        <w:widowControl w:val="off"/>
        <w:rPr>
          <w:rStyle w:val="1097"/>
          <w:rFonts w:hint="eastAsia" w:ascii="仿宋" w:hAnsi="仿宋" w:eastAsia="仿宋" w:cs="仿宋"/>
          <w:color w:val="auto"/>
          <w:szCs w:val="24"/>
          <w:highlight w:val="none"/>
        </w:rPr>
      </w:pPr>
      <w:r>
        <w:rPr>
          <w:rStyle w:val="1097"/>
          <w:rFonts w:hint="eastAsia" w:ascii="仿宋" w:hAnsi="仿宋" w:eastAsia="仿宋" w:cs="仿宋"/>
          <w:color w:val="auto"/>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800"/>
        <w:rPr>
          <w:rStyle w:val="1097"/>
          <w:rFonts w:hint="eastAsia" w:ascii="仿宋" w:cs="仿宋"/>
          <w:bCs/>
          <w:color w:val="auto"/>
          <w:szCs w:val="24"/>
          <w:highlight w:val="none"/>
        </w:rPr>
      </w:pPr>
      <w:r>
        <w:rPr>
          <w:rStyle w:val="1097"/>
          <w:rFonts w:hint="eastAsia" w:ascii="仿宋" w:cs="仿宋"/>
          <w:bCs/>
          <w:color w:val="auto"/>
          <w:szCs w:val="24"/>
          <w:highlight w:val="none"/>
        </w:rPr>
        <w:t xml:space="preserve">八、报价要求</w:t>
      </w:r>
      <w:r/>
    </w:p>
    <w:p>
      <w:pPr>
        <w:pStyle w:val="822"/>
        <w:ind w:firstLine="480"/>
        <w:jc w:val="left"/>
        <w:spacing w:line="348" w:lineRule="auto"/>
        <w:widowControl w:val="off"/>
        <w:rPr>
          <w:rStyle w:val="1097"/>
          <w:rFonts w:hint="eastAsia" w:ascii="仿宋" w:hAnsi="仿宋" w:eastAsia="仿宋" w:cs="仿宋"/>
          <w:color w:val="auto"/>
          <w:szCs w:val="24"/>
          <w:highlight w:val="none"/>
        </w:rPr>
      </w:pPr>
      <w:r>
        <w:rPr>
          <w:rStyle w:val="1097"/>
          <w:rFonts w:hint="eastAsia" w:ascii="仿宋" w:hAnsi="仿宋" w:eastAsia="仿宋" w:cs="仿宋"/>
          <w:color w:val="auto"/>
          <w:szCs w:val="24"/>
          <w:highlight w:val="none"/>
        </w:rPr>
        <w:t xml:space="preserve">1、供应商报价为要约，采购人无承诺表示时视为未成交，采购人认为必要时可重新进行竞争性磋商采购或采取其它方式采购。</w:t>
      </w:r>
      <w:r/>
    </w:p>
    <w:p>
      <w:pPr>
        <w:pStyle w:val="822"/>
        <w:ind w:firstLine="480"/>
        <w:jc w:val="left"/>
        <w:spacing w:line="348" w:lineRule="auto"/>
        <w:widowControl w:val="off"/>
        <w:rPr>
          <w:rStyle w:val="1097"/>
          <w:rFonts w:hint="eastAsia" w:ascii="仿宋" w:hAnsi="仿宋" w:eastAsia="仿宋" w:cs="仿宋"/>
          <w:color w:val="auto"/>
          <w:szCs w:val="24"/>
          <w:highlight w:val="none"/>
        </w:rPr>
      </w:pPr>
      <w:r>
        <w:rPr>
          <w:rStyle w:val="1097"/>
          <w:rFonts w:hint="eastAsia" w:ascii="仿宋" w:hAnsi="仿宋" w:eastAsia="仿宋" w:cs="仿宋"/>
          <w:color w:val="auto"/>
          <w:szCs w:val="24"/>
          <w:highlight w:val="none"/>
        </w:rPr>
        <w:t xml:space="preserve">2、按照《磋商报价表》要求填写首次报价。</w:t>
      </w:r>
      <w:r/>
    </w:p>
    <w:p>
      <w:pPr>
        <w:pStyle w:val="822"/>
        <w:ind w:firstLine="480"/>
        <w:spacing w:line="34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3、报价包含本项目范围内的全部费用（含税）。供应商有漏报或不报的，采购人将视为有关费用已包括在本项目的报价中而不予支付。采购人不再支付报价以外的任何费用。</w:t>
      </w:r>
      <w:r/>
    </w:p>
    <w:p>
      <w:pPr>
        <w:pStyle w:val="800"/>
        <w:rPr>
          <w:rFonts w:hint="eastAsia"/>
          <w:color w:val="auto"/>
          <w:highlight w:val="none"/>
        </w:rPr>
      </w:pPr>
      <w:r/>
      <w:bookmarkStart w:id="3" w:name="_Toc80122284"/>
      <w:r>
        <w:rPr>
          <w:rFonts w:hint="eastAsia"/>
          <w:color w:val="auto"/>
          <w:highlight w:val="none"/>
        </w:rPr>
        <w:t xml:space="preserve">九、供应商提交磋商保证金：不需交纳。</w:t>
      </w:r>
      <w:r/>
    </w:p>
    <w:p>
      <w:pPr>
        <w:pStyle w:val="799"/>
        <w:rPr>
          <w:color w:val="auto"/>
          <w:highlight w:val="none"/>
        </w:rPr>
      </w:pPr>
      <w:r/>
      <w:bookmarkStart w:id="4" w:name="_Toc14500"/>
      <w:r/>
      <w:bookmarkStart w:id="5" w:name="_Toc53"/>
      <w:r>
        <w:rPr>
          <w:rFonts w:hint="eastAsia"/>
          <w:color w:val="auto"/>
          <w:highlight w:val="none"/>
        </w:rPr>
        <w:t xml:space="preserve">第二章 响应文件要求</w:t>
      </w:r>
      <w:bookmarkEnd w:id="3"/>
      <w:r/>
      <w:bookmarkEnd w:id="4"/>
      <w:r/>
      <w:bookmarkEnd w:id="5"/>
      <w:r/>
      <w:r/>
    </w:p>
    <w:p>
      <w:pPr>
        <w:pStyle w:val="800"/>
        <w:rPr>
          <w:rFonts w:hint="eastAsia"/>
          <w:color w:val="auto"/>
          <w:highlight w:val="none"/>
        </w:rPr>
      </w:pPr>
      <w:r>
        <w:rPr>
          <w:rFonts w:hint="eastAsia"/>
          <w:color w:val="auto"/>
          <w:highlight w:val="none"/>
        </w:rPr>
        <w:t xml:space="preserve">十、获取竞争性磋商文件</w:t>
      </w:r>
      <w:r>
        <w:rPr>
          <w:rFonts w:hint="eastAsia"/>
          <w:b w:val="0"/>
          <w:bCs/>
          <w:color w:val="auto"/>
          <w:highlight w:val="none"/>
        </w:rPr>
        <w:t xml:space="preserve">：详见本项目竞争性磋商公告。</w:t>
      </w:r>
      <w:r/>
    </w:p>
    <w:p>
      <w:pPr>
        <w:pStyle w:val="800"/>
        <w:rPr>
          <w:rFonts w:hint="eastAsia"/>
          <w:color w:val="auto"/>
          <w:highlight w:val="none"/>
        </w:rPr>
      </w:pPr>
      <w:r>
        <w:rPr>
          <w:rFonts w:hint="eastAsia"/>
          <w:color w:val="auto"/>
          <w:highlight w:val="none"/>
        </w:rPr>
        <w:t xml:space="preserve">十一、提交响应文件要求</w:t>
      </w:r>
      <w:r/>
    </w:p>
    <w:p>
      <w:pPr>
        <w:jc w:val="center"/>
        <w:spacing w:line="360" w:lineRule="auto"/>
        <w:rPr>
          <w:color w:val="auto"/>
          <w:highlight w:val="none"/>
        </w:rPr>
      </w:pPr>
      <w:r>
        <w:rPr>
          <w:rFonts w:hint="eastAsia" w:ascii="仿宋" w:hAnsi="仿宋" w:eastAsia="仿宋" w:cs="仿宋"/>
          <w:b/>
          <w:bCs/>
          <w:color w:val="auto"/>
          <w:sz w:val="24"/>
          <w:szCs w:val="24"/>
          <w:highlight w:val="none"/>
        </w:rPr>
        <w:t xml:space="preserve">第一部分 基本要求</w:t>
      </w:r>
      <w:r/>
    </w:p>
    <w:p>
      <w:pPr>
        <w:ind w:firstLine="480"/>
        <w:jc w:val="left"/>
        <w:spacing w:line="348"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（一）本项目通过“苏采云”系统进行电子采购，即供应商响应文件从政府采购客户端工具制作并通过“苏采云”系统提交。</w:t>
      </w:r>
      <w:r/>
    </w:p>
    <w:p>
      <w:pPr>
        <w:ind w:firstLine="480"/>
        <w:jc w:val="left"/>
        <w:spacing w:line="348"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1、供应商应当通过“苏采云”系统提交数据电文形式的响应文件（即电子投标）。未进行线上响应文件提交并解密(因“苏采云”系统导致解密失败的除外)的供应商，响应无效。</w:t>
      </w:r>
      <w:r/>
    </w:p>
    <w:p>
      <w:pPr>
        <w:ind w:firstLine="480"/>
        <w:jc w:val="left"/>
        <w:spacing w:line="348"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2、“CA数字证书”的获</w:t>
      </w:r>
      <w:r>
        <w:rPr>
          <w:rStyle w:val="1097"/>
          <w:rFonts w:hint="eastAsia" w:ascii="仿宋" w:hAnsi="仿宋" w:eastAsia="仿宋" w:cs="仿宋"/>
          <w:color w:val="auto"/>
          <w:szCs w:val="24"/>
          <w:highlight w:val="none"/>
        </w:rPr>
        <w:t xml:space="preserve">取：</w:t>
      </w:r>
      <w:r>
        <w:rPr>
          <w:rFonts w:hint="eastAsia" w:ascii="仿宋" w:hAnsi="仿宋" w:eastAsia="仿宋" w:cs="仿宋"/>
          <w:color w:val="auto"/>
          <w:sz w:val="24"/>
          <w:highlight w:val="none"/>
        </w:rPr>
        <w:t xml:space="preserve">供应商需办理CA锁，“苏采云”系统目前仅支持“苏采云”系统下的政务CA，省内各地区办理的“苏采云”系统下的政务CA全省通用。“CA数字证书”的办理材料详见“徐州政府采购网-</w:t>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 xml:space="preserve">办事指南-资料下载”中的《“苏采云”系统政务CA办理材料、操作手册及控件下载》</w:t>
      </w:r>
      <w:r>
        <w:rPr>
          <w:rFonts w:hint="eastAsia" w:ascii="仿宋" w:hAnsi="仿宋" w:eastAsia="仿宋" w:cs="仿宋"/>
          <w:bCs/>
          <w:color w:val="auto"/>
          <w:sz w:val="24"/>
          <w:szCs w:val="24"/>
          <w:highlight w:val="none"/>
        </w:rPr>
        <w:t xml:space="preserve">。</w:t>
      </w:r>
      <w:r/>
    </w:p>
    <w:p>
      <w:pPr>
        <w:ind w:firstLine="480"/>
        <w:spacing w:line="348"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w:t>
      </w:r>
      <w:r>
        <w:rPr>
          <w:rStyle w:val="1097"/>
          <w:rFonts w:hint="eastAsia" w:ascii="仿宋" w:hAnsi="仿宋" w:eastAsia="仿宋" w:cs="仿宋"/>
          <w:color w:val="auto"/>
          <w:szCs w:val="24"/>
          <w:highlight w:val="none"/>
        </w:rPr>
        <w:t xml:space="preserve">使用需要第三方认证的电子签名、数据电文，通过互联网方式提交首次响应文件。即：使用“电子签名认证证书（CA数字证书）”登录“苏采云”系统</w:t>
      </w:r>
      <w:r>
        <w:rPr>
          <w:rFonts w:hint="eastAsia" w:ascii="仿宋" w:hAnsi="仿宋" w:eastAsia="仿宋" w:cs="仿宋"/>
          <w:bCs/>
          <w:color w:val="auto"/>
          <w:sz w:val="24"/>
          <w:szCs w:val="24"/>
          <w:highlight w:val="none"/>
        </w:rPr>
        <w:t xml:space="preserve">（网址：</w:t>
      </w:r>
      <w:r>
        <w:rPr>
          <w:rFonts w:hint="eastAsia" w:ascii="仿宋" w:hAnsi="仿宋" w:eastAsia="仿宋" w:cs="仿宋"/>
          <w:bCs/>
          <w:color w:val="auto"/>
          <w:sz w:val="24"/>
          <w:szCs w:val="24"/>
          <w:highlight w:val="none"/>
          <w:lang w:eastAsia="zh-CN"/>
        </w:rPr>
        <w:t xml:space="preserve">https://jszfcg.jsczt.cn/jszc/login）</w:t>
      </w:r>
      <w:r>
        <w:rPr>
          <w:rFonts w:hint="eastAsia" w:ascii="仿宋" w:hAnsi="仿宋" w:eastAsia="仿宋" w:cs="仿宋"/>
          <w:bCs/>
          <w:color w:val="auto"/>
          <w:sz w:val="24"/>
          <w:szCs w:val="24"/>
          <w:highlight w:val="none"/>
        </w:rPr>
        <w:t xml:space="preserve">；或进入徐州政府采购网（网址：</w:t>
      </w:r>
      <w:r>
        <w:rPr>
          <w:rFonts w:hint="eastAsia" w:ascii="宋体" w:hAnsi="宋体" w:cs="宋体"/>
          <w:bCs/>
          <w:color w:val="auto"/>
          <w:sz w:val="24"/>
          <w:highlight w:val="none"/>
        </w:rPr>
        <w:t xml:space="preserve">https://czj.xz.gov.cn/zfcg/</w:t>
      </w:r>
      <w:r>
        <w:rPr>
          <w:rFonts w:hint="eastAsia" w:ascii="仿宋" w:hAnsi="仿宋" w:eastAsia="仿宋" w:cs="仿宋"/>
          <w:bCs/>
          <w:color w:val="auto"/>
          <w:sz w:val="24"/>
          <w:szCs w:val="24"/>
          <w:highlight w:val="none"/>
        </w:rPr>
        <w:t xml:space="preserve">），点击“苏采云”进入系统），按照要求通过互联网方式提交首次响应文件。</w:t>
      </w:r>
      <w:r/>
    </w:p>
    <w:p>
      <w:pPr>
        <w:ind w:firstLine="482"/>
        <w:jc w:val="left"/>
        <w:spacing w:line="348"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4、“苏采云”系统使用要求：</w:t>
      </w:r>
      <w:r/>
    </w:p>
    <w:p>
      <w:pPr>
        <w:ind w:firstLine="480"/>
        <w:jc w:val="left"/>
        <w:spacing w:line="348"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4.1使用谷歌浏览器参与不见面开标及磋商环节。</w:t>
      </w:r>
      <w:r/>
    </w:p>
    <w:p>
      <w:pPr>
        <w:ind w:firstLine="480"/>
        <w:jc w:val="left"/>
        <w:spacing w:line="348"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4.2电脑需提前准备好麦克风、音响，摄像头，提前检查保证能够正常使用。</w:t>
      </w:r>
      <w:r/>
    </w:p>
    <w:p>
      <w:pPr>
        <w:ind w:firstLine="480"/>
        <w:jc w:val="left"/>
        <w:spacing w:line="348"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4.3操作系统至少win7以上，建议使用win10操作系统。</w:t>
      </w:r>
      <w:r/>
    </w:p>
    <w:p>
      <w:pPr>
        <w:pStyle w:val="801"/>
        <w:rPr>
          <w:rFonts w:hint="eastAsia"/>
          <w:color w:val="auto"/>
          <w:highlight w:val="none"/>
        </w:rPr>
      </w:pPr>
      <w:r>
        <w:rPr>
          <w:rFonts w:hint="eastAsia"/>
          <w:color w:val="auto"/>
          <w:highlight w:val="none"/>
        </w:rPr>
        <w:t xml:space="preserve">（二）首次响应文件提交时间、地点：</w:t>
      </w:r>
      <w:r/>
    </w:p>
    <w:p>
      <w:pPr>
        <w:ind w:firstLine="480"/>
        <w:jc w:val="left"/>
        <w:spacing w:line="348"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1、首次响应文件提交的截止时间：</w:t>
      </w:r>
      <w:r>
        <w:rPr>
          <w:rFonts w:hint="eastAsia" w:ascii="仿宋" w:hAnsi="仿宋" w:eastAsia="仿宋" w:cs="仿宋"/>
          <w:b/>
          <w:bCs/>
          <w:color w:val="auto"/>
          <w:sz w:val="24"/>
          <w:szCs w:val="24"/>
          <w:highlight w:val="none"/>
        </w:rPr>
        <w:t xml:space="preserve">2026年</w:t>
      </w:r>
      <w:r>
        <w:rPr>
          <w:rFonts w:hint="eastAsia" w:ascii="仿宋" w:hAnsi="仿宋" w:eastAsia="仿宋" w:cs="仿宋"/>
          <w:b/>
          <w:bCs/>
          <w:color w:val="auto"/>
          <w:sz w:val="24"/>
          <w:szCs w:val="24"/>
          <w:highlight w:val="none"/>
          <w:lang w:val="en-US" w:eastAsia="zh-CN"/>
        </w:rPr>
        <w:t xml:space="preserve">10</w:t>
      </w:r>
      <w:r>
        <w:rPr>
          <w:rFonts w:hint="eastAsia" w:ascii="仿宋" w:hAnsi="仿宋" w:eastAsia="仿宋" w:cs="仿宋"/>
          <w:b/>
          <w:bCs/>
          <w:color w:val="auto"/>
          <w:sz w:val="24"/>
          <w:szCs w:val="24"/>
          <w:highlight w:val="none"/>
        </w:rPr>
        <w:t xml:space="preserve">月</w:t>
      </w:r>
      <w:r>
        <w:rPr>
          <w:rFonts w:hint="eastAsia" w:ascii="仿宋" w:hAnsi="仿宋" w:eastAsia="仿宋" w:cs="仿宋"/>
          <w:b/>
          <w:bCs/>
          <w:color w:val="auto"/>
          <w:sz w:val="24"/>
          <w:szCs w:val="24"/>
          <w:highlight w:val="none"/>
          <w:lang w:val="en-US" w:eastAsia="zh-CN"/>
        </w:rPr>
        <w:t xml:space="preserve">20</w:t>
      </w:r>
      <w:r>
        <w:rPr>
          <w:rFonts w:hint="eastAsia" w:ascii="仿宋" w:hAnsi="仿宋" w:eastAsia="仿宋" w:cs="仿宋"/>
          <w:b/>
          <w:bCs/>
          <w:color w:val="auto"/>
          <w:sz w:val="24"/>
          <w:szCs w:val="24"/>
          <w:highlight w:val="none"/>
        </w:rPr>
        <w:t xml:space="preserve">日09：30</w:t>
      </w:r>
      <w:r>
        <w:rPr>
          <w:rFonts w:hint="eastAsia" w:ascii="仿宋" w:hAnsi="仿宋" w:eastAsia="仿宋" w:cs="仿宋"/>
          <w:b/>
          <w:color w:val="auto"/>
          <w:sz w:val="24"/>
          <w:szCs w:val="24"/>
          <w:highlight w:val="none"/>
        </w:rPr>
        <w:t xml:space="preserve">（北京时间）</w:t>
      </w:r>
      <w:r>
        <w:rPr>
          <w:rFonts w:hint="eastAsia" w:ascii="仿宋" w:hAnsi="仿宋" w:eastAsia="仿宋" w:cs="仿宋"/>
          <w:bCs/>
          <w:color w:val="auto"/>
          <w:sz w:val="24"/>
          <w:szCs w:val="24"/>
          <w:highlight w:val="none"/>
        </w:rPr>
        <w:t xml:space="preserve">，截止时间后提交的响应文件为无效文件将被拒收。</w:t>
      </w:r>
      <w:r/>
    </w:p>
    <w:p>
      <w:pPr>
        <w:ind w:firstLine="480"/>
        <w:jc w:val="left"/>
        <w:spacing w:line="348" w:lineRule="auto"/>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2、提交首次响应文</w:t>
      </w:r>
      <w:r>
        <w:rPr>
          <w:rFonts w:hint="eastAsia" w:ascii="仿宋" w:hAnsi="仿宋" w:eastAsia="仿宋" w:cs="仿宋"/>
          <w:color w:val="auto"/>
          <w:sz w:val="24"/>
          <w:szCs w:val="24"/>
          <w:highlight w:val="none"/>
        </w:rPr>
        <w:t xml:space="preserve">件地点：“苏采云”系统（网址：</w:t>
      </w:r>
      <w:r>
        <w:rPr>
          <w:rFonts w:hint="eastAsia" w:ascii="仿宋" w:hAnsi="仿宋" w:eastAsia="仿宋" w:cs="仿宋"/>
          <w:color w:val="auto"/>
          <w:sz w:val="24"/>
          <w:szCs w:val="24"/>
          <w:highlight w:val="none"/>
          <w:lang w:eastAsia="zh-CN"/>
        </w:rPr>
        <w:t xml:space="preserve">https://jszfcg.jsczt.cn/jszc/login</w:t>
      </w:r>
      <w:r>
        <w:rPr>
          <w:rFonts w:hint="eastAsia" w:ascii="仿宋" w:hAnsi="仿宋" w:eastAsia="仿宋" w:cs="仿宋"/>
          <w:color w:val="auto"/>
          <w:sz w:val="24"/>
          <w:szCs w:val="24"/>
          <w:highlight w:val="none"/>
        </w:rPr>
        <w:t xml:space="preserve">）“开标大厅”或进入徐州政府采购网（网址：</w:t>
      </w:r>
      <w:r>
        <w:rPr>
          <w:rFonts w:hint="eastAsia" w:ascii="宋体" w:hAnsi="宋体" w:cs="宋体"/>
          <w:bCs/>
          <w:color w:val="auto"/>
          <w:sz w:val="24"/>
          <w:highlight w:val="none"/>
        </w:rPr>
        <w:t xml:space="preserve">https://czj.xz.gov.cn/zfcg/</w:t>
      </w:r>
      <w:r>
        <w:rPr>
          <w:rFonts w:hint="eastAsia" w:ascii="仿宋" w:hAnsi="仿宋" w:eastAsia="仿宋" w:cs="仿宋"/>
          <w:color w:val="auto"/>
          <w:sz w:val="24"/>
          <w:szCs w:val="24"/>
          <w:highlight w:val="none"/>
        </w:rPr>
        <w:t xml:space="preserve">），点击“苏采云”进入系统“开标大厅”。</w:t>
      </w:r>
      <w:r/>
    </w:p>
    <w:p>
      <w:pPr>
        <w:ind w:firstLine="480"/>
        <w:jc w:val="left"/>
        <w:spacing w:line="34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3、首次响应文件开启时间：</w:t>
      </w:r>
      <w:r>
        <w:rPr>
          <w:rFonts w:hint="eastAsia" w:ascii="仿宋" w:hAnsi="仿宋" w:eastAsia="仿宋" w:cs="仿宋"/>
          <w:b/>
          <w:bCs/>
          <w:color w:val="auto"/>
          <w:sz w:val="24"/>
          <w:szCs w:val="24"/>
          <w:highlight w:val="none"/>
        </w:rPr>
        <w:t xml:space="preserve">2026年</w:t>
      </w:r>
      <w:r>
        <w:rPr>
          <w:rFonts w:hint="eastAsia" w:ascii="仿宋" w:hAnsi="仿宋" w:eastAsia="仿宋" w:cs="仿宋"/>
          <w:b/>
          <w:bCs/>
          <w:color w:val="auto"/>
          <w:sz w:val="24"/>
          <w:szCs w:val="24"/>
          <w:highlight w:val="none"/>
          <w:lang w:val="en-US" w:eastAsia="zh-CN"/>
        </w:rPr>
        <w:t xml:space="preserve">10</w:t>
      </w:r>
      <w:r>
        <w:rPr>
          <w:rFonts w:hint="eastAsia" w:ascii="仿宋" w:hAnsi="仿宋" w:eastAsia="仿宋" w:cs="仿宋"/>
          <w:b/>
          <w:bCs/>
          <w:color w:val="auto"/>
          <w:sz w:val="24"/>
          <w:szCs w:val="24"/>
          <w:highlight w:val="none"/>
        </w:rPr>
        <w:t xml:space="preserve">月</w:t>
      </w:r>
      <w:r>
        <w:rPr>
          <w:rFonts w:hint="eastAsia" w:ascii="仿宋" w:hAnsi="仿宋" w:eastAsia="仿宋" w:cs="仿宋"/>
          <w:b/>
          <w:bCs/>
          <w:color w:val="auto"/>
          <w:sz w:val="24"/>
          <w:szCs w:val="24"/>
          <w:highlight w:val="none"/>
          <w:lang w:val="en-US" w:eastAsia="zh-CN"/>
        </w:rPr>
        <w:t xml:space="preserve"> 20 </w:t>
      </w:r>
      <w:r>
        <w:rPr>
          <w:rFonts w:hint="eastAsia" w:ascii="仿宋" w:hAnsi="仿宋" w:eastAsia="仿宋" w:cs="仿宋"/>
          <w:b/>
          <w:bCs/>
          <w:color w:val="auto"/>
          <w:sz w:val="24"/>
          <w:szCs w:val="24"/>
          <w:highlight w:val="none"/>
        </w:rPr>
        <w:t xml:space="preserve">日09：30（北京时间）</w:t>
      </w:r>
      <w:r/>
    </w:p>
    <w:p>
      <w:pPr>
        <w:ind w:firstLine="480"/>
        <w:jc w:val="left"/>
        <w:spacing w:line="34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4、首次响应文件开启地点：“苏采云”系统（网址：</w:t>
      </w:r>
      <w:r>
        <w:rPr>
          <w:rFonts w:hint="eastAsia" w:ascii="仿宋" w:hAnsi="仿宋" w:eastAsia="仿宋" w:cs="仿宋"/>
          <w:color w:val="auto"/>
          <w:sz w:val="24"/>
          <w:szCs w:val="24"/>
          <w:highlight w:val="none"/>
          <w:lang w:eastAsia="zh-CN"/>
        </w:rPr>
        <w:t xml:space="preserve">https://jszfcg.jsczt.cn/jszc/login</w:t>
      </w:r>
      <w:r>
        <w:rPr>
          <w:rFonts w:hint="eastAsia" w:ascii="仿宋" w:hAnsi="仿宋" w:eastAsia="仿宋" w:cs="仿宋"/>
          <w:color w:val="auto"/>
          <w:sz w:val="24"/>
          <w:szCs w:val="24"/>
          <w:highlight w:val="none"/>
        </w:rPr>
        <w:t xml:space="preserve">）“开标大厅”或进入徐州政府采购网（网址：</w:t>
      </w:r>
      <w:r>
        <w:rPr>
          <w:rFonts w:hint="eastAsia" w:ascii="宋体" w:hAnsi="宋体" w:cs="宋体"/>
          <w:bCs/>
          <w:color w:val="auto"/>
          <w:sz w:val="24"/>
          <w:highlight w:val="none"/>
        </w:rPr>
        <w:t xml:space="preserve">https://czj.xz.gov.cn/zfcg/</w:t>
      </w:r>
      <w:r>
        <w:rPr>
          <w:rFonts w:hint="eastAsia" w:ascii="仿宋" w:hAnsi="仿宋" w:eastAsia="仿宋" w:cs="仿宋"/>
          <w:color w:val="auto"/>
          <w:sz w:val="24"/>
          <w:szCs w:val="24"/>
          <w:highlight w:val="none"/>
        </w:rPr>
        <w:t xml:space="preserve">），点击“苏采云”进入系统“开标大厅”。</w:t>
      </w:r>
      <w:r/>
    </w:p>
    <w:p>
      <w:pPr>
        <w:ind w:firstLine="480"/>
        <w:jc w:val="left"/>
        <w:spacing w:line="34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ind w:firstLine="480"/>
        <w:jc w:val="left"/>
        <w:spacing w:line="34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（四）不接受不按要求加盖公章（电子签章）的首次响应文件。电子签章相关要求见“苏采云”系统。</w:t>
      </w:r>
      <w:r/>
    </w:p>
    <w:p>
      <w:pPr>
        <w:ind w:firstLine="480"/>
        <w:jc w:val="left"/>
        <w:spacing w:line="34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（五）首次响应文件解密：到达开启时间，“苏采云”系统自动提取所有响应文件，供应商按采购文件规定方式按时在线解密。本项目采购文件规定的供应商按时在线解密方式：</w:t>
      </w:r>
      <w:r>
        <w:rPr>
          <w:rFonts w:hint="eastAsia" w:ascii="仿宋" w:hAnsi="仿宋" w:eastAsia="仿宋" w:cs="仿宋"/>
          <w:b/>
          <w:color w:val="auto"/>
          <w:sz w:val="24"/>
          <w:szCs w:val="24"/>
          <w:highlight w:val="none"/>
        </w:rPr>
        <w:t xml:space="preserve">开启后“苏采云”系统提示解密30分钟内，通过“苏采云”系统</w:t>
      </w:r>
      <w:r>
        <w:rPr>
          <w:rFonts w:hint="eastAsia" w:ascii="仿宋" w:hAnsi="仿宋" w:eastAsia="仿宋" w:cs="仿宋"/>
          <w:color w:val="auto"/>
          <w:sz w:val="24"/>
          <w:szCs w:val="24"/>
          <w:highlight w:val="none"/>
        </w:rPr>
        <w:t xml:space="preserve">（使用“CA数字证书”）解密。</w:t>
      </w:r>
      <w:r/>
    </w:p>
    <w:p>
      <w:pPr>
        <w:ind w:firstLine="480"/>
        <w:jc w:val="left"/>
        <w:spacing w:line="34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（六）采购文件（后缀名为“.kedt”）、供应商操作手册及政府采购客户端工具可通过“苏采云”系统（网址：</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Style w:val="862"/>
          <w:rFonts w:hint="eastAsia" w:ascii="仿宋" w:hAnsi="仿宋" w:eastAsia="仿宋" w:cs="仿宋"/>
          <w:color w:val="auto"/>
          <w:sz w:val="24"/>
          <w:szCs w:val="24"/>
          <w:highlight w:val="none"/>
          <w:u w:val="none"/>
          <w:lang w:eastAsia="zh-CN"/>
        </w:rPr>
        <w:t xml:space="preserve">https://jszfcg.jsczt.cn/jszc/login</w:t>
      </w:r>
      <w:r>
        <w:rPr>
          <w:rStyle w:val="862"/>
          <w:rFonts w:hint="eastAsia" w:ascii="仿宋" w:hAnsi="仿宋" w:eastAsia="仿宋" w:cs="仿宋"/>
          <w:color w:val="auto"/>
          <w:sz w:val="24"/>
          <w:szCs w:val="24"/>
          <w:highlight w:val="none"/>
          <w:u w:val="none"/>
        </w:rPr>
        <w:fldChar w:fldCharType="end"/>
      </w:r>
      <w:r>
        <w:rPr>
          <w:rFonts w:hint="eastAsia" w:ascii="仿宋" w:hAnsi="仿宋" w:eastAsia="仿宋" w:cs="仿宋"/>
          <w:color w:val="auto"/>
          <w:sz w:val="24"/>
          <w:szCs w:val="24"/>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jc w:val="left"/>
        <w:spacing w:line="34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（七）相关说明: 供应商在“苏采云”系统中提交首次响应文件的时间即为数据电文（响应文件，下同）的发送时间和接收时间。</w:t>
      </w:r>
      <w:r/>
    </w:p>
    <w:p>
      <w:pPr>
        <w:jc w:val="center"/>
        <w:spacing w:line="360" w:lineRule="auto"/>
        <w:rPr>
          <w:color w:val="auto"/>
          <w:highlight w:val="none"/>
        </w:rPr>
      </w:pPr>
      <w:r>
        <w:rPr>
          <w:rFonts w:hint="eastAsia" w:ascii="仿宋" w:hAnsi="仿宋" w:eastAsia="仿宋" w:cs="仿宋"/>
          <w:b/>
          <w:bCs/>
          <w:color w:val="auto"/>
          <w:sz w:val="24"/>
          <w:szCs w:val="24"/>
          <w:highlight w:val="none"/>
        </w:rPr>
        <w:t xml:space="preserve">第二部分 响应文件组成</w:t>
      </w:r>
      <w:r/>
    </w:p>
    <w:p>
      <w:pPr>
        <w:pStyle w:val="800"/>
        <w:rPr>
          <w:rFonts w:hint="eastAsia"/>
          <w:color w:val="auto"/>
          <w:highlight w:val="none"/>
        </w:rPr>
      </w:pPr>
      <w:r>
        <w:rPr>
          <w:rFonts w:hint="eastAsia"/>
          <w:color w:val="auto"/>
          <w:highlight w:val="none"/>
        </w:rPr>
        <w:t xml:space="preserve">十二、响应文件编制要求，请按照以下要求（包括但不限于以下要求）制作：</w:t>
      </w:r>
      <w:r/>
    </w:p>
    <w:p>
      <w:pPr>
        <w:pStyle w:val="801"/>
        <w:rPr>
          <w:rFonts w:hint="eastAsia"/>
          <w:color w:val="auto"/>
          <w:highlight w:val="none"/>
        </w:rPr>
      </w:pPr>
      <w:r>
        <w:rPr>
          <w:rFonts w:hint="eastAsia"/>
          <w:color w:val="auto"/>
          <w:highlight w:val="none"/>
        </w:rPr>
        <w:t xml:space="preserve">（一）基本目录</w:t>
      </w:r>
      <w:r/>
    </w:p>
    <w:p>
      <w:pPr>
        <w:ind w:firstLine="480"/>
        <w:jc w:val="left"/>
        <w:spacing w:line="348" w:lineRule="auto"/>
        <w:rPr>
          <w:rFonts w:hint="eastAsia"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1、</w:t>
      </w:r>
      <w:r>
        <w:rPr>
          <w:rFonts w:hint="eastAsia" w:ascii="仿宋" w:hAnsi="仿宋" w:eastAsia="仿宋" w:cs="仿宋"/>
          <w:color w:val="auto"/>
          <w:sz w:val="24"/>
          <w:szCs w:val="20"/>
          <w:highlight w:val="none"/>
        </w:rPr>
        <w:t xml:space="preserve">《磋商报价表》（加盖电子签章，格式见磋商文件《响应文件相关格式》或</w:t>
      </w:r>
      <w:r>
        <w:rPr>
          <w:rFonts w:hint="eastAsia" w:ascii="仿宋" w:hAnsi="仿宋" w:eastAsia="仿宋" w:cs="仿宋"/>
          <w:bCs/>
          <w:color w:val="auto"/>
          <w:sz w:val="24"/>
          <w:szCs w:val="20"/>
          <w:highlight w:val="none"/>
        </w:rPr>
        <w:t xml:space="preserve">政府采购客户端工具输入报价自动生成）；</w:t>
      </w:r>
      <w:r/>
    </w:p>
    <w:p>
      <w:pPr>
        <w:ind w:firstLine="480"/>
        <w:jc w:val="left"/>
        <w:spacing w:line="348" w:lineRule="auto"/>
        <w:rPr>
          <w:rFonts w:hint="eastAsia"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2、供应商认为需要提供的其他资料的扫描件（如有）。</w:t>
      </w:r>
      <w:r/>
    </w:p>
    <w:p>
      <w:pPr>
        <w:pStyle w:val="801"/>
        <w:rPr>
          <w:rFonts w:hint="eastAsia"/>
          <w:color w:val="auto"/>
          <w:highlight w:val="none"/>
        </w:rPr>
      </w:pPr>
      <w:r>
        <w:rPr>
          <w:rFonts w:hint="eastAsia"/>
          <w:color w:val="auto"/>
          <w:highlight w:val="none"/>
        </w:rPr>
        <w:t xml:space="preserve">（二）资格审查条件（1-7项必须提供，否则响应无效）</w:t>
      </w:r>
      <w:r/>
    </w:p>
    <w:p>
      <w:pPr>
        <w:pStyle w:val="854"/>
        <w:ind w:firstLine="480"/>
        <w:spacing w:line="348"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1.具有独立承担民事责任的能力，提供供应商合法有效的营业执照扫描件（或事业单位法人证书扫描件，或民办非企业单位登记证书扫描件）；</w:t>
      </w:r>
      <w:r/>
    </w:p>
    <w:p>
      <w:pPr>
        <w:pStyle w:val="854"/>
        <w:ind w:firstLine="480"/>
        <w:spacing w:line="348"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2.财务状况报告（至少提供供应商的本项目开标时间前6个月内任何时间的资产负债表和利润表扫描件各一份；或提供供应商2024年度（或2025年度）经审计的财务报告扫描件一份；或提供供应商的本项目开标时间前6个月内银行出具的资信证明扫描件一份；</w:t>
      </w:r>
      <w:r/>
    </w:p>
    <w:p>
      <w:pPr>
        <w:pStyle w:val="854"/>
        <w:ind w:firstLine="480"/>
        <w:spacing w:line="348"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3.供应商依法缴纳税收和社会保障资金的记录（提供本项目开标时间前6个月内任何1月的依法缴纳税收的相关材料扫描件；和本项目开标时间前6个月内任何1月的依法缴纳社会保障资金的相关材料扫描件）（依法免税或不需要缴纳社会保障资金的供应商,提供相应文件扫描件证明其依法免税或不需要缴纳社会保障资金)；</w:t>
      </w:r>
      <w:r/>
    </w:p>
    <w:p>
      <w:pPr>
        <w:pStyle w:val="854"/>
        <w:ind w:firstLine="480"/>
        <w:spacing w:line="348"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4.具备履行合同所必需的设备和专业技术能力的证明（响应文件中提供《具备履行合同所必需的设备和专业技术能力的书面声明（附证明材料扫描件）》，加盖电子签章，格式见磋商文件《响应文件相关格式》,所附证明材料扫描件可不加盖电子签章）；</w:t>
      </w:r>
      <w:r/>
    </w:p>
    <w:p>
      <w:pPr>
        <w:pStyle w:val="854"/>
        <w:ind w:firstLine="480"/>
        <w:spacing w:line="348"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5.供应商参加政府采购活动前3年内在经营活动中没有重大违法记录的书面声明（加盖电子签章，格式见磋商文件《响应文件相关格式》）；</w:t>
      </w:r>
      <w:r/>
    </w:p>
    <w:p>
      <w:pPr>
        <w:ind w:firstLine="482"/>
        <w:jc w:val="left"/>
        <w:spacing w:line="348" w:lineRule="auto"/>
        <w:rPr>
          <w:rFonts w:hint="eastAsia"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6、本项目特定资格要求：提</w:t>
      </w:r>
      <w:r>
        <w:rPr>
          <w:rFonts w:hint="eastAsia" w:ascii="仿宋" w:hAnsi="仿宋" w:eastAsia="仿宋" w:cs="仿宋"/>
          <w:b/>
          <w:color w:val="auto"/>
          <w:sz w:val="24"/>
          <w:szCs w:val="24"/>
          <w:highlight w:val="none"/>
        </w:rPr>
        <w:t xml:space="preserve">供以下资料扫描件，加盖电子签章。</w:t>
      </w:r>
      <w:r/>
    </w:p>
    <w:p>
      <w:pPr>
        <w:ind w:firstLine="480"/>
        <w:jc w:val="left"/>
        <w:spacing w:line="348" w:lineRule="auto"/>
        <w:rPr>
          <w:rFonts w:hint="eastAsia"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①供应商具有有效的市政公用工程施工总承包叁级（含）以上资质证书；</w:t>
      </w:r>
      <w:r/>
    </w:p>
    <w:p>
      <w:pPr>
        <w:ind w:firstLine="480"/>
        <w:jc w:val="left"/>
        <w:spacing w:line="348" w:lineRule="auto"/>
        <w:rPr>
          <w:rFonts w:hint="eastAsia"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②供应商具有有效的《安全生产许可证》证书；</w:t>
      </w:r>
      <w:r/>
    </w:p>
    <w:p>
      <w:pPr>
        <w:ind w:firstLine="480"/>
        <w:jc w:val="left"/>
        <w:spacing w:line="348" w:lineRule="auto"/>
        <w:rPr>
          <w:rFonts w:hint="eastAsia"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③供应商拟派的项目负责人（注册建造师）须具备市政公用工程专业贰级（含）以上资格证书和《建筑施工企业安全生产考核合格证书》（B证）</w:t>
      </w:r>
      <w:r>
        <w:rPr>
          <w:rFonts w:hint="eastAsia" w:ascii="仿宋" w:hAnsi="仿宋" w:eastAsia="仿宋" w:cs="仿宋"/>
          <w:color w:val="auto"/>
          <w:sz w:val="24"/>
          <w:szCs w:val="24"/>
          <w:highlight w:val="none"/>
        </w:rPr>
        <w:t xml:space="preserve">，且无在建工程(提供无在建承诺书，格式见磋商文件《响应文件相关格式》，加盖电子签章,必须提供)</w:t>
      </w:r>
      <w:r>
        <w:rPr>
          <w:rFonts w:hint="eastAsia" w:ascii="仿宋" w:hAnsi="仿宋" w:eastAsia="仿宋" w:cs="仿宋"/>
          <w:bCs/>
          <w:color w:val="auto"/>
          <w:sz w:val="24"/>
          <w:szCs w:val="20"/>
          <w:highlight w:val="none"/>
        </w:rPr>
        <w:t xml:space="preserve">。</w:t>
      </w:r>
      <w:r/>
    </w:p>
    <w:p>
      <w:pPr>
        <w:ind w:firstLine="480"/>
        <w:jc w:val="left"/>
        <w:spacing w:line="348" w:lineRule="auto"/>
        <w:rPr>
          <w:rFonts w:hint="eastAsia"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7、本项目属于专门面向中小微企业采购的项目，供应商应为中小微企业、监狱企业、残疾人福利性单位。</w:t>
      </w:r>
      <w:r/>
    </w:p>
    <w:p>
      <w:pPr>
        <w:pStyle w:val="854"/>
        <w:spacing w:line="348" w:lineRule="auto"/>
        <w:rPr>
          <w:rFonts w:hint="eastAsia" w:ascii="仿宋" w:hAnsi="仿宋" w:eastAsia="仿宋" w:cs="仿宋"/>
          <w:bCs/>
          <w:color w:val="auto"/>
          <w:szCs w:val="20"/>
          <w:highlight w:val="none"/>
        </w:rPr>
      </w:pPr>
      <w:r>
        <w:rPr>
          <w:rFonts w:hint="eastAsia" w:ascii="仿宋" w:hAnsi="仿宋" w:eastAsia="仿宋" w:cs="仿宋"/>
          <w:bCs/>
          <w:color w:val="auto"/>
          <w:szCs w:val="20"/>
          <w:highlight w:val="none"/>
        </w:rPr>
        <w:t xml:space="preserve">供应商为中小企业（含中型、小型、微型企业，下同）的，</w:t>
      </w:r>
      <w:r>
        <w:rPr>
          <w:rFonts w:hint="eastAsia" w:ascii="仿宋" w:hAnsi="仿宋" w:eastAsia="仿宋" w:cs="仿宋"/>
          <w:b/>
          <w:color w:val="auto"/>
          <w:szCs w:val="20"/>
          <w:highlight w:val="none"/>
        </w:rPr>
        <w:t xml:space="preserve">提供《中小企业声明函》原件（电子签章，填写完整。格式见磋商文件《响应文件相关格式》）</w:t>
      </w:r>
      <w:r>
        <w:rPr>
          <w:rFonts w:hint="eastAsia" w:ascii="仿宋" w:hAnsi="仿宋" w:eastAsia="仿宋" w:cs="仿宋"/>
          <w:bCs/>
          <w:color w:val="auto"/>
          <w:szCs w:val="20"/>
          <w:highlight w:val="none"/>
        </w:rPr>
        <w:t xml:space="preserve">。</w:t>
      </w:r>
      <w:r>
        <w:rPr>
          <w:rFonts w:hint="eastAsia" w:ascii="仿宋" w:hAnsi="仿宋" w:eastAsia="仿宋" w:cs="仿宋"/>
          <w:color w:val="auto"/>
          <w:highlight w:val="none"/>
        </w:rPr>
        <w:t xml:space="preserve">《中小企业声明函》查询渠道用微信搜索“中小企业规模类型自测小程序”。</w:t>
      </w:r>
      <w:r/>
    </w:p>
    <w:p>
      <w:pPr>
        <w:ind w:firstLine="482"/>
        <w:jc w:val="left"/>
        <w:spacing w:line="348" w:lineRule="auto"/>
        <w:rPr>
          <w:rFonts w:hint="eastAsia" w:ascii="仿宋" w:hAnsi="仿宋" w:eastAsia="仿宋" w:cs="仿宋"/>
          <w:color w:val="auto"/>
          <w:sz w:val="24"/>
          <w:highlight w:val="none"/>
        </w:rPr>
      </w:pPr>
      <w:r>
        <w:rPr>
          <w:rFonts w:hint="eastAsia" w:ascii="仿宋" w:hAnsi="仿宋" w:eastAsia="仿宋" w:cs="仿宋"/>
          <w:color w:val="auto"/>
          <w:sz w:val="24"/>
          <w:szCs w:val="20"/>
          <w:highlight w:val="none"/>
        </w:rPr>
        <w:t xml:space="preserve">注：</w:t>
      </w:r>
      <w:r>
        <w:rPr>
          <w:rFonts w:hint="eastAsia" w:ascii="仿宋" w:hAnsi="仿宋" w:eastAsia="仿宋" w:cs="仿宋"/>
          <w:bCs/>
          <w:color w:val="auto"/>
          <w:sz w:val="24"/>
          <w:highlight w:val="none"/>
        </w:rPr>
        <w:t xml:space="preserve">中小微企业</w:t>
      </w:r>
      <w:r>
        <w:rPr>
          <w:rFonts w:hint="eastAsia" w:ascii="仿宋" w:hAnsi="仿宋" w:eastAsia="仿宋" w:cs="仿宋"/>
          <w:color w:val="auto"/>
          <w:sz w:val="24"/>
          <w:highlight w:val="none"/>
        </w:rPr>
        <w:t xml:space="preserve">，应当符合以下条件：</w:t>
      </w:r>
      <w:r/>
    </w:p>
    <w:p>
      <w:pPr>
        <w:ind w:firstLine="480"/>
        <w:spacing w:line="348" w:lineRule="auto"/>
        <w:widowControl w:val="off"/>
        <w:rPr>
          <w:rFonts w:hint="eastAsia" w:ascii="仿宋" w:hAnsi="仿宋" w:eastAsia="仿宋" w:cs="仿宋"/>
          <w:color w:val="auto"/>
          <w:sz w:val="24"/>
          <w:szCs w:val="24"/>
          <w:highlight w:val="none"/>
        </w:rPr>
      </w:pPr>
      <w:r>
        <w:rPr>
          <w:rFonts w:hint="eastAsia" w:ascii="仿宋" w:hAnsi="仿宋" w:eastAsia="仿宋" w:cs="仿宋"/>
          <w:bCs/>
          <w:color w:val="auto"/>
          <w:sz w:val="24"/>
          <w:highlight w:val="none"/>
        </w:rPr>
        <w:t xml:space="preserve">中小企业需满足的条件</w:t>
      </w:r>
      <w:r>
        <w:rPr>
          <w:rFonts w:hint="eastAsia" w:ascii="仿宋" w:hAnsi="仿宋" w:eastAsia="仿宋" w:cs="仿宋"/>
          <w:color w:val="auto"/>
          <w:sz w:val="24"/>
          <w:szCs w:val="24"/>
          <w:highlight w:val="none"/>
        </w:rPr>
        <w:t xml:space="preserve">具体以《政府采购促进中小企业发展管理办法》（财库[2020]46号）和《工业和信息化部、国家统计局、国家发展和改革委员会、财政部关于印发中小企业划型标准规定的通知》（工信部联企业[2011]300号）的规定为准。</w:t>
      </w:r>
      <w:r/>
    </w:p>
    <w:p>
      <w:pPr>
        <w:ind w:firstLine="480"/>
        <w:spacing w:line="34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供应商为监狱企业的，视同小微企业，提供省级以上监狱管理局、戒毒管理局（含新疆生产建设兵团）出具的属于监狱企业的证明文件原件扫描件。具体以《财政部 司法部关于政府采购支持监狱企业发展有关问题的通知》（财库〔2014〕68号）的规定为准。</w:t>
      </w:r>
      <w:r/>
    </w:p>
    <w:p>
      <w:pPr>
        <w:ind w:firstLine="482"/>
        <w:jc w:val="left"/>
        <w:spacing w:line="348" w:lineRule="auto"/>
        <w:rPr>
          <w:rFonts w:hint="eastAsia" w:ascii="仿宋" w:hAnsi="仿宋" w:eastAsia="仿宋" w:cs="仿宋"/>
          <w:color w:val="auto"/>
          <w:sz w:val="24"/>
          <w:szCs w:val="20"/>
          <w:highlight w:val="none"/>
        </w:rPr>
      </w:pPr>
      <w:r>
        <w:rPr>
          <w:rFonts w:hint="eastAsia" w:ascii="仿宋" w:hAnsi="仿宋" w:eastAsia="仿宋" w:cs="仿宋"/>
          <w:color w:val="auto"/>
          <w:sz w:val="24"/>
          <w:szCs w:val="24"/>
          <w:highlight w:val="none"/>
        </w:rPr>
        <w:t xml:space="preserve">供应商为残疾人福利性单位的，视同小微企业，提供《残疾人福利性单位声明函》（加盖电子签章，格式见磋商文件第九章《响应文件相关格式》）。具体以《三部门联合发布关于促进残疾人就业政府采购政策的通知》（财库〔2017〕141号）规定为准</w:t>
      </w:r>
      <w:r>
        <w:rPr>
          <w:rFonts w:hint="eastAsia" w:ascii="仿宋" w:hAnsi="仿宋" w:eastAsia="仿宋" w:cs="仿宋"/>
          <w:color w:val="auto"/>
          <w:sz w:val="24"/>
          <w:szCs w:val="20"/>
          <w:highlight w:val="none"/>
        </w:rPr>
        <w:t xml:space="preserve">。</w:t>
      </w:r>
      <w:r/>
    </w:p>
    <w:p>
      <w:pPr>
        <w:ind w:firstLine="482"/>
        <w:jc w:val="left"/>
        <w:spacing w:line="348" w:lineRule="auto"/>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8、项目不接受联合体参与采购活动。</w:t>
      </w:r>
      <w:r/>
    </w:p>
    <w:p>
      <w:pPr>
        <w:pStyle w:val="801"/>
        <w:rPr>
          <w:rFonts w:hint="eastAsia"/>
          <w:color w:val="auto"/>
          <w:highlight w:val="none"/>
        </w:rPr>
      </w:pPr>
      <w:r>
        <w:rPr>
          <w:rFonts w:hint="eastAsia"/>
          <w:color w:val="auto"/>
          <w:highlight w:val="none"/>
        </w:rPr>
        <w:t xml:space="preserve">（三）符合性审查条件（必须提供，否则响应无效）</w:t>
      </w:r>
      <w:r/>
    </w:p>
    <w:p>
      <w:pPr>
        <w:ind w:firstLine="482"/>
        <w:jc w:val="left"/>
        <w:spacing w:line="34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1、《承诺书》（加盖电子签章，格式见磋商文件《响应文件相关格式》）</w:t>
      </w:r>
      <w:r/>
    </w:p>
    <w:p>
      <w:pPr>
        <w:ind w:firstLine="482"/>
        <w:jc w:val="left"/>
        <w:spacing w:line="34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2、《磋商报价表》（加盖电子签章，格式见磋商文件《响应文件相关格式》）；</w:t>
      </w:r>
      <w:r/>
    </w:p>
    <w:p>
      <w:pPr>
        <w:ind w:firstLine="482"/>
        <w:jc w:val="left"/>
        <w:spacing w:line="34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3、《分项价格表》（具有标价的工程量清单与报价表）（加盖电子签章，格式见磋商文件《响应文件相关格式》）；</w:t>
      </w:r>
      <w:r/>
    </w:p>
    <w:p>
      <w:pPr>
        <w:ind w:firstLine="482"/>
        <w:jc w:val="left"/>
        <w:spacing w:line="34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4、《偏离表》（必须提供，否则响应无效）（加盖电子签章，格式见磋商文件《响应文件相关格式》）；</w:t>
      </w:r>
      <w:r/>
    </w:p>
    <w:p>
      <w:pPr>
        <w:ind w:firstLine="482"/>
        <w:jc w:val="left"/>
        <w:spacing w:line="34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5、《授权委托书》（加盖电子签章，格式见磋商文件《响应文件相关格式》）；</w:t>
      </w:r>
      <w:r/>
    </w:p>
    <w:p>
      <w:pPr>
        <w:ind w:firstLine="482"/>
        <w:jc w:val="left"/>
        <w:spacing w:line="34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6、《主要材料（设备）一览表》（加盖电子签章，格式见磋商文件《响应文件相关格式》）。</w:t>
      </w:r>
      <w:r/>
    </w:p>
    <w:p>
      <w:pPr>
        <w:pStyle w:val="801"/>
        <w:rPr>
          <w:rFonts w:hint="eastAsia"/>
          <w:color w:val="auto"/>
          <w:highlight w:val="none"/>
        </w:rPr>
      </w:pPr>
      <w:r>
        <w:rPr>
          <w:rFonts w:hint="eastAsia"/>
          <w:color w:val="auto"/>
          <w:highlight w:val="none"/>
        </w:rPr>
        <w:t xml:space="preserve">（四）综合评审评分项</w:t>
      </w:r>
      <w:r/>
    </w:p>
    <w:p>
      <w:pPr>
        <w:ind w:firstLine="422"/>
        <w:jc w:val="left"/>
        <w:spacing w:line="34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1、技术部分：</w:t>
      </w:r>
      <w:r/>
    </w:p>
    <w:p>
      <w:pPr>
        <w:ind w:firstLine="422"/>
        <w:jc w:val="left"/>
        <w:spacing w:line="34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要求见《磋商文件》第七章《评分细则》及第八章《项目要求（采购需求）》</w:t>
      </w:r>
      <w:r/>
    </w:p>
    <w:p>
      <w:pPr>
        <w:ind w:firstLine="422"/>
        <w:jc w:val="left"/>
        <w:spacing w:line="34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2、商务部分：要求见《磋商文件》第七章《评分细则》；</w:t>
      </w:r>
      <w:r/>
    </w:p>
    <w:p>
      <w:pPr>
        <w:pStyle w:val="801"/>
        <w:rPr>
          <w:rFonts w:hint="eastAsia" w:cs="仿宋"/>
          <w:color w:val="auto"/>
          <w:szCs w:val="24"/>
          <w:highlight w:val="none"/>
        </w:rPr>
      </w:pPr>
      <w:r>
        <w:rPr>
          <w:rFonts w:hint="eastAsia" w:cs="仿宋"/>
          <w:bCs/>
          <w:color w:val="auto"/>
          <w:szCs w:val="24"/>
          <w:highlight w:val="none"/>
        </w:rPr>
        <w:t xml:space="preserve">（五）价格折扣文件</w:t>
      </w:r>
      <w:r>
        <w:rPr>
          <w:rFonts w:hint="eastAsia" w:cs="仿宋"/>
          <w:color w:val="auto"/>
          <w:szCs w:val="24"/>
          <w:highlight w:val="none"/>
        </w:rPr>
        <w:t xml:space="preserve">：无。</w:t>
      </w:r>
      <w:r>
        <w:rPr>
          <w:rFonts w:hint="eastAsia" w:ascii="宋体" w:hAnsi="宋体"/>
          <w:color w:val="auto"/>
          <w:highlight w:val="none"/>
        </w:rPr>
        <w:t xml:space="preserve">本项目属于专门面向中小企业采购的项目，评审时不再执行价格评审优惠政策。</w:t>
      </w:r>
      <w:r/>
    </w:p>
    <w:p>
      <w:pPr>
        <w:pStyle w:val="800"/>
        <w:rPr>
          <w:rFonts w:hint="eastAsia"/>
          <w:color w:val="auto"/>
          <w:highlight w:val="none"/>
        </w:rPr>
      </w:pPr>
      <w:r>
        <w:rPr>
          <w:rFonts w:hint="eastAsia"/>
          <w:color w:val="auto"/>
          <w:highlight w:val="none"/>
        </w:rPr>
        <w:t xml:space="preserve">十三、提交的首次响应文件的密封、签署、盖章要求：</w:t>
      </w:r>
      <w:r/>
    </w:p>
    <w:p>
      <w:pPr>
        <w:ind w:firstLine="482"/>
        <w:jc w:val="left"/>
        <w:spacing w:line="348"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1、密封（加密）要求：</w:t>
      </w:r>
      <w:r/>
    </w:p>
    <w:p>
      <w:pPr>
        <w:ind w:firstLine="480"/>
        <w:jc w:val="left"/>
        <w:spacing w:line="348"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ind w:firstLine="482"/>
        <w:jc w:val="left"/>
        <w:spacing w:line="348" w:lineRule="auto"/>
        <w:rPr>
          <w:rFonts w:hint="eastAsia" w:ascii="仿宋" w:hAnsi="仿宋" w:eastAsia="仿宋" w:cs="仿宋"/>
          <w:bCs/>
          <w:color w:val="auto"/>
          <w:sz w:val="24"/>
          <w:szCs w:val="24"/>
          <w:highlight w:val="none"/>
        </w:rPr>
      </w:pPr>
      <w:r>
        <w:rPr>
          <w:rFonts w:hint="eastAsia" w:ascii="仿宋" w:hAnsi="仿宋" w:eastAsia="仿宋" w:cs="仿宋"/>
          <w:b/>
          <w:color w:val="auto"/>
          <w:sz w:val="24"/>
          <w:szCs w:val="24"/>
          <w:highlight w:val="none"/>
        </w:rPr>
        <w:t xml:space="preserve">2、签署要求：</w:t>
      </w:r>
      <w:r>
        <w:rPr>
          <w:rFonts w:hint="eastAsia" w:ascii="仿宋" w:hAnsi="仿宋" w:eastAsia="仿宋" w:cs="仿宋"/>
          <w:bCs/>
          <w:color w:val="auto"/>
          <w:sz w:val="24"/>
          <w:szCs w:val="24"/>
          <w:highlight w:val="none"/>
        </w:rPr>
        <w:t xml:space="preserve">见《磋商文件》第九章</w:t>
      </w:r>
      <w:r>
        <w:rPr>
          <w:rFonts w:hint="eastAsia" w:ascii="仿宋" w:hAnsi="仿宋" w:eastAsia="仿宋" w:cs="仿宋"/>
          <w:color w:val="auto"/>
          <w:sz w:val="24"/>
          <w:szCs w:val="24"/>
          <w:highlight w:val="none"/>
        </w:rPr>
        <w:t xml:space="preserve">《响应文件相关格式》</w:t>
      </w:r>
      <w:r>
        <w:rPr>
          <w:rFonts w:hint="eastAsia" w:ascii="仿宋" w:hAnsi="仿宋" w:eastAsia="仿宋" w:cs="仿宋"/>
          <w:bCs/>
          <w:color w:val="auto"/>
          <w:sz w:val="24"/>
          <w:szCs w:val="24"/>
          <w:highlight w:val="none"/>
        </w:rPr>
        <w:t xml:space="preserve">中相关格式要求。</w:t>
      </w:r>
      <w:r/>
    </w:p>
    <w:p>
      <w:pPr>
        <w:pStyle w:val="822"/>
        <w:jc w:val="left"/>
        <w:spacing w:line="348"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特别提醒：竞争性磋商文件中如需</w:t>
      </w:r>
      <w:r>
        <w:rPr>
          <w:rStyle w:val="1097"/>
          <w:rFonts w:hint="eastAsia" w:ascii="仿宋" w:hAnsi="仿宋" w:eastAsia="仿宋" w:cs="仿宋"/>
          <w:b/>
          <w:bCs/>
          <w:color w:val="auto"/>
          <w:highlight w:val="none"/>
        </w:rPr>
        <w:t xml:space="preserve">法定代表人（签字或盖章）或受托人（签字或盖章），</w:t>
      </w:r>
      <w:r>
        <w:rPr>
          <w:rFonts w:hint="eastAsia" w:ascii="仿宋" w:hAnsi="仿宋" w:eastAsia="仿宋" w:cs="仿宋"/>
          <w:b/>
          <w:bCs/>
          <w:color w:val="auto"/>
          <w:sz w:val="24"/>
          <w:szCs w:val="24"/>
          <w:highlight w:val="none"/>
        </w:rPr>
        <w:t xml:space="preserve">供应商应打印成文档，签字或盖章后再扫描上传，最后再电子签章。</w:t>
      </w:r>
      <w:r/>
    </w:p>
    <w:p>
      <w:pPr>
        <w:ind w:firstLine="482"/>
        <w:jc w:val="left"/>
        <w:spacing w:line="348" w:lineRule="auto"/>
        <w:rPr>
          <w:rFonts w:hint="eastAsia" w:ascii="仿宋" w:hAnsi="仿宋" w:eastAsia="仿宋" w:cs="仿宋"/>
          <w:bCs/>
          <w:color w:val="auto"/>
          <w:sz w:val="24"/>
          <w:szCs w:val="24"/>
          <w:highlight w:val="none"/>
        </w:rPr>
      </w:pPr>
      <w:r>
        <w:rPr>
          <w:rFonts w:hint="eastAsia" w:ascii="仿宋" w:hAnsi="仿宋" w:eastAsia="仿宋" w:cs="仿宋"/>
          <w:b/>
          <w:color w:val="auto"/>
          <w:sz w:val="24"/>
          <w:szCs w:val="24"/>
          <w:highlight w:val="none"/>
        </w:rPr>
        <w:t xml:space="preserve">3、盖章要求：</w:t>
      </w:r>
      <w:r>
        <w:rPr>
          <w:rFonts w:hint="eastAsia" w:ascii="仿宋" w:hAnsi="仿宋" w:eastAsia="仿宋" w:cs="仿宋"/>
          <w:bCs/>
          <w:color w:val="auto"/>
          <w:sz w:val="24"/>
          <w:szCs w:val="24"/>
          <w:highlight w:val="none"/>
        </w:rPr>
        <w:t xml:space="preserve">见《磋商文件》第九章附件中相关格式要求。供应商须通过“苏采云”系统提供的政府采购客户端工具（使用“CA数字证书”）加盖电子签章。</w:t>
      </w:r>
      <w:r/>
    </w:p>
    <w:p>
      <w:pPr>
        <w:ind w:firstLine="482"/>
        <w:jc w:val="left"/>
        <w:spacing w:line="348"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4、说明：通过“苏采云”系统提交政府采购客户端工具导出加密的响应文件（后缀名为zip）。响应文件不得超</w:t>
      </w:r>
      <w:r>
        <w:rPr>
          <w:rFonts w:hint="eastAsia" w:ascii="仿宋" w:hAnsi="仿宋" w:eastAsia="仿宋" w:cs="仿宋"/>
          <w:b/>
          <w:bCs/>
          <w:color w:val="auto"/>
          <w:sz w:val="24"/>
          <w:szCs w:val="24"/>
          <w:highlight w:val="none"/>
        </w:rPr>
        <w:t xml:space="preserve">过150M！（以系统为准） </w:t>
      </w:r>
      <w:r/>
    </w:p>
    <w:p>
      <w:pPr>
        <w:ind w:firstLine="482"/>
        <w:jc w:val="left"/>
        <w:spacing w:line="348"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5、特别说明：</w:t>
      </w:r>
      <w:r/>
    </w:p>
    <w:p>
      <w:pPr>
        <w:ind w:firstLine="480"/>
        <w:jc w:val="left"/>
        <w:spacing w:line="348"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5.1供应商应当按照《磋商文件》的要求编制响应文件，并对其提交的响应文件的真实性、合法性承担法律责任。</w:t>
      </w:r>
      <w:r/>
    </w:p>
    <w:p>
      <w:pPr>
        <w:ind w:firstLine="480"/>
        <w:jc w:val="left"/>
        <w:spacing w:line="348"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5.2供应商中标（成交）后，须向代理机构提供</w:t>
      </w:r>
      <w:bookmarkStart w:id="6" w:name="_Hlk105221193"/>
      <w:r>
        <w:rPr>
          <w:rFonts w:hint="eastAsia" w:ascii="仿宋" w:hAnsi="仿宋" w:eastAsia="仿宋" w:cs="仿宋"/>
          <w:bCs/>
          <w:color w:val="auto"/>
          <w:sz w:val="24"/>
          <w:szCs w:val="24"/>
          <w:highlight w:val="none"/>
        </w:rPr>
        <w:t xml:space="preserve">纸质版响应文件一正四副及电子响应文件2份（U盘）</w:t>
      </w:r>
      <w:bookmarkEnd w:id="6"/>
      <w:r>
        <w:rPr>
          <w:rFonts w:hint="eastAsia" w:ascii="仿宋" w:hAnsi="仿宋" w:eastAsia="仿宋" w:cs="仿宋"/>
          <w:bCs/>
          <w:color w:val="auto"/>
          <w:sz w:val="24"/>
          <w:szCs w:val="24"/>
          <w:highlight w:val="none"/>
        </w:rPr>
        <w:t xml:space="preserve">。采购人索取成交供应商的响应文件，须在双方签订政府采购合同后，由采购代理机构提供给采购人。</w:t>
      </w:r>
      <w:r/>
    </w:p>
    <w:p>
      <w:pPr>
        <w:pStyle w:val="799"/>
        <w:rPr>
          <w:color w:val="auto"/>
          <w:highlight w:val="none"/>
        </w:rPr>
      </w:pPr>
      <w:r/>
      <w:bookmarkStart w:id="7" w:name="_Toc11675"/>
      <w:r/>
      <w:bookmarkStart w:id="8" w:name="_Toc18823"/>
      <w:r/>
      <w:bookmarkStart w:id="9" w:name="_Toc80122285"/>
      <w:r>
        <w:rPr>
          <w:rFonts w:hint="eastAsia"/>
          <w:color w:val="auto"/>
          <w:highlight w:val="none"/>
        </w:rPr>
        <w:t xml:space="preserve">第三章 磋商相关说明</w:t>
      </w:r>
      <w:bookmarkEnd w:id="7"/>
      <w:r/>
      <w:bookmarkEnd w:id="8"/>
      <w:r/>
      <w:bookmarkEnd w:id="9"/>
      <w:r/>
      <w:r/>
    </w:p>
    <w:p>
      <w:pPr>
        <w:pStyle w:val="800"/>
        <w:rPr>
          <w:rFonts w:hint="eastAsia"/>
          <w:color w:val="auto"/>
          <w:highlight w:val="none"/>
        </w:rPr>
      </w:pPr>
      <w:r>
        <w:rPr>
          <w:rFonts w:hint="eastAsia"/>
          <w:color w:val="auto"/>
          <w:highlight w:val="none"/>
        </w:rPr>
        <w:t xml:space="preserve">十四、磋商程序</w:t>
      </w:r>
      <w:r/>
    </w:p>
    <w:p>
      <w:pPr>
        <w:ind w:firstLine="482"/>
        <w:jc w:val="left"/>
        <w:spacing w:line="34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（一）磋商要求</w:t>
      </w:r>
      <w:r/>
    </w:p>
    <w:p>
      <w:pPr>
        <w:ind w:firstLine="482"/>
        <w:jc w:val="left"/>
        <w:spacing w:line="34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1、被邀请参与磋商的供应商需按本竞争性磋商文件要求的截止时间、方式（地点）提交首次响应文件，同时派人通过“苏采云”系统在“开标大厅”等待磋商。</w:t>
      </w:r>
      <w:r/>
    </w:p>
    <w:p>
      <w:pPr>
        <w:ind w:firstLine="482"/>
        <w:jc w:val="left"/>
        <w:spacing w:line="34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2、供应商可通过CA数字证书，在首次响应文件开启时间后，使用CA数字证书在规定时间内解密各自响应文件。</w:t>
      </w:r>
      <w:r/>
    </w:p>
    <w:p>
      <w:pPr>
        <w:ind w:firstLine="482"/>
        <w:jc w:val="left"/>
        <w:spacing w:line="34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3、磋商顺序按照电子标书解密先后时间进行，解密时间相同的，不分先后顺序。</w:t>
      </w:r>
      <w:r/>
    </w:p>
    <w:p>
      <w:pPr>
        <w:ind w:firstLine="482"/>
        <w:spacing w:line="348" w:lineRule="auto"/>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4、</w:t>
      </w:r>
      <w:r>
        <w:rPr>
          <w:rFonts w:hint="eastAsia" w:ascii="仿宋" w:hAnsi="仿宋" w:eastAsia="仿宋" w:cs="仿宋"/>
          <w:b/>
          <w:bCs/>
          <w:color w:val="auto"/>
          <w:sz w:val="24"/>
          <w:szCs w:val="24"/>
          <w:highlight w:val="none"/>
        </w:rPr>
        <w:t xml:space="preserve">磋商方式：本次磋商采用“苏采云”系统中的视频会议，供应商自行选择任意地点参加远程磋商会议。供应商授权的磋商人员需携带授权委托书原件及身份证原件，经磋商小组核查后参与磋商活动。</w:t>
      </w:r>
      <w:r/>
    </w:p>
    <w:p>
      <w:pPr>
        <w:ind w:firstLine="482"/>
        <w:spacing w:line="348" w:lineRule="auto"/>
        <w:rPr>
          <w:rFonts w:hint="eastAsia" w:ascii="仿宋" w:hAnsi="仿宋" w:eastAsia="仿宋" w:cs="仿宋"/>
          <w:b/>
          <w:color w:val="auto"/>
          <w:sz w:val="24"/>
          <w:szCs w:val="24"/>
          <w:highlight w:val="none"/>
        </w:rPr>
      </w:pPr>
      <w:r>
        <w:rPr>
          <w:rFonts w:hint="eastAsia" w:ascii="仿宋" w:hAnsi="仿宋" w:eastAsia="仿宋" w:cs="仿宋"/>
          <w:b/>
          <w:bCs/>
          <w:color w:val="auto"/>
          <w:sz w:val="24"/>
          <w:szCs w:val="24"/>
          <w:highlight w:val="none"/>
        </w:rPr>
        <w:t xml:space="preserve">特别提醒:请供应商务必在磋商前等候在开标大厅，随时接听磋商小组发出的磋商视频邀请（所有邀请等待时间为2分钟，2</w:t>
      </w:r>
      <w:r>
        <w:rPr>
          <w:rFonts w:hint="eastAsia" w:ascii="仿宋" w:hAnsi="仿宋" w:eastAsia="仿宋" w:cs="仿宋"/>
          <w:b/>
          <w:color w:val="auto"/>
          <w:sz w:val="24"/>
          <w:szCs w:val="24"/>
          <w:highlight w:val="none"/>
        </w:rPr>
        <w:t xml:space="preserve">分钟内所邀请供应商无响应，视同放弃磋商的权利，由解密顺序下一家进行磋商，不再后补）</w:t>
      </w:r>
      <w:r>
        <w:rPr>
          <w:rFonts w:hint="eastAsia" w:ascii="仿宋" w:hAnsi="仿宋" w:eastAsia="仿宋" w:cs="仿宋"/>
          <w:color w:val="auto"/>
          <w:sz w:val="24"/>
          <w:szCs w:val="24"/>
          <w:highlight w:val="none"/>
        </w:rPr>
        <w:t xml:space="preserve">。</w:t>
      </w:r>
      <w:r/>
    </w:p>
    <w:p>
      <w:pPr>
        <w:ind w:firstLine="482"/>
        <w:jc w:val="left"/>
        <w:spacing w:line="34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5、未在规定时间内进行答疑澄清的，视同放弃澄清。</w:t>
      </w:r>
      <w:r/>
    </w:p>
    <w:p>
      <w:pPr>
        <w:ind w:firstLine="482"/>
        <w:jc w:val="left"/>
        <w:spacing w:line="348" w:lineRule="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6、未在规定时间内进行报价的，视为响应无效。</w:t>
      </w:r>
      <w:r/>
    </w:p>
    <w:p>
      <w:pPr>
        <w:ind w:firstLine="482"/>
        <w:jc w:val="left"/>
        <w:spacing w:line="34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7、被邀请参与磋商的供应商如未按上述磋商要求执行，视同放弃磋商的权利。</w:t>
      </w:r>
      <w:r/>
    </w:p>
    <w:p>
      <w:pPr>
        <w:ind w:firstLine="482"/>
        <w:jc w:val="left"/>
        <w:spacing w:line="348"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特别提醒:各供应商在未进行第二次报价前，请不要离开开标系统，随时接受评标委员会提出的二次报价，因供应商未能及时二次报价而引起的废标及损失，由供应商负责。</w:t>
      </w:r>
      <w:r/>
    </w:p>
    <w:p>
      <w:pPr>
        <w:pStyle w:val="822"/>
        <w:ind w:firstLine="240"/>
        <w:jc w:val="left"/>
        <w:spacing w:line="348" w:lineRule="auto"/>
        <w:widowControl w:val="off"/>
        <w:rPr>
          <w:rStyle w:val="1097"/>
          <w:rFonts w:hint="eastAsia" w:ascii="仿宋" w:hAnsi="仿宋" w:eastAsia="仿宋" w:cs="仿宋"/>
          <w:color w:val="auto"/>
          <w:szCs w:val="24"/>
          <w:highlight w:val="none"/>
        </w:rPr>
      </w:pPr>
      <w:r>
        <w:rPr>
          <w:rFonts w:hint="eastAsia" w:ascii="仿宋" w:hAnsi="仿宋" w:eastAsia="仿宋" w:cs="仿宋"/>
          <w:color w:val="auto"/>
          <w:sz w:val="24"/>
          <w:szCs w:val="24"/>
          <w:highlight w:val="none"/>
        </w:rPr>
        <w:t xml:space="preserve">（二）</w:t>
      </w:r>
      <w:r>
        <w:rPr>
          <w:rStyle w:val="1097"/>
          <w:rFonts w:hint="eastAsia" w:ascii="仿宋" w:hAnsi="仿宋" w:eastAsia="仿宋" w:cs="仿宋"/>
          <w:color w:val="auto"/>
          <w:szCs w:val="24"/>
          <w:highlight w:val="none"/>
        </w:rPr>
        <w:t xml:space="preserve">查询及使用供应商信用记录：</w:t>
      </w:r>
      <w:r/>
    </w:p>
    <w:p>
      <w:pPr>
        <w:pStyle w:val="822"/>
        <w:ind w:firstLine="480"/>
        <w:jc w:val="left"/>
        <w:spacing w:line="348" w:lineRule="auto"/>
        <w:widowControl w:val="off"/>
        <w:rPr>
          <w:rStyle w:val="1097"/>
          <w:rFonts w:hint="eastAsia" w:ascii="仿宋" w:hAnsi="仿宋" w:eastAsia="仿宋" w:cs="仿宋"/>
          <w:color w:val="auto"/>
          <w:szCs w:val="24"/>
          <w:highlight w:val="none"/>
        </w:rPr>
      </w:pPr>
      <w:r>
        <w:rPr>
          <w:rStyle w:val="1097"/>
          <w:rFonts w:hint="eastAsia" w:ascii="仿宋" w:hAnsi="仿宋" w:eastAsia="仿宋" w:cs="仿宋"/>
          <w:color w:val="auto"/>
          <w:szCs w:val="24"/>
          <w:highlight w:val="none"/>
        </w:rPr>
        <w:t xml:space="preserve">⑴由采购人查询信用信息。</w:t>
      </w:r>
      <w:r/>
    </w:p>
    <w:p>
      <w:pPr>
        <w:pStyle w:val="822"/>
        <w:ind w:firstLine="480"/>
        <w:jc w:val="left"/>
        <w:spacing w:line="348" w:lineRule="auto"/>
        <w:widowControl w:val="off"/>
        <w:rPr>
          <w:rStyle w:val="1097"/>
          <w:rFonts w:hint="eastAsia" w:ascii="仿宋" w:hAnsi="仿宋" w:eastAsia="仿宋" w:cs="仿宋"/>
          <w:color w:val="auto"/>
          <w:szCs w:val="24"/>
          <w:highlight w:val="none"/>
        </w:rPr>
      </w:pPr>
      <w:r>
        <w:rPr>
          <w:rStyle w:val="1097"/>
          <w:rFonts w:hint="eastAsia" w:ascii="仿宋" w:hAnsi="仿宋" w:eastAsia="仿宋" w:cs="仿宋"/>
          <w:color w:val="auto"/>
          <w:szCs w:val="24"/>
          <w:highlight w:val="none"/>
        </w:rPr>
        <w:t xml:space="preserve">⑵查询渠道包括：</w:t>
      </w:r>
      <w:r/>
    </w:p>
    <w:p>
      <w:pPr>
        <w:pStyle w:val="822"/>
        <w:ind w:firstLine="480"/>
        <w:jc w:val="left"/>
        <w:spacing w:line="348" w:lineRule="auto"/>
        <w:widowControl w:val="off"/>
        <w:rPr>
          <w:rStyle w:val="1097"/>
          <w:rFonts w:hint="eastAsia" w:ascii="仿宋" w:hAnsi="仿宋" w:eastAsia="仿宋" w:cs="仿宋"/>
          <w:color w:val="auto"/>
          <w:szCs w:val="24"/>
          <w:highlight w:val="none"/>
        </w:rPr>
      </w:pPr>
      <w:r>
        <w:rPr>
          <w:rStyle w:val="1097"/>
          <w:rFonts w:hint="eastAsia" w:ascii="仿宋" w:hAnsi="仿宋" w:eastAsia="仿宋" w:cs="仿宋"/>
          <w:color w:val="auto"/>
          <w:szCs w:val="24"/>
          <w:highlight w:val="none"/>
        </w:rPr>
        <w:t xml:space="preserve">①“信用中国”网（www.creditchina.gov.cn）；</w:t>
      </w:r>
      <w:r/>
    </w:p>
    <w:p>
      <w:pPr>
        <w:pStyle w:val="822"/>
        <w:ind w:firstLine="480"/>
        <w:jc w:val="left"/>
        <w:spacing w:line="348" w:lineRule="auto"/>
        <w:widowControl w:val="off"/>
        <w:rPr>
          <w:rStyle w:val="1097"/>
          <w:rFonts w:hint="eastAsia" w:ascii="仿宋" w:hAnsi="仿宋" w:eastAsia="仿宋" w:cs="仿宋"/>
          <w:color w:val="auto"/>
          <w:szCs w:val="24"/>
          <w:highlight w:val="none"/>
        </w:rPr>
      </w:pPr>
      <w:r>
        <w:rPr>
          <w:rStyle w:val="1097"/>
          <w:rFonts w:hint="eastAsia" w:ascii="仿宋" w:hAnsi="仿宋" w:eastAsia="仿宋" w:cs="仿宋"/>
          <w:color w:val="auto"/>
          <w:szCs w:val="24"/>
          <w:highlight w:val="none"/>
        </w:rPr>
        <w:t xml:space="preserve">②中国政府采购网（www.ccgp.gov.cn）；</w:t>
      </w:r>
      <w:r/>
    </w:p>
    <w:p>
      <w:pPr>
        <w:pStyle w:val="822"/>
        <w:ind w:firstLine="480"/>
        <w:jc w:val="left"/>
        <w:spacing w:line="348" w:lineRule="auto"/>
        <w:widowControl w:val="off"/>
        <w:rPr>
          <w:rStyle w:val="1097"/>
          <w:rFonts w:hint="eastAsia" w:ascii="仿宋" w:hAnsi="仿宋" w:eastAsia="仿宋" w:cs="仿宋"/>
          <w:color w:val="auto"/>
          <w:szCs w:val="24"/>
          <w:highlight w:val="none"/>
        </w:rPr>
      </w:pPr>
      <w:r>
        <w:rPr>
          <w:rStyle w:val="1097"/>
          <w:rFonts w:hint="eastAsia" w:ascii="仿宋" w:hAnsi="仿宋" w:eastAsia="仿宋" w:cs="仿宋"/>
          <w:color w:val="auto"/>
          <w:szCs w:val="24"/>
          <w:highlight w:val="none"/>
        </w:rPr>
        <w:t xml:space="preserve">③“信用江苏”网（http://www.jscredit.gov.cn/）；</w:t>
      </w:r>
      <w:r/>
    </w:p>
    <w:p>
      <w:pPr>
        <w:pStyle w:val="822"/>
        <w:ind w:firstLine="480"/>
        <w:jc w:val="left"/>
        <w:spacing w:line="348" w:lineRule="auto"/>
        <w:widowControl w:val="off"/>
        <w:rPr>
          <w:rStyle w:val="1097"/>
          <w:rFonts w:hint="eastAsia" w:ascii="仿宋" w:hAnsi="仿宋" w:eastAsia="仿宋" w:cs="仿宋"/>
          <w:color w:val="auto"/>
          <w:szCs w:val="24"/>
          <w:highlight w:val="none"/>
        </w:rPr>
      </w:pPr>
      <w:r>
        <w:rPr>
          <w:rStyle w:val="1097"/>
          <w:rFonts w:hint="eastAsia" w:ascii="仿宋" w:hAnsi="仿宋" w:eastAsia="仿宋" w:cs="仿宋"/>
          <w:color w:val="auto"/>
          <w:szCs w:val="24"/>
          <w:highlight w:val="none"/>
        </w:rPr>
        <w:t xml:space="preserve">④“信用中国（江苏徐州）”网（ http://</w:t>
      </w:r>
      <w:r>
        <w:rPr>
          <w:color w:val="auto"/>
          <w:highlight w:val="none"/>
        </w:rPr>
        <w:fldChar w:fldCharType="begin"/>
      </w:r>
      <w:r>
        <w:rPr>
          <w:color w:val="auto"/>
          <w:highlight w:val="none"/>
        </w:rPr>
        <w:instrText xml:space="preserve"> HYPERLINK "http://www.xuzhoucredit.gov.cn）。" </w:instrText>
      </w:r>
      <w:r>
        <w:rPr>
          <w:color w:val="auto"/>
          <w:highlight w:val="none"/>
        </w:rPr>
        <w:fldChar w:fldCharType="separate"/>
      </w:r>
      <w:r>
        <w:rPr>
          <w:rStyle w:val="1097"/>
          <w:rFonts w:hint="eastAsia" w:ascii="仿宋" w:hAnsi="仿宋" w:eastAsia="仿宋" w:cs="仿宋"/>
          <w:color w:val="auto"/>
          <w:szCs w:val="24"/>
          <w:highlight w:val="none"/>
        </w:rPr>
        <w:t xml:space="preserve">www.xuzhoucredit.gov.cn）。</w:t>
      </w:r>
      <w:r>
        <w:rPr>
          <w:rStyle w:val="1097"/>
          <w:rFonts w:hint="eastAsia" w:ascii="仿宋" w:hAnsi="仿宋" w:eastAsia="仿宋" w:cs="仿宋"/>
          <w:color w:val="auto"/>
          <w:szCs w:val="24"/>
          <w:highlight w:val="none"/>
        </w:rPr>
        <w:fldChar w:fldCharType="end"/>
      </w:r>
      <w:r/>
    </w:p>
    <w:p>
      <w:pPr>
        <w:pStyle w:val="822"/>
        <w:ind w:firstLine="480"/>
        <w:jc w:val="left"/>
        <w:spacing w:line="348" w:lineRule="auto"/>
        <w:widowControl w:val="off"/>
        <w:rPr>
          <w:rStyle w:val="1097"/>
          <w:rFonts w:hint="eastAsia" w:ascii="仿宋" w:hAnsi="仿宋" w:eastAsia="仿宋" w:cs="仿宋"/>
          <w:color w:val="auto"/>
          <w:szCs w:val="24"/>
          <w:highlight w:val="none"/>
        </w:rPr>
      </w:pPr>
      <w:r>
        <w:rPr>
          <w:rStyle w:val="1097"/>
          <w:rFonts w:hint="eastAsia" w:ascii="仿宋" w:hAnsi="仿宋" w:eastAsia="仿宋" w:cs="仿宋"/>
          <w:color w:val="auto"/>
          <w:szCs w:val="24"/>
          <w:highlight w:val="none"/>
        </w:rPr>
        <w:t xml:space="preserve">⑶截止时点（查询环节）：首次响应文件开启后资格审查结束前。</w:t>
      </w:r>
      <w:r/>
    </w:p>
    <w:p>
      <w:pPr>
        <w:pStyle w:val="822"/>
        <w:ind w:firstLine="480"/>
        <w:jc w:val="left"/>
        <w:spacing w:line="348" w:lineRule="auto"/>
        <w:widowControl w:val="off"/>
        <w:rPr>
          <w:rStyle w:val="1097"/>
          <w:rFonts w:hint="eastAsia" w:ascii="仿宋" w:hAnsi="仿宋" w:eastAsia="仿宋" w:cs="仿宋"/>
          <w:color w:val="auto"/>
          <w:szCs w:val="24"/>
          <w:highlight w:val="none"/>
        </w:rPr>
      </w:pPr>
      <w:r>
        <w:rPr>
          <w:rStyle w:val="1097"/>
          <w:rFonts w:hint="eastAsia" w:ascii="仿宋" w:hAnsi="仿宋" w:eastAsia="仿宋" w:cs="仿宋"/>
          <w:color w:val="auto"/>
          <w:szCs w:val="24"/>
          <w:highlight w:val="none"/>
        </w:rPr>
        <w:t xml:space="preserve">⑷信用信息查询记录和证据留存的具体方式：网页截屏打印，与其他采购文件一并保存。</w:t>
      </w:r>
      <w:r/>
    </w:p>
    <w:p>
      <w:pPr>
        <w:pStyle w:val="822"/>
        <w:ind w:firstLine="480"/>
        <w:jc w:val="left"/>
        <w:spacing w:line="348" w:lineRule="auto"/>
        <w:widowControl w:val="off"/>
        <w:rPr>
          <w:rStyle w:val="1097"/>
          <w:rFonts w:hint="eastAsia" w:ascii="仿宋" w:hAnsi="仿宋" w:eastAsia="仿宋" w:cs="仿宋"/>
          <w:color w:val="auto"/>
          <w:szCs w:val="24"/>
          <w:highlight w:val="none"/>
        </w:rPr>
      </w:pPr>
      <w:r>
        <w:rPr>
          <w:rStyle w:val="1097"/>
          <w:rFonts w:hint="eastAsia" w:ascii="仿宋" w:hAnsi="仿宋" w:eastAsia="仿宋" w:cs="仿宋"/>
          <w:color w:val="auto"/>
          <w:szCs w:val="24"/>
          <w:highlight w:val="none"/>
        </w:rPr>
        <w:t xml:space="preserve">⑸信用信息的使用规则：</w:t>
      </w:r>
      <w:r/>
    </w:p>
    <w:p>
      <w:pPr>
        <w:pStyle w:val="822"/>
        <w:ind w:firstLine="480"/>
        <w:jc w:val="left"/>
        <w:spacing w:line="348" w:lineRule="auto"/>
        <w:widowControl w:val="off"/>
        <w:rPr>
          <w:rStyle w:val="1097"/>
          <w:rFonts w:hint="eastAsia" w:ascii="仿宋" w:hAnsi="仿宋" w:eastAsia="仿宋" w:cs="仿宋"/>
          <w:color w:val="auto"/>
          <w:szCs w:val="24"/>
          <w:highlight w:val="none"/>
        </w:rPr>
      </w:pPr>
      <w:r>
        <w:rPr>
          <w:rStyle w:val="1097"/>
          <w:rFonts w:hint="eastAsia" w:ascii="仿宋" w:hAnsi="仿宋" w:eastAsia="仿宋" w:cs="仿宋"/>
          <w:color w:val="auto"/>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800"/>
        <w:rPr>
          <w:rFonts w:hint="eastAsia"/>
          <w:color w:val="auto"/>
          <w:highlight w:val="none"/>
        </w:rPr>
      </w:pPr>
      <w:r>
        <w:rPr>
          <w:rFonts w:hint="eastAsia"/>
          <w:color w:val="auto"/>
          <w:highlight w:val="none"/>
        </w:rPr>
        <w:t xml:space="preserve">十五、评审方法和评审标准</w:t>
      </w:r>
      <w:r/>
    </w:p>
    <w:p>
      <w:pPr>
        <w:ind w:firstLine="478"/>
        <w:jc w:val="left"/>
        <w:spacing w:line="34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1、评审方法：综合评估法</w:t>
      </w:r>
      <w:r/>
    </w:p>
    <w:p>
      <w:pPr>
        <w:ind w:firstLine="478"/>
        <w:jc w:val="left"/>
        <w:spacing w:line="34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2、评审标准：详见《评分细则》</w:t>
      </w:r>
      <w:r/>
    </w:p>
    <w:p>
      <w:pPr>
        <w:pStyle w:val="800"/>
        <w:rPr>
          <w:rFonts w:hint="eastAsia"/>
          <w:color w:val="auto"/>
          <w:highlight w:val="none"/>
        </w:rPr>
      </w:pPr>
      <w:r>
        <w:rPr>
          <w:rFonts w:hint="eastAsia"/>
          <w:color w:val="auto"/>
          <w:highlight w:val="none"/>
        </w:rPr>
        <w:t xml:space="preserve">十六、评审程序</w:t>
      </w:r>
      <w:r/>
    </w:p>
    <w:p>
      <w:pPr>
        <w:ind w:firstLine="482"/>
        <w:jc w:val="left"/>
        <w:spacing w:line="34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bookmarkStart w:id="10" w:name="OLE_LINK11"/>
      <w:r>
        <w:rPr>
          <w:rFonts w:hint="eastAsia" w:ascii="仿宋" w:hAnsi="仿宋" w:eastAsia="仿宋" w:cs="仿宋"/>
          <w:color w:val="auto"/>
          <w:sz w:val="24"/>
          <w:szCs w:val="24"/>
          <w:highlight w:val="none"/>
        </w:rPr>
        <w:t xml:space="preserve">磋商评审小组的组建：采购人组建。磋商小组成员构成：3 人。磋商小组确定方式：政府采购专家（从《江苏省政府采购专家库》随机抽取）</w:t>
      </w:r>
      <w:bookmarkEnd w:id="10"/>
      <w:r>
        <w:rPr>
          <w:rFonts w:hint="eastAsia" w:ascii="仿宋" w:hAnsi="仿宋" w:eastAsia="仿宋" w:cs="仿宋"/>
          <w:color w:val="auto"/>
          <w:sz w:val="24"/>
          <w:szCs w:val="24"/>
          <w:highlight w:val="none"/>
        </w:rPr>
        <w:t xml:space="preserve">。</w:t>
      </w:r>
      <w:r/>
    </w:p>
    <w:p>
      <w:pPr>
        <w:ind w:firstLine="482"/>
        <w:jc w:val="left"/>
        <w:spacing w:line="34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本项目资格审查由磋商小组负责。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2"/>
        <w:jc w:val="left"/>
        <w:spacing w:line="34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2.1磋商小组要求供应商澄清、说明或者更正响应文件应当以书面形式作出。供应商的澄清、说明或者更正应当由法定代表人或其授权代表签字或者加盖公章。</w:t>
      </w:r>
      <w:r/>
    </w:p>
    <w:p>
      <w:pPr>
        <w:ind w:firstLine="482"/>
        <w:jc w:val="left"/>
        <w:spacing w:line="34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3、磋商小组所有成员应当集中与单一供应商分别进行磋商，并给予所有参加磋商的供应商平等的磋商机会。</w:t>
      </w:r>
      <w:r/>
    </w:p>
    <w:p>
      <w:pPr>
        <w:ind w:firstLine="482"/>
        <w:jc w:val="left"/>
        <w:spacing w:line="34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4、在磋商过程中，磋商小组可以根据磋商文件和磋商情况实质性变动采购需求中的技术、服务要求以及合同草案条款，但不得变动磋商文件中的其他内容。实质性变动的内容，须经采购人代表确认。</w:t>
      </w:r>
      <w:r/>
    </w:p>
    <w:p>
      <w:pPr>
        <w:ind w:firstLine="482"/>
        <w:jc w:val="left"/>
        <w:spacing w:line="34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4.1对磋商文件作出的实质性变动是磋商文件的有效组成部分，磋商小组应当及时以书面形式同时通知所有参加磋商的供应商。</w:t>
      </w:r>
      <w:r/>
    </w:p>
    <w:p>
      <w:pPr>
        <w:ind w:firstLine="482"/>
        <w:jc w:val="left"/>
        <w:spacing w:line="34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4.2供应商应当按照磋商文件的变动情况和磋商小组的要求重新提交响应文件，并由其法定代表人或授权代表签字或者加盖公章。</w:t>
      </w:r>
      <w:r/>
    </w:p>
    <w:p>
      <w:pPr>
        <w:ind w:firstLine="482"/>
        <w:jc w:val="left"/>
        <w:spacing w:line="34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5、磋商结束后，磋商进入报价环节，磋商小组应当要求所有参加磋商的供应商在规定时间内进行最后报价。供应商可按照磋商小组的要求在磋商现场进行不少于两次的报价。本项目二次报价为最后报价。</w:t>
      </w:r>
      <w:r/>
    </w:p>
    <w:p>
      <w:pPr>
        <w:ind w:firstLine="482"/>
        <w:jc w:val="left"/>
        <w:spacing w:line="34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6、已提交响应文件的供应商，在提交最后报价之前，可以根据磋商情况退出磋商。</w:t>
      </w:r>
      <w:r/>
    </w:p>
    <w:p>
      <w:pPr>
        <w:ind w:firstLine="482"/>
        <w:jc w:val="left"/>
        <w:spacing w:line="34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7、经磋商确定最终采购需求和提交最后报价的供应商后，由磋商小组采用综合评分法对提交最后报价的供应商的响应文件和最后报价进行综合评分。</w:t>
      </w:r>
      <w:r/>
    </w:p>
    <w:p>
      <w:pPr>
        <w:ind w:firstLine="482"/>
        <w:jc w:val="left"/>
        <w:spacing w:line="34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磋商小组应当根据综合评分情况，按照评审得分由高到低顺序推荐3名成交候选供应商，并编写评审报告。评审得分相同的，按照最后报价由低到高的顺序推荐。评审得分且最后报价相同的，按照技术部分（得分）顺序推荐。</w:t>
      </w:r>
      <w:r/>
    </w:p>
    <w:p>
      <w:pPr>
        <w:ind w:firstLine="482"/>
        <w:jc w:val="left"/>
        <w:spacing w:line="34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磋商小组认为供应商的报价明显低于其他供应商的报价，有可能影响产品质量、服务质量或者不能诚信履约的，应当要求其在评审现场合理的时间内提供书面说明，必要时提交相关证明材料；供应商不能证明其报价合理性的，磋商小组应当将其按响应无效处理。</w:t>
      </w:r>
      <w:r/>
    </w:p>
    <w:p>
      <w:pPr>
        <w:ind w:firstLine="482"/>
        <w:jc w:val="left"/>
        <w:spacing w:line="348"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实施政府采购异常低价审查的有关要求：</w:t>
      </w:r>
      <w:r/>
    </w:p>
    <w:p>
      <w:pPr>
        <w:ind w:firstLine="482"/>
        <w:jc w:val="left"/>
        <w:spacing w:line="348"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（一）评审中出现下列情形之一的，评审（评标）委员会应当启动异常低价投标（响应）审查程序：</w:t>
      </w:r>
      <w:r/>
    </w:p>
    <w:p>
      <w:pPr>
        <w:ind w:firstLine="482"/>
        <w:jc w:val="left"/>
        <w:spacing w:line="348"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1.投标（响应）报价低于全部通过符合性审查供应商投标（响应）报价平均值50%的，即投标（响应）报价&lt;全部通过符合性审查供应商投标（响应）报价平均值×50%；</w:t>
      </w:r>
      <w:r/>
    </w:p>
    <w:p>
      <w:pPr>
        <w:ind w:firstLine="482"/>
        <w:jc w:val="left"/>
        <w:spacing w:line="348"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482"/>
        <w:jc w:val="left"/>
        <w:spacing w:line="348"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3.投标（响应）报价低于采购项目最高限价（未设定最高限价的采购项目，以采购项目预算金额作为最高限价）45%的，即投标（响应）报价&lt;采购项目最高限价×45%；</w:t>
      </w:r>
      <w:r/>
    </w:p>
    <w:p>
      <w:pPr>
        <w:ind w:firstLine="482"/>
        <w:jc w:val="left"/>
        <w:spacing w:line="348"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4.评审（评标）委员会基于专业判断，认为供应商报价过低，有可能影响产品质量或者不能诚信履约的其他情形。</w:t>
      </w:r>
      <w:r/>
    </w:p>
    <w:p>
      <w:pPr>
        <w:ind w:firstLine="482"/>
        <w:jc w:val="left"/>
        <w:spacing w:line="348"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相关法律法规对供应商报价有规定的，从其规定。</w:t>
      </w:r>
      <w:r/>
    </w:p>
    <w:p>
      <w:pPr>
        <w:ind w:firstLine="480"/>
        <w:jc w:val="left"/>
        <w:spacing w:line="34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（二）评审（评标）委员会启动异常低价投标（响应）审查后，属于前述第1项至第4项情形的，应当要求相关供应商在合理的时间内（</w:t>
      </w:r>
      <w:r>
        <w:rPr>
          <w:rFonts w:hint="eastAsia" w:ascii="仿宋" w:hAnsi="仿宋" w:eastAsia="仿宋" w:cs="仿宋"/>
          <w:b/>
          <w:bCs/>
          <w:color w:val="auto"/>
          <w:sz w:val="24"/>
          <w:szCs w:val="24"/>
          <w:highlight w:val="none"/>
        </w:rPr>
        <w:t xml:space="preserve">通过“苏采云”系统）</w:t>
      </w:r>
      <w:r>
        <w:rPr>
          <w:rFonts w:hint="eastAsia" w:ascii="仿宋" w:hAnsi="仿宋" w:eastAsia="仿宋" w:cs="仿宋"/>
          <w:color w:val="auto"/>
          <w:sz w:val="24"/>
          <w:szCs w:val="24"/>
          <w:highlight w:val="none"/>
        </w:rPr>
        <w:t xml:space="preserve">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仿宋" w:hAnsi="仿宋" w:eastAsia="仿宋" w:cs="仿宋"/>
          <w:b/>
          <w:bCs/>
          <w:color w:val="auto"/>
          <w:sz w:val="24"/>
          <w:szCs w:val="24"/>
          <w:highlight w:val="none"/>
        </w:rPr>
        <w:t xml:space="preserve">供应商说明应当采用通过“苏采云”系统（使用“CA数字证书”,加盖电子签章）形式。</w:t>
      </w:r>
      <w:r/>
    </w:p>
    <w:p>
      <w:pPr>
        <w:ind w:firstLine="480"/>
        <w:jc w:val="left"/>
        <w:spacing w:line="34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jc w:val="left"/>
        <w:spacing w:line="34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jc w:val="left"/>
        <w:spacing w:line="34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800"/>
        <w:rPr>
          <w:rFonts w:hint="eastAsia"/>
          <w:color w:val="auto"/>
          <w:highlight w:val="none"/>
        </w:rPr>
      </w:pPr>
      <w:r>
        <w:rPr>
          <w:rFonts w:hint="eastAsia"/>
          <w:color w:val="auto"/>
          <w:highlight w:val="none"/>
        </w:rPr>
        <w:t xml:space="preserve">十七、有下列情形之一的，其响应无效：</w:t>
      </w:r>
      <w:r/>
    </w:p>
    <w:p>
      <w:pPr>
        <w:ind w:firstLine="480"/>
        <w:spacing w:line="34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1、电子响应文件未按规定期限提交的； </w:t>
      </w:r>
      <w:r/>
    </w:p>
    <w:p>
      <w:pPr>
        <w:ind w:firstLine="480"/>
        <w:spacing w:line="34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2、电子响应文件未按磋商文件要求签章的；</w:t>
      </w:r>
      <w:r/>
    </w:p>
    <w:p>
      <w:pPr>
        <w:ind w:firstLine="480"/>
        <w:spacing w:line="34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3、供应商未在规定时间内解密电子响应文件的；</w:t>
      </w:r>
      <w:r/>
    </w:p>
    <w:p>
      <w:pPr>
        <w:ind w:firstLine="480"/>
        <w:spacing w:line="34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4、供应商的法定代表人授权代表，无法定代表人授权委托书的；</w:t>
      </w:r>
      <w:r/>
    </w:p>
    <w:p>
      <w:pPr>
        <w:ind w:firstLine="480"/>
        <w:spacing w:line="34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5、不具备磋商文件中规定的资格要求或未按磋商文件规定的要求提供资格、资信证明文件的；</w:t>
      </w:r>
      <w:r/>
    </w:p>
    <w:p>
      <w:pPr>
        <w:ind w:firstLine="480"/>
        <w:spacing w:line="34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6、被列入“信用中国”网站（www.creditchina.gov.cn）失信被执行人、重大税收违法案件当事人名单、政府采购严重违法失信行为记录名单的；</w:t>
      </w:r>
      <w:r/>
    </w:p>
    <w:p>
      <w:pPr>
        <w:ind w:firstLine="480"/>
        <w:spacing w:line="34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7、响应文件未按磋商文件规定的内容和要求填写的；没有在投标系统指定位置上传对应文件、材料的；</w:t>
      </w:r>
      <w:r/>
    </w:p>
    <w:p>
      <w:pPr>
        <w:ind w:firstLine="480"/>
        <w:spacing w:line="34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8、响应文件中有磋商文件未允许提供的选择性内容；</w:t>
      </w:r>
      <w:r/>
    </w:p>
    <w:p>
      <w:pPr>
        <w:ind w:firstLine="480"/>
        <w:spacing w:line="34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9、不同供应商委托同一单位或者个人办理投标事宜的；</w:t>
      </w:r>
      <w:r/>
    </w:p>
    <w:p>
      <w:pPr>
        <w:ind w:firstLine="480"/>
        <w:spacing w:line="34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10、不同供应商的单位负责人为同一人或者存在直接控股、管理关系的；</w:t>
      </w:r>
      <w:r/>
    </w:p>
    <w:p>
      <w:pPr>
        <w:ind w:firstLine="480"/>
        <w:spacing w:line="34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11、不同供应商的响应文件的装订形式、纸张情况、目录序号、排版格式、文字风格等存在明显的相似性或一致性，特征显示由同一单位或者同一个人编制的；</w:t>
      </w:r>
      <w:r/>
    </w:p>
    <w:p>
      <w:pPr>
        <w:ind w:firstLine="480"/>
        <w:spacing w:line="34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12、不同供应商响应文件内容存在非正常一致、项目组成员出现同一人、响应文件中错误（或异常）一致或雷同、电子文档信息一致或雷同的、投标报价呈规律性差异的；</w:t>
      </w:r>
      <w:r/>
    </w:p>
    <w:p>
      <w:pPr>
        <w:ind w:firstLine="480"/>
        <w:spacing w:line="34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13、不同供应商的委托代理人、项目负责人以及其他相关人员有在同一个单位缴纳社会保险 、同一响应文件中单位名称落款与公章不是同一单位的；</w:t>
      </w:r>
      <w:r/>
    </w:p>
    <w:p>
      <w:pPr>
        <w:ind w:firstLine="480"/>
        <w:spacing w:line="34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14、项目（标段）投标总价超过本项目（标段）预算或最高限价的；</w:t>
      </w:r>
      <w:r/>
    </w:p>
    <w:p>
      <w:pPr>
        <w:ind w:firstLine="480"/>
        <w:spacing w:line="34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15、提供虚假材料的（包括工商营业执照、财务报表、资格证明文件等）；</w:t>
      </w:r>
      <w:r/>
    </w:p>
    <w:p>
      <w:pPr>
        <w:ind w:firstLine="480"/>
        <w:spacing w:line="34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16、响应文件含有采购人不能接受的附加条件的；</w:t>
      </w:r>
      <w:r/>
    </w:p>
    <w:p>
      <w:pPr>
        <w:ind w:firstLine="480"/>
        <w:spacing w:line="34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评标委员会认定供应商的报价明显低于其他通过符合性审查供应商的报价，有可能影响产品质量或者不能诚信履约，且供应商不能应评标委员会要求在评标现场合理的时间内提供书面说明（必要时评标委员会可要求供应商提交相关证明材料）证明其报价合理性的；</w:t>
      </w:r>
      <w:r/>
    </w:p>
    <w:p>
      <w:pPr>
        <w:ind w:firstLine="480"/>
        <w:spacing w:line="34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18、除单一来源采购项目外，为采购项目提供整体设计、规范编制或者项目管理、监理、检测等服务的；</w:t>
      </w:r>
      <w:r/>
    </w:p>
    <w:p>
      <w:pPr>
        <w:ind w:firstLine="480"/>
        <w:spacing w:line="348" w:lineRule="auto"/>
        <w:widowControl w:val="off"/>
        <w:rPr>
          <w:rFonts w:hint="eastAsia" w:ascii="仿宋" w:hAnsi="仿宋" w:eastAsia="仿宋" w:cs="仿宋"/>
          <w:color w:val="auto"/>
          <w:sz w:val="24"/>
          <w:szCs w:val="24"/>
          <w:highlight w:val="none"/>
        </w:rPr>
      </w:pPr>
      <w:r/>
      <w:bookmarkStart w:id="11" w:name="_Toc31496"/>
      <w:r/>
      <w:bookmarkStart w:id="12" w:name="_Toc80122286"/>
      <w:r>
        <w:rPr>
          <w:rFonts w:hint="eastAsia" w:ascii="仿宋" w:hAnsi="仿宋" w:eastAsia="仿宋" w:cs="仿宋"/>
          <w:color w:val="auto"/>
          <w:sz w:val="24"/>
          <w:szCs w:val="24"/>
          <w:highlight w:val="none"/>
        </w:rPr>
        <w:t xml:space="preserve">19、与采购文件提供的工程量清单中项目名称、项目特征、计量单位、工程量不一致的；</w:t>
      </w:r>
      <w:r/>
    </w:p>
    <w:p>
      <w:pPr>
        <w:ind w:firstLine="480"/>
        <w:spacing w:line="34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20、响应文件内容不全或不符合磋商文件中规定的其它实质性要求的；</w:t>
      </w:r>
      <w:r/>
    </w:p>
    <w:p>
      <w:pPr>
        <w:ind w:firstLine="480"/>
        <w:spacing w:line="34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21、报价清单与采购文件明确列出的不可竞争费用项目或费率或计算基础不一致的；</w:t>
      </w:r>
      <w:r/>
    </w:p>
    <w:p>
      <w:pPr>
        <w:ind w:firstLine="480"/>
        <w:spacing w:line="34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22、报价清单与采购文件规定的暂估价、暂列金额不一致的；</w:t>
      </w:r>
      <w:r/>
    </w:p>
    <w:p>
      <w:pPr>
        <w:ind w:firstLine="480"/>
        <w:spacing w:line="348" w:lineRule="auto"/>
        <w:widowControl w:val="off"/>
        <w:rPr>
          <w:color w:val="auto"/>
          <w:highlight w:val="none"/>
        </w:rPr>
      </w:pPr>
      <w:r>
        <w:rPr>
          <w:rFonts w:hint="eastAsia" w:ascii="仿宋" w:hAnsi="仿宋" w:eastAsia="仿宋" w:cs="仿宋"/>
          <w:color w:val="auto"/>
          <w:sz w:val="24"/>
          <w:szCs w:val="24"/>
          <w:highlight w:val="none"/>
        </w:rPr>
        <w:t xml:space="preserve">23、法律法规和磋商文件规定的其它无效情形。</w:t>
      </w:r>
      <w:r/>
    </w:p>
    <w:p>
      <w:pPr>
        <w:pStyle w:val="799"/>
        <w:rPr>
          <w:color w:val="auto"/>
          <w:highlight w:val="none"/>
        </w:rPr>
      </w:pPr>
      <w:r/>
      <w:bookmarkStart w:id="13" w:name="_Toc12232"/>
      <w:r>
        <w:rPr>
          <w:rFonts w:hint="eastAsia"/>
          <w:color w:val="auto"/>
          <w:highlight w:val="none"/>
        </w:rPr>
        <w:t xml:space="preserve">第四章 确定成交供应商及合同签订等</w:t>
      </w:r>
      <w:bookmarkEnd w:id="11"/>
      <w:r/>
      <w:bookmarkEnd w:id="12"/>
      <w:r/>
      <w:bookmarkEnd w:id="13"/>
      <w:r/>
      <w:r/>
    </w:p>
    <w:p>
      <w:pPr>
        <w:ind w:firstLine="480"/>
        <w:jc w:val="left"/>
        <w:spacing w:line="34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八、采购人应当在收到评审报告后5个工作日内，从评审报告提出的成交候选供应商中，按照排序由高到低的原则确定成交供应商。在招标公告同一发布媒体上公告成交结果，公告标的的基本概况为成交供应商的《磋商报价表》（最后报价）。</w:t>
      </w:r>
      <w:r/>
    </w:p>
    <w:p>
      <w:pPr>
        <w:ind w:firstLine="480"/>
        <w:jc w:val="left"/>
        <w:spacing w:line="34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排名第一的成交候选供应商放弃成交或因不可抗力提出不能履行合同，或者被查实存在影响成交结果的违法行为等情形不符合成交条件的，采购人可以按照评审委员会提出的成交候选供应商名单排序依此确定其他候选供应商为成交供应商并签订政府采购合同，采购人也可以重新开展采购活动。</w:t>
      </w:r>
      <w:r/>
    </w:p>
    <w:p>
      <w:pPr>
        <w:ind w:firstLine="480"/>
        <w:jc w:val="left"/>
        <w:spacing w:line="34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放弃成交的供应商不得参加对该项目重新开展的采购活动。</w:t>
      </w:r>
      <w:r/>
    </w:p>
    <w:p>
      <w:pPr>
        <w:ind w:firstLine="480"/>
        <w:jc w:val="left"/>
        <w:spacing w:line="34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采购人对未成交的供应商不做未成交原因的解释。</w:t>
      </w:r>
      <w:r/>
    </w:p>
    <w:p>
      <w:pPr>
        <w:ind w:firstLine="480"/>
        <w:jc w:val="left"/>
        <w:spacing w:line="34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十九、采购人有权对供应商的响应文件的真实性进行核实。如供应商不能提供有效文件，采购人将根据客观事实，有权取消成交供应商，同时供应商承担相应的法律责任。</w:t>
      </w:r>
      <w:r/>
    </w:p>
    <w:p>
      <w:pPr>
        <w:ind w:firstLine="480"/>
        <w:jc w:val="left"/>
        <w:spacing w:line="34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二十、采购人与成交供应商应当在成交通知书发出之日起</w:t>
      </w:r>
      <w:r>
        <w:rPr>
          <w:rFonts w:hint="eastAsia" w:ascii="仿宋" w:hAnsi="仿宋" w:eastAsia="仿宋" w:cs="仿宋"/>
          <w:color w:val="auto"/>
          <w:sz w:val="24"/>
          <w:szCs w:val="24"/>
          <w:highlight w:val="none"/>
          <w:u w:val="single"/>
        </w:rPr>
        <w:t xml:space="preserve">30</w:t>
      </w:r>
      <w:r>
        <w:rPr>
          <w:rFonts w:hint="eastAsia" w:ascii="仿宋" w:hAnsi="仿宋" w:eastAsia="仿宋" w:cs="仿宋"/>
          <w:color w:val="auto"/>
          <w:sz w:val="24"/>
          <w:szCs w:val="24"/>
          <w:highlight w:val="none"/>
        </w:rPr>
        <w:t xml:space="preserve">日内，按照磋商文件确定的合同文本以及采购标的、规格型号、采购金额、采购数量、技术和服务要求等事项签订政府采购合同。</w:t>
      </w:r>
      <w:r/>
    </w:p>
    <w:p>
      <w:pPr>
        <w:ind w:firstLine="480"/>
        <w:jc w:val="left"/>
        <w:spacing w:line="34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特别说明： 按照《政府采购法》及其实施条例以及相关规定，中标或者成交后无正当理由拒不与采购人签订政府采购合同的，在一至三年内禁止参加政府采购活动，列入政府采购严重违法失信行为记录名单。</w:t>
      </w:r>
      <w:r/>
    </w:p>
    <w:p>
      <w:pPr>
        <w:ind w:firstLine="480"/>
        <w:jc w:val="left"/>
        <w:spacing w:line="34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二十一、</w:t>
      </w:r>
      <w:r>
        <w:rPr>
          <w:rStyle w:val="1097"/>
          <w:rFonts w:hint="eastAsia" w:ascii="仿宋" w:hAnsi="仿宋" w:eastAsia="仿宋" w:cs="仿宋"/>
          <w:color w:val="auto"/>
          <w:highlight w:val="none"/>
        </w:rPr>
        <w:t xml:space="preserve">签订合同前，成交供应商必须向采购人提交其响应文件中所有扫描件的原件，采购人核查无误后，签订合同。如成交供应商不能在采购人规定的时间内向采购人提供原件，将被采购人视为放弃成交资格</w:t>
      </w:r>
      <w:r>
        <w:rPr>
          <w:rFonts w:hint="eastAsia" w:ascii="仿宋" w:hAnsi="仿宋" w:eastAsia="仿宋" w:cs="仿宋"/>
          <w:color w:val="auto"/>
          <w:sz w:val="24"/>
          <w:szCs w:val="24"/>
          <w:highlight w:val="none"/>
        </w:rPr>
        <w:t xml:space="preserve">。</w:t>
      </w:r>
      <w:r/>
    </w:p>
    <w:p>
      <w:pPr>
        <w:pStyle w:val="799"/>
        <w:rPr>
          <w:color w:val="auto"/>
          <w:highlight w:val="none"/>
        </w:rPr>
      </w:pPr>
      <w:r/>
      <w:bookmarkStart w:id="14" w:name="_Toc80122287"/>
      <w:r/>
      <w:bookmarkStart w:id="15" w:name="_Toc15793"/>
      <w:r/>
      <w:bookmarkStart w:id="16" w:name="_Toc15896"/>
      <w:r>
        <w:rPr>
          <w:rFonts w:hint="eastAsia"/>
          <w:color w:val="auto"/>
          <w:highlight w:val="none"/>
        </w:rPr>
        <w:t xml:space="preserve">第五章 磋商文件的澄清或者修改</w:t>
      </w:r>
      <w:bookmarkEnd w:id="14"/>
      <w:r/>
      <w:bookmarkEnd w:id="15"/>
      <w:r/>
      <w:bookmarkEnd w:id="16"/>
      <w:r/>
      <w:r/>
    </w:p>
    <w:p>
      <w:pPr>
        <w:ind w:firstLine="480"/>
        <w:jc w:val="left"/>
        <w:spacing w:line="34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二十二、竞争性磋商文件的澄清或者修改</w:t>
      </w:r>
      <w:r/>
    </w:p>
    <w:p>
      <w:pPr>
        <w:ind w:firstLine="480"/>
        <w:jc w:val="left"/>
        <w:spacing w:line="348" w:lineRule="auto"/>
        <w:widowControl w:val="off"/>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提交首次响应文件截止之日（即“首次响应文件提交的截止时间”）前，采购代理机构可以对已发出的竞争性磋商文件进行必要的澄清或者修改，澄清或者修改的内容作为竞争性磋商文件的组成部分。澄清或者修改的内容以所发布的本项目的“更正公告”的附件的形式通知所有获取竞争性磋商文件的供应商。发布本项目的“更正公告”后采购代理机构已尽通知义务。敬请各所有获取竞争性磋商文件的供应商关注本项目的“更正公告”及附件，否则，将自行承担相应的风险。</w:t>
      </w:r>
      <w:r/>
    </w:p>
    <w:p>
      <w:pPr>
        <w:pStyle w:val="799"/>
        <w:rPr>
          <w:color w:val="auto"/>
          <w:highlight w:val="none"/>
        </w:rPr>
      </w:pPr>
      <w:r/>
      <w:bookmarkStart w:id="17" w:name="_Toc80122288"/>
      <w:r/>
      <w:bookmarkStart w:id="18" w:name="_Toc28580"/>
      <w:r/>
      <w:bookmarkStart w:id="19" w:name="_Toc11856"/>
      <w:r>
        <w:rPr>
          <w:rFonts w:hint="eastAsia"/>
          <w:color w:val="auto"/>
          <w:highlight w:val="none"/>
        </w:rPr>
        <w:t xml:space="preserve">第六章 询问和质疑</w:t>
      </w:r>
      <w:bookmarkEnd w:id="17"/>
      <w:r/>
      <w:bookmarkEnd w:id="18"/>
      <w:r/>
      <w:bookmarkEnd w:id="19"/>
      <w:r/>
      <w:r/>
    </w:p>
    <w:p>
      <w:pPr>
        <w:ind w:firstLine="480"/>
        <w:jc w:val="left"/>
        <w:spacing w:line="34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二十三、询问和质疑</w:t>
      </w:r>
      <w:r/>
    </w:p>
    <w:p>
      <w:pPr>
        <w:ind w:firstLine="492"/>
        <w:jc w:val="left"/>
        <w:spacing w:line="34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 </w:t>
      </w:r>
      <w:r/>
    </w:p>
    <w:p>
      <w:pPr>
        <w:ind w:firstLine="492"/>
        <w:jc w:val="left"/>
        <w:spacing w:line="34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2、质疑和投诉按《政府采购质疑和投诉办法》执行。 供应商对同一采购程序环节的质疑应在质疑期内一次性提出。</w:t>
      </w:r>
      <w:r/>
    </w:p>
    <w:p>
      <w:pPr>
        <w:ind w:firstLine="492"/>
        <w:jc w:val="left"/>
        <w:spacing w:line="348"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质疑接收人：</w:t>
      </w:r>
      <w:r>
        <w:rPr>
          <w:rFonts w:hint="eastAsia" w:ascii="仿宋" w:hAnsi="仿宋" w:eastAsia="仿宋" w:cs="仿宋"/>
          <w:color w:val="auto"/>
          <w:sz w:val="24"/>
          <w:szCs w:val="24"/>
          <w:highlight w:val="none"/>
          <w:lang w:val="en-US" w:eastAsia="zh-CN"/>
        </w:rPr>
        <w:t xml:space="preserve">张工</w:t>
      </w:r>
      <w:r>
        <w:rPr>
          <w:rFonts w:hint="eastAsia" w:ascii="仿宋" w:hAnsi="仿宋" w:eastAsia="仿宋" w:cs="仿宋"/>
          <w:color w:val="auto"/>
          <w:sz w:val="24"/>
          <w:szCs w:val="24"/>
          <w:highlight w:val="none"/>
        </w:rPr>
        <w:t xml:space="preserve">     联系电话：</w:t>
      </w:r>
      <w:r>
        <w:rPr>
          <w:rFonts w:hint="eastAsia" w:ascii="仿宋" w:hAnsi="仿宋" w:eastAsia="仿宋" w:cs="仿宋"/>
          <w:color w:val="auto"/>
          <w:sz w:val="24"/>
          <w:szCs w:val="24"/>
          <w:highlight w:val="none"/>
          <w:lang w:eastAsia="zh-CN"/>
        </w:rPr>
        <w:t xml:space="preserve">0516-87836966</w:t>
      </w:r>
      <w:r/>
    </w:p>
    <w:p>
      <w:pPr>
        <w:ind w:firstLine="492"/>
        <w:jc w:val="left"/>
        <w:spacing w:line="348"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接收地址：</w:t>
      </w:r>
      <w:r>
        <w:rPr>
          <w:rFonts w:hint="eastAsia" w:ascii="仿宋" w:hAnsi="仿宋" w:eastAsia="仿宋" w:cs="仿宋"/>
          <w:color w:val="auto"/>
          <w:sz w:val="24"/>
          <w:szCs w:val="24"/>
          <w:highlight w:val="none"/>
          <w:lang w:eastAsia="zh-CN"/>
        </w:rPr>
        <w:t xml:space="preserve">徐州市泉山区江苏淮海科技城数字经济产业园E6-806室</w:t>
      </w:r>
      <w:r/>
    </w:p>
    <w:p>
      <w:pPr>
        <w:ind w:firstLine="492"/>
        <w:jc w:val="left"/>
        <w:spacing w:line="34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3、供应商对评审过程、成交结果提出质疑的，采购人、采购代理机构可以组织原评审委员会协助答复质疑。</w:t>
      </w:r>
      <w:r/>
    </w:p>
    <w:p>
      <w:pPr>
        <w:ind w:firstLine="492"/>
        <w:jc w:val="left"/>
        <w:spacing w:line="34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4、采购人或采购代理机构在收到供应商的书面质疑后7个工作日内予以答复，并告知本项目的有关供应商。</w:t>
      </w:r>
      <w:r/>
    </w:p>
    <w:p>
      <w:pPr>
        <w:ind w:firstLine="492"/>
        <w:jc w:val="left"/>
        <w:spacing w:line="34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十四、质疑时效期间的计算：（1）对磋商文件提出质疑的，为收到磋商文件之日或磋商文件公告期限届满之日；（2）对磋商过程提出质疑的，为磋商程序各环节结束之日；（3）对成交结果提出质疑的，为成交公告期限届满之日。</w:t>
      </w:r>
      <w:r/>
    </w:p>
    <w:p>
      <w:pPr>
        <w:ind w:firstLine="480"/>
        <w:jc w:val="left"/>
        <w:spacing w:line="34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二十五、招标代理服务费由招标人依据《徐州市市级政府投资项目其他费用预算指南》（徐财建〔2025〕240）号文规定计算的代理费×45%支付。</w:t>
      </w:r>
      <w:r/>
    </w:p>
    <w:p>
      <w:pPr>
        <w:ind w:firstLine="480"/>
        <w:jc w:val="left"/>
        <w:spacing w:line="348"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二十六、成交结果在徐州政府采购网上公布。</w:t>
      </w:r>
      <w:r/>
    </w:p>
    <w:p>
      <w:pPr>
        <w:pStyle w:val="822"/>
        <w:ind w:firstLine="480"/>
        <w:jc w:val="left"/>
        <w:spacing w:line="348"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二十七、联系方式</w:t>
      </w:r>
      <w:r/>
    </w:p>
    <w:p>
      <w:pPr>
        <w:pStyle w:val="822"/>
        <w:ind w:firstLine="480"/>
        <w:jc w:val="left"/>
        <w:spacing w:line="348"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rPr>
          <w:rFonts w:hint="eastAsia" w:ascii="仿宋" w:hAnsi="仿宋" w:eastAsia="仿宋" w:cs="仿宋"/>
          <w:bCs/>
          <w:color w:val="auto"/>
          <w:sz w:val="24"/>
          <w:highlight w:val="none"/>
        </w:rPr>
        <w:t xml:space="preserve">、采购人</w:t>
      </w:r>
      <w:r/>
    </w:p>
    <w:p>
      <w:pPr>
        <w:pStyle w:val="822"/>
        <w:ind w:firstLine="960"/>
        <w:jc w:val="left"/>
        <w:spacing w:line="348"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名称：</w:t>
      </w:r>
      <w:r>
        <w:rPr>
          <w:rFonts w:hint="eastAsia" w:ascii="仿宋" w:hAnsi="仿宋" w:eastAsia="仿宋" w:cs="仿宋"/>
          <w:color w:val="auto"/>
          <w:sz w:val="24"/>
          <w:highlight w:val="none"/>
          <w:lang w:eastAsia="zh-CN"/>
        </w:rPr>
        <w:t xml:space="preserve">徐州市鼓楼区城市管理局</w:t>
      </w:r>
      <w:r/>
    </w:p>
    <w:p>
      <w:pPr>
        <w:pStyle w:val="822"/>
        <w:ind w:firstLine="960"/>
        <w:jc w:val="left"/>
        <w:spacing w:line="348"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地址：徐州市黄河东路43号</w:t>
      </w:r>
      <w:r/>
    </w:p>
    <w:p>
      <w:pPr>
        <w:pStyle w:val="822"/>
        <w:ind w:firstLine="960"/>
        <w:jc w:val="left"/>
        <w:spacing w:line="348" w:lineRule="auto"/>
        <w:widowControl w:val="off"/>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采购项目联系人：王健胜</w:t>
      </w:r>
      <w:r>
        <w:rPr>
          <w:rFonts w:hint="eastAsia" w:ascii="仿宋" w:hAnsi="仿宋" w:eastAsia="仿宋" w:cs="仿宋"/>
          <w:color w:val="auto"/>
          <w:sz w:val="24"/>
          <w:highlight w:val="none"/>
          <w:lang w:val="en-US" w:eastAsia="zh-CN"/>
        </w:rPr>
        <w:t xml:space="preserve">           </w:t>
      </w:r>
      <w:r/>
    </w:p>
    <w:p>
      <w:pPr>
        <w:pStyle w:val="822"/>
        <w:ind w:firstLine="960"/>
        <w:jc w:val="left"/>
        <w:spacing w:line="348" w:lineRule="auto"/>
        <w:widowControl w:val="off"/>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电话：18952113695</w:t>
      </w:r>
      <w:r>
        <w:rPr>
          <w:rFonts w:hint="eastAsia" w:ascii="仿宋" w:hAnsi="仿宋" w:eastAsia="仿宋" w:cs="仿宋"/>
          <w:color w:val="auto"/>
          <w:sz w:val="24"/>
          <w:highlight w:val="none"/>
          <w:lang w:val="en-US" w:eastAsia="zh-CN"/>
        </w:rPr>
        <w:t xml:space="preserve">              </w:t>
      </w:r>
      <w:r/>
    </w:p>
    <w:p>
      <w:pPr>
        <w:pStyle w:val="822"/>
        <w:numPr>
          <w:ilvl w:val="0"/>
          <w:numId w:val="3"/>
        </w:numPr>
        <w:ind w:firstLine="480"/>
        <w:jc w:val="left"/>
        <w:spacing w:line="348" w:lineRule="auto"/>
        <w:widowControl w:val="off"/>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采购代理机构</w:t>
      </w:r>
      <w:r/>
    </w:p>
    <w:p>
      <w:pPr>
        <w:pStyle w:val="822"/>
        <w:ind w:firstLine="960"/>
        <w:jc w:val="left"/>
        <w:spacing w:line="348"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名称：</w:t>
      </w:r>
      <w:r>
        <w:rPr>
          <w:rFonts w:hint="eastAsia" w:ascii="仿宋" w:hAnsi="仿宋" w:eastAsia="仿宋" w:cs="仿宋"/>
          <w:color w:val="auto"/>
          <w:sz w:val="24"/>
          <w:highlight w:val="none"/>
          <w:lang w:eastAsia="zh-CN"/>
        </w:rPr>
        <w:t xml:space="preserve">江苏苏咨工程咨询有限责任公司</w:t>
      </w:r>
      <w:r/>
    </w:p>
    <w:p>
      <w:pPr>
        <w:pStyle w:val="822"/>
        <w:ind w:firstLine="960"/>
        <w:jc w:val="left"/>
        <w:spacing w:line="348"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地址：</w:t>
      </w:r>
      <w:r>
        <w:rPr>
          <w:rFonts w:hint="eastAsia" w:ascii="仿宋" w:hAnsi="仿宋" w:eastAsia="仿宋" w:cs="仿宋"/>
          <w:color w:val="auto"/>
          <w:sz w:val="24"/>
          <w:highlight w:val="none"/>
          <w:lang w:eastAsia="zh-CN"/>
        </w:rPr>
        <w:t xml:space="preserve">徐州市泉山区江苏淮海科技城数字经济产业园E6-806室</w:t>
      </w:r>
      <w:r/>
    </w:p>
    <w:p>
      <w:pPr>
        <w:pStyle w:val="822"/>
        <w:ind w:firstLine="960"/>
        <w:jc w:val="left"/>
        <w:spacing w:line="348"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采购代理联系人：</w:t>
      </w:r>
      <w:r>
        <w:rPr>
          <w:rFonts w:hint="eastAsia" w:ascii="仿宋" w:hAnsi="仿宋" w:eastAsia="仿宋" w:cs="仿宋"/>
          <w:color w:val="auto"/>
          <w:sz w:val="24"/>
          <w:highlight w:val="none"/>
          <w:lang w:val="en-US" w:eastAsia="zh-CN"/>
        </w:rPr>
        <w:t xml:space="preserve">张工</w:t>
      </w:r>
      <w:r/>
    </w:p>
    <w:p>
      <w:pPr>
        <w:pStyle w:val="822"/>
        <w:ind w:firstLine="960"/>
        <w:jc w:val="left"/>
        <w:spacing w:line="348"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电话：</w:t>
      </w:r>
      <w:r>
        <w:rPr>
          <w:rFonts w:hint="eastAsia" w:ascii="仿宋" w:hAnsi="仿宋" w:eastAsia="仿宋" w:cs="仿宋"/>
          <w:color w:val="auto"/>
          <w:sz w:val="24"/>
          <w:highlight w:val="none"/>
          <w:lang w:eastAsia="zh-CN"/>
        </w:rPr>
        <w:t xml:space="preserve">0516-87836966</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bookmarkStart w:id="20" w:name="_Toc80122289"/>
      <w:r/>
      <w:bookmarkStart w:id="21" w:name="_Toc16162"/>
      <w:r/>
      <w:bookmarkStart w:id="22" w:name="_Toc11700"/>
      <w:r>
        <w:rPr>
          <w:rFonts w:hint="eastAsia"/>
          <w:color w:val="auto"/>
          <w:highlight w:val="none"/>
        </w:rPr>
        <w:br w:type="page" w:clear="all"/>
      </w:r>
      <w:r/>
    </w:p>
    <w:p>
      <w:pPr>
        <w:pStyle w:val="799"/>
        <w:rPr>
          <w:color w:val="auto"/>
          <w:highlight w:val="none"/>
        </w:rPr>
      </w:pPr>
      <w:r>
        <w:rPr>
          <w:rFonts w:hint="eastAsia"/>
          <w:color w:val="auto"/>
          <w:highlight w:val="none"/>
        </w:rPr>
        <w:t xml:space="preserve">第七章 评分细则</w:t>
      </w:r>
      <w:bookmarkEnd w:id="20"/>
      <w:r/>
      <w:bookmarkEnd w:id="21"/>
      <w:r>
        <w:rPr>
          <w:rFonts w:hint="eastAsia"/>
          <w:color w:val="auto"/>
          <w:highlight w:val="none"/>
        </w:rPr>
        <w:t xml:space="preserve">（综合评分法）</w:t>
      </w:r>
      <w:bookmarkEnd w:id="22"/>
      <w:r/>
      <w:r/>
    </w:p>
    <w:tbl>
      <w:tblPr>
        <w:tblStyle w:val="809"/>
        <w:tblW w:w="1058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6"/>
        <w:gridCol w:w="1334"/>
        <w:gridCol w:w="7887"/>
      </w:tblGrid>
      <w:tr>
        <w:trPr>
          <w:jc w:val="center"/>
          <w:trHeight w:val="567"/>
        </w:trPr>
        <w:tc>
          <w:tcPr>
            <w:gridSpan w:val="2"/>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rPr>
                <w:rFonts w:hint="eastAsia" w:ascii="仿宋" w:hAnsi="仿宋" w:eastAsia="仿宋" w:cs="仿宋"/>
                <w:color w:val="auto"/>
                <w:sz w:val="24"/>
                <w:szCs w:val="24"/>
                <w:highlight w:val="none"/>
              </w:rPr>
            </w:pPr>
            <w:r/>
            <w:bookmarkStart w:id="23" w:name="_Toc80122290"/>
            <w:r>
              <w:rPr>
                <w:rFonts w:hint="eastAsia" w:ascii="仿宋" w:hAnsi="仿宋" w:eastAsia="仿宋" w:cs="仿宋"/>
                <w:color w:val="auto"/>
                <w:sz w:val="24"/>
                <w:szCs w:val="24"/>
                <w:highlight w:val="none"/>
              </w:rPr>
              <w:t xml:space="preserve">评审因素</w:t>
            </w:r>
            <w:r/>
          </w:p>
        </w:tc>
        <w:tc>
          <w:tcPr>
            <w:tcBorders>
              <w:top w:val="single" w:color="000000" w:sz="4" w:space="0"/>
              <w:left w:val="single" w:color="000000" w:sz="4" w:space="0"/>
              <w:bottom w:val="single" w:color="000000" w:sz="4" w:space="0"/>
              <w:right w:val="single" w:color="000000" w:sz="4" w:space="0"/>
            </w:tcBorders>
            <w:tcW w:w="7887"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评审因素细化和量化</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价格</w:t>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部分</w:t>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10</w:t>
            </w:r>
            <w:r>
              <w:rPr>
                <w:rFonts w:hint="eastAsia" w:ascii="仿宋" w:hAnsi="仿宋" w:eastAsia="仿宋" w:cs="仿宋"/>
                <w:color w:val="auto"/>
                <w:sz w:val="24"/>
                <w:szCs w:val="24"/>
                <w:highlight w:val="none"/>
              </w:rPr>
              <w:t xml:space="preserve">分）</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价格</w:t>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10</w:t>
            </w:r>
            <w:r>
              <w:rPr>
                <w:rFonts w:hint="eastAsia" w:ascii="仿宋" w:hAnsi="仿宋" w:eastAsia="仿宋" w:cs="仿宋"/>
                <w:color w:val="auto"/>
                <w:sz w:val="24"/>
                <w:szCs w:val="24"/>
                <w:highlight w:val="none"/>
              </w:rPr>
              <w:t xml:space="preserve">分）</w:t>
            </w:r>
            <w:r/>
          </w:p>
        </w:tc>
        <w:tc>
          <w:tcPr>
            <w:tcBorders>
              <w:top w:val="single" w:color="000000" w:sz="4" w:space="0"/>
              <w:left w:val="single" w:color="000000" w:sz="4" w:space="0"/>
              <w:bottom w:val="single" w:color="000000" w:sz="4" w:space="0"/>
              <w:right w:val="single" w:color="000000" w:sz="4" w:space="0"/>
            </w:tcBorders>
            <w:tcW w:w="7887" w:type="dxa"/>
            <w:vAlign w:val="center"/>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采用低价优先法计算，即满足磋商文件要求且最后报价最低的供应商的价格为磋商基准价，其价格分为满分。其他供应商的价格分统一按照下列公式计算：</w:t>
            </w:r>
            <w:r/>
          </w:p>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磋商报价得分=（磋商基准价/最后磋商报价）×</w:t>
            </w:r>
            <w:r>
              <w:rPr>
                <w:rFonts w:hint="eastAsia" w:ascii="仿宋" w:hAnsi="仿宋" w:eastAsia="仿宋" w:cs="仿宋"/>
                <w:color w:val="auto"/>
                <w:sz w:val="24"/>
                <w:szCs w:val="24"/>
                <w:highlight w:val="none"/>
                <w:lang w:val="en-US" w:eastAsia="zh-CN"/>
              </w:rPr>
              <w:t xml:space="preserve">10</w:t>
            </w:r>
            <w:r>
              <w:rPr>
                <w:rFonts w:hint="eastAsia" w:ascii="仿宋" w:hAnsi="仿宋" w:eastAsia="仿宋" w:cs="仿宋"/>
                <w:color w:val="auto"/>
                <w:sz w:val="24"/>
                <w:szCs w:val="24"/>
                <w:highlight w:val="none"/>
              </w:rPr>
              <w:br/>
            </w:r>
            <w:r>
              <w:rPr>
                <w:rFonts w:hint="eastAsia" w:ascii="仿宋" w:hAnsi="仿宋" w:eastAsia="仿宋" w:cs="仿宋"/>
                <w:color w:val="auto"/>
                <w:sz w:val="24"/>
                <w:szCs w:val="24"/>
                <w:highlight w:val="none"/>
              </w:rPr>
              <w:t xml:space="preserve">得分四舍五入保留小数点后2位。</w:t>
            </w:r>
            <w:r/>
          </w:p>
        </w:tc>
      </w:tr>
      <w:tr>
        <w:trPr>
          <w:cantSplit/>
          <w:jc w:val="center"/>
          <w:trHeight w:val="567"/>
        </w:trPr>
        <w:tc>
          <w:tcPr>
            <w:tcBorders>
              <w:top w:val="single" w:color="000000" w:sz="4" w:space="0"/>
              <w:left w:val="single" w:color="000000" w:sz="4" w:space="0"/>
              <w:right w:val="single" w:color="000000" w:sz="4" w:space="0"/>
            </w:tcBorders>
            <w:tcW w:w="1366" w:type="dxa"/>
            <w:vAlign w:val="center"/>
            <w:vMerge w:val="restart"/>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w:t>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部分</w:t>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（施工组织设计）</w:t>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81</w:t>
            </w:r>
            <w:r>
              <w:rPr>
                <w:rFonts w:hint="eastAsia" w:ascii="仿宋" w:hAnsi="仿宋" w:eastAsia="仿宋" w:cs="仿宋"/>
                <w:color w:val="auto"/>
                <w:sz w:val="24"/>
                <w:szCs w:val="24"/>
                <w:highlight w:val="none"/>
              </w:rPr>
              <w:t xml:space="preserve">分）</w:t>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auto" w:sz="4" w:space="0"/>
              <w:right w:val="single" w:color="000000" w:sz="4" w:space="0"/>
            </w:tcBorders>
            <w:tcW w:w="1334"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总体概述</w:t>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w:t>
            </w:r>
            <w:r/>
          </w:p>
        </w:tc>
        <w:tc>
          <w:tcPr>
            <w:tcBorders>
              <w:top w:val="single" w:color="000000" w:sz="4" w:space="0"/>
              <w:left w:val="single" w:color="000000" w:sz="4" w:space="0"/>
              <w:bottom w:val="single" w:color="auto" w:sz="4" w:space="0"/>
              <w:right w:val="single" w:color="000000" w:sz="4" w:space="0"/>
            </w:tcBorders>
            <w:tcW w:w="7887" w:type="dxa"/>
            <w:vAlign w:val="center"/>
            <w:textDirection w:val="lrTb"/>
            <w:noWrap w:val="false"/>
          </w:tcPr>
          <w:p>
            <w:pPr>
              <w:jc w:val="left"/>
              <w:rPr>
                <w:rFonts w:hint="eastAsia" w:ascii="仿宋" w:hAnsi="仿宋" w:eastAsia="仿宋" w:cs="仿宋"/>
                <w:color w:val="auto"/>
                <w:sz w:val="24"/>
                <w:szCs w:val="24"/>
                <w:highlight w:val="none"/>
                <w:lang w:bidi="hi-IN"/>
              </w:rPr>
            </w:pPr>
            <w:r>
              <w:rPr>
                <w:rFonts w:hint="eastAsia" w:ascii="仿宋" w:hAnsi="仿宋" w:eastAsia="仿宋" w:cs="仿宋"/>
                <w:color w:val="auto"/>
                <w:sz w:val="24"/>
                <w:szCs w:val="24"/>
                <w:highlight w:val="none"/>
                <w:lang w:bidi="hi-IN"/>
              </w:rPr>
              <w:t xml:space="preserve">根据响应文件中施工组织总体设想、方案针对性、合理性、可行性进行综合评价：</w:t>
            </w:r>
            <w:r/>
          </w:p>
          <w:p>
            <w:pPr>
              <w:jc w:val="left"/>
              <w:rPr>
                <w:rFonts w:hint="eastAsia" w:ascii="仿宋" w:hAnsi="仿宋" w:eastAsia="仿宋" w:cs="仿宋"/>
                <w:color w:val="auto"/>
                <w:sz w:val="24"/>
                <w:szCs w:val="24"/>
                <w:highlight w:val="none"/>
                <w:lang w:bidi="hi-IN"/>
              </w:rPr>
            </w:pPr>
            <w:r>
              <w:rPr>
                <w:rFonts w:hint="eastAsia" w:ascii="仿宋" w:hAnsi="仿宋" w:eastAsia="仿宋" w:cs="仿宋"/>
                <w:color w:val="auto"/>
                <w:sz w:val="24"/>
                <w:szCs w:val="24"/>
                <w:highlight w:val="none"/>
                <w:lang w:bidi="hi-IN"/>
              </w:rPr>
              <w:t xml:space="preserve">内容详细具体、科学合理、针对性强、内容完整的得1</w:t>
            </w:r>
            <w:r>
              <w:rPr>
                <w:rFonts w:hint="eastAsia" w:ascii="仿宋" w:hAnsi="仿宋" w:eastAsia="仿宋" w:cs="仿宋"/>
                <w:color w:val="auto"/>
                <w:sz w:val="24"/>
                <w:szCs w:val="24"/>
                <w:highlight w:val="none"/>
                <w:lang w:val="en-US" w:eastAsia="zh-CN" w:bidi="hi-IN"/>
              </w:rPr>
              <w:t xml:space="preserve">2</w:t>
            </w:r>
            <w:r>
              <w:rPr>
                <w:rFonts w:hint="eastAsia" w:ascii="仿宋" w:hAnsi="仿宋" w:eastAsia="仿宋" w:cs="仿宋"/>
                <w:color w:val="auto"/>
                <w:sz w:val="24"/>
                <w:szCs w:val="24"/>
                <w:highlight w:val="none"/>
                <w:lang w:bidi="hi-IN"/>
              </w:rPr>
              <w:t xml:space="preserve">分；</w:t>
            </w:r>
            <w:r/>
          </w:p>
          <w:p>
            <w:pPr>
              <w:jc w:val="left"/>
              <w:rPr>
                <w:rFonts w:hint="eastAsia" w:ascii="仿宋" w:hAnsi="仿宋" w:eastAsia="仿宋" w:cs="仿宋"/>
                <w:color w:val="auto"/>
                <w:sz w:val="24"/>
                <w:szCs w:val="24"/>
                <w:highlight w:val="none"/>
                <w:lang w:bidi="hi-IN"/>
              </w:rPr>
            </w:pPr>
            <w:r>
              <w:rPr>
                <w:rFonts w:hint="eastAsia" w:ascii="仿宋" w:hAnsi="仿宋" w:eastAsia="仿宋" w:cs="仿宋"/>
                <w:color w:val="auto"/>
                <w:sz w:val="24"/>
                <w:szCs w:val="24"/>
                <w:highlight w:val="none"/>
                <w:lang w:bidi="hi-IN"/>
              </w:rPr>
              <w:t xml:space="preserve">内容基本完整、针对性较强、基本符合要求的得</w:t>
            </w:r>
            <w:r>
              <w:rPr>
                <w:rFonts w:hint="eastAsia" w:ascii="仿宋" w:hAnsi="仿宋" w:eastAsia="仿宋" w:cs="仿宋"/>
                <w:color w:val="auto"/>
                <w:sz w:val="24"/>
                <w:szCs w:val="24"/>
                <w:highlight w:val="none"/>
                <w:lang w:val="en-US" w:eastAsia="zh-CN" w:bidi="hi-IN"/>
              </w:rPr>
              <w:t xml:space="preserve">9</w:t>
            </w:r>
            <w:r>
              <w:rPr>
                <w:rFonts w:hint="eastAsia" w:ascii="仿宋" w:hAnsi="仿宋" w:eastAsia="仿宋" w:cs="仿宋"/>
                <w:color w:val="auto"/>
                <w:sz w:val="24"/>
                <w:szCs w:val="24"/>
                <w:highlight w:val="none"/>
                <w:lang w:bidi="hi-IN"/>
              </w:rPr>
              <w:t xml:space="preserve">分；</w:t>
            </w:r>
            <w:r/>
          </w:p>
          <w:p>
            <w:pPr>
              <w:jc w:val="left"/>
              <w:rPr>
                <w:rFonts w:hint="eastAsia" w:ascii="仿宋" w:hAnsi="仿宋" w:eastAsia="仿宋" w:cs="仿宋"/>
                <w:color w:val="auto"/>
                <w:sz w:val="24"/>
                <w:szCs w:val="24"/>
                <w:highlight w:val="none"/>
                <w:lang w:bidi="hi-IN"/>
              </w:rPr>
            </w:pPr>
            <w:r>
              <w:rPr>
                <w:rFonts w:hint="eastAsia" w:ascii="仿宋" w:hAnsi="仿宋" w:eastAsia="仿宋" w:cs="仿宋"/>
                <w:color w:val="auto"/>
                <w:sz w:val="24"/>
                <w:szCs w:val="24"/>
                <w:highlight w:val="none"/>
                <w:lang w:bidi="hi-IN"/>
              </w:rPr>
              <w:t xml:space="preserve">内容一般、基本可行的得</w:t>
            </w:r>
            <w:r>
              <w:rPr>
                <w:rFonts w:hint="eastAsia" w:ascii="仿宋" w:hAnsi="仿宋" w:eastAsia="仿宋" w:cs="仿宋"/>
                <w:color w:val="auto"/>
                <w:sz w:val="24"/>
                <w:szCs w:val="24"/>
                <w:highlight w:val="none"/>
                <w:lang w:val="en-US" w:eastAsia="zh-CN" w:bidi="hi-IN"/>
              </w:rPr>
              <w:t xml:space="preserve">6</w:t>
            </w:r>
            <w:r>
              <w:rPr>
                <w:rFonts w:hint="eastAsia" w:ascii="仿宋" w:hAnsi="仿宋" w:eastAsia="仿宋" w:cs="仿宋"/>
                <w:color w:val="auto"/>
                <w:sz w:val="24"/>
                <w:szCs w:val="24"/>
                <w:highlight w:val="none"/>
                <w:lang w:bidi="hi-IN"/>
              </w:rPr>
              <w:t xml:space="preserve">分；</w:t>
            </w:r>
            <w:r/>
          </w:p>
          <w:p>
            <w:pPr>
              <w:jc w:val="left"/>
              <w:rPr>
                <w:rFonts w:hint="eastAsia" w:ascii="仿宋" w:hAnsi="仿宋" w:eastAsia="仿宋" w:cs="仿宋"/>
                <w:color w:val="auto"/>
                <w:sz w:val="24"/>
                <w:szCs w:val="24"/>
                <w:highlight w:val="none"/>
                <w:lang w:bidi="hi-IN"/>
              </w:rPr>
            </w:pPr>
            <w:r>
              <w:rPr>
                <w:rFonts w:hint="eastAsia" w:ascii="仿宋" w:hAnsi="仿宋" w:eastAsia="仿宋" w:cs="仿宋"/>
                <w:color w:val="auto"/>
                <w:sz w:val="24"/>
                <w:szCs w:val="24"/>
                <w:highlight w:val="none"/>
                <w:lang w:bidi="hi-IN"/>
              </w:rPr>
              <w:t xml:space="preserve">内容较差或有缺陷的得</w:t>
            </w:r>
            <w:r>
              <w:rPr>
                <w:rFonts w:hint="eastAsia" w:ascii="仿宋" w:hAnsi="仿宋" w:eastAsia="仿宋" w:cs="仿宋"/>
                <w:color w:val="auto"/>
                <w:sz w:val="24"/>
                <w:szCs w:val="24"/>
                <w:highlight w:val="none"/>
                <w:lang w:val="en-US" w:eastAsia="zh-CN" w:bidi="hi-IN"/>
              </w:rPr>
              <w:t xml:space="preserve">3</w:t>
            </w:r>
            <w:r>
              <w:rPr>
                <w:rFonts w:hint="eastAsia" w:ascii="仿宋" w:hAnsi="仿宋" w:eastAsia="仿宋" w:cs="仿宋"/>
                <w:color w:val="auto"/>
                <w:sz w:val="24"/>
                <w:szCs w:val="24"/>
                <w:highlight w:val="none"/>
                <w:lang w:bidi="hi-IN"/>
              </w:rPr>
              <w:t xml:space="preserve">分；</w:t>
            </w:r>
            <w:r/>
          </w:p>
          <w:p>
            <w:pPr>
              <w:jc w:val="left"/>
              <w:rPr>
                <w:rFonts w:hint="eastAsia" w:ascii="仿宋" w:hAnsi="仿宋" w:eastAsia="仿宋" w:cs="仿宋"/>
                <w:color w:val="auto"/>
                <w:sz w:val="24"/>
                <w:szCs w:val="24"/>
                <w:highlight w:val="none"/>
                <w:lang w:bidi="hi-IN"/>
              </w:rPr>
            </w:pPr>
            <w:r>
              <w:rPr>
                <w:rFonts w:hint="eastAsia" w:ascii="仿宋" w:hAnsi="仿宋" w:eastAsia="仿宋" w:cs="仿宋"/>
                <w:color w:val="auto"/>
                <w:sz w:val="24"/>
                <w:szCs w:val="24"/>
                <w:highlight w:val="none"/>
                <w:lang w:bidi="hi-IN"/>
              </w:rPr>
              <w:t xml:space="preserve">本项最高得1</w:t>
            </w:r>
            <w:r>
              <w:rPr>
                <w:rFonts w:hint="eastAsia" w:ascii="仿宋" w:hAnsi="仿宋" w:eastAsia="仿宋" w:cs="仿宋"/>
                <w:color w:val="auto"/>
                <w:sz w:val="24"/>
                <w:szCs w:val="24"/>
                <w:highlight w:val="none"/>
                <w:lang w:val="en-US" w:eastAsia="zh-CN" w:bidi="hi-IN"/>
              </w:rPr>
              <w:t xml:space="preserve">2</w:t>
            </w:r>
            <w:r>
              <w:rPr>
                <w:rFonts w:hint="eastAsia" w:ascii="仿宋" w:hAnsi="仿宋" w:eastAsia="仿宋" w:cs="仿宋"/>
                <w:color w:val="auto"/>
                <w:sz w:val="24"/>
                <w:szCs w:val="24"/>
                <w:highlight w:val="none"/>
                <w:lang w:bidi="hi-IN"/>
              </w:rPr>
              <w:t xml:space="preserve">分，</w:t>
            </w:r>
            <w:r>
              <w:rPr>
                <w:rFonts w:hint="eastAsia" w:ascii="仿宋" w:hAnsi="仿宋" w:eastAsia="仿宋" w:cs="仿宋"/>
                <w:color w:val="auto"/>
                <w:sz w:val="24"/>
                <w:szCs w:val="24"/>
                <w:highlight w:val="none"/>
              </w:rPr>
              <w:t xml:space="preserve">无具体内容的得0分</w:t>
            </w:r>
            <w:r>
              <w:rPr>
                <w:rFonts w:hint="eastAsia" w:ascii="仿宋" w:hAnsi="仿宋" w:eastAsia="仿宋" w:cs="仿宋"/>
                <w:color w:val="auto"/>
                <w:sz w:val="24"/>
                <w:szCs w:val="24"/>
                <w:highlight w:val="none"/>
                <w:lang w:bidi="hi-IN"/>
              </w:rPr>
              <w:t xml:space="preserve">。</w:t>
            </w:r>
            <w:r/>
          </w:p>
        </w:tc>
      </w:tr>
      <w:tr>
        <w:trPr>
          <w:cantSplit/>
          <w:jc w:val="center"/>
          <w:trHeight w:val="567"/>
        </w:trPr>
        <w:tc>
          <w:tcPr>
            <w:tcBorders>
              <w:left w:val="single" w:color="000000" w:sz="4" w:space="0"/>
              <w:right w:val="single" w:color="000000" w:sz="4" w:space="0"/>
            </w:tcBorders>
            <w:tcW w:w="1366" w:type="dxa"/>
            <w:vAlign w:val="center"/>
            <w:vMerge w:val="continue"/>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000000" w:sz="4" w:space="0"/>
              <w:bottom w:val="single" w:color="auto" w:sz="4" w:space="0"/>
              <w:right w:val="single" w:color="000000" w:sz="4" w:space="0"/>
            </w:tcBorders>
            <w:tcW w:w="1334"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施工进度计划和各阶段进度的保证措施</w:t>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w:t>
            </w:r>
            <w:r/>
          </w:p>
        </w:tc>
        <w:tc>
          <w:tcPr>
            <w:tcBorders>
              <w:top w:val="single" w:color="auto" w:sz="4" w:space="0"/>
              <w:left w:val="single" w:color="000000" w:sz="4" w:space="0"/>
              <w:bottom w:val="single" w:color="auto" w:sz="4" w:space="0"/>
              <w:right w:val="single" w:color="000000" w:sz="4" w:space="0"/>
            </w:tcBorders>
            <w:tcW w:w="7887" w:type="dxa"/>
            <w:vAlign w:val="center"/>
            <w:textDirection w:val="lrTb"/>
            <w:noWrap w:val="false"/>
          </w:tcPr>
          <w:p>
            <w:pPr>
              <w:jc w:val="left"/>
              <w:rPr>
                <w:rFonts w:hint="eastAsia" w:ascii="仿宋" w:hAnsi="仿宋" w:eastAsia="仿宋" w:cs="仿宋"/>
                <w:color w:val="auto"/>
                <w:sz w:val="24"/>
                <w:szCs w:val="24"/>
                <w:highlight w:val="none"/>
                <w:lang w:bidi="hi-IN"/>
              </w:rPr>
            </w:pPr>
            <w:r>
              <w:rPr>
                <w:rFonts w:hint="eastAsia" w:ascii="仿宋" w:hAnsi="仿宋" w:eastAsia="仿宋" w:cs="仿宋"/>
                <w:color w:val="auto"/>
                <w:sz w:val="24"/>
                <w:szCs w:val="24"/>
                <w:highlight w:val="none"/>
                <w:lang w:bidi="hi-IN"/>
              </w:rPr>
              <w:t xml:space="preserve">根据响应文件中施工进度计划和各阶段进度的保证措施进行综合评价：</w:t>
            </w:r>
            <w:r/>
          </w:p>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内容详细具体、科学合理、针对性强、内容完整的得1</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w:t>
            </w:r>
            <w:r/>
          </w:p>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内容基本完整、针对性较强、基本符合要求的得</w:t>
            </w: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rPr>
              <w:t xml:space="preserve">分；</w:t>
            </w:r>
            <w:r/>
          </w:p>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内容一般、基本可行的得</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分；</w:t>
            </w:r>
            <w:r/>
          </w:p>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内容较差</w:t>
            </w:r>
            <w:r>
              <w:rPr>
                <w:rFonts w:hint="eastAsia" w:ascii="仿宋" w:hAnsi="仿宋" w:eastAsia="仿宋" w:cs="仿宋"/>
                <w:color w:val="auto"/>
                <w:sz w:val="24"/>
                <w:szCs w:val="24"/>
                <w:highlight w:val="none"/>
                <w:lang w:bidi="hi-IN"/>
              </w:rPr>
              <w:t xml:space="preserve">或有缺陷的得</w:t>
            </w:r>
            <w:r>
              <w:rPr>
                <w:rFonts w:hint="eastAsia" w:ascii="仿宋" w:hAnsi="仿宋" w:eastAsia="仿宋" w:cs="仿宋"/>
                <w:color w:val="auto"/>
                <w:sz w:val="24"/>
                <w:szCs w:val="24"/>
                <w:highlight w:val="none"/>
                <w:lang w:val="en-US" w:eastAsia="zh-CN" w:bidi="hi-IN"/>
              </w:rPr>
              <w:t xml:space="preserve">3</w:t>
            </w:r>
            <w:r>
              <w:rPr>
                <w:rFonts w:hint="eastAsia" w:ascii="仿宋" w:hAnsi="仿宋" w:eastAsia="仿宋" w:cs="仿宋"/>
                <w:color w:val="auto"/>
                <w:sz w:val="24"/>
                <w:szCs w:val="24"/>
                <w:highlight w:val="none"/>
                <w:lang w:bidi="hi-IN"/>
              </w:rPr>
              <w:t xml:space="preserve">分；</w:t>
            </w:r>
            <w:r/>
          </w:p>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hi-IN"/>
              </w:rPr>
              <w:t xml:space="preserve">本项最高得1</w:t>
            </w:r>
            <w:r>
              <w:rPr>
                <w:rFonts w:hint="eastAsia" w:ascii="仿宋" w:hAnsi="仿宋" w:eastAsia="仿宋" w:cs="仿宋"/>
                <w:color w:val="auto"/>
                <w:sz w:val="24"/>
                <w:szCs w:val="24"/>
                <w:highlight w:val="none"/>
                <w:lang w:val="en-US" w:eastAsia="zh-CN" w:bidi="hi-IN"/>
              </w:rPr>
              <w:t xml:space="preserve">2</w:t>
            </w:r>
            <w:r>
              <w:rPr>
                <w:rFonts w:hint="eastAsia" w:ascii="仿宋" w:hAnsi="仿宋" w:eastAsia="仿宋" w:cs="仿宋"/>
                <w:color w:val="auto"/>
                <w:sz w:val="24"/>
                <w:szCs w:val="24"/>
                <w:highlight w:val="none"/>
                <w:lang w:bidi="hi-IN"/>
              </w:rPr>
              <w:t xml:space="preserve">分，</w:t>
            </w:r>
            <w:r>
              <w:rPr>
                <w:rFonts w:hint="eastAsia" w:ascii="仿宋" w:hAnsi="仿宋" w:eastAsia="仿宋" w:cs="仿宋"/>
                <w:color w:val="auto"/>
                <w:sz w:val="24"/>
                <w:szCs w:val="24"/>
                <w:highlight w:val="none"/>
              </w:rPr>
              <w:t xml:space="preserve">无具体内容的得0分。</w:t>
            </w:r>
            <w:r/>
          </w:p>
        </w:tc>
      </w:tr>
      <w:tr>
        <w:trPr>
          <w:cantSplit/>
          <w:jc w:val="center"/>
          <w:trHeight w:val="567"/>
        </w:trPr>
        <w:tc>
          <w:tcPr>
            <w:tcBorders>
              <w:left w:val="single" w:color="000000" w:sz="4" w:space="0"/>
              <w:right w:val="single" w:color="000000" w:sz="4" w:space="0"/>
            </w:tcBorders>
            <w:tcW w:w="1366" w:type="dxa"/>
            <w:vMerge w:val="continue"/>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000000" w:sz="4" w:space="0"/>
              <w:bottom w:val="single" w:color="auto" w:sz="4" w:space="0"/>
              <w:right w:val="single" w:color="000000" w:sz="4" w:space="0"/>
            </w:tcBorders>
            <w:tcW w:w="1334"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hi-IN"/>
              </w:rPr>
              <w:t xml:space="preserve">分部分项工程施工方案、质量保证措施及分段施工方案</w:t>
            </w: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w:t>
            </w:r>
            <w:r/>
          </w:p>
        </w:tc>
        <w:tc>
          <w:tcPr>
            <w:tcBorders>
              <w:top w:val="single" w:color="auto" w:sz="4" w:space="0"/>
              <w:left w:val="single" w:color="000000" w:sz="4" w:space="0"/>
              <w:bottom w:val="single" w:color="auto" w:sz="4" w:space="0"/>
              <w:right w:val="single" w:color="000000" w:sz="4" w:space="0"/>
            </w:tcBorders>
            <w:tcW w:w="7887" w:type="dxa"/>
            <w:vAlign w:val="center"/>
            <w:textDirection w:val="lrTb"/>
            <w:noWrap w:val="false"/>
          </w:tcPr>
          <w:p>
            <w:pPr>
              <w:jc w:val="left"/>
              <w:rPr>
                <w:rFonts w:hint="eastAsia" w:ascii="仿宋" w:hAnsi="仿宋" w:eastAsia="仿宋" w:cs="仿宋"/>
                <w:color w:val="auto"/>
                <w:sz w:val="24"/>
                <w:szCs w:val="24"/>
                <w:highlight w:val="none"/>
                <w:lang w:bidi="hi-IN"/>
              </w:rPr>
            </w:pPr>
            <w:r>
              <w:rPr>
                <w:rFonts w:hint="eastAsia" w:ascii="仿宋" w:hAnsi="仿宋" w:eastAsia="仿宋" w:cs="仿宋"/>
                <w:color w:val="auto"/>
                <w:sz w:val="24"/>
                <w:szCs w:val="24"/>
                <w:highlight w:val="none"/>
                <w:lang w:bidi="hi-IN"/>
              </w:rPr>
              <w:t xml:space="preserve">根据响应文件中各分部分项工程的施工方案、质量保证措施及分段施工方案进行综合评价：</w:t>
            </w:r>
            <w:r/>
          </w:p>
          <w:p>
            <w:pPr>
              <w:jc w:val="left"/>
              <w:rPr>
                <w:rFonts w:hint="eastAsia" w:ascii="仿宋" w:hAnsi="仿宋" w:eastAsia="仿宋" w:cs="仿宋"/>
                <w:color w:val="auto"/>
                <w:sz w:val="24"/>
                <w:szCs w:val="24"/>
                <w:highlight w:val="none"/>
                <w:lang w:bidi="hi-IN"/>
              </w:rPr>
            </w:pPr>
            <w:r>
              <w:rPr>
                <w:rFonts w:hint="eastAsia" w:ascii="仿宋" w:hAnsi="仿宋" w:eastAsia="仿宋" w:cs="仿宋"/>
                <w:color w:val="auto"/>
                <w:sz w:val="24"/>
                <w:szCs w:val="24"/>
                <w:highlight w:val="none"/>
                <w:lang w:bidi="hi-IN"/>
              </w:rPr>
              <w:t xml:space="preserve">内容详细具体、科学合理、针对性强、内容完整的得1</w:t>
            </w:r>
            <w:r>
              <w:rPr>
                <w:rFonts w:hint="eastAsia" w:ascii="仿宋" w:hAnsi="仿宋" w:eastAsia="仿宋" w:cs="仿宋"/>
                <w:color w:val="auto"/>
                <w:sz w:val="24"/>
                <w:szCs w:val="24"/>
                <w:highlight w:val="none"/>
                <w:lang w:val="en-US" w:eastAsia="zh-CN" w:bidi="hi-IN"/>
              </w:rPr>
              <w:t xml:space="preserve">2</w:t>
            </w:r>
            <w:r>
              <w:rPr>
                <w:rFonts w:hint="eastAsia" w:ascii="仿宋" w:hAnsi="仿宋" w:eastAsia="仿宋" w:cs="仿宋"/>
                <w:color w:val="auto"/>
                <w:sz w:val="24"/>
                <w:szCs w:val="24"/>
                <w:highlight w:val="none"/>
                <w:lang w:bidi="hi-IN"/>
              </w:rPr>
              <w:t xml:space="preserve">分；</w:t>
            </w:r>
            <w:r/>
          </w:p>
          <w:p>
            <w:pPr>
              <w:jc w:val="left"/>
              <w:rPr>
                <w:rFonts w:hint="eastAsia" w:ascii="仿宋" w:hAnsi="仿宋" w:eastAsia="仿宋" w:cs="仿宋"/>
                <w:color w:val="auto"/>
                <w:sz w:val="24"/>
                <w:szCs w:val="24"/>
                <w:highlight w:val="none"/>
                <w:lang w:bidi="hi-IN"/>
              </w:rPr>
            </w:pPr>
            <w:r>
              <w:rPr>
                <w:rFonts w:hint="eastAsia" w:ascii="仿宋" w:hAnsi="仿宋" w:eastAsia="仿宋" w:cs="仿宋"/>
                <w:color w:val="auto"/>
                <w:sz w:val="24"/>
                <w:szCs w:val="24"/>
                <w:highlight w:val="none"/>
                <w:lang w:bidi="hi-IN"/>
              </w:rPr>
              <w:t xml:space="preserve">内容基本完整、针对性较强、基本符合要求的得</w:t>
            </w:r>
            <w:r>
              <w:rPr>
                <w:rFonts w:hint="eastAsia" w:ascii="仿宋" w:hAnsi="仿宋" w:eastAsia="仿宋" w:cs="仿宋"/>
                <w:color w:val="auto"/>
                <w:sz w:val="24"/>
                <w:szCs w:val="24"/>
                <w:highlight w:val="none"/>
                <w:lang w:val="en-US" w:eastAsia="zh-CN" w:bidi="hi-IN"/>
              </w:rPr>
              <w:t xml:space="preserve">9</w:t>
            </w:r>
            <w:r>
              <w:rPr>
                <w:rFonts w:hint="eastAsia" w:ascii="仿宋" w:hAnsi="仿宋" w:eastAsia="仿宋" w:cs="仿宋"/>
                <w:color w:val="auto"/>
                <w:sz w:val="24"/>
                <w:szCs w:val="24"/>
                <w:highlight w:val="none"/>
                <w:lang w:bidi="hi-IN"/>
              </w:rPr>
              <w:t xml:space="preserve">分；</w:t>
            </w:r>
            <w:r/>
          </w:p>
          <w:p>
            <w:pPr>
              <w:jc w:val="left"/>
              <w:rPr>
                <w:rFonts w:hint="eastAsia" w:ascii="仿宋" w:hAnsi="仿宋" w:eastAsia="仿宋" w:cs="仿宋"/>
                <w:color w:val="auto"/>
                <w:sz w:val="24"/>
                <w:szCs w:val="24"/>
                <w:highlight w:val="none"/>
                <w:lang w:bidi="hi-IN"/>
              </w:rPr>
            </w:pPr>
            <w:r>
              <w:rPr>
                <w:rFonts w:hint="eastAsia" w:ascii="仿宋" w:hAnsi="仿宋" w:eastAsia="仿宋" w:cs="仿宋"/>
                <w:color w:val="auto"/>
                <w:sz w:val="24"/>
                <w:szCs w:val="24"/>
                <w:highlight w:val="none"/>
                <w:lang w:bidi="hi-IN"/>
              </w:rPr>
              <w:t xml:space="preserve">内容一般、基本可行的得</w:t>
            </w:r>
            <w:r>
              <w:rPr>
                <w:rFonts w:hint="eastAsia" w:ascii="仿宋" w:hAnsi="仿宋" w:eastAsia="仿宋" w:cs="仿宋"/>
                <w:color w:val="auto"/>
                <w:sz w:val="24"/>
                <w:szCs w:val="24"/>
                <w:highlight w:val="none"/>
                <w:lang w:val="en-US" w:eastAsia="zh-CN" w:bidi="hi-IN"/>
              </w:rPr>
              <w:t xml:space="preserve">6</w:t>
            </w:r>
            <w:r>
              <w:rPr>
                <w:rFonts w:hint="eastAsia" w:ascii="仿宋" w:hAnsi="仿宋" w:eastAsia="仿宋" w:cs="仿宋"/>
                <w:color w:val="auto"/>
                <w:sz w:val="24"/>
                <w:szCs w:val="24"/>
                <w:highlight w:val="none"/>
                <w:lang w:bidi="hi-IN"/>
              </w:rPr>
              <w:t xml:space="preserve">分；</w:t>
            </w:r>
            <w:r/>
          </w:p>
          <w:p>
            <w:pPr>
              <w:jc w:val="left"/>
              <w:rPr>
                <w:rFonts w:hint="eastAsia" w:ascii="仿宋" w:hAnsi="仿宋" w:eastAsia="仿宋" w:cs="仿宋"/>
                <w:color w:val="auto"/>
                <w:sz w:val="24"/>
                <w:szCs w:val="24"/>
                <w:highlight w:val="none"/>
                <w:lang w:bidi="hi-IN"/>
              </w:rPr>
            </w:pPr>
            <w:r>
              <w:rPr>
                <w:rFonts w:hint="eastAsia" w:ascii="仿宋" w:hAnsi="仿宋" w:eastAsia="仿宋" w:cs="仿宋"/>
                <w:color w:val="auto"/>
                <w:sz w:val="24"/>
                <w:szCs w:val="24"/>
                <w:highlight w:val="none"/>
                <w:lang w:bidi="hi-IN"/>
              </w:rPr>
              <w:t xml:space="preserve">内容较差或有缺陷的得</w:t>
            </w:r>
            <w:r>
              <w:rPr>
                <w:rFonts w:hint="eastAsia" w:ascii="仿宋" w:hAnsi="仿宋" w:eastAsia="仿宋" w:cs="仿宋"/>
                <w:color w:val="auto"/>
                <w:sz w:val="24"/>
                <w:szCs w:val="24"/>
                <w:highlight w:val="none"/>
                <w:lang w:val="en-US" w:eastAsia="zh-CN" w:bidi="hi-IN"/>
              </w:rPr>
              <w:t xml:space="preserve">3</w:t>
            </w:r>
            <w:r>
              <w:rPr>
                <w:rFonts w:hint="eastAsia" w:ascii="仿宋" w:hAnsi="仿宋" w:eastAsia="仿宋" w:cs="仿宋"/>
                <w:color w:val="auto"/>
                <w:sz w:val="24"/>
                <w:szCs w:val="24"/>
                <w:highlight w:val="none"/>
                <w:lang w:bidi="hi-IN"/>
              </w:rPr>
              <w:t xml:space="preserve">分；</w:t>
            </w:r>
            <w:r/>
          </w:p>
          <w:p>
            <w:pPr>
              <w:jc w:val="left"/>
              <w:rPr>
                <w:rFonts w:hint="eastAsia" w:ascii="仿宋" w:hAnsi="仿宋" w:eastAsia="仿宋" w:cs="仿宋"/>
                <w:color w:val="auto"/>
                <w:sz w:val="24"/>
                <w:szCs w:val="24"/>
                <w:highlight w:val="none"/>
                <w:lang w:bidi="hi-IN"/>
              </w:rPr>
            </w:pPr>
            <w:r>
              <w:rPr>
                <w:rFonts w:hint="eastAsia" w:ascii="仿宋" w:hAnsi="仿宋" w:eastAsia="仿宋" w:cs="仿宋"/>
                <w:color w:val="auto"/>
                <w:sz w:val="24"/>
                <w:szCs w:val="24"/>
                <w:highlight w:val="none"/>
                <w:lang w:bidi="hi-IN"/>
              </w:rPr>
              <w:t xml:space="preserve">本项最高得1</w:t>
            </w:r>
            <w:r>
              <w:rPr>
                <w:rFonts w:hint="eastAsia" w:ascii="仿宋" w:hAnsi="仿宋" w:eastAsia="仿宋" w:cs="仿宋"/>
                <w:color w:val="auto"/>
                <w:sz w:val="24"/>
                <w:szCs w:val="24"/>
                <w:highlight w:val="none"/>
                <w:lang w:val="en-US" w:eastAsia="zh-CN" w:bidi="hi-IN"/>
              </w:rPr>
              <w:t xml:space="preserve">2</w:t>
            </w:r>
            <w:r>
              <w:rPr>
                <w:rFonts w:hint="eastAsia" w:ascii="仿宋" w:hAnsi="仿宋" w:eastAsia="仿宋" w:cs="仿宋"/>
                <w:color w:val="auto"/>
                <w:sz w:val="24"/>
                <w:szCs w:val="24"/>
                <w:highlight w:val="none"/>
                <w:lang w:bidi="hi-IN"/>
              </w:rPr>
              <w:t xml:space="preserve">分，无具体内容的得0分。</w:t>
            </w:r>
            <w:r/>
          </w:p>
        </w:tc>
      </w:tr>
      <w:tr>
        <w:trPr>
          <w:cantSplit/>
          <w:jc w:val="center"/>
          <w:trHeight w:val="567"/>
        </w:trPr>
        <w:tc>
          <w:tcPr>
            <w:tcBorders>
              <w:left w:val="single" w:color="000000" w:sz="4" w:space="0"/>
              <w:right w:val="single" w:color="000000" w:sz="4" w:space="0"/>
            </w:tcBorders>
            <w:tcW w:w="1366" w:type="dxa"/>
            <w:vMerge w:val="continue"/>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000000" w:sz="4" w:space="0"/>
              <w:bottom w:val="single" w:color="auto" w:sz="4" w:space="0"/>
              <w:right w:val="single" w:color="000000" w:sz="4" w:space="0"/>
            </w:tcBorders>
            <w:tcW w:w="1334"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项目管理班子人员配备、素质及管理经验</w:t>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rPr>
              <w:t xml:space="preserve">分）</w:t>
            </w:r>
            <w:r/>
          </w:p>
        </w:tc>
        <w:tc>
          <w:tcPr>
            <w:tcBorders>
              <w:top w:val="single" w:color="auto" w:sz="4" w:space="0"/>
              <w:left w:val="single" w:color="000000" w:sz="4" w:space="0"/>
              <w:bottom w:val="single" w:color="auto" w:sz="4" w:space="0"/>
              <w:right w:val="single" w:color="000000" w:sz="4" w:space="0"/>
            </w:tcBorders>
            <w:tcW w:w="7887" w:type="dxa"/>
            <w:vAlign w:val="center"/>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项目管理班子人员的配备、素质及管理经验，对内容详细具体、科学合理、措施可靠，组织严谨、针对性强等方面进行评价：</w:t>
            </w:r>
            <w:r/>
          </w:p>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内容详细具体、科学合理、针对性强、内容完整的得</w:t>
            </w: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rPr>
              <w:t xml:space="preserve">分；</w:t>
            </w:r>
            <w:r/>
          </w:p>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内容基本完整、针对性较强、基本符合要求的得</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分；</w:t>
            </w:r>
            <w:r/>
          </w:p>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内容一般、基本可行的得3分；</w:t>
            </w:r>
            <w:r/>
          </w:p>
          <w:p>
            <w:pPr>
              <w:ind w:right="6"/>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内容较差或有缺陷的得1分；</w:t>
            </w:r>
            <w:r/>
          </w:p>
          <w:p>
            <w:pPr>
              <w:ind w:right="6"/>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hi-IN"/>
              </w:rPr>
              <w:t xml:space="preserve">本项最高得</w:t>
            </w:r>
            <w:r>
              <w:rPr>
                <w:rFonts w:hint="eastAsia" w:ascii="仿宋" w:hAnsi="仿宋" w:eastAsia="仿宋" w:cs="仿宋"/>
                <w:color w:val="auto"/>
                <w:sz w:val="24"/>
                <w:szCs w:val="24"/>
                <w:highlight w:val="none"/>
                <w:lang w:val="en-US" w:eastAsia="zh-CN" w:bidi="hi-IN"/>
              </w:rPr>
              <w:t xml:space="preserve">9</w:t>
            </w:r>
            <w:r>
              <w:rPr>
                <w:rFonts w:hint="eastAsia" w:ascii="仿宋" w:hAnsi="仿宋" w:eastAsia="仿宋" w:cs="仿宋"/>
                <w:color w:val="auto"/>
                <w:sz w:val="24"/>
                <w:szCs w:val="24"/>
                <w:highlight w:val="none"/>
                <w:lang w:bidi="hi-IN"/>
              </w:rPr>
              <w:t xml:space="preserve">分，</w:t>
            </w:r>
            <w:r>
              <w:rPr>
                <w:rFonts w:hint="eastAsia" w:ascii="仿宋" w:hAnsi="仿宋" w:eastAsia="仿宋" w:cs="仿宋"/>
                <w:color w:val="auto"/>
                <w:sz w:val="24"/>
                <w:szCs w:val="24"/>
                <w:highlight w:val="none"/>
              </w:rPr>
              <w:t xml:space="preserve">无具体内容的得0分。</w:t>
            </w:r>
            <w:r/>
          </w:p>
        </w:tc>
      </w:tr>
      <w:tr>
        <w:trPr>
          <w:cantSplit/>
          <w:jc w:val="center"/>
          <w:trHeight w:val="567"/>
        </w:trPr>
        <w:tc>
          <w:tcPr>
            <w:tcBorders>
              <w:left w:val="single" w:color="000000" w:sz="4" w:space="0"/>
              <w:right w:val="single" w:color="000000" w:sz="4" w:space="0"/>
            </w:tcBorders>
            <w:tcW w:w="1366" w:type="dxa"/>
            <w:vMerge w:val="continue"/>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000000" w:sz="4" w:space="0"/>
              <w:bottom w:val="single" w:color="auto" w:sz="4" w:space="0"/>
              <w:right w:val="single" w:color="000000" w:sz="4" w:space="0"/>
            </w:tcBorders>
            <w:tcW w:w="1334"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劳动力、机械设备和材料投入计划（1</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w:t>
            </w:r>
            <w:r/>
          </w:p>
        </w:tc>
        <w:tc>
          <w:tcPr>
            <w:tcBorders>
              <w:top w:val="single" w:color="auto" w:sz="4" w:space="0"/>
              <w:left w:val="single" w:color="000000" w:sz="4" w:space="0"/>
              <w:bottom w:val="single" w:color="auto" w:sz="4" w:space="0"/>
              <w:right w:val="single" w:color="000000" w:sz="4" w:space="0"/>
            </w:tcBorders>
            <w:tcW w:w="7887" w:type="dxa"/>
            <w:vAlign w:val="center"/>
            <w:textDirection w:val="lrTb"/>
            <w:noWrap w:val="false"/>
          </w:tcPr>
          <w:p>
            <w:pPr>
              <w:jc w:val="left"/>
              <w:rPr>
                <w:rFonts w:hint="eastAsia" w:ascii="仿宋" w:hAnsi="仿宋" w:eastAsia="仿宋" w:cs="仿宋"/>
                <w:color w:val="auto"/>
                <w:sz w:val="24"/>
                <w:szCs w:val="24"/>
                <w:highlight w:val="none"/>
                <w:lang w:val="en-US" w:eastAsia="zh-CN" w:bidi="hi-IN"/>
              </w:rPr>
            </w:pPr>
            <w:r>
              <w:rPr>
                <w:rFonts w:hint="eastAsia" w:ascii="仿宋" w:hAnsi="仿宋" w:eastAsia="仿宋" w:cs="仿宋"/>
                <w:color w:val="auto"/>
                <w:sz w:val="24"/>
                <w:szCs w:val="24"/>
                <w:highlight w:val="none"/>
                <w:lang w:val="en-US" w:eastAsia="zh-CN" w:bidi="hi-IN"/>
              </w:rPr>
              <w:t xml:space="preserve">根据供应商提供的劳动力、机械设备和材料投入计划进行总体评价。</w:t>
            </w:r>
            <w:r/>
          </w:p>
          <w:p>
            <w:pPr>
              <w:jc w:val="left"/>
              <w:rPr>
                <w:rFonts w:hint="eastAsia" w:ascii="仿宋" w:hAnsi="仿宋" w:eastAsia="仿宋" w:cs="仿宋"/>
                <w:color w:val="auto"/>
                <w:sz w:val="24"/>
                <w:szCs w:val="24"/>
                <w:highlight w:val="none"/>
                <w:lang w:bidi="hi-IN"/>
              </w:rPr>
            </w:pPr>
            <w:r>
              <w:rPr>
                <w:rFonts w:hint="eastAsia" w:ascii="仿宋" w:hAnsi="仿宋" w:eastAsia="仿宋" w:cs="仿宋"/>
                <w:color w:val="auto"/>
                <w:sz w:val="24"/>
                <w:szCs w:val="24"/>
                <w:highlight w:val="none"/>
                <w:lang w:bidi="hi-IN"/>
              </w:rPr>
              <w:t xml:space="preserve">内容详细具体、科学合理、针对性强、内容完整的得1</w:t>
            </w:r>
            <w:r>
              <w:rPr>
                <w:rFonts w:hint="eastAsia" w:ascii="仿宋" w:hAnsi="仿宋" w:eastAsia="仿宋" w:cs="仿宋"/>
                <w:color w:val="auto"/>
                <w:sz w:val="24"/>
                <w:szCs w:val="24"/>
                <w:highlight w:val="none"/>
                <w:lang w:val="en-US" w:eastAsia="zh-CN" w:bidi="hi-IN"/>
              </w:rPr>
              <w:t xml:space="preserve">2</w:t>
            </w:r>
            <w:r>
              <w:rPr>
                <w:rFonts w:hint="eastAsia" w:ascii="仿宋" w:hAnsi="仿宋" w:eastAsia="仿宋" w:cs="仿宋"/>
                <w:color w:val="auto"/>
                <w:sz w:val="24"/>
                <w:szCs w:val="24"/>
                <w:highlight w:val="none"/>
                <w:lang w:bidi="hi-IN"/>
              </w:rPr>
              <w:t xml:space="preserve">分；</w:t>
            </w:r>
            <w:r/>
          </w:p>
          <w:p>
            <w:pPr>
              <w:jc w:val="left"/>
              <w:rPr>
                <w:rFonts w:hint="eastAsia" w:ascii="仿宋" w:hAnsi="仿宋" w:eastAsia="仿宋" w:cs="仿宋"/>
                <w:color w:val="auto"/>
                <w:sz w:val="24"/>
                <w:szCs w:val="24"/>
                <w:highlight w:val="none"/>
                <w:lang w:bidi="hi-IN"/>
              </w:rPr>
            </w:pPr>
            <w:r>
              <w:rPr>
                <w:rFonts w:hint="eastAsia" w:ascii="仿宋" w:hAnsi="仿宋" w:eastAsia="仿宋" w:cs="仿宋"/>
                <w:color w:val="auto"/>
                <w:sz w:val="24"/>
                <w:szCs w:val="24"/>
                <w:highlight w:val="none"/>
                <w:lang w:bidi="hi-IN"/>
              </w:rPr>
              <w:t xml:space="preserve">内容基本完整、针对性较强、基本符合要求的得</w:t>
            </w:r>
            <w:r>
              <w:rPr>
                <w:rFonts w:hint="eastAsia" w:ascii="仿宋" w:hAnsi="仿宋" w:eastAsia="仿宋" w:cs="仿宋"/>
                <w:color w:val="auto"/>
                <w:sz w:val="24"/>
                <w:szCs w:val="24"/>
                <w:highlight w:val="none"/>
                <w:lang w:val="en-US" w:eastAsia="zh-CN" w:bidi="hi-IN"/>
              </w:rPr>
              <w:t xml:space="preserve">9</w:t>
            </w:r>
            <w:r>
              <w:rPr>
                <w:rFonts w:hint="eastAsia" w:ascii="仿宋" w:hAnsi="仿宋" w:eastAsia="仿宋" w:cs="仿宋"/>
                <w:color w:val="auto"/>
                <w:sz w:val="24"/>
                <w:szCs w:val="24"/>
                <w:highlight w:val="none"/>
                <w:lang w:bidi="hi-IN"/>
              </w:rPr>
              <w:t xml:space="preserve">分；</w:t>
            </w:r>
            <w:r/>
          </w:p>
          <w:p>
            <w:pPr>
              <w:jc w:val="left"/>
              <w:rPr>
                <w:rFonts w:hint="eastAsia" w:ascii="仿宋" w:hAnsi="仿宋" w:eastAsia="仿宋" w:cs="仿宋"/>
                <w:color w:val="auto"/>
                <w:sz w:val="24"/>
                <w:szCs w:val="24"/>
                <w:highlight w:val="none"/>
                <w:lang w:bidi="hi-IN"/>
              </w:rPr>
            </w:pPr>
            <w:r>
              <w:rPr>
                <w:rFonts w:hint="eastAsia" w:ascii="仿宋" w:hAnsi="仿宋" w:eastAsia="仿宋" w:cs="仿宋"/>
                <w:color w:val="auto"/>
                <w:sz w:val="24"/>
                <w:szCs w:val="24"/>
                <w:highlight w:val="none"/>
                <w:lang w:bidi="hi-IN"/>
              </w:rPr>
              <w:t xml:space="preserve">内容一般、基本可行的得</w:t>
            </w:r>
            <w:r>
              <w:rPr>
                <w:rFonts w:hint="eastAsia" w:ascii="仿宋" w:hAnsi="仿宋" w:eastAsia="仿宋" w:cs="仿宋"/>
                <w:color w:val="auto"/>
                <w:sz w:val="24"/>
                <w:szCs w:val="24"/>
                <w:highlight w:val="none"/>
                <w:lang w:val="en-US" w:eastAsia="zh-CN" w:bidi="hi-IN"/>
              </w:rPr>
              <w:t xml:space="preserve">6</w:t>
            </w:r>
            <w:r>
              <w:rPr>
                <w:rFonts w:hint="eastAsia" w:ascii="仿宋" w:hAnsi="仿宋" w:eastAsia="仿宋" w:cs="仿宋"/>
                <w:color w:val="auto"/>
                <w:sz w:val="24"/>
                <w:szCs w:val="24"/>
                <w:highlight w:val="none"/>
                <w:lang w:bidi="hi-IN"/>
              </w:rPr>
              <w:t xml:space="preserve">分；</w:t>
            </w:r>
            <w:r/>
          </w:p>
          <w:p>
            <w:pPr>
              <w:jc w:val="left"/>
              <w:rPr>
                <w:rFonts w:hint="eastAsia" w:ascii="仿宋" w:hAnsi="仿宋" w:eastAsia="仿宋" w:cs="仿宋"/>
                <w:color w:val="auto"/>
                <w:sz w:val="24"/>
                <w:szCs w:val="24"/>
                <w:highlight w:val="none"/>
                <w:lang w:bidi="hi-IN"/>
              </w:rPr>
            </w:pPr>
            <w:r>
              <w:rPr>
                <w:rFonts w:hint="eastAsia" w:ascii="仿宋" w:hAnsi="仿宋" w:eastAsia="仿宋" w:cs="仿宋"/>
                <w:color w:val="auto"/>
                <w:sz w:val="24"/>
                <w:szCs w:val="24"/>
                <w:highlight w:val="none"/>
                <w:lang w:bidi="hi-IN"/>
              </w:rPr>
              <w:t xml:space="preserve">内容较差或有缺陷的得</w:t>
            </w:r>
            <w:r>
              <w:rPr>
                <w:rFonts w:hint="eastAsia" w:ascii="仿宋" w:hAnsi="仿宋" w:eastAsia="仿宋" w:cs="仿宋"/>
                <w:color w:val="auto"/>
                <w:sz w:val="24"/>
                <w:szCs w:val="24"/>
                <w:highlight w:val="none"/>
                <w:lang w:val="en-US" w:eastAsia="zh-CN" w:bidi="hi-IN"/>
              </w:rPr>
              <w:t xml:space="preserve">3</w:t>
            </w:r>
            <w:r>
              <w:rPr>
                <w:rFonts w:hint="eastAsia" w:ascii="仿宋" w:hAnsi="仿宋" w:eastAsia="仿宋" w:cs="仿宋"/>
                <w:color w:val="auto"/>
                <w:sz w:val="24"/>
                <w:szCs w:val="24"/>
                <w:highlight w:val="none"/>
                <w:lang w:bidi="hi-IN"/>
              </w:rPr>
              <w:t xml:space="preserve">分；</w:t>
            </w:r>
            <w:r/>
          </w:p>
          <w:p>
            <w:pPr>
              <w:jc w:val="left"/>
              <w:rPr>
                <w:rFonts w:hint="eastAsia" w:ascii="仿宋" w:hAnsi="仿宋" w:eastAsia="仿宋" w:cs="仿宋"/>
                <w:color w:val="auto"/>
                <w:sz w:val="24"/>
                <w:szCs w:val="24"/>
                <w:highlight w:val="none"/>
                <w:lang w:bidi="hi-IN"/>
              </w:rPr>
            </w:pPr>
            <w:r>
              <w:rPr>
                <w:rFonts w:hint="eastAsia" w:ascii="仿宋" w:hAnsi="仿宋" w:eastAsia="仿宋" w:cs="仿宋"/>
                <w:color w:val="auto"/>
                <w:sz w:val="24"/>
                <w:szCs w:val="24"/>
                <w:highlight w:val="none"/>
                <w:lang w:bidi="hi-IN"/>
              </w:rPr>
              <w:t xml:space="preserve">本项最高得1</w:t>
            </w:r>
            <w:r>
              <w:rPr>
                <w:rFonts w:hint="eastAsia" w:ascii="仿宋" w:hAnsi="仿宋" w:eastAsia="仿宋" w:cs="仿宋"/>
                <w:color w:val="auto"/>
                <w:sz w:val="24"/>
                <w:szCs w:val="24"/>
                <w:highlight w:val="none"/>
                <w:lang w:val="en-US" w:eastAsia="zh-CN" w:bidi="hi-IN"/>
              </w:rPr>
              <w:t xml:space="preserve">2</w:t>
            </w:r>
            <w:r>
              <w:rPr>
                <w:rFonts w:hint="eastAsia" w:ascii="仿宋" w:hAnsi="仿宋" w:eastAsia="仿宋" w:cs="仿宋"/>
                <w:color w:val="auto"/>
                <w:sz w:val="24"/>
                <w:szCs w:val="24"/>
                <w:highlight w:val="none"/>
                <w:lang w:bidi="hi-IN"/>
              </w:rPr>
              <w:t xml:space="preserve">分，无具体内容的得0分。</w:t>
            </w:r>
            <w:r/>
          </w:p>
        </w:tc>
      </w:tr>
      <w:tr>
        <w:trPr>
          <w:cantSplit/>
          <w:jc w:val="center"/>
          <w:trHeight w:val="567"/>
        </w:trPr>
        <w:tc>
          <w:tcPr>
            <w:tcBorders>
              <w:left w:val="single" w:color="000000" w:sz="4" w:space="0"/>
              <w:right w:val="single" w:color="000000" w:sz="4" w:space="0"/>
            </w:tcBorders>
            <w:tcW w:w="1366" w:type="dxa"/>
            <w:vMerge w:val="continue"/>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000000" w:sz="4" w:space="0"/>
              <w:bottom w:val="single" w:color="000000" w:sz="4" w:space="0"/>
              <w:right w:val="single" w:color="000000" w:sz="4" w:space="0"/>
            </w:tcBorders>
            <w:tcW w:w="1334"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安全文明</w:t>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施工方案</w:t>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w:t>
            </w:r>
            <w:r/>
          </w:p>
        </w:tc>
        <w:tc>
          <w:tcPr>
            <w:tcBorders>
              <w:top w:val="single" w:color="auto" w:sz="4" w:space="0"/>
              <w:left w:val="single" w:color="000000" w:sz="4" w:space="0"/>
              <w:bottom w:val="single" w:color="auto" w:sz="4" w:space="0"/>
              <w:right w:val="single" w:color="000000" w:sz="4" w:space="0"/>
            </w:tcBorders>
            <w:tcW w:w="7887" w:type="dxa"/>
            <w:vAlign w:val="center"/>
            <w:textDirection w:val="lrTb"/>
            <w:noWrap w:val="false"/>
          </w:tcPr>
          <w:p>
            <w:pPr>
              <w:jc w:val="left"/>
              <w:rPr>
                <w:rFonts w:hint="eastAsia" w:ascii="仿宋" w:hAnsi="仿宋" w:eastAsia="仿宋" w:cs="仿宋"/>
                <w:color w:val="auto"/>
                <w:sz w:val="24"/>
                <w:szCs w:val="24"/>
                <w:highlight w:val="none"/>
                <w:lang w:bidi="hi-IN"/>
              </w:rPr>
            </w:pPr>
            <w:r>
              <w:rPr>
                <w:rFonts w:hint="eastAsia" w:ascii="仿宋" w:hAnsi="仿宋" w:eastAsia="仿宋" w:cs="仿宋"/>
                <w:color w:val="auto"/>
                <w:sz w:val="24"/>
                <w:szCs w:val="24"/>
                <w:highlight w:val="none"/>
                <w:lang w:bidi="hi-IN"/>
              </w:rPr>
              <w:t xml:space="preserve">根据响应文件中安全文明施工及环境保护措施进行综合评价：</w:t>
            </w:r>
            <w:r/>
          </w:p>
          <w:p>
            <w:pPr>
              <w:jc w:val="left"/>
              <w:rPr>
                <w:rFonts w:hint="eastAsia" w:ascii="仿宋" w:hAnsi="仿宋" w:eastAsia="仿宋" w:cs="仿宋"/>
                <w:color w:val="auto"/>
                <w:sz w:val="24"/>
                <w:szCs w:val="24"/>
                <w:highlight w:val="none"/>
                <w:lang w:bidi="hi-IN"/>
              </w:rPr>
            </w:pPr>
            <w:r>
              <w:rPr>
                <w:rFonts w:hint="eastAsia" w:ascii="仿宋" w:hAnsi="仿宋" w:eastAsia="仿宋" w:cs="仿宋"/>
                <w:color w:val="auto"/>
                <w:sz w:val="24"/>
                <w:szCs w:val="24"/>
                <w:highlight w:val="none"/>
                <w:lang w:bidi="hi-IN"/>
              </w:rPr>
              <w:t xml:space="preserve">内容详细具体、科学合理、针对性强、内容完整的得</w:t>
            </w:r>
            <w:r>
              <w:rPr>
                <w:rFonts w:hint="eastAsia" w:ascii="仿宋" w:hAnsi="仿宋" w:eastAsia="仿宋" w:cs="仿宋"/>
                <w:color w:val="auto"/>
                <w:sz w:val="24"/>
                <w:szCs w:val="24"/>
                <w:highlight w:val="none"/>
                <w:lang w:val="en-US" w:eastAsia="zh-CN" w:bidi="hi-IN"/>
              </w:rPr>
              <w:t xml:space="preserve">12</w:t>
            </w:r>
            <w:r>
              <w:rPr>
                <w:rFonts w:hint="eastAsia" w:ascii="仿宋" w:hAnsi="仿宋" w:eastAsia="仿宋" w:cs="仿宋"/>
                <w:color w:val="auto"/>
                <w:sz w:val="24"/>
                <w:szCs w:val="24"/>
                <w:highlight w:val="none"/>
                <w:lang w:bidi="hi-IN"/>
              </w:rPr>
              <w:t xml:space="preserve">分；</w:t>
            </w:r>
            <w:r/>
          </w:p>
          <w:p>
            <w:pPr>
              <w:jc w:val="left"/>
              <w:rPr>
                <w:rFonts w:hint="eastAsia" w:ascii="仿宋" w:hAnsi="仿宋" w:eastAsia="仿宋" w:cs="仿宋"/>
                <w:color w:val="auto"/>
                <w:sz w:val="24"/>
                <w:szCs w:val="24"/>
                <w:highlight w:val="none"/>
                <w:lang w:bidi="hi-IN"/>
              </w:rPr>
            </w:pPr>
            <w:r>
              <w:rPr>
                <w:rFonts w:hint="eastAsia" w:ascii="仿宋" w:hAnsi="仿宋" w:eastAsia="仿宋" w:cs="仿宋"/>
                <w:color w:val="auto"/>
                <w:sz w:val="24"/>
                <w:szCs w:val="24"/>
                <w:highlight w:val="none"/>
                <w:lang w:bidi="hi-IN"/>
              </w:rPr>
              <w:t xml:space="preserve">内容基本完整、针对性较强、基本符合要求的得</w:t>
            </w:r>
            <w:r>
              <w:rPr>
                <w:rFonts w:hint="eastAsia" w:ascii="仿宋" w:hAnsi="仿宋" w:eastAsia="仿宋" w:cs="仿宋"/>
                <w:color w:val="auto"/>
                <w:sz w:val="24"/>
                <w:szCs w:val="24"/>
                <w:highlight w:val="none"/>
                <w:lang w:val="en-US" w:eastAsia="zh-CN" w:bidi="hi-IN"/>
              </w:rPr>
              <w:t xml:space="preserve">9</w:t>
            </w:r>
            <w:r>
              <w:rPr>
                <w:rFonts w:hint="eastAsia" w:ascii="仿宋" w:hAnsi="仿宋" w:eastAsia="仿宋" w:cs="仿宋"/>
                <w:color w:val="auto"/>
                <w:sz w:val="24"/>
                <w:szCs w:val="24"/>
                <w:highlight w:val="none"/>
                <w:lang w:bidi="hi-IN"/>
              </w:rPr>
              <w:t xml:space="preserve">分；</w:t>
            </w:r>
            <w:r/>
          </w:p>
          <w:p>
            <w:pPr>
              <w:jc w:val="left"/>
              <w:rPr>
                <w:rFonts w:hint="eastAsia" w:ascii="仿宋" w:hAnsi="仿宋" w:eastAsia="仿宋" w:cs="仿宋"/>
                <w:color w:val="auto"/>
                <w:sz w:val="24"/>
                <w:szCs w:val="24"/>
                <w:highlight w:val="none"/>
                <w:lang w:bidi="hi-IN"/>
              </w:rPr>
            </w:pPr>
            <w:r>
              <w:rPr>
                <w:rFonts w:hint="eastAsia" w:ascii="仿宋" w:hAnsi="仿宋" w:eastAsia="仿宋" w:cs="仿宋"/>
                <w:color w:val="auto"/>
                <w:sz w:val="24"/>
                <w:szCs w:val="24"/>
                <w:highlight w:val="none"/>
                <w:lang w:bidi="hi-IN"/>
              </w:rPr>
              <w:t xml:space="preserve">内容一般、基本可行的得</w:t>
            </w:r>
            <w:r>
              <w:rPr>
                <w:rFonts w:hint="eastAsia" w:ascii="仿宋" w:hAnsi="仿宋" w:eastAsia="仿宋" w:cs="仿宋"/>
                <w:color w:val="auto"/>
                <w:sz w:val="24"/>
                <w:szCs w:val="24"/>
                <w:highlight w:val="none"/>
                <w:lang w:val="en-US" w:eastAsia="zh-CN" w:bidi="hi-IN"/>
              </w:rPr>
              <w:t xml:space="preserve">6</w:t>
            </w:r>
            <w:r>
              <w:rPr>
                <w:rFonts w:hint="eastAsia" w:ascii="仿宋" w:hAnsi="仿宋" w:eastAsia="仿宋" w:cs="仿宋"/>
                <w:color w:val="auto"/>
                <w:sz w:val="24"/>
                <w:szCs w:val="24"/>
                <w:highlight w:val="none"/>
                <w:lang w:bidi="hi-IN"/>
              </w:rPr>
              <w:t xml:space="preserve">分；</w:t>
            </w:r>
            <w:r/>
          </w:p>
          <w:p>
            <w:pPr>
              <w:jc w:val="left"/>
              <w:rPr>
                <w:rFonts w:hint="eastAsia" w:ascii="仿宋" w:hAnsi="仿宋" w:eastAsia="仿宋" w:cs="仿宋"/>
                <w:color w:val="auto"/>
                <w:sz w:val="24"/>
                <w:szCs w:val="24"/>
                <w:highlight w:val="none"/>
                <w:lang w:bidi="hi-IN"/>
              </w:rPr>
            </w:pPr>
            <w:r>
              <w:rPr>
                <w:rFonts w:hint="eastAsia" w:ascii="仿宋" w:hAnsi="仿宋" w:eastAsia="仿宋" w:cs="仿宋"/>
                <w:color w:val="auto"/>
                <w:sz w:val="24"/>
                <w:szCs w:val="24"/>
                <w:highlight w:val="none"/>
                <w:lang w:bidi="hi-IN"/>
              </w:rPr>
              <w:t xml:space="preserve">内容较差或有缺陷的得</w:t>
            </w:r>
            <w:r>
              <w:rPr>
                <w:rFonts w:hint="eastAsia" w:ascii="仿宋" w:hAnsi="仿宋" w:eastAsia="仿宋" w:cs="仿宋"/>
                <w:color w:val="auto"/>
                <w:sz w:val="24"/>
                <w:szCs w:val="24"/>
                <w:highlight w:val="none"/>
                <w:lang w:val="en-US" w:eastAsia="zh-CN" w:bidi="hi-IN"/>
              </w:rPr>
              <w:t xml:space="preserve">3</w:t>
            </w:r>
            <w:r>
              <w:rPr>
                <w:rFonts w:hint="eastAsia" w:ascii="仿宋" w:hAnsi="仿宋" w:eastAsia="仿宋" w:cs="仿宋"/>
                <w:color w:val="auto"/>
                <w:sz w:val="24"/>
                <w:szCs w:val="24"/>
                <w:highlight w:val="none"/>
                <w:lang w:bidi="hi-IN"/>
              </w:rPr>
              <w:t xml:space="preserve">分</w:t>
            </w:r>
            <w:r/>
          </w:p>
          <w:p>
            <w:pPr>
              <w:jc w:val="left"/>
              <w:rPr>
                <w:rFonts w:hint="eastAsia" w:ascii="仿宋" w:hAnsi="仿宋" w:eastAsia="仿宋" w:cs="仿宋"/>
                <w:color w:val="auto"/>
                <w:sz w:val="24"/>
                <w:szCs w:val="24"/>
                <w:highlight w:val="none"/>
                <w:lang w:bidi="hi-IN"/>
              </w:rPr>
            </w:pPr>
            <w:r>
              <w:rPr>
                <w:rFonts w:hint="eastAsia" w:ascii="仿宋" w:hAnsi="仿宋" w:eastAsia="仿宋" w:cs="仿宋"/>
                <w:color w:val="auto"/>
                <w:sz w:val="24"/>
                <w:szCs w:val="24"/>
                <w:highlight w:val="none"/>
                <w:lang w:bidi="hi-IN"/>
              </w:rPr>
              <w:t xml:space="preserve">本项最高得1</w:t>
            </w:r>
            <w:r>
              <w:rPr>
                <w:rFonts w:hint="eastAsia" w:ascii="仿宋" w:hAnsi="仿宋" w:eastAsia="仿宋" w:cs="仿宋"/>
                <w:color w:val="auto"/>
                <w:sz w:val="24"/>
                <w:szCs w:val="24"/>
                <w:highlight w:val="none"/>
                <w:lang w:val="en-US" w:eastAsia="zh-CN" w:bidi="hi-IN"/>
              </w:rPr>
              <w:t xml:space="preserve">2</w:t>
            </w:r>
            <w:r>
              <w:rPr>
                <w:rFonts w:hint="eastAsia" w:ascii="仿宋" w:hAnsi="仿宋" w:eastAsia="仿宋" w:cs="仿宋"/>
                <w:color w:val="auto"/>
                <w:sz w:val="24"/>
                <w:szCs w:val="24"/>
                <w:highlight w:val="none"/>
                <w:lang w:bidi="hi-IN"/>
              </w:rPr>
              <w:t xml:space="preserve">分，无具体内容的得0分。</w:t>
            </w:r>
            <w:r/>
          </w:p>
        </w:tc>
      </w:tr>
      <w:tr>
        <w:trPr>
          <w:cantSplit/>
          <w:jc w:val="center"/>
          <w:trHeight w:val="567"/>
        </w:trPr>
        <w:tc>
          <w:tcPr>
            <w:tcBorders>
              <w:left w:val="single" w:color="000000" w:sz="4" w:space="0"/>
              <w:bottom w:val="single" w:color="000000" w:sz="4" w:space="0"/>
              <w:right w:val="single" w:color="000000" w:sz="4" w:space="0"/>
            </w:tcBorders>
            <w:tcW w:w="1366" w:type="dxa"/>
            <w:vAlign w:val="center"/>
            <w:vMerge w:val="continue"/>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000000" w:sz="4" w:space="0"/>
              <w:bottom w:val="single" w:color="auto" w:sz="4" w:space="0"/>
              <w:right w:val="single" w:color="000000" w:sz="4" w:space="0"/>
            </w:tcBorders>
            <w:tcW w:w="1334" w:type="dxa"/>
            <w:vAlign w:val="center"/>
            <w:textDirection w:val="lrTb"/>
            <w:noWrap w:val="false"/>
          </w:tcPr>
          <w:p>
            <w:pPr>
              <w:jc w:val="center"/>
              <w:rPr>
                <w:rFonts w:hint="eastAsia" w:ascii="仿宋" w:hAnsi="仿宋" w:eastAsia="仿宋" w:cs="仿宋"/>
                <w:strike/>
                <w:color w:val="auto"/>
                <w:sz w:val="24"/>
                <w:szCs w:val="24"/>
                <w:highlight w:val="none"/>
              </w:rPr>
            </w:pPr>
            <w:r>
              <w:rPr>
                <w:rFonts w:hint="eastAsia" w:ascii="仿宋" w:hAnsi="仿宋" w:eastAsia="仿宋" w:cs="仿宋"/>
                <w:color w:val="auto"/>
                <w:sz w:val="24"/>
                <w:szCs w:val="24"/>
                <w:highlight w:val="none"/>
              </w:rPr>
              <w:t xml:space="preserve">售后服务方案</w:t>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w:t>
            </w:r>
            <w:r/>
          </w:p>
          <w:p>
            <w:pPr>
              <w:jc w:val="center"/>
              <w:rPr>
                <w:rFonts w:hint="eastAsia" w:ascii="仿宋" w:hAnsi="仿宋" w:eastAsia="仿宋" w:cs="仿宋"/>
                <w:strike/>
                <w:color w:val="auto"/>
                <w:sz w:val="24"/>
                <w:szCs w:val="24"/>
                <w:highlight w:val="none"/>
              </w:rPr>
            </w:pPr>
            <w:r>
              <w:rPr>
                <w:rFonts w:hint="eastAsia" w:ascii="仿宋" w:hAnsi="仿宋" w:eastAsia="仿宋" w:cs="仿宋"/>
                <w:strike/>
                <w:color w:val="auto"/>
                <w:sz w:val="24"/>
                <w:szCs w:val="24"/>
                <w:highlight w:val="none"/>
              </w:rPr>
            </w:r>
            <w:r/>
          </w:p>
        </w:tc>
        <w:tc>
          <w:tcPr>
            <w:tcBorders>
              <w:top w:val="single" w:color="auto" w:sz="4" w:space="0"/>
              <w:left w:val="single" w:color="000000" w:sz="4" w:space="0"/>
              <w:bottom w:val="single" w:color="auto" w:sz="4" w:space="0"/>
              <w:right w:val="single" w:color="000000" w:sz="4" w:space="0"/>
            </w:tcBorders>
            <w:tcW w:w="7887" w:type="dxa"/>
            <w:vAlign w:val="center"/>
            <w:textDirection w:val="lrTb"/>
            <w:noWrap w:val="false"/>
          </w:tcPr>
          <w:p>
            <w:pPr>
              <w:jc w:val="left"/>
              <w:rPr>
                <w:rFonts w:hint="eastAsia" w:ascii="仿宋" w:hAnsi="仿宋" w:eastAsia="仿宋" w:cs="仿宋"/>
                <w:color w:val="auto"/>
                <w:sz w:val="24"/>
                <w:szCs w:val="24"/>
                <w:highlight w:val="none"/>
                <w:lang w:bidi="hi-IN"/>
              </w:rPr>
            </w:pPr>
            <w:r>
              <w:rPr>
                <w:rFonts w:hint="eastAsia" w:ascii="仿宋" w:hAnsi="仿宋" w:eastAsia="仿宋" w:cs="仿宋"/>
                <w:color w:val="auto"/>
                <w:sz w:val="24"/>
                <w:szCs w:val="24"/>
                <w:highlight w:val="none"/>
                <w:lang w:bidi="hi-IN"/>
              </w:rPr>
              <w:t xml:space="preserve">根据响应文件中缺陷责任期内和缺陷责任期外的售后服务方案，包括但不限于售后服务承诺、质保服务年限、服务计划、服务内容、服务响应时间、流程，现场服务支持能力等进行综合评分。对内容的完整性、合理性、可行性进行评价：</w:t>
            </w:r>
            <w:r/>
          </w:p>
          <w:p>
            <w:pPr>
              <w:jc w:val="left"/>
              <w:rPr>
                <w:rFonts w:hint="eastAsia" w:ascii="仿宋" w:hAnsi="仿宋" w:eastAsia="仿宋" w:cs="仿宋"/>
                <w:color w:val="auto"/>
                <w:sz w:val="24"/>
                <w:szCs w:val="24"/>
                <w:highlight w:val="none"/>
                <w:lang w:bidi="hi-IN"/>
              </w:rPr>
            </w:pPr>
            <w:r>
              <w:rPr>
                <w:rFonts w:hint="eastAsia" w:ascii="仿宋" w:hAnsi="仿宋" w:eastAsia="仿宋" w:cs="仿宋"/>
                <w:color w:val="auto"/>
                <w:sz w:val="24"/>
                <w:szCs w:val="24"/>
                <w:highlight w:val="none"/>
                <w:lang w:bidi="hi-IN"/>
              </w:rPr>
              <w:t xml:space="preserve">内容详细具体、科学合理、针对性强、内容完整的得1</w:t>
            </w:r>
            <w:r>
              <w:rPr>
                <w:rFonts w:hint="eastAsia" w:ascii="仿宋" w:hAnsi="仿宋" w:eastAsia="仿宋" w:cs="仿宋"/>
                <w:color w:val="auto"/>
                <w:sz w:val="24"/>
                <w:szCs w:val="24"/>
                <w:highlight w:val="none"/>
                <w:lang w:val="en-US" w:eastAsia="zh-CN" w:bidi="hi-IN"/>
              </w:rPr>
              <w:t xml:space="preserve">2</w:t>
            </w:r>
            <w:r>
              <w:rPr>
                <w:rFonts w:hint="eastAsia" w:ascii="仿宋" w:hAnsi="仿宋" w:eastAsia="仿宋" w:cs="仿宋"/>
                <w:color w:val="auto"/>
                <w:sz w:val="24"/>
                <w:szCs w:val="24"/>
                <w:highlight w:val="none"/>
                <w:lang w:bidi="hi-IN"/>
              </w:rPr>
              <w:t xml:space="preserve">分；</w:t>
            </w:r>
            <w:r/>
          </w:p>
          <w:p>
            <w:pPr>
              <w:jc w:val="left"/>
              <w:rPr>
                <w:rFonts w:hint="eastAsia" w:ascii="仿宋" w:hAnsi="仿宋" w:eastAsia="仿宋" w:cs="仿宋"/>
                <w:color w:val="auto"/>
                <w:sz w:val="24"/>
                <w:szCs w:val="24"/>
                <w:highlight w:val="none"/>
                <w:lang w:bidi="hi-IN"/>
              </w:rPr>
            </w:pPr>
            <w:r>
              <w:rPr>
                <w:rFonts w:hint="eastAsia" w:ascii="仿宋" w:hAnsi="仿宋" w:eastAsia="仿宋" w:cs="仿宋"/>
                <w:color w:val="auto"/>
                <w:sz w:val="24"/>
                <w:szCs w:val="24"/>
                <w:highlight w:val="none"/>
                <w:lang w:bidi="hi-IN"/>
              </w:rPr>
              <w:t xml:space="preserve">内容基本完整、针对性较强、基本符合要求的得</w:t>
            </w:r>
            <w:r>
              <w:rPr>
                <w:rFonts w:hint="eastAsia" w:ascii="仿宋" w:hAnsi="仿宋" w:eastAsia="仿宋" w:cs="仿宋"/>
                <w:color w:val="auto"/>
                <w:sz w:val="24"/>
                <w:szCs w:val="24"/>
                <w:highlight w:val="none"/>
                <w:lang w:val="en-US" w:eastAsia="zh-CN" w:bidi="hi-IN"/>
              </w:rPr>
              <w:t xml:space="preserve">9</w:t>
            </w:r>
            <w:r>
              <w:rPr>
                <w:rFonts w:hint="eastAsia" w:ascii="仿宋" w:hAnsi="仿宋" w:eastAsia="仿宋" w:cs="仿宋"/>
                <w:color w:val="auto"/>
                <w:sz w:val="24"/>
                <w:szCs w:val="24"/>
                <w:highlight w:val="none"/>
                <w:lang w:bidi="hi-IN"/>
              </w:rPr>
              <w:t xml:space="preserve">分；</w:t>
            </w:r>
            <w:r/>
          </w:p>
          <w:p>
            <w:pPr>
              <w:jc w:val="left"/>
              <w:rPr>
                <w:rFonts w:hint="eastAsia" w:ascii="仿宋" w:hAnsi="仿宋" w:eastAsia="仿宋" w:cs="仿宋"/>
                <w:color w:val="auto"/>
                <w:sz w:val="24"/>
                <w:szCs w:val="24"/>
                <w:highlight w:val="none"/>
                <w:lang w:bidi="hi-IN"/>
              </w:rPr>
            </w:pPr>
            <w:r>
              <w:rPr>
                <w:rFonts w:hint="eastAsia" w:ascii="仿宋" w:hAnsi="仿宋" w:eastAsia="仿宋" w:cs="仿宋"/>
                <w:color w:val="auto"/>
                <w:sz w:val="24"/>
                <w:szCs w:val="24"/>
                <w:highlight w:val="none"/>
                <w:lang w:bidi="hi-IN"/>
              </w:rPr>
              <w:t xml:space="preserve">内容一般、基本可行的得</w:t>
            </w:r>
            <w:r>
              <w:rPr>
                <w:rFonts w:hint="eastAsia" w:ascii="仿宋" w:hAnsi="仿宋" w:eastAsia="仿宋" w:cs="仿宋"/>
                <w:color w:val="auto"/>
                <w:sz w:val="24"/>
                <w:szCs w:val="24"/>
                <w:highlight w:val="none"/>
                <w:lang w:val="en-US" w:eastAsia="zh-CN" w:bidi="hi-IN"/>
              </w:rPr>
              <w:t xml:space="preserve">6</w:t>
            </w:r>
            <w:r>
              <w:rPr>
                <w:rFonts w:hint="eastAsia" w:ascii="仿宋" w:hAnsi="仿宋" w:eastAsia="仿宋" w:cs="仿宋"/>
                <w:color w:val="auto"/>
                <w:sz w:val="24"/>
                <w:szCs w:val="24"/>
                <w:highlight w:val="none"/>
                <w:lang w:bidi="hi-IN"/>
              </w:rPr>
              <w:t xml:space="preserve">分；</w:t>
            </w:r>
            <w:r/>
          </w:p>
          <w:p>
            <w:pPr>
              <w:jc w:val="left"/>
              <w:rPr>
                <w:rFonts w:hint="eastAsia" w:ascii="仿宋" w:hAnsi="仿宋" w:eastAsia="仿宋" w:cs="仿宋"/>
                <w:color w:val="auto"/>
                <w:sz w:val="24"/>
                <w:szCs w:val="24"/>
                <w:highlight w:val="none"/>
                <w:lang w:bidi="hi-IN"/>
              </w:rPr>
            </w:pPr>
            <w:r>
              <w:rPr>
                <w:rFonts w:hint="eastAsia" w:ascii="仿宋" w:hAnsi="仿宋" w:eastAsia="仿宋" w:cs="仿宋"/>
                <w:color w:val="auto"/>
                <w:sz w:val="24"/>
                <w:szCs w:val="24"/>
                <w:highlight w:val="none"/>
                <w:lang w:bidi="hi-IN"/>
              </w:rPr>
              <w:t xml:space="preserve">内容较差或有缺陷的得</w:t>
            </w:r>
            <w:r>
              <w:rPr>
                <w:rFonts w:hint="eastAsia" w:ascii="仿宋" w:hAnsi="仿宋" w:eastAsia="仿宋" w:cs="仿宋"/>
                <w:color w:val="auto"/>
                <w:sz w:val="24"/>
                <w:szCs w:val="24"/>
                <w:highlight w:val="none"/>
                <w:lang w:val="en-US" w:eastAsia="zh-CN" w:bidi="hi-IN"/>
              </w:rPr>
              <w:t xml:space="preserve">3</w:t>
            </w:r>
            <w:r>
              <w:rPr>
                <w:rFonts w:hint="eastAsia" w:ascii="仿宋" w:hAnsi="仿宋" w:eastAsia="仿宋" w:cs="仿宋"/>
                <w:color w:val="auto"/>
                <w:sz w:val="24"/>
                <w:szCs w:val="24"/>
                <w:highlight w:val="none"/>
                <w:lang w:bidi="hi-IN"/>
              </w:rPr>
              <w:t xml:space="preserve">分；</w:t>
            </w:r>
            <w:r/>
          </w:p>
          <w:p>
            <w:pPr>
              <w:jc w:val="left"/>
              <w:rPr>
                <w:rFonts w:hint="eastAsia" w:ascii="仿宋" w:hAnsi="仿宋" w:eastAsia="仿宋" w:cs="仿宋"/>
                <w:strike/>
                <w:color w:val="auto"/>
                <w:sz w:val="24"/>
                <w:szCs w:val="24"/>
                <w:highlight w:val="none"/>
                <w:lang w:bidi="hi-IN"/>
              </w:rPr>
            </w:pPr>
            <w:r>
              <w:rPr>
                <w:rFonts w:hint="eastAsia" w:ascii="仿宋" w:hAnsi="仿宋" w:eastAsia="仿宋" w:cs="仿宋"/>
                <w:color w:val="auto"/>
                <w:sz w:val="24"/>
                <w:szCs w:val="24"/>
                <w:highlight w:val="none"/>
                <w:lang w:bidi="hi-IN"/>
              </w:rPr>
              <w:t xml:space="preserve">本项最高得1</w:t>
            </w:r>
            <w:r>
              <w:rPr>
                <w:rFonts w:hint="eastAsia" w:ascii="仿宋" w:hAnsi="仿宋" w:eastAsia="仿宋" w:cs="仿宋"/>
                <w:color w:val="auto"/>
                <w:sz w:val="24"/>
                <w:szCs w:val="24"/>
                <w:highlight w:val="none"/>
                <w:lang w:val="en-US" w:eastAsia="zh-CN" w:bidi="hi-IN"/>
              </w:rPr>
              <w:t xml:space="preserve">2</w:t>
            </w:r>
            <w:r>
              <w:rPr>
                <w:rFonts w:hint="eastAsia" w:ascii="仿宋" w:hAnsi="仿宋" w:eastAsia="仿宋" w:cs="仿宋"/>
                <w:color w:val="auto"/>
                <w:sz w:val="24"/>
                <w:szCs w:val="24"/>
                <w:highlight w:val="none"/>
                <w:lang w:bidi="hi-IN"/>
              </w:rPr>
              <w:t xml:space="preserve">分，无具体内容的得0分。</w:t>
            </w:r>
            <w:r/>
          </w:p>
        </w:tc>
      </w:tr>
      <w:tr>
        <w:trPr>
          <w:cantSplit/>
          <w:jc w:val="center"/>
          <w:trHeight w:val="567"/>
        </w:trPr>
        <w:tc>
          <w:tcPr>
            <w:tcBorders>
              <w:top w:val="single" w:color="000000" w:sz="4" w:space="0"/>
              <w:left w:val="single" w:color="000000" w:sz="4" w:space="0"/>
              <w:right w:val="single" w:color="000000" w:sz="4" w:space="0"/>
            </w:tcBorders>
            <w:tcW w:w="1366" w:type="dxa"/>
            <w:vAlign w:val="center"/>
            <w:vMerge w:val="restart"/>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商务</w:t>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部分</w:t>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（9分）</w:t>
            </w:r>
            <w:r/>
          </w:p>
        </w:tc>
        <w:tc>
          <w:tcPr>
            <w:tcBorders>
              <w:top w:val="single" w:color="auto" w:sz="4" w:space="0"/>
              <w:left w:val="single" w:color="000000" w:sz="4" w:space="0"/>
              <w:bottom w:val="single" w:color="auto" w:sz="4" w:space="0"/>
              <w:right w:val="single" w:color="000000" w:sz="4" w:space="0"/>
            </w:tcBorders>
            <w:tcW w:w="1334"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类似业绩</w:t>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（4分）</w:t>
            </w:r>
            <w:r/>
          </w:p>
        </w:tc>
        <w:tc>
          <w:tcPr>
            <w:tcBorders>
              <w:top w:val="single" w:color="auto" w:sz="4" w:space="0"/>
              <w:left w:val="single" w:color="000000" w:sz="4" w:space="0"/>
              <w:bottom w:val="single" w:color="auto" w:sz="4" w:space="0"/>
              <w:right w:val="single" w:color="000000" w:sz="4" w:space="0"/>
            </w:tcBorders>
            <w:tcW w:w="7887" w:type="dxa"/>
            <w:vAlign w:val="center"/>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供应商自2023年</w:t>
            </w: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rPr>
              <w:t xml:space="preserve">月1日（含）以来独立承担过类似工程（类似工程指市政道路工程），</w:t>
            </w:r>
            <w:r>
              <w:rPr>
                <w:rFonts w:hint="eastAsia" w:ascii="仿宋" w:hAnsi="仿宋" w:eastAsia="仿宋" w:cs="仿宋"/>
                <w:color w:val="auto"/>
                <w:sz w:val="24"/>
                <w:szCs w:val="24"/>
                <w:highlight w:val="none"/>
                <w:lang w:bidi="zh-CN"/>
              </w:rPr>
              <w:t xml:space="preserve">以中标通知书、施工合同及竣工验收证明为准</w:t>
            </w:r>
            <w:r>
              <w:rPr>
                <w:rFonts w:hint="eastAsia" w:ascii="仿宋" w:hAnsi="仿宋" w:eastAsia="仿宋" w:cs="仿宋"/>
                <w:color w:val="auto"/>
                <w:sz w:val="24"/>
                <w:szCs w:val="24"/>
                <w:highlight w:val="none"/>
              </w:rPr>
              <w:t xml:space="preserve">（直接发包项目以施工合同、竣工验收证明为准）</w:t>
            </w:r>
            <w:r>
              <w:rPr>
                <w:rFonts w:hint="eastAsia" w:ascii="仿宋" w:hAnsi="仿宋" w:eastAsia="仿宋" w:cs="仿宋"/>
                <w:color w:val="auto"/>
                <w:sz w:val="24"/>
                <w:szCs w:val="24"/>
                <w:highlight w:val="none"/>
                <w:lang w:bidi="zh-CN"/>
              </w:rPr>
              <w:t xml:space="preserve">，以上必须同时具备；</w:t>
            </w:r>
            <w:r>
              <w:rPr>
                <w:rFonts w:hint="eastAsia" w:ascii="仿宋" w:hAnsi="仿宋" w:eastAsia="仿宋" w:cs="仿宋"/>
                <w:color w:val="auto"/>
                <w:sz w:val="24"/>
                <w:szCs w:val="24"/>
                <w:highlight w:val="none"/>
              </w:rPr>
              <w:t xml:space="preserve">每提供一份业绩得</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分，最高得4分。</w:t>
            </w:r>
            <w:r/>
          </w:p>
          <w:p>
            <w:pPr>
              <w:jc w:val="left"/>
              <w:rPr>
                <w:rFonts w:hint="eastAsia" w:ascii="仿宋" w:hAnsi="仿宋" w:eastAsia="仿宋" w:cs="仿宋"/>
                <w:b/>
                <w:color w:val="auto"/>
                <w:sz w:val="24"/>
                <w:szCs w:val="24"/>
                <w:highlight w:val="none"/>
                <w:lang w:bidi="hi-IN"/>
              </w:rPr>
            </w:pPr>
            <w:r>
              <w:rPr>
                <w:rFonts w:hint="eastAsia" w:ascii="仿宋" w:hAnsi="仿宋" w:eastAsia="仿宋" w:cs="仿宋"/>
                <w:color w:val="auto"/>
                <w:sz w:val="24"/>
                <w:szCs w:val="24"/>
                <w:highlight w:val="none"/>
                <w:lang w:bidi="hi-IN"/>
              </w:rPr>
              <w:t xml:space="preserve">本项最高得4分，未提供得0分。</w:t>
            </w:r>
            <w:r/>
          </w:p>
          <w:p>
            <w:pPr>
              <w:jc w:val="left"/>
              <w:rPr>
                <w:rFonts w:hint="eastAsia" w:ascii="仿宋" w:hAnsi="仿宋" w:eastAsia="仿宋" w:cs="仿宋"/>
                <w:color w:val="auto"/>
                <w:sz w:val="24"/>
                <w:szCs w:val="24"/>
                <w:highlight w:val="none"/>
                <w:lang w:bidi="hi-IN"/>
              </w:rPr>
            </w:pPr>
            <w:r>
              <w:rPr>
                <w:rFonts w:hint="eastAsia" w:ascii="仿宋" w:hAnsi="仿宋" w:eastAsia="仿宋" w:cs="仿宋"/>
                <w:b/>
                <w:color w:val="auto"/>
                <w:sz w:val="24"/>
                <w:szCs w:val="24"/>
                <w:highlight w:val="none"/>
                <w:lang w:bidi="hi-IN"/>
              </w:rPr>
              <w:t xml:space="preserve">注：时间以竣工验收时间为准，响应文件中提供业绩证明材料扫描件。</w:t>
            </w:r>
            <w:r/>
          </w:p>
        </w:tc>
      </w:tr>
      <w:tr>
        <w:trPr>
          <w:cantSplit/>
          <w:jc w:val="center"/>
          <w:trHeight w:val="567"/>
        </w:trPr>
        <w:tc>
          <w:tcPr>
            <w:tcBorders>
              <w:left w:val="single" w:color="000000" w:sz="4" w:space="0"/>
              <w:bottom w:val="single" w:color="000000" w:sz="4" w:space="0"/>
              <w:right w:val="single" w:color="000000" w:sz="4" w:space="0"/>
            </w:tcBorders>
            <w:tcW w:w="1366" w:type="dxa"/>
            <w:vAlign w:val="center"/>
            <w:vMerge w:val="continue"/>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000000" w:sz="4" w:space="0"/>
              <w:bottom w:val="single" w:color="auto" w:sz="4" w:space="0"/>
              <w:right w:val="single" w:color="000000" w:sz="4" w:space="0"/>
            </w:tcBorders>
            <w:tcW w:w="1334"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项目组成员</w:t>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（5分）</w:t>
            </w:r>
            <w:r/>
          </w:p>
        </w:tc>
        <w:tc>
          <w:tcPr>
            <w:tcBorders>
              <w:top w:val="single" w:color="auto" w:sz="4" w:space="0"/>
              <w:left w:val="single" w:color="000000" w:sz="4" w:space="0"/>
              <w:bottom w:val="single" w:color="auto" w:sz="4" w:space="0"/>
              <w:right w:val="single" w:color="000000" w:sz="4" w:space="0"/>
            </w:tcBorders>
            <w:tcW w:w="7887" w:type="dxa"/>
            <w:vAlign w:val="center"/>
            <w:textDirection w:val="lrTb"/>
            <w:noWrap w:val="false"/>
          </w:tcPr>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项目部其他人员（不包括项目负责人）：</w:t>
            </w:r>
            <w:r/>
          </w:p>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1.具有工程类中级职称或市政公用工程专业贰级建造师资格的，每有一个得1分，最高得3分；</w:t>
            </w:r>
            <w:r/>
          </w:p>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2.具有工程类高级（及以上）职称或市政公用工程专业壹级建造师资格的，每有一个得1分，最高得2分</w:t>
            </w:r>
            <w:r/>
          </w:p>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本项最高得5分，未提供不得分。</w:t>
            </w:r>
            <w:r/>
          </w:p>
          <w:p>
            <w:pPr>
              <w:jc w:val="left"/>
              <w:rPr>
                <w:rFonts w:eastAsia="仿宋"/>
                <w:color w:val="auto"/>
                <w:highlight w:val="none"/>
              </w:rPr>
            </w:pPr>
            <w:r>
              <w:rPr>
                <w:rFonts w:hint="eastAsia" w:ascii="仿宋" w:hAnsi="仿宋" w:eastAsia="仿宋" w:cs="仿宋"/>
                <w:b/>
                <w:bCs/>
                <w:color w:val="auto"/>
                <w:sz w:val="24"/>
                <w:szCs w:val="24"/>
                <w:highlight w:val="none"/>
              </w:rPr>
              <w:t xml:space="preserve">注：提供以上人员职称证书或建造师注册证书扫描件和供应商为其缴纳的开标时间前6个月内任何1个月的社保证明，否则不得分。</w:t>
            </w:r>
            <w:r/>
          </w:p>
        </w:tc>
      </w:tr>
    </w:tbl>
    <w:p>
      <w:pPr>
        <w:pStyle w:val="829"/>
        <w:spacing w:after="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r>
      <w:r/>
    </w:p>
    <w:p>
      <w:pPr>
        <w:pStyle w:val="829"/>
        <w:spacing w:after="0"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说明：本项目采用综合评</w:t>
      </w:r>
      <w:r>
        <w:rPr>
          <w:rFonts w:hint="eastAsia" w:ascii="仿宋" w:hAnsi="仿宋" w:eastAsia="仿宋" w:cs="仿宋"/>
          <w:color w:val="auto"/>
          <w:sz w:val="21"/>
          <w:szCs w:val="21"/>
          <w:highlight w:val="none"/>
          <w:lang w:val="en-US" w:eastAsia="zh-CN"/>
        </w:rPr>
        <w:t xml:space="preserve">估</w:t>
      </w:r>
      <w:r>
        <w:rPr>
          <w:rFonts w:hint="eastAsia" w:ascii="仿宋" w:hAnsi="仿宋" w:eastAsia="仿宋" w:cs="仿宋"/>
          <w:color w:val="auto"/>
          <w:sz w:val="21"/>
          <w:szCs w:val="21"/>
          <w:highlight w:val="none"/>
        </w:rPr>
        <w:t xml:space="preserve">法。（供应商技术部分得分取所有评委的平均值，保留小数点后二位）。</w:t>
      </w:r>
      <w:r/>
    </w:p>
    <w:p>
      <w:pPr>
        <w:spacing w:line="360" w:lineRule="auto"/>
        <w:rPr>
          <w:rStyle w:val="1097"/>
          <w:rFonts w:hint="eastAsia" w:ascii="仿宋" w:hAnsi="仿宋" w:eastAsia="仿宋" w:cs="仿宋"/>
          <w:color w:val="auto"/>
          <w:sz w:val="21"/>
          <w:highlight w:val="none"/>
        </w:rPr>
      </w:pPr>
      <w:r>
        <w:rPr>
          <w:rStyle w:val="1097"/>
          <w:rFonts w:hint="eastAsia" w:ascii="仿宋" w:hAnsi="仿宋" w:eastAsia="仿宋" w:cs="仿宋"/>
          <w:color w:val="auto"/>
          <w:sz w:val="21"/>
          <w:highlight w:val="none"/>
        </w:rPr>
        <w:br w:type="page" w:clear="all"/>
      </w:r>
      <w:bookmarkEnd w:id="23"/>
      <w:r/>
    </w:p>
    <w:p>
      <w:pPr>
        <w:jc w:val="center"/>
        <w:keepLines/>
        <w:keepNext/>
        <w:spacing w:line="360" w:lineRule="auto"/>
        <w:rPr>
          <w:rFonts w:hint="default" w:ascii="Arial" w:hAnsi="Arial" w:eastAsia="仿宋" w:cs="Arial"/>
          <w:b/>
          <w:color w:val="auto"/>
          <w:sz w:val="24"/>
          <w:szCs w:val="40"/>
          <w:highlight w:val="none"/>
          <w:lang w:val="en-US" w:eastAsia="zh-CN" w:bidi="ar-SA"/>
        </w:rPr>
        <w:outlineLvl w:val="0"/>
      </w:pPr>
      <w:r/>
      <w:bookmarkStart w:id="24" w:name="_Toc760"/>
      <w:r/>
      <w:bookmarkStart w:id="25" w:name="_Toc32561"/>
      <w:r/>
      <w:bookmarkStart w:id="26" w:name="_Toc80122301"/>
      <w:r/>
      <w:bookmarkStart w:id="27" w:name="_Toc29502"/>
      <w:r/>
      <w:bookmarkStart w:id="28" w:name="_Toc25252"/>
      <w:r>
        <w:rPr>
          <w:rFonts w:hint="eastAsia" w:ascii="Arial" w:hAnsi="Arial" w:eastAsia="仿宋" w:cs="Arial"/>
          <w:b/>
          <w:color w:val="auto"/>
          <w:sz w:val="24"/>
          <w:szCs w:val="40"/>
          <w:highlight w:val="none"/>
          <w:lang w:val="en-US" w:eastAsia="zh-CN" w:bidi="ar-SA"/>
        </w:rPr>
        <w:t xml:space="preserve">第八章 项目要求（采购需求）</w:t>
      </w:r>
      <w:bookmarkEnd w:id="24"/>
      <w:r/>
      <w:bookmarkEnd w:id="25"/>
      <w:r/>
      <w:r/>
    </w:p>
    <w:p>
      <w:pPr>
        <w:jc w:val="left"/>
        <w:keepLines/>
        <w:keepNext/>
        <w:spacing w:line="360" w:lineRule="auto"/>
        <w:rPr>
          <w:rFonts w:hint="eastAsia" w:ascii="仿宋" w:hAnsi="仿宋" w:eastAsia="仿宋" w:cs="Arial"/>
          <w:b/>
          <w:color w:val="auto"/>
          <w:sz w:val="24"/>
          <w:szCs w:val="21"/>
          <w:highlight w:val="none"/>
          <w:lang w:val="en-US" w:eastAsia="zh-CN" w:bidi="ar-SA"/>
        </w:rPr>
        <w:outlineLvl w:val="1"/>
      </w:pPr>
      <w:r/>
      <w:bookmarkStart w:id="29" w:name="_Toc80122298"/>
      <w:r>
        <w:rPr>
          <w:rFonts w:hint="eastAsia" w:ascii="仿宋" w:hAnsi="仿宋" w:eastAsia="仿宋" w:cs="Arial"/>
          <w:b/>
          <w:color w:val="auto"/>
          <w:sz w:val="24"/>
          <w:szCs w:val="21"/>
          <w:highlight w:val="none"/>
          <w:lang w:val="en-US" w:eastAsia="zh-CN" w:bidi="ar-SA"/>
        </w:rPr>
        <w:t xml:space="preserve">一、采购预算</w:t>
      </w:r>
      <w:r/>
    </w:p>
    <w:p>
      <w:pPr>
        <w:ind w:firstLine="422"/>
        <w:jc w:val="both"/>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w:t>
      </w:r>
      <w:r>
        <w:rPr>
          <w:rFonts w:hint="eastAsia" w:ascii="仿宋" w:hAnsi="仿宋" w:eastAsia="仿宋" w:cs="仿宋"/>
          <w:b/>
          <w:bCs/>
          <w:color w:val="auto"/>
          <w:sz w:val="24"/>
          <w:szCs w:val="24"/>
          <w:highlight w:val="none"/>
          <w:lang w:val="en-US" w:eastAsia="zh-CN" w:bidi="ar-SA"/>
        </w:rPr>
        <w:t xml:space="preserve">本项目不接受超过最高投标限价</w:t>
      </w:r>
      <w:r>
        <w:rPr>
          <w:rFonts w:hint="eastAsia" w:ascii="仿宋" w:hAnsi="仿宋" w:eastAsia="仿宋" w:cs="仿宋"/>
          <w:b/>
          <w:bCs/>
          <w:color w:val="auto"/>
          <w:sz w:val="24"/>
          <w:szCs w:val="24"/>
          <w:highlight w:val="none"/>
          <w:u w:val="single"/>
          <w:lang w:val="en-US" w:eastAsia="zh-CN" w:bidi="ar-SA"/>
        </w:rPr>
        <w:t xml:space="preserve">3712246.01</w:t>
      </w:r>
      <w:r>
        <w:rPr>
          <w:rFonts w:hint="eastAsia" w:ascii="仿宋" w:hAnsi="仿宋" w:eastAsia="仿宋" w:cs="仿宋"/>
          <w:b/>
          <w:bCs/>
          <w:color w:val="auto"/>
          <w:sz w:val="24"/>
          <w:szCs w:val="24"/>
          <w:highlight w:val="none"/>
          <w:lang w:val="en-US" w:eastAsia="zh-CN" w:bidi="ar-SA"/>
        </w:rPr>
        <w:t xml:space="preserve">元的报价</w:t>
      </w:r>
      <w:r>
        <w:rPr>
          <w:rFonts w:hint="eastAsia" w:ascii="仿宋" w:hAnsi="仿宋" w:eastAsia="仿宋" w:cs="仿宋"/>
          <w:color w:val="auto"/>
          <w:sz w:val="24"/>
          <w:szCs w:val="24"/>
          <w:highlight w:val="none"/>
          <w:lang w:val="en-US" w:eastAsia="zh-CN" w:bidi="ar-SA"/>
        </w:rPr>
        <w:t xml:space="preserve">。报价包含项目完成的所有费用，供应商报价时需考虑完成本项目内容所涉及的包含并不限于人工费、材料费、机械费、工具设备费、税费、保险、检测、质保、验收、利润等供应商认为可能发生的相关一切费用。供应商有漏报或不报的，采购人将视为有关费用已包括在本项目的报价中而不予支付，采购人不支付报价以外的任何费用。</w:t>
      </w:r>
      <w:r/>
    </w:p>
    <w:p>
      <w:pPr>
        <w:jc w:val="left"/>
        <w:keepLines/>
        <w:keepNext/>
        <w:spacing w:line="360" w:lineRule="auto"/>
        <w:rPr>
          <w:rFonts w:hint="eastAsia" w:ascii="仿宋" w:hAnsi="仿宋" w:eastAsia="仿宋" w:cs="Arial"/>
          <w:b/>
          <w:color w:val="auto"/>
          <w:sz w:val="24"/>
          <w:szCs w:val="21"/>
          <w:highlight w:val="none"/>
          <w:lang w:val="en-US" w:eastAsia="zh-CN" w:bidi="ar-SA"/>
        </w:rPr>
        <w:outlineLvl w:val="1"/>
      </w:pPr>
      <w:r>
        <w:rPr>
          <w:rFonts w:hint="eastAsia" w:ascii="仿宋" w:hAnsi="仿宋" w:eastAsia="仿宋" w:cs="Arial"/>
          <w:b/>
          <w:color w:val="auto"/>
          <w:sz w:val="24"/>
          <w:szCs w:val="21"/>
          <w:highlight w:val="none"/>
          <w:lang w:val="en-US" w:eastAsia="zh-CN" w:bidi="ar-SA"/>
        </w:rPr>
        <w:t xml:space="preserve">二、项目概况</w:t>
      </w:r>
      <w:r/>
    </w:p>
    <w:p>
      <w:pPr>
        <w:ind w:firstLine="420"/>
        <w:jc w:val="both"/>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1、项目名称：黄河东片区道路雨污分流路面修复工程项目</w:t>
      </w:r>
      <w:r/>
    </w:p>
    <w:p>
      <w:pPr>
        <w:ind w:firstLine="420"/>
        <w:jc w:val="both"/>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2、项目地点：徐州市黄河东片区。</w:t>
      </w:r>
      <w:r/>
    </w:p>
    <w:p>
      <w:pPr>
        <w:ind w:firstLine="420"/>
        <w:jc w:val="both"/>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3、本项目主要内容：</w:t>
      </w:r>
      <w:bookmarkStart w:id="30" w:name="_Hlk105172344"/>
      <w:r>
        <w:rPr>
          <w:rFonts w:hint="eastAsia" w:ascii="仿宋" w:hAnsi="仿宋" w:eastAsia="仿宋" w:cs="仿宋"/>
          <w:color w:val="auto"/>
          <w:sz w:val="24"/>
          <w:szCs w:val="24"/>
          <w:highlight w:val="none"/>
          <w:lang w:val="en-US" w:eastAsia="zh-CN" w:bidi="ar-SA"/>
        </w:rPr>
        <w:t xml:space="preserve">本项目是对黄河东片区道路雨污分流路面进行修复</w:t>
      </w:r>
      <w:r>
        <w:rPr>
          <w:rFonts w:hint="eastAsia" w:ascii="仿宋" w:hAnsi="仿宋" w:eastAsia="仿宋" w:cs="仿宋"/>
          <w:color w:val="auto"/>
          <w:sz w:val="24"/>
          <w:szCs w:val="24"/>
          <w:highlight w:val="none"/>
          <w:lang w:val="zh-CN" w:eastAsia="zh-CN" w:bidi="ar-SA"/>
        </w:rPr>
        <w:t xml:space="preserve">。</w:t>
      </w:r>
      <w:r>
        <w:rPr>
          <w:rFonts w:hint="eastAsia" w:ascii="仿宋" w:hAnsi="仿宋" w:eastAsia="仿宋" w:cs="仿宋"/>
          <w:color w:val="auto"/>
          <w:sz w:val="24"/>
          <w:szCs w:val="24"/>
          <w:highlight w:val="none"/>
          <w:lang w:val="en-US" w:eastAsia="zh-CN" w:bidi="ar-SA"/>
        </w:rPr>
        <w:t xml:space="preserve">具体为</w:t>
      </w:r>
      <w:r>
        <w:rPr>
          <w:rFonts w:hint="eastAsia" w:ascii="仿宋" w:hAnsi="仿宋" w:eastAsia="仿宋" w:cs="仿宋"/>
          <w:color w:val="auto"/>
          <w:sz w:val="24"/>
          <w:szCs w:val="24"/>
          <w:highlight w:val="none"/>
          <w:lang w:val="zh-CN" w:eastAsia="zh-CN" w:bidi="ar-SA"/>
        </w:rPr>
        <w:t xml:space="preserve">修复道路沥青路面、</w:t>
      </w:r>
      <w:r>
        <w:rPr>
          <w:rFonts w:hint="eastAsia" w:ascii="仿宋" w:hAnsi="仿宋" w:eastAsia="仿宋" w:cs="仿宋"/>
          <w:color w:val="auto"/>
          <w:sz w:val="24"/>
          <w:szCs w:val="24"/>
          <w:highlight w:val="none"/>
          <w:lang w:val="en-US" w:eastAsia="zh-CN" w:bidi="ar-SA"/>
        </w:rPr>
        <w:t xml:space="preserve">水泥混凝土路面</w:t>
      </w:r>
      <w:r>
        <w:rPr>
          <w:rFonts w:hint="eastAsia" w:ascii="仿宋" w:hAnsi="仿宋" w:eastAsia="仿宋" w:cs="仿宋"/>
          <w:color w:val="auto"/>
          <w:sz w:val="24"/>
          <w:szCs w:val="24"/>
          <w:highlight w:val="none"/>
          <w:lang w:val="zh-CN" w:eastAsia="zh-CN" w:bidi="ar-SA"/>
        </w:rPr>
        <w:t xml:space="preserve">、</w:t>
      </w:r>
      <w:r>
        <w:rPr>
          <w:rFonts w:hint="eastAsia" w:ascii="仿宋" w:hAnsi="仿宋" w:eastAsia="仿宋" w:cs="仿宋"/>
          <w:b w:val="0"/>
          <w:bCs w:val="0"/>
          <w:color w:val="auto"/>
          <w:sz w:val="24"/>
          <w:szCs w:val="24"/>
          <w:highlight w:val="none"/>
          <w:lang w:val="en-US" w:eastAsia="zh-CN" w:bidi="ar-SA"/>
        </w:rPr>
        <w:t xml:space="preserve">人行道</w:t>
      </w:r>
      <w:r>
        <w:rPr>
          <w:rFonts w:hint="eastAsia" w:ascii="仿宋" w:hAnsi="仿宋" w:eastAsia="仿宋" w:cs="仿宋"/>
          <w:color w:val="auto"/>
          <w:sz w:val="24"/>
          <w:szCs w:val="24"/>
          <w:highlight w:val="none"/>
          <w:lang w:val="en-US" w:eastAsia="zh-CN" w:bidi="ar-SA"/>
        </w:rPr>
        <w:t xml:space="preserve">道板恢复、</w:t>
      </w:r>
      <w:r>
        <w:rPr>
          <w:rFonts w:hint="eastAsia" w:ascii="仿宋" w:hAnsi="仿宋" w:eastAsia="仿宋" w:cs="仿宋"/>
          <w:color w:val="auto"/>
          <w:sz w:val="24"/>
          <w:szCs w:val="24"/>
          <w:highlight w:val="none"/>
          <w:lang w:val="zh-CN" w:eastAsia="zh-CN" w:bidi="ar-SA"/>
        </w:rPr>
        <w:t xml:space="preserve">侧平石恢复等内容</w:t>
      </w:r>
      <w:r>
        <w:rPr>
          <w:rFonts w:hint="eastAsia" w:ascii="仿宋" w:hAnsi="仿宋" w:eastAsia="仿宋" w:cs="仿宋"/>
          <w:color w:val="auto"/>
          <w:sz w:val="24"/>
          <w:szCs w:val="24"/>
          <w:highlight w:val="none"/>
          <w:lang w:val="en-US" w:eastAsia="zh-CN" w:bidi="ar-SA"/>
        </w:rPr>
        <w:t xml:space="preserve">，详见工程量清单及施工图所包含的全部内容。（本项目再生产品的使用参照设计文件及国家相关规范要求。）</w:t>
      </w:r>
      <w:r/>
    </w:p>
    <w:p>
      <w:pPr>
        <w:ind w:firstLine="420"/>
        <w:jc w:val="both"/>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4、承包方式：包工包料，不得违法分包与转包。</w:t>
      </w:r>
      <w:r/>
    </w:p>
    <w:p>
      <w:pPr>
        <w:ind w:firstLine="420"/>
        <w:jc w:val="both"/>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5、工程质量：合格，通过相关部门验收。未达到质量要求的，供应商负责无条件返工，直至达到要求，所发生的费用由供应商承担，供应商还应赔偿因此给采购人造成的损失。本项目验收按照《江苏省政府采购履约验收管理办法》执行，对履约验收发生的检测（检验）费、验收小组成员中的专业技术人员费用等支出，均由供应商承担，执行标准参照江苏省政府采购专家评审费，采购人不再支付其它任何费用。</w:t>
      </w:r>
      <w:r/>
    </w:p>
    <w:p>
      <w:pPr>
        <w:ind w:firstLine="420"/>
        <w:jc w:val="both"/>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6、工期：</w:t>
      </w:r>
      <w:r>
        <w:rPr>
          <w:rFonts w:hint="eastAsia" w:ascii="仿宋" w:hAnsi="仿宋" w:eastAsia="仿宋" w:cs="仿宋"/>
          <w:color w:val="auto"/>
          <w:sz w:val="24"/>
          <w:szCs w:val="24"/>
          <w:highlight w:val="none"/>
          <w:lang w:val="en-US" w:eastAsia="zh-CN" w:bidi="ar"/>
        </w:rPr>
        <w:t xml:space="preserve">90日历天。</w:t>
      </w:r>
      <w:r/>
    </w:p>
    <w:p>
      <w:pPr>
        <w:ind w:firstLine="420"/>
        <w:jc w:val="both"/>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7、现场自然及施工条件：要求供应商对项目现场和周围环境进行实地踏勘，以了解现场的施工环境、施工范围、技术要求及相关服务，获取有关编制响应文件和签订合同所需的各项资料，供应商应承担现场踏勘的责任和风险，费用由供应商自己承担。成交后不得以未踏勘现场或不了解现场为由提出任何增加费用的要求。</w:t>
      </w:r>
      <w:bookmarkEnd w:id="30"/>
      <w:r/>
      <w:r/>
    </w:p>
    <w:p>
      <w:pPr>
        <w:ind w:firstLine="420"/>
        <w:jc w:val="both"/>
        <w:spacing w:line="360" w:lineRule="auto"/>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8、现场踏勘：自行踏勘现场。</w:t>
      </w:r>
      <w:r/>
    </w:p>
    <w:p>
      <w:pPr>
        <w:ind w:firstLine="420"/>
        <w:jc w:val="both"/>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8.1 供应商自行对施工现场进行踏勘，以获取编制响应文件所需的现场信息资料。</w:t>
      </w:r>
      <w:r/>
    </w:p>
    <w:p>
      <w:pPr>
        <w:ind w:firstLine="420"/>
        <w:jc w:val="both"/>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8.2 供应商对本磋商文件所作出的理解、推论和解释由其自己负责。</w:t>
      </w:r>
      <w:r/>
    </w:p>
    <w:p>
      <w:pPr>
        <w:ind w:firstLine="420"/>
        <w:jc w:val="both"/>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8.3 由于现场踏勘没有进行或者不详细所导致的一切问题均由供应商自行负责。</w:t>
      </w:r>
      <w:r/>
    </w:p>
    <w:p>
      <w:pPr>
        <w:ind w:firstLine="420"/>
        <w:jc w:val="both"/>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8.4 供应商应承担现场踏勘的责任和风险，现场踏勘费用由供应商自己承担。</w:t>
      </w:r>
      <w:r/>
    </w:p>
    <w:p>
      <w:pPr>
        <w:jc w:val="left"/>
        <w:keepLines/>
        <w:keepNext/>
        <w:spacing w:line="360" w:lineRule="auto"/>
        <w:rPr>
          <w:rFonts w:hint="eastAsia" w:ascii="仿宋" w:hAnsi="仿宋" w:eastAsia="仿宋" w:cs="Arial"/>
          <w:b/>
          <w:color w:val="auto"/>
          <w:sz w:val="24"/>
          <w:szCs w:val="21"/>
          <w:highlight w:val="none"/>
          <w:lang w:val="en-US" w:eastAsia="zh-CN" w:bidi="ar-SA"/>
        </w:rPr>
        <w:outlineLvl w:val="1"/>
      </w:pPr>
      <w:r>
        <w:rPr>
          <w:rFonts w:hint="eastAsia" w:ascii="仿宋" w:hAnsi="仿宋" w:eastAsia="仿宋" w:cs="Arial"/>
          <w:b/>
          <w:color w:val="auto"/>
          <w:sz w:val="24"/>
          <w:szCs w:val="21"/>
          <w:highlight w:val="none"/>
          <w:lang w:val="en-US" w:eastAsia="zh-CN" w:bidi="ar-SA"/>
        </w:rPr>
        <w:t xml:space="preserve">三、图纸及工程量清单：另附（详见本项目采购公告附件）</w:t>
      </w:r>
      <w:bookmarkEnd w:id="29"/>
      <w:r/>
      <w:r/>
    </w:p>
    <w:p>
      <w:pPr>
        <w:ind w:firstLine="420"/>
        <w:jc w:val="both"/>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供应商应认真阅读施工图纸，核对工程量清单。报价包含完成工程量清单及施工图所含全部内容，成交后不得以不熟悉图纸和清单内容，或未进行现场踏勘等任何理由主张价格变更。</w:t>
      </w:r>
      <w:r/>
    </w:p>
    <w:p>
      <w:pPr>
        <w:jc w:val="left"/>
        <w:keepLines/>
        <w:keepNext/>
        <w:spacing w:line="360" w:lineRule="auto"/>
        <w:rPr>
          <w:rFonts w:hint="eastAsia" w:ascii="仿宋" w:hAnsi="仿宋" w:eastAsia="仿宋" w:cs="Arial"/>
          <w:b/>
          <w:color w:val="auto"/>
          <w:sz w:val="24"/>
          <w:szCs w:val="21"/>
          <w:highlight w:val="none"/>
          <w:lang w:val="en-US" w:eastAsia="zh-CN" w:bidi="ar-SA"/>
        </w:rPr>
        <w:outlineLvl w:val="1"/>
      </w:pPr>
      <w:r>
        <w:rPr>
          <w:rFonts w:hint="eastAsia" w:ascii="仿宋" w:hAnsi="仿宋" w:eastAsia="仿宋" w:cs="Arial"/>
          <w:b/>
          <w:color w:val="auto"/>
          <w:sz w:val="24"/>
          <w:szCs w:val="21"/>
          <w:highlight w:val="none"/>
          <w:lang w:val="en-US" w:eastAsia="zh-CN" w:bidi="ar-SA"/>
        </w:rPr>
        <w:t xml:space="preserve">四、施工要求</w:t>
      </w:r>
      <w:r/>
    </w:p>
    <w:p>
      <w:pPr>
        <w:jc w:val="both"/>
        <w:keepLines/>
        <w:keepNext/>
        <w:spacing w:line="360" w:lineRule="auto"/>
        <w:rPr>
          <w:rFonts w:hint="eastAsia" w:ascii="仿宋" w:hAnsi="仿宋" w:eastAsia="仿宋" w:cs="Arial"/>
          <w:b/>
          <w:color w:val="auto"/>
          <w:sz w:val="24"/>
          <w:szCs w:val="30"/>
          <w:highlight w:val="none"/>
          <w:lang w:val="en-US" w:eastAsia="zh-CN" w:bidi="ar-SA"/>
        </w:rPr>
        <w:outlineLvl w:val="2"/>
      </w:pPr>
      <w:r>
        <w:rPr>
          <w:rFonts w:hint="eastAsia" w:ascii="仿宋" w:hAnsi="仿宋" w:eastAsia="仿宋" w:cs="Arial"/>
          <w:b/>
          <w:color w:val="auto"/>
          <w:sz w:val="24"/>
          <w:szCs w:val="30"/>
          <w:highlight w:val="none"/>
          <w:lang w:val="en-US" w:eastAsia="zh-CN" w:bidi="ar-SA"/>
        </w:rPr>
        <w:t xml:space="preserve">1、工程量清单编制说明</w:t>
      </w:r>
      <w:r/>
    </w:p>
    <w:p>
      <w:pPr>
        <w:ind w:firstLine="420"/>
        <w:jc w:val="left"/>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1.1 本工程量清单是依据</w:t>
      </w:r>
      <w:r>
        <w:rPr>
          <w:rFonts w:hint="eastAsia" w:ascii="仿宋" w:hAnsi="仿宋" w:eastAsia="仿宋" w:cs="仿宋"/>
          <w:sz w:val="24"/>
          <w:highlight w:val="none"/>
        </w:rPr>
        <w:t xml:space="preserve">《建设工程工程量清单计价规范》(GB50500-2013)</w:t>
      </w:r>
      <w:r>
        <w:rPr>
          <w:rFonts w:hint="eastAsia" w:ascii="仿宋" w:hAnsi="仿宋" w:eastAsia="仿宋" w:cs="仿宋"/>
          <w:color w:val="auto"/>
          <w:sz w:val="24"/>
          <w:szCs w:val="24"/>
          <w:highlight w:val="none"/>
          <w:lang w:val="en-US" w:eastAsia="zh-CN" w:bidi="ar-SA"/>
        </w:rPr>
        <w:t xml:space="preserve">及其9本计算规范(以下简称“计价规范”)、地方规定以及磋商文件中包括的图纸等编制。</w:t>
      </w:r>
      <w:r/>
    </w:p>
    <w:p>
      <w:pPr>
        <w:ind w:firstLine="420"/>
        <w:jc w:val="left"/>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1.2 本工程量清单应与磋商文件中通用合同条款、专用合同条款、技术标准和要求等章节内容一起阅读和理解。</w:t>
      </w:r>
      <w:r/>
    </w:p>
    <w:p>
      <w:pPr>
        <w:ind w:firstLine="420"/>
        <w:jc w:val="left"/>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1.3 本工程量清单仅是报价的共同基础，竣工结算的工程量按合同约定确定。合同价格的确定以及价款支付应遵循合同条款(包括通用合同条款和专用合同条款)、技术标准和要求以及本章的有关约定。</w:t>
      </w:r>
      <w:r/>
    </w:p>
    <w:p>
      <w:pPr>
        <w:ind w:firstLine="420"/>
        <w:jc w:val="left"/>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1.4本条第1.1款中约定的计量和计价规则适用于合同履约过程中工程量计量与价款支付、工程变更、索赔和工程结算。</w:t>
      </w:r>
      <w:r/>
    </w:p>
    <w:p>
      <w:pPr>
        <w:ind w:firstLine="420"/>
        <w:jc w:val="left"/>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1.5 本清单要求是构成合同文件的已标价工程量清单的组成部分。</w:t>
      </w:r>
      <w:r/>
    </w:p>
    <w:p>
      <w:pPr>
        <w:ind w:firstLine="420"/>
        <w:jc w:val="left"/>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1.6编制依据：</w:t>
      </w:r>
      <w:r/>
    </w:p>
    <w:p>
      <w:pPr>
        <w:ind w:firstLine="960"/>
        <w:jc w:val="left"/>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（1）《建设工程工程量清单计价规范》(GB50500-2013)；</w:t>
      </w:r>
      <w:r/>
    </w:p>
    <w:p>
      <w:pPr>
        <w:ind w:firstLine="960"/>
        <w:jc w:val="left"/>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（2）《江苏省市政工程计价定额》（2014年）；</w:t>
      </w:r>
      <w:r/>
    </w:p>
    <w:p>
      <w:pPr>
        <w:ind w:firstLine="960"/>
        <w:jc w:val="left"/>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（3）人工参照按苏建函价（2026）27号文执行；</w:t>
      </w:r>
      <w:r/>
    </w:p>
    <w:p>
      <w:pPr>
        <w:ind w:firstLine="960"/>
        <w:jc w:val="left"/>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（4）材料价格参照市场价；</w:t>
      </w:r>
      <w:r/>
    </w:p>
    <w:p>
      <w:pPr>
        <w:ind w:left="256" w:right="6" w:firstLine="624"/>
        <w:jc w:val="both"/>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（5）委托方（甲方）提供的《黄河东片区道路雨污分流路面修复工程项目》施工图及相关规范、文件等；</w:t>
      </w:r>
      <w:r/>
    </w:p>
    <w:p>
      <w:pPr>
        <w:ind w:left="256" w:right="6" w:firstLine="624"/>
        <w:jc w:val="both"/>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（6）建设行政主管部门颁布的有关工程造价文件。</w:t>
      </w:r>
      <w:r/>
    </w:p>
    <w:p>
      <w:pPr>
        <w:ind w:firstLine="420"/>
        <w:jc w:val="left"/>
        <w:spacing w:line="360" w:lineRule="auto"/>
        <w:widowControl w:val="off"/>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1.7相关费率计取：详见招标清单</w:t>
      </w:r>
      <w:r/>
    </w:p>
    <w:p>
      <w:pPr>
        <w:ind w:firstLine="420"/>
        <w:jc w:val="left"/>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1.8其他问题说明</w:t>
      </w:r>
      <w:r/>
    </w:p>
    <w:p>
      <w:pPr>
        <w:numPr>
          <w:ilvl w:val="0"/>
          <w:numId w:val="4"/>
        </w:num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预算工程量根据设计图提供的工程量计入；结算时按现场实际发生工程量计算；</w:t>
      </w:r>
      <w:r/>
    </w:p>
    <w:p>
      <w:pPr>
        <w:jc w:val="both"/>
        <w:keepLines/>
        <w:keepNext/>
        <w:spacing w:line="360" w:lineRule="auto"/>
        <w:rPr>
          <w:rFonts w:hint="eastAsia" w:ascii="仿宋" w:hAnsi="仿宋" w:eastAsia="仿宋" w:cs="Arial"/>
          <w:b/>
          <w:color w:val="auto"/>
          <w:sz w:val="24"/>
          <w:szCs w:val="30"/>
          <w:highlight w:val="none"/>
          <w:lang w:val="en-US" w:eastAsia="zh-CN" w:bidi="ar-SA"/>
        </w:rPr>
        <w:outlineLvl w:val="2"/>
      </w:pPr>
      <w:r>
        <w:rPr>
          <w:rFonts w:hint="eastAsia" w:ascii="仿宋" w:hAnsi="仿宋" w:eastAsia="仿宋" w:cs="Arial"/>
          <w:b/>
          <w:color w:val="auto"/>
          <w:sz w:val="24"/>
          <w:szCs w:val="30"/>
          <w:highlight w:val="none"/>
          <w:lang w:val="en-US" w:eastAsia="zh-CN" w:bidi="ar-SA"/>
        </w:rPr>
        <w:t xml:space="preserve">2、响应报价编制要求</w:t>
      </w:r>
      <w:r/>
    </w:p>
    <w:p>
      <w:pPr>
        <w:ind w:firstLine="420"/>
        <w:jc w:val="left"/>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2.1 响应报价应根据采购文件中的有关计价要求，并按照下列依据自主报价，但不得低于成本。</w:t>
      </w:r>
      <w:r/>
    </w:p>
    <w:p>
      <w:pPr>
        <w:ind w:firstLine="420"/>
        <w:jc w:val="left"/>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(1)本采购文件；</w:t>
      </w:r>
      <w:r/>
    </w:p>
    <w:p>
      <w:pPr>
        <w:ind w:firstLine="420"/>
        <w:jc w:val="left"/>
        <w:spacing w:line="360" w:lineRule="auto"/>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w:t>
      </w:r>
      <w:r>
        <w:rPr>
          <w:rFonts w:hint="eastAsia" w:ascii="仿宋" w:hAnsi="仿宋" w:eastAsia="仿宋" w:cs="仿宋"/>
          <w:b w:val="0"/>
          <w:bCs w:val="0"/>
          <w:color w:val="auto"/>
          <w:sz w:val="24"/>
          <w:highlight w:val="none"/>
        </w:rPr>
        <w:t xml:space="preserve">《建设工程工程量清单计价规范》(GB50500-2013)</w:t>
      </w:r>
      <w:r>
        <w:rPr>
          <w:rFonts w:hint="eastAsia" w:ascii="仿宋" w:hAnsi="仿宋" w:eastAsia="仿宋" w:cs="仿宋"/>
          <w:b w:val="0"/>
          <w:bCs w:val="0"/>
          <w:color w:val="auto"/>
          <w:sz w:val="24"/>
          <w:szCs w:val="24"/>
          <w:highlight w:val="none"/>
          <w:lang w:val="en-US" w:eastAsia="zh-CN" w:bidi="ar-SA"/>
        </w:rPr>
        <w:t xml:space="preserve">及其9本计算规范；</w:t>
      </w:r>
      <w:r/>
    </w:p>
    <w:p>
      <w:pPr>
        <w:ind w:firstLine="420"/>
        <w:jc w:val="left"/>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(3)国家或省级、行业建设主管部门颁发的计价办法；</w:t>
      </w:r>
      <w:r/>
    </w:p>
    <w:p>
      <w:pPr>
        <w:ind w:firstLine="420"/>
        <w:jc w:val="left"/>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(4)企业定额，国家或省级、行业建设主管部门颁发的计价定额；</w:t>
      </w:r>
      <w:r/>
    </w:p>
    <w:p>
      <w:pPr>
        <w:ind w:firstLine="420"/>
        <w:jc w:val="left"/>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(5)采购文件、招标工程量清单及其补充通知、答疑纪要；</w:t>
      </w:r>
      <w:r/>
    </w:p>
    <w:p>
      <w:pPr>
        <w:ind w:firstLine="420"/>
        <w:jc w:val="left"/>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(6)建设工程设计文件及相关资料；</w:t>
      </w:r>
      <w:r/>
    </w:p>
    <w:p>
      <w:pPr>
        <w:ind w:firstLine="420"/>
        <w:jc w:val="left"/>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(7)施工现场情况、工程特点及拟定的投标施工组织设计或施工方案；</w:t>
      </w:r>
      <w:r/>
    </w:p>
    <w:p>
      <w:pPr>
        <w:ind w:firstLine="420"/>
        <w:jc w:val="left"/>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(8)与建设项目相关的标准、规范等技术资料；</w:t>
      </w:r>
      <w:r/>
    </w:p>
    <w:p>
      <w:pPr>
        <w:ind w:firstLine="420"/>
        <w:jc w:val="left"/>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(9)市场价格信息或工程造价管理机构发布的工程造价信息；</w:t>
      </w:r>
      <w:r/>
    </w:p>
    <w:p>
      <w:pPr>
        <w:ind w:firstLine="420"/>
        <w:jc w:val="left"/>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(10)其他的相关资料。</w:t>
      </w:r>
      <w:r/>
    </w:p>
    <w:p>
      <w:pPr>
        <w:ind w:firstLine="420"/>
        <w:jc w:val="left"/>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2.2 招标工程量清单与计价表中列明的所有需要填写单价和合价的项目，均应填写且只允许有一个报价。未填写单价和合价的项目，视为此项费用已包含在已标价工程量清单中其他项目的单价和合价之中。</w:t>
      </w:r>
      <w:r/>
    </w:p>
    <w:p>
      <w:pPr>
        <w:ind w:firstLine="420"/>
        <w:jc w:val="left"/>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2.3 工程量清单中标价的单价或金额，应包括所需人工费、材料费、施工机具使用费、管理费和利润，以及一定范围内的风险费用。</w:t>
      </w:r>
      <w:r/>
    </w:p>
    <w:p>
      <w:pPr>
        <w:ind w:firstLine="420"/>
        <w:jc w:val="left"/>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2.4 “响应报价汇总表”中的投标总价由分部分项工程费、措施项目费、其他项目费、税金组成，并且“响应报价汇总表”中的投标总价应当与构成已标价工程量清单的分部分项工程费、措施项目费、其他项目费、税金的合计金额一致。</w:t>
      </w:r>
      <w:r/>
    </w:p>
    <w:p>
      <w:pPr>
        <w:ind w:firstLine="420"/>
        <w:jc w:val="left"/>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2.5 分部分项工程和措施项目中的单价项目按下列要求报价：</w:t>
      </w:r>
      <w:r/>
    </w:p>
    <w:p>
      <w:pPr>
        <w:ind w:firstLine="420"/>
        <w:jc w:val="left"/>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2.5.1 分部分项工程应根据采购文件和招标工程量清单确定综合单价。</w:t>
      </w:r>
      <w:r/>
    </w:p>
    <w:p>
      <w:pPr>
        <w:ind w:firstLine="420"/>
        <w:jc w:val="left"/>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2.5.2 如果分部分项工程量清单中涉及“材料（工程设备）暂估单价及调整表”中列出的材料和工程设备，将该类材料和工程设备的暂估单价计入对应的工程量清单综合单价。</w:t>
      </w:r>
      <w:r/>
    </w:p>
    <w:p>
      <w:pPr>
        <w:ind w:firstLine="420"/>
        <w:jc w:val="left"/>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2.5.3 如果分部分项工程量清单中涉及“发包人供应材料和工程设备一览表”中列出的材料和工程设备，则该类材料和工程设备供应至现场指定位置的采购供应价（含材料保管费）应计入对应的工程量清单综合单价。</w:t>
      </w:r>
      <w:r/>
    </w:p>
    <w:p>
      <w:pPr>
        <w:ind w:firstLine="420"/>
        <w:jc w:val="left"/>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2.5.4 “分部分项工程清单”所列各项目的综合单价组成中，各项目的人工、材料和机械台班消耗量、管理费费率、利润费率由投标人按照其自身情况做充分的、竞争性考虑。</w:t>
      </w:r>
      <w:r/>
    </w:p>
    <w:p>
      <w:pPr>
        <w:ind w:firstLine="420"/>
        <w:jc w:val="left"/>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2.5.5 供应商在响应文件中提交并构成合同文件的“承包人供应主要材料和工程设备一览表”中所列的材料和工程设备的价格是指此类材料和工程设备到达施工现场指定堆放地点的落地价格，即包括采购、包装、运输、装卸、堆放、现场保管等全部费用。“承包人供应主要材料和工程设备一览表”中所列材料和工程设备的价格应与构成综合单价相应材料或工程设备的价格一致。响应文件中的“发包人供应材料和工程设备一览表”中的甲供材料的名称、规格、单价、交货方式、交货地点等必须与招标工程量清单一致。</w:t>
      </w:r>
      <w:r/>
    </w:p>
    <w:p>
      <w:pPr>
        <w:ind w:firstLine="420"/>
        <w:jc w:val="left"/>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2.6 措施项目中的总价项目按下列要求报价：</w:t>
      </w:r>
      <w:r/>
    </w:p>
    <w:p>
      <w:pPr>
        <w:ind w:firstLine="420"/>
        <w:jc w:val="left"/>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2.6.1 措施项目费的准确性和完整性由投标人负责。</w:t>
      </w:r>
      <w:r/>
    </w:p>
    <w:p>
      <w:pPr>
        <w:ind w:firstLine="420"/>
        <w:jc w:val="left"/>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2.6.2 措施项目费中的</w:t>
      </w:r>
      <w:r>
        <w:rPr>
          <w:rFonts w:hint="default" w:ascii="仿宋" w:hAnsi="仿宋" w:eastAsia="仿宋" w:cs="仿宋"/>
          <w:color w:val="auto"/>
          <w:sz w:val="24"/>
          <w:szCs w:val="24"/>
          <w:highlight w:val="none"/>
          <w:lang w:val="en-US" w:eastAsia="zh-CN" w:bidi="ar-SA"/>
        </w:rPr>
        <w:t xml:space="preserve">安全生产措施费按照国家及省级、行业主管部门的相关规定计价</w:t>
      </w:r>
      <w:r>
        <w:rPr>
          <w:rFonts w:hint="eastAsia" w:ascii="仿宋" w:hAnsi="仿宋" w:eastAsia="仿宋" w:cs="仿宋"/>
          <w:color w:val="auto"/>
          <w:sz w:val="24"/>
          <w:szCs w:val="24"/>
          <w:highlight w:val="none"/>
          <w:lang w:val="en-US" w:eastAsia="zh-CN" w:bidi="ar-SA"/>
        </w:rPr>
        <w:t xml:space="preserve">。</w:t>
      </w:r>
      <w:r/>
    </w:p>
    <w:p>
      <w:pPr>
        <w:ind w:firstLine="420"/>
        <w:jc w:val="left"/>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2.6.3 招标人提供的措施项目清单，供应商在报价时应充分、全面地阅读和理解采购文件的相关内容和约定，详实了解工程场地及其周围环境，充分考虑招标工程特点及拟定的施工方案和施工组织设计，供应商可根据工程实际与施工组织设计自主报价。</w:t>
      </w:r>
      <w:r/>
    </w:p>
    <w:p>
      <w:pPr>
        <w:ind w:firstLine="420"/>
        <w:jc w:val="left"/>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2.6.4 “措施项目费”中所填写的报价金额，应全面涵盖招标文件约定的投标人中标后施工、竣工、交付本工程并维修其任何缺陷所需要履行的责任和义务的全部费用。</w:t>
      </w:r>
      <w:r/>
    </w:p>
    <w:p>
      <w:pPr>
        <w:ind w:firstLine="420"/>
        <w:jc w:val="left"/>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2.7 其他项目清单费应按下列规定报价：</w:t>
      </w:r>
      <w:r/>
    </w:p>
    <w:p>
      <w:pPr>
        <w:ind w:firstLine="420"/>
        <w:jc w:val="left"/>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2.7.1 计日工按“计日工表”中列出的项目和估算数量，自主确定综合单价并计算计日工金额。</w:t>
      </w:r>
      <w:r/>
    </w:p>
    <w:p>
      <w:pPr>
        <w:ind w:firstLine="420"/>
        <w:jc w:val="left"/>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2.7.2 总承包服务费根据采购文件中列出的内容和要求，按“总承包服务费计价表”所列格式自主报价。</w:t>
      </w:r>
      <w:r/>
    </w:p>
    <w:p>
      <w:pPr>
        <w:ind w:firstLine="420"/>
        <w:jc w:val="left"/>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2.8 增值税应按“增值税计价表”所列项目并根据国家、省级或行业建设主管部门的有关规定列项和计算，不得作为竞争性费用。</w:t>
      </w:r>
      <w:r/>
    </w:p>
    <w:p>
      <w:pPr>
        <w:ind w:firstLine="420"/>
        <w:jc w:val="left"/>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2.9 除采购文件有强制性规定以及不可竞争部分以外，响应报价由供应商自主确定，但不得低于成本。</w:t>
      </w:r>
      <w:r/>
    </w:p>
    <w:p>
      <w:pPr>
        <w:ind w:firstLine="420"/>
        <w:jc w:val="left"/>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2.10 工程量清单计价所涉及的生产资源(包括各类人工、材料、工程设备、施工设备、临时设施、临时用水、临时用电等)的投标价格，应根据自身的信息渠道和采购渠道，分析其市场价格水平并判断其整个施工周期内的变化趋势，体现供应商自身的管理水平、技术水平和综合实力。</w:t>
      </w:r>
      <w:r/>
    </w:p>
    <w:p>
      <w:pPr>
        <w:ind w:firstLine="420"/>
        <w:jc w:val="left"/>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2.11 管理费应由供应商在保证不低于其成本的基础上做竞争性考虑；利润由供应商根据自身情况和综合实力做竞争性考虑。</w:t>
      </w:r>
      <w:r/>
    </w:p>
    <w:p>
      <w:pPr>
        <w:ind w:firstLine="420"/>
        <w:jc w:val="left"/>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2.12 响应报价中应考虑采购文件中要求供应商承担的风险范围以及相关的费用。</w:t>
      </w:r>
      <w:r/>
    </w:p>
    <w:p>
      <w:pPr>
        <w:ind w:firstLine="420"/>
        <w:jc w:val="left"/>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2.13 投标总价为供应商在响应文件中提出的各项支付金额的总和（含税），为实施、完成招标工程并修补缺陷以及履行采购文件中约定的风险范围内的所有责任和义务所发生的全部费用。   </w:t>
      </w:r>
      <w:r/>
    </w:p>
    <w:p>
      <w:pPr>
        <w:ind w:firstLine="420"/>
        <w:jc w:val="left"/>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2.14 有关响应报价的其他要求： </w:t>
      </w:r>
      <w:r/>
    </w:p>
    <w:p>
      <w:pPr>
        <w:ind w:firstLine="420"/>
        <w:jc w:val="left"/>
        <w:spacing w:line="360" w:lineRule="auto"/>
        <w:widowControl w:val="off"/>
        <w:rPr>
          <w:rFonts w:hint="eastAsia" w:ascii="仿宋" w:hAnsi="仿宋" w:eastAsia="仿宋" w:cs="仿宋"/>
          <w:b w:val="0"/>
          <w:bCs/>
          <w:color w:val="auto"/>
          <w:sz w:val="24"/>
          <w:szCs w:val="24"/>
          <w:highlight w:val="none"/>
          <w:lang w:val="en-US" w:eastAsia="zh-CN" w:bidi="ar-SA"/>
        </w:rPr>
      </w:pPr>
      <w:r>
        <w:rPr>
          <w:rFonts w:hint="eastAsia" w:ascii="仿宋" w:hAnsi="仿宋" w:eastAsia="仿宋" w:cs="仿宋"/>
          <w:b w:val="0"/>
          <w:bCs/>
          <w:color w:val="auto"/>
          <w:sz w:val="24"/>
          <w:szCs w:val="24"/>
          <w:highlight w:val="none"/>
          <w:lang w:val="en-US" w:eastAsia="zh-CN" w:bidi="ar-SA"/>
        </w:rPr>
        <w:t xml:space="preserve">2.14.1 本项目材料价格参照市场价；其他详见工程量清单及预算编制说明；</w:t>
      </w:r>
      <w:r/>
    </w:p>
    <w:p>
      <w:pPr>
        <w:ind w:firstLine="420"/>
        <w:jc w:val="left"/>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2.14.2本项目施工过程中，如有拆除、现场设备移位安装等，供应商报价时候须充分考虑以上内容及施工现场实际拆除并恢复等，采购人不再另行支付费用。</w:t>
      </w:r>
      <w:r/>
    </w:p>
    <w:p>
      <w:pPr>
        <w:ind w:firstLine="420"/>
        <w:jc w:val="left"/>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2.14.3 报价内容</w:t>
      </w:r>
      <w:r/>
    </w:p>
    <w:p>
      <w:pPr>
        <w:ind w:firstLine="420"/>
        <w:jc w:val="left"/>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⑴响应报价应包括竞争性磋商文件中所确定的范围内工程量清单中所含项目的全部内容，以及为完成上述内容所需的全部费用。其根据为供应商提交的已标价的工程量清单及附表。</w:t>
      </w:r>
      <w:r/>
    </w:p>
    <w:p>
      <w:pPr>
        <w:ind w:firstLine="420"/>
        <w:jc w:val="left"/>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⑵供应商应按采购人提供的工程量清单填报价格。填写的项目名称、项目特征、计量单位、工程量必须与采购人提供的一致。若出现与招标提供的工程量清单漏报的，则视为供应商让利。</w:t>
      </w:r>
      <w:r/>
    </w:p>
    <w:p>
      <w:pPr>
        <w:ind w:firstLine="420"/>
        <w:jc w:val="left"/>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⑶供应商应按采购人提供的工程量计算工程项目的单价和合价。工程量清单中的每一单项均需计算填写单价和合价，供应商没有填写单价和合价的项目将被认为此项费用已包括在工程量清单的其他单价和合价中。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ind w:firstLine="420"/>
        <w:jc w:val="left"/>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⑷项目实施方案所描述的技术措施所发生的费用，视为已体现在供应商报价的非实体性消耗所发生的费用中。</w:t>
      </w:r>
      <w:r/>
    </w:p>
    <w:p>
      <w:pPr>
        <w:ind w:firstLine="420"/>
        <w:jc w:val="left"/>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⑸供应商自行勘察，了解周边原有建筑、设施，事先视察工地，充分了解工程位置、邻近建筑物、工地情况、开挖的土质，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求，不再另行支付任何费用。</w:t>
      </w:r>
      <w:r/>
    </w:p>
    <w:p>
      <w:pPr>
        <w:ind w:firstLine="420"/>
        <w:jc w:val="left"/>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⑹安全文明施工是供应商的责任，供应商应在其响应报价时充分考虑因工地工况及任何其它足以造成的工期影响与费用增加，在报价予以考虑，采购人不接受任何由于供应商考虑不周为由而提出的任何补偿。</w:t>
      </w:r>
      <w:r/>
    </w:p>
    <w:p>
      <w:pPr>
        <w:ind w:firstLine="420"/>
        <w:jc w:val="left"/>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⑺由供应商负责办理相关建设、城管、市政、安全、环保等部门的手续，施工供应商在响应报价时应考虑这样因素，费用包含在报价中，采购人不接受供应商关于此类费用的任何诉求，不再另行支付任何费用。</w:t>
      </w:r>
      <w:r/>
    </w:p>
    <w:p>
      <w:pPr>
        <w:ind w:firstLine="420"/>
        <w:jc w:val="left"/>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⑻垃圾外运，运距及运输方式供应商自行考虑，费用包含在报价中，工程结算时不再调整。</w:t>
      </w:r>
      <w:r/>
    </w:p>
    <w:p>
      <w:pPr>
        <w:ind w:firstLine="420"/>
        <w:jc w:val="left"/>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⑼供应商应认真踏勘现场并仔细核对工程量清单，如有疑义，应对特征描述以及其工程量清单项目的完整性依据本采购文件规定的提疑截止时间内提出，采购人相应做书面答复并调整。清单项目中特征描述不全的工序或施工内容、材料和设备名称，如图纸内容及技术要求已明确或已指明引用的规范、图集等或是常规工艺必须的工序，均应包括在报价中。</w:t>
      </w:r>
      <w:r/>
    </w:p>
    <w:p>
      <w:pPr>
        <w:ind w:firstLine="420"/>
        <w:jc w:val="left"/>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⑽供应商应认真研读竞争性磋商文件和合同内容，已明示含在投标报价中的费用供应商自行考虑，不管工程量清单是否单独列支，采购人均认为供应商已充分考虑此部分费用，应包括在报价中。</w:t>
      </w:r>
      <w:r/>
    </w:p>
    <w:p>
      <w:pPr>
        <w:ind w:firstLine="420"/>
        <w:jc w:val="left"/>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⑾场地障碍物（包括地表、地下及围档增设开口）清除（包含挖填等处理）、场地内的积水处理、周边关系、第三方关系的协调及其它的一切相关配合等均在风险系数内考虑。</w:t>
      </w:r>
      <w:r/>
    </w:p>
    <w:p>
      <w:pPr>
        <w:ind w:firstLine="420"/>
        <w:jc w:val="left"/>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⑿检验试验费：因工程需要所做的全部检验、试验及检测相关费用，由供应商（供应商）自行考虑风险并计入投标报价中，结算时不予调整。</w:t>
      </w:r>
      <w:r/>
    </w:p>
    <w:p>
      <w:pPr>
        <w:ind w:firstLine="420"/>
        <w:jc w:val="left"/>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⒀本项目施工过程中，如有现场设备移位安装等，供应商报价时候须充分考虑以上内容及施工现场实际拆除并恢复等，采购人不再另行支付费用。</w:t>
      </w:r>
      <w:r/>
    </w:p>
    <w:p>
      <w:pPr>
        <w:ind w:firstLine="420"/>
        <w:jc w:val="left"/>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特别说明：</w:t>
      </w:r>
      <w:r/>
    </w:p>
    <w:p>
      <w:pPr>
        <w:ind w:firstLine="420"/>
        <w:jc w:val="left"/>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a.由承包人负责处理施工场地及其周围成品的保护工作。承包人根据施工需要进行保护，所需费用含在投标报价内，施工中及结算时不得因成品保护的费用向发包人提起签证或索要费用。如在施工过程中因承包人原因造成成品损坏，承包人应予以原样修复并承担修复费用。</w:t>
      </w:r>
      <w:r/>
    </w:p>
    <w:p>
      <w:pPr>
        <w:ind w:firstLine="420"/>
        <w:jc w:val="left"/>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b.施工完成后，承包人应将施工现场彻底清洁完毕达到发包人要求并撤离现场后，方能进行竣工验收。承包人拒绝清洁的，发包人有权安排其他单位进行清洁，所需费用从承包人工程款中扣除。</w:t>
      </w:r>
      <w:r/>
    </w:p>
    <w:p>
      <w:pPr>
        <w:ind w:firstLine="420"/>
        <w:jc w:val="left"/>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2.14.4 报价方式</w:t>
      </w:r>
      <w:r/>
    </w:p>
    <w:p>
      <w:pPr>
        <w:ind w:firstLine="420"/>
        <w:jc w:val="left"/>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①本工程采用固定单价合同（除另有规定外）。</w:t>
      </w:r>
      <w:r/>
    </w:p>
    <w:p>
      <w:pPr>
        <w:ind w:firstLine="420"/>
        <w:jc w:val="left"/>
        <w:spacing w:line="360" w:lineRule="auto"/>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供应商应充分考虑施工期间各类建材的市场风险，充分考虑政策性关于人工、机械费用等方面调整，并计入总报价，</w:t>
      </w:r>
      <w:r>
        <w:rPr>
          <w:rFonts w:hint="eastAsia" w:ascii="仿宋" w:hAnsi="仿宋" w:eastAsia="仿宋" w:cs="仿宋"/>
          <w:b/>
          <w:bCs/>
          <w:color w:val="auto"/>
          <w:sz w:val="24"/>
          <w:szCs w:val="24"/>
          <w:highlight w:val="none"/>
          <w:lang w:val="en-US" w:eastAsia="zh-CN" w:bidi="ar-SA"/>
        </w:rPr>
        <w:t xml:space="preserve">供应商所填写的单价在合同实施期间不因市场变化因素而变动，结算不再调整。</w:t>
      </w:r>
      <w:r/>
    </w:p>
    <w:p>
      <w:pPr>
        <w:ind w:firstLine="420"/>
        <w:jc w:val="left"/>
        <w:spacing w:line="360" w:lineRule="auto"/>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②本工程对材料风险约定如下：供应商应充分考虑施工期间各类建材的市场风险，并计入总报价，供应商在计算报价时应考虑一定的风险系数。</w:t>
      </w:r>
      <w:r>
        <w:rPr>
          <w:rFonts w:hint="eastAsia" w:ascii="仿宋" w:hAnsi="仿宋" w:eastAsia="仿宋" w:cs="仿宋"/>
          <w:b/>
          <w:bCs/>
          <w:color w:val="auto"/>
          <w:sz w:val="24"/>
          <w:szCs w:val="24"/>
          <w:highlight w:val="none"/>
          <w:lang w:val="en-US" w:eastAsia="zh-CN" w:bidi="ar-SA"/>
        </w:rPr>
        <w:t xml:space="preserve">本工程工期较短结算时材料价格不予调整。</w:t>
      </w:r>
      <w:r/>
    </w:p>
    <w:p>
      <w:pPr>
        <w:ind w:firstLine="420"/>
        <w:jc w:val="left"/>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③对于法律、法规、规章或有关政策出台导致工程税金等发生变化的，应按照有关规定执行。</w:t>
      </w:r>
      <w:r/>
    </w:p>
    <w:p>
      <w:pPr>
        <w:ind w:firstLine="420"/>
        <w:jc w:val="left"/>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2.14.5 报价的计价方法</w:t>
      </w:r>
      <w:r/>
    </w:p>
    <w:p>
      <w:pPr>
        <w:ind w:firstLine="420"/>
        <w:jc w:val="left"/>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本工程项目采用工程量清单计价。</w:t>
      </w:r>
      <w:r/>
    </w:p>
    <w:p>
      <w:pPr>
        <w:ind w:firstLine="420"/>
        <w:jc w:val="left"/>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2.14.6 报价编制依据及要求：详见《工程量清单》。</w:t>
      </w:r>
      <w:r/>
    </w:p>
    <w:p>
      <w:pPr>
        <w:ind w:firstLine="420"/>
        <w:jc w:val="left"/>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2.14.7 响应文件报价要求：</w:t>
      </w:r>
      <w:r/>
    </w:p>
    <w:p>
      <w:pPr>
        <w:ind w:firstLine="420"/>
        <w:jc w:val="left"/>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①首次响应文件中提供《已标价的工程量清单》文件。</w:t>
      </w:r>
      <w:r/>
    </w:p>
    <w:p>
      <w:pPr>
        <w:ind w:firstLine="420"/>
        <w:jc w:val="left"/>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②按照《工程量清单》编制《已标价的工程量清单》（工程量清单不得改变）。</w:t>
      </w:r>
      <w:r/>
    </w:p>
    <w:p>
      <w:pPr>
        <w:ind w:firstLine="420"/>
        <w:jc w:val="left"/>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③工程量清单项目中特征描述不全的工序或施工内容、材料和设备名称，如施工图纸及技术要求已明确或已指明引用的规范、图集等或是常规工艺必须的工序，视为费用已包括在合同价款中，不得再以项目特征描述不全或者其他任何理由主张价格变更。承包人应按照发包人提供的施工图纸及技术要求实施合同工程。</w:t>
      </w:r>
      <w:r/>
    </w:p>
    <w:p>
      <w:pPr>
        <w:jc w:val="both"/>
        <w:keepLines/>
        <w:keepNext/>
        <w:spacing w:line="360" w:lineRule="auto"/>
        <w:rPr>
          <w:rFonts w:hint="eastAsia" w:ascii="仿宋" w:hAnsi="仿宋" w:eastAsia="仿宋" w:cs="Arial"/>
          <w:b/>
          <w:color w:val="auto"/>
          <w:sz w:val="24"/>
          <w:szCs w:val="30"/>
          <w:highlight w:val="none"/>
          <w:lang w:val="en-US" w:eastAsia="zh-CN" w:bidi="ar-SA"/>
        </w:rPr>
        <w:outlineLvl w:val="2"/>
      </w:pPr>
      <w:r>
        <w:rPr>
          <w:rFonts w:hint="eastAsia" w:ascii="仿宋" w:hAnsi="仿宋" w:eastAsia="仿宋" w:cs="Arial"/>
          <w:b/>
          <w:color w:val="auto"/>
          <w:sz w:val="24"/>
          <w:szCs w:val="30"/>
          <w:highlight w:val="none"/>
          <w:lang w:val="en-US" w:eastAsia="zh-CN" w:bidi="ar-SA"/>
        </w:rPr>
        <w:t xml:space="preserve">3、其他说明</w:t>
      </w:r>
      <w:r/>
    </w:p>
    <w:p>
      <w:pPr>
        <w:ind w:firstLine="420"/>
        <w:jc w:val="left"/>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3.1词语和定义</w:t>
      </w:r>
      <w:r/>
    </w:p>
    <w:p>
      <w:pPr>
        <w:ind w:firstLine="420"/>
        <w:jc w:val="left"/>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3.1.1 同义词语</w:t>
      </w:r>
      <w:r/>
    </w:p>
    <w:p>
      <w:pPr>
        <w:ind w:firstLine="420"/>
        <w:jc w:val="left"/>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本磋商文件中使用的词语“采购人（招标人）”和“供应商（供应商）”分别与合同条款中定义的“发包人”和“承包人”同义。</w:t>
      </w:r>
      <w:r/>
    </w:p>
    <w:p>
      <w:pPr>
        <w:ind w:firstLine="420"/>
        <w:jc w:val="left"/>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3.2 工程量差异调整</w:t>
      </w:r>
      <w:r/>
    </w:p>
    <w:p>
      <w:pPr>
        <w:ind w:firstLine="420"/>
        <w:jc w:val="left"/>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3.2.1 工程量清单中的项目列项、特征描述、工作内容以及“分部分项工程和单价措施项目清单与计价表”中附带的工程量都不应理解为是对承包(招标)范围以及合同工作内容的唯一的、最终的或全部的定义。</w:t>
      </w:r>
      <w:r/>
    </w:p>
    <w:p>
      <w:pPr>
        <w:ind w:firstLine="420"/>
        <w:jc w:val="left"/>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3.2.2 供应商（供应商）可对采购人提供的工程量清单进行复核。这种复核包括对招标人提供的工程量清单中的项目编码、项目名称、项目特征描述、计量单位、工程量的准确性以及可能存在的任何书写、打印错误进行检查和复核，也包括对“分部分项工程和单价措施项目清单与计价表”中每个工作项目的工程量进行重新计算和校核。如果供应商（供应商）经过检查和复核以后认为采购人提供的工程量清单存在差异，则供应商（供应商）按磋商文件规定的程序向采购人提出异议。 成交后不得以工程量清单未进行复核及不熟悉图纸等任何理由主张价格变更。   </w:t>
      </w:r>
      <w:r/>
    </w:p>
    <w:p>
      <w:pPr>
        <w:ind w:firstLine="420"/>
        <w:jc w:val="left"/>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3.2.3 如果采购人在检查供应商根据上文第3.2.2项提交的工程量差异问题后认为没有必要对工程量清单进行补充和(或)修改，或者采购人根据上文第3.2.2项对</w:t>
      </w:r>
      <w:r>
        <w:rPr>
          <w:rFonts w:hint="eastAsia" w:ascii="仿宋" w:hAnsi="仿宋" w:eastAsia="仿宋" w:cs="仿宋"/>
          <w:color w:val="auto"/>
          <w:sz w:val="24"/>
          <w:szCs w:val="24"/>
          <w:highlight w:val="none"/>
          <w:lang w:val="en-US" w:eastAsia="zh-CN" w:bidi="ar-SA"/>
        </w:rPr>
        <w:t xml:space="preserve">工程量清单进行了补充和(或)修改，但供应商认为工程量清单中的工程量依然存在差异，则此类差异不再提交采购人答疑和修正，而是直接按采购人提供的工程量清单(包括采购人可能的补充和(或)修改)进行投标报价。供应商在按照工程量清单进行报价时，不得改变(包括对工程量清单项目的项目名称、项目特征描述、计量单位以及工程量的任何修改、增加或减少)采购人提供的分部分项工程量清单和其他项目清单。即使按照图纸和招标范围的约定并不存在的项目，只要在采购人提供的分部分项工程量清单中已经列明，供应商都需要对其报价，并纳入投标总价的计算。</w:t>
      </w:r>
      <w:r/>
    </w:p>
    <w:p>
      <w:pPr>
        <w:jc w:val="left"/>
        <w:keepLines/>
        <w:keepNext/>
        <w:spacing w:line="360" w:lineRule="auto"/>
        <w:rPr>
          <w:rFonts w:hint="eastAsia" w:ascii="仿宋" w:hAnsi="仿宋" w:eastAsia="仿宋" w:cs="Arial"/>
          <w:b/>
          <w:color w:val="auto"/>
          <w:sz w:val="24"/>
          <w:szCs w:val="21"/>
          <w:highlight w:val="none"/>
          <w:lang w:val="en-US" w:eastAsia="zh-CN" w:bidi="ar-SA"/>
        </w:rPr>
        <w:outlineLvl w:val="1"/>
      </w:pPr>
      <w:r>
        <w:rPr>
          <w:rFonts w:hint="eastAsia" w:ascii="仿宋" w:hAnsi="仿宋" w:eastAsia="仿宋" w:cs="Arial"/>
          <w:b/>
          <w:color w:val="auto"/>
          <w:sz w:val="24"/>
          <w:szCs w:val="21"/>
          <w:highlight w:val="none"/>
          <w:lang w:val="en-US" w:eastAsia="zh-CN" w:bidi="ar-SA"/>
        </w:rPr>
        <w:t xml:space="preserve">五、低于成本报价：</w:t>
      </w:r>
      <w:r/>
    </w:p>
    <w:p>
      <w:pPr>
        <w:ind w:firstLine="420"/>
        <w:jc w:val="left"/>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在评审过程中，评标委员会发现供应商的报价明显低于其他报价，使得其报价可能低于其个别成本的，应当要求该供应商作出书面说明并提供相关证明材料。供应商不能合理说明或者不能提供相关证明材料的，由评标委员会认定该供应商以低于成本报价，其响应文件应作无效响应文件处理。 </w:t>
      </w:r>
      <w:r/>
    </w:p>
    <w:p>
      <w:pPr>
        <w:ind w:firstLine="420"/>
        <w:jc w:val="left"/>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评标委员会全体成员三分之二以上认为该供应商不能合理说明或者不能提供相关证明材料的，认定该供应商以低于成本报价，其响应文件应作无效响应文件处理。持有异议的评标委员会成员可以书面方式阐述其不同意见和理由，拒绝签字且不陈述其不同意见和理由的，视为同意。</w:t>
      </w:r>
      <w:r/>
    </w:p>
    <w:p>
      <w:pPr>
        <w:ind w:firstLine="420"/>
        <w:jc w:val="left"/>
        <w:spacing w:line="360" w:lineRule="auto"/>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为强化政府采购异常低价审查，根据财库【2026】2号文件要求，本项目采购文件已明确启动异常低价投标审查的情形和具体要求，处理方法具体详见磋商文件第三章《磋商相关说明》相关内容。</w:t>
      </w:r>
      <w:r/>
    </w:p>
    <w:p>
      <w:pPr>
        <w:jc w:val="left"/>
        <w:keepLines/>
        <w:keepNext/>
        <w:spacing w:line="360" w:lineRule="auto"/>
        <w:rPr>
          <w:rFonts w:hint="eastAsia" w:ascii="仿宋" w:hAnsi="仿宋" w:eastAsia="仿宋" w:cs="Arial"/>
          <w:b/>
          <w:color w:val="auto"/>
          <w:sz w:val="24"/>
          <w:szCs w:val="21"/>
          <w:highlight w:val="none"/>
          <w:lang w:val="en-US" w:eastAsia="zh-CN" w:bidi="ar-SA"/>
        </w:rPr>
        <w:outlineLvl w:val="1"/>
      </w:pPr>
      <w:r>
        <w:rPr>
          <w:rFonts w:hint="eastAsia" w:ascii="仿宋" w:hAnsi="仿宋" w:eastAsia="仿宋" w:cs="Arial"/>
          <w:b/>
          <w:color w:val="auto"/>
          <w:sz w:val="24"/>
          <w:szCs w:val="21"/>
          <w:highlight w:val="none"/>
          <w:lang w:val="en-US" w:eastAsia="zh-CN" w:bidi="ar-SA"/>
        </w:rPr>
        <w:t xml:space="preserve">六、实施要求：</w:t>
      </w:r>
      <w:r/>
    </w:p>
    <w:p>
      <w:pPr>
        <w:ind w:firstLine="420"/>
        <w:jc w:val="left"/>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1、采购人提供的资料：</w:t>
      </w:r>
      <w:r/>
    </w:p>
    <w:p>
      <w:pPr>
        <w:ind w:firstLine="420"/>
        <w:jc w:val="left"/>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1.1施工图及工程量清单（另附）。</w:t>
      </w:r>
      <w:r/>
    </w:p>
    <w:p>
      <w:pPr>
        <w:ind w:firstLine="420"/>
        <w:jc w:val="left"/>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1.2其他与建设工程有关的原始资料由承包人自行勘察收集。</w:t>
      </w:r>
      <w:r/>
    </w:p>
    <w:p>
      <w:pPr>
        <w:ind w:firstLine="420"/>
        <w:jc w:val="left"/>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2、技术标准：现行国家及本省、市的有关标准、规范及其他适用于本工程的最新技术标准、规范。</w:t>
      </w:r>
      <w:r/>
    </w:p>
    <w:p>
      <w:pPr>
        <w:ind w:firstLine="420"/>
        <w:jc w:val="left"/>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3、工程质量保修期：</w:t>
      </w:r>
      <w:r>
        <w:rPr>
          <w:rFonts w:hint="eastAsia" w:ascii="仿宋" w:hAnsi="仿宋" w:eastAsia="仿宋" w:cs="仿宋"/>
          <w:b/>
          <w:bCs/>
          <w:color w:val="auto"/>
          <w:sz w:val="24"/>
          <w:szCs w:val="24"/>
          <w:highlight w:val="none"/>
          <w:lang w:val="en-US" w:eastAsia="zh-CN" w:bidi="ar-SA"/>
        </w:rPr>
        <w:t xml:space="preserve">不少于 2 年。</w:t>
      </w:r>
      <w:r/>
    </w:p>
    <w:p>
      <w:pPr>
        <w:ind w:firstLine="420"/>
        <w:jc w:val="left"/>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4、施工要求</w:t>
      </w:r>
      <w:r/>
    </w:p>
    <w:p>
      <w:pPr>
        <w:ind w:firstLine="420"/>
        <w:jc w:val="left"/>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4.1 供应商必须遵从采购人相关安全保卫制度、安全文明施工要求。</w:t>
      </w:r>
      <w:r/>
    </w:p>
    <w:p>
      <w:pPr>
        <w:ind w:firstLine="420"/>
        <w:jc w:val="left"/>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4.2 施工不得破坏现有设施设备，否则免费原样恢复，造成重大事故的由施工单位承担相关责任。</w:t>
      </w:r>
      <w:r/>
    </w:p>
    <w:p>
      <w:pPr>
        <w:ind w:firstLine="420"/>
        <w:jc w:val="left"/>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4.3重点区域或重点部位的施工要采取弹性工作时间，服从采购人的安排。</w:t>
      </w:r>
      <w:r/>
    </w:p>
    <w:p>
      <w:pPr>
        <w:ind w:firstLine="420"/>
        <w:jc w:val="left"/>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4.4拆除原设施如为保护性拆除，不得随意损坏。否则，造成损坏的要无偿修复或按工程清单中价格赔偿。赔偿款从工程款中扣除。</w:t>
      </w:r>
      <w:r/>
    </w:p>
    <w:p>
      <w:pPr>
        <w:ind w:firstLine="420"/>
        <w:jc w:val="left"/>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4.5应配合挖掘施工的交通导改方案，分段施工修复路面。</w:t>
      </w:r>
      <w:r/>
    </w:p>
    <w:p>
      <w:pPr>
        <w:ind w:firstLine="420"/>
        <w:jc w:val="left"/>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5、响应文件要求</w:t>
      </w:r>
      <w:r/>
    </w:p>
    <w:p>
      <w:pPr>
        <w:ind w:firstLine="420"/>
        <w:jc w:val="left"/>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5.1首次响应文件中提供《施工组织设计》。</w:t>
      </w:r>
      <w:r/>
    </w:p>
    <w:p>
      <w:pPr>
        <w:ind w:firstLine="420"/>
        <w:jc w:val="left"/>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5.2《施工组织设计》包括不限于以下内容： </w:t>
      </w:r>
      <w:r/>
    </w:p>
    <w:p>
      <w:pPr>
        <w:ind w:firstLine="420"/>
        <w:jc w:val="left"/>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5.2.1 总体概述</w:t>
      </w:r>
      <w:r/>
    </w:p>
    <w:p>
      <w:pPr>
        <w:ind w:firstLine="420"/>
        <w:jc w:val="left"/>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5.2.2施工进度计划和各阶段进度的保证措施</w:t>
      </w:r>
      <w:r/>
    </w:p>
    <w:p>
      <w:pPr>
        <w:ind w:firstLine="420"/>
        <w:jc w:val="left"/>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5.2.3施工方案、质量保证措施及分段施工方案</w:t>
      </w:r>
      <w:r/>
    </w:p>
    <w:p>
      <w:pPr>
        <w:ind w:firstLine="420"/>
        <w:jc w:val="left"/>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5.2.4项目管理班子人员配备、素质及管理经验</w:t>
      </w:r>
      <w:r/>
    </w:p>
    <w:p>
      <w:pPr>
        <w:ind w:firstLine="420"/>
        <w:jc w:val="left"/>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5.2.5关键施工技术、工艺及工程项目实施的重点、难点和解决方案</w:t>
      </w:r>
      <w:r/>
    </w:p>
    <w:p>
      <w:pPr>
        <w:ind w:firstLine="420"/>
        <w:jc w:val="left"/>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5.2.6安全文明施工方案</w:t>
      </w:r>
      <w:r/>
    </w:p>
    <w:p>
      <w:pPr>
        <w:ind w:firstLine="420"/>
        <w:jc w:val="left"/>
        <w:spacing w:line="360" w:lineRule="auto"/>
        <w:widowControl w:val="off"/>
        <w:rPr>
          <w:rFonts w:hint="eastAsia" w:ascii="仿宋" w:hAnsi="仿宋" w:eastAsia="仿宋" w:cs="仿宋"/>
          <w:strike/>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5.2.7售后服务方案</w:t>
      </w:r>
      <w:r/>
    </w:p>
    <w:p>
      <w:pPr>
        <w:ind w:firstLine="420"/>
        <w:jc w:val="left"/>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5.3 供应商认为其他需要说明的内容。 </w:t>
      </w:r>
      <w:r/>
    </w:p>
    <w:p>
      <w:pPr>
        <w:ind w:firstLine="420"/>
        <w:jc w:val="left"/>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6、情况说明</w:t>
      </w:r>
      <w:r/>
    </w:p>
    <w:p>
      <w:pPr>
        <w:ind w:firstLine="420"/>
        <w:jc w:val="left"/>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6.1根据施工现场实际情况，采购人有权利对部分工程项目及工程量进行增减或调整， 供应商必须认可采购人对部分工程项目及工程量进行增减或调整的内容。 </w:t>
      </w:r>
      <w:r/>
    </w:p>
    <w:p>
      <w:pPr>
        <w:ind w:firstLine="420"/>
        <w:jc w:val="left"/>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6.2 变更、现场签证、新增减工程等变更均须经监理工程师和采购人代表签字认可并加盖公章，否则不作为结算调整依据。供应商根据采购人书面确认的变更文件予以变更。 变更文件中须明确原做法、变更后做法及工艺、材料名称等标注要清晰。</w:t>
      </w:r>
      <w:r/>
    </w:p>
    <w:p>
      <w:pPr>
        <w:ind w:firstLine="420"/>
        <w:jc w:val="left"/>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6.3 供应商应根据本项目实际情况，合理配置人员，除项目经理外，安全员、质检员、施工员、预算员、材料员等人员应经验丰富，确保项目顺利实施。</w:t>
      </w:r>
      <w:r/>
    </w:p>
    <w:p>
      <w:pPr>
        <w:jc w:val="left"/>
        <w:keepLines/>
        <w:keepNext/>
        <w:spacing w:line="360" w:lineRule="auto"/>
        <w:rPr>
          <w:rFonts w:hint="eastAsia" w:ascii="仿宋" w:hAnsi="仿宋" w:eastAsia="仿宋" w:cs="Arial"/>
          <w:b/>
          <w:color w:val="auto"/>
          <w:sz w:val="24"/>
          <w:szCs w:val="21"/>
          <w:highlight w:val="none"/>
          <w:lang w:val="en-US" w:eastAsia="zh-CN" w:bidi="ar-SA"/>
        </w:rPr>
        <w:outlineLvl w:val="1"/>
      </w:pPr>
      <w:r>
        <w:rPr>
          <w:rFonts w:hint="eastAsia" w:ascii="仿宋" w:hAnsi="仿宋" w:eastAsia="仿宋" w:cs="Arial"/>
          <w:b/>
          <w:color w:val="auto"/>
          <w:sz w:val="24"/>
          <w:szCs w:val="21"/>
          <w:highlight w:val="none"/>
          <w:lang w:val="en-US" w:eastAsia="zh-CN" w:bidi="ar-SA"/>
        </w:rPr>
        <w:t xml:space="preserve">七、项目相关要求：</w:t>
      </w:r>
      <w:r/>
    </w:p>
    <w:p>
      <w:pPr>
        <w:ind w:firstLine="420"/>
        <w:jc w:val="left"/>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1、供应商报价时需考虑完成本项目内容所涉及的人工费、材料费、机械费、税费、验收等相关的一切费用。</w:t>
      </w:r>
      <w:r/>
    </w:p>
    <w:p>
      <w:pPr>
        <w:ind w:firstLine="420"/>
        <w:jc w:val="left"/>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2、供应商应根据本项目实际情况，合理配置人员，除项目经理外，安全员、质检员、施工员、预算员、材料员等人员应经验丰富，确保项目顺利实施。</w:t>
      </w:r>
      <w:r/>
    </w:p>
    <w:p>
      <w:pPr>
        <w:ind w:firstLine="420"/>
        <w:jc w:val="left"/>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供应商对项目现场和周围环境进行实地踏勘，合理编制本项目施工方案，施工方案应至少包含：施工进度计划和各阶段进度的保证措施、各分部分项工程的施工方案及质量保证措施、安全文明施工及环境保护措施、劳动力、机械设备和材料投入计划。</w:t>
      </w:r>
      <w:r/>
    </w:p>
    <w:p>
      <w:pPr>
        <w:ind w:firstLine="420"/>
        <w:jc w:val="left"/>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4、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交工后一周内彻底清洁完毕撤离现场。</w:t>
      </w:r>
      <w:r/>
    </w:p>
    <w:p>
      <w:pPr>
        <w:ind w:firstLine="420"/>
        <w:jc w:val="left"/>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5、承包人对工程建设期间扬尘治理工作负主体责任。应制定施工现场扬尘污染防治专项方案，按照承包工程范围做好扬尘污染防治措施的落实。方案必须符合我市“徐空气提升办【2018】11号”和“徐城管发【2018】55号”关于扬尘管控的相关规定要求。</w:t>
      </w:r>
      <w:r/>
    </w:p>
    <w:p>
      <w:pPr>
        <w:ind w:firstLine="420"/>
        <w:jc w:val="left"/>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6、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ind w:firstLine="420"/>
        <w:jc w:val="left"/>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7、本项目再生产品的使用参照设计文件及国家相关规范要求。</w:t>
      </w:r>
      <w:r/>
    </w:p>
    <w:p>
      <w:pPr>
        <w:jc w:val="left"/>
        <w:keepLines/>
        <w:keepNext/>
        <w:spacing w:line="360" w:lineRule="auto"/>
        <w:rPr>
          <w:rFonts w:hint="eastAsia" w:ascii="仿宋" w:hAnsi="仿宋" w:eastAsia="仿宋" w:cs="Arial"/>
          <w:b/>
          <w:color w:val="auto"/>
          <w:sz w:val="24"/>
          <w:szCs w:val="21"/>
          <w:highlight w:val="none"/>
          <w:lang w:val="en-US" w:eastAsia="zh-CN" w:bidi="ar-SA"/>
        </w:rPr>
        <w:outlineLvl w:val="1"/>
      </w:pPr>
      <w:r>
        <w:rPr>
          <w:rFonts w:hint="eastAsia" w:ascii="仿宋" w:hAnsi="仿宋" w:eastAsia="仿宋" w:cs="Arial"/>
          <w:b/>
          <w:color w:val="auto"/>
          <w:sz w:val="24"/>
          <w:szCs w:val="21"/>
          <w:highlight w:val="none"/>
          <w:lang w:val="en-US" w:eastAsia="zh-CN" w:bidi="ar-SA"/>
        </w:rPr>
        <w:t xml:space="preserve">八、本项目无效响应文件的判定（磋商文件的实质性要求）：</w:t>
      </w:r>
      <w:r/>
    </w:p>
    <w:p>
      <w:pPr>
        <w:ind w:firstLine="48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1、供应商资格条件不符合国家有关规定或磋商文件要求的； </w:t>
      </w:r>
      <w:r/>
    </w:p>
    <w:p>
      <w:pPr>
        <w:ind w:firstLine="48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2、供应商名称或组织结构与资格审查时不一致的；</w:t>
      </w:r>
      <w:r/>
    </w:p>
    <w:p>
      <w:pPr>
        <w:ind w:firstLine="48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3、除在响应文件提交截止时间前经采购人书面同意外，项目负责人与资格审查时不一致的； </w:t>
      </w:r>
      <w:r/>
    </w:p>
    <w:p>
      <w:pPr>
        <w:ind w:firstLine="48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4、响应报价低于成本或者高于磋商文件设定的最高限价的； </w:t>
      </w:r>
      <w:r/>
    </w:p>
    <w:p>
      <w:pPr>
        <w:ind w:firstLine="48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5、同一供应商提交两个及以上不同的响应文件或者响应报价，但磋商文件要求提交备选的除外； </w:t>
      </w:r>
      <w:r/>
    </w:p>
    <w:p>
      <w:pPr>
        <w:ind w:firstLine="48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6、与磋商文件规定的暂列金额及甲供材料价格不一致的； </w:t>
      </w:r>
      <w:r/>
    </w:p>
    <w:p>
      <w:pPr>
        <w:ind w:firstLine="48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7、与磋商文件明确列出的不可竞争费用项目或费率或计算基础不一致的； </w:t>
      </w:r>
      <w:r/>
    </w:p>
    <w:p>
      <w:pPr>
        <w:ind w:firstLine="48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8、与磋商文件提供的工程量清单中的项目编码、项目名称、项目特征、计量单位、工程量不一致的； </w:t>
      </w:r>
      <w:r/>
    </w:p>
    <w:p>
      <w:pPr>
        <w:ind w:firstLine="48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9、响应文件载明的招标项目完成期限超过磋商文件规定的期限的； </w:t>
      </w:r>
      <w:r/>
    </w:p>
    <w:p>
      <w:pPr>
        <w:ind w:firstLine="48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10、明显不符合技术规范、技术标准的要求的； </w:t>
      </w:r>
      <w:r/>
    </w:p>
    <w:p>
      <w:pPr>
        <w:ind w:firstLine="48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11、响应文件载明的货物包装方式、检验标准和方法等不符合磋商文件的要求的； </w:t>
      </w:r>
      <w:r/>
    </w:p>
    <w:p>
      <w:pPr>
        <w:ind w:firstLine="48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12、响应文件提出了不能满足磋商文件要求或采购人不能接受的工程验收、计量、价款结算和支付办法的； </w:t>
      </w:r>
      <w:r/>
    </w:p>
    <w:p>
      <w:pPr>
        <w:ind w:firstLine="48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13、不同供应商的响应文件以及响应文件制作过程出现了评标委员会认为不应当雷同的情况的； </w:t>
      </w:r>
      <w:r/>
    </w:p>
    <w:p>
      <w:pPr>
        <w:ind w:firstLine="48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14、以他人的名义投标、串通投标、以行贿手段谋取成交或者以其他弄虚作假方式投标的。</w:t>
      </w:r>
      <w:r/>
    </w:p>
    <w:p>
      <w:pPr>
        <w:ind w:firstLine="48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15、未按磋商文件规定的格式填写，内容不全或关键字模糊、无法辨认的；未按磋商文件要求提供电子响应文件，或者响应文件未能解密且按照磋商文件明确的响应文件解密失败的补救方案补救不成功的。</w:t>
      </w:r>
      <w:r/>
    </w:p>
    <w:p>
      <w:pPr>
        <w:pStyle w:val="799"/>
        <w:jc w:val="both"/>
        <w:rPr>
          <w:rFonts w:hint="eastAsia"/>
          <w:color w:val="auto"/>
          <w:highlight w:val="none"/>
        </w:rPr>
      </w:pPr>
      <w:r>
        <w:rPr>
          <w:rFonts w:hint="eastAsia" w:ascii="仿宋" w:hAnsi="仿宋" w:eastAsia="仿宋" w:cs="仿宋"/>
          <w:b/>
          <w:bCs/>
          <w:color w:val="auto"/>
          <w:sz w:val="24"/>
          <w:szCs w:val="24"/>
          <w:highlight w:val="none"/>
          <w:lang w:val="en-US" w:eastAsia="zh-CN" w:bidi="ar-SA"/>
        </w:rPr>
        <w:t xml:space="preserve">九、</w:t>
      </w:r>
      <w:r>
        <w:rPr>
          <w:rFonts w:hint="eastAsia" w:ascii="仿宋" w:hAnsi="仿宋" w:eastAsia="仿宋" w:cs="仿宋"/>
          <w:b/>
          <w:color w:val="auto"/>
          <w:sz w:val="24"/>
          <w:szCs w:val="24"/>
          <w:highlight w:val="none"/>
          <w:lang w:val="en-US" w:eastAsia="zh-CN" w:bidi="ar-SA"/>
        </w:rPr>
        <w:t xml:space="preserve">其他要求：见《拟签订的合同文本》、《工程量清单》。</w:t>
      </w:r>
      <w:r/>
    </w:p>
    <w:p>
      <w:pPr>
        <w:pStyle w:val="799"/>
        <w:rPr>
          <w:rFonts w:hint="eastAsia"/>
          <w:color w:val="auto"/>
          <w:highlight w:val="none"/>
        </w:rPr>
      </w:pPr>
      <w:r>
        <w:rPr>
          <w:rFonts w:hint="eastAsia"/>
          <w:color w:val="auto"/>
          <w:highlight w:val="none"/>
        </w:rPr>
      </w:r>
      <w:r/>
    </w:p>
    <w:p>
      <w:pPr>
        <w:pStyle w:val="799"/>
        <w:rPr>
          <w:rFonts w:hint="eastAsia"/>
          <w:color w:val="auto"/>
          <w:highlight w:val="none"/>
        </w:rPr>
      </w:pPr>
      <w:r>
        <w:rPr>
          <w:rFonts w:hint="eastAsia"/>
          <w:color w:val="auto"/>
          <w:highlight w:val="none"/>
        </w:rPr>
      </w:r>
      <w:r/>
    </w:p>
    <w:p>
      <w:pPr>
        <w:pStyle w:val="799"/>
        <w:rPr>
          <w:rFonts w:hint="eastAsia"/>
          <w:color w:val="auto"/>
          <w:highlight w:val="none"/>
        </w:rPr>
      </w:pPr>
      <w:r>
        <w:rPr>
          <w:rFonts w:hint="eastAsia"/>
          <w:color w:val="auto"/>
          <w:highlight w:val="none"/>
        </w:rPr>
      </w:r>
      <w:r/>
    </w:p>
    <w:p>
      <w:pPr>
        <w:pStyle w:val="799"/>
        <w:rPr>
          <w:rFonts w:hint="eastAsia"/>
          <w:color w:val="auto"/>
          <w:highlight w:val="none"/>
        </w:rPr>
      </w:pPr>
      <w:r>
        <w:rPr>
          <w:rFonts w:hint="eastAsia"/>
          <w:color w:val="auto"/>
          <w:highlight w:val="none"/>
        </w:rPr>
      </w:r>
      <w:r/>
    </w:p>
    <w:p>
      <w:pPr>
        <w:pStyle w:val="799"/>
        <w:rPr>
          <w:rFonts w:hint="eastAsia"/>
          <w:color w:val="auto"/>
          <w:highlight w:val="none"/>
        </w:rPr>
      </w:pPr>
      <w:r>
        <w:rPr>
          <w:rFonts w:hint="eastAsia"/>
          <w:color w:val="auto"/>
          <w:highlight w:val="none"/>
        </w:rPr>
      </w:r>
      <w:r/>
    </w:p>
    <w:p>
      <w:pPr>
        <w:pStyle w:val="799"/>
        <w:rPr>
          <w:rFonts w:hint="eastAsia"/>
          <w:color w:val="auto"/>
          <w:highlight w:val="none"/>
        </w:rPr>
      </w:pPr>
      <w:r>
        <w:rPr>
          <w:rFonts w:hint="eastAsia"/>
          <w:color w:val="auto"/>
          <w:highlight w:val="none"/>
        </w:rPr>
      </w:r>
      <w:r/>
    </w:p>
    <w:p>
      <w:pPr>
        <w:pStyle w:val="799"/>
        <w:rPr>
          <w:rFonts w:hint="eastAsia"/>
          <w:color w:val="auto"/>
          <w:highlight w:val="none"/>
        </w:rPr>
      </w:pPr>
      <w:r>
        <w:rPr>
          <w:rFonts w:hint="eastAsia"/>
          <w:color w:val="auto"/>
          <w:highlight w:val="none"/>
        </w:rPr>
      </w:r>
      <w:r/>
    </w:p>
    <w:p>
      <w:pPr>
        <w:pStyle w:val="799"/>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bookmarkStart w:id="147" w:name="_GoBack"/>
      <w:r/>
      <w:bookmarkEnd w:id="147"/>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799"/>
        <w:rPr>
          <w:color w:val="auto"/>
          <w:highlight w:val="none"/>
        </w:rPr>
      </w:pPr>
      <w:r>
        <w:rPr>
          <w:rFonts w:hint="eastAsia"/>
          <w:color w:val="auto"/>
          <w:highlight w:val="none"/>
        </w:rPr>
        <w:t xml:space="preserve">第九章 响应文件相关格式</w:t>
      </w:r>
      <w:bookmarkEnd w:id="26"/>
      <w:r/>
      <w:bookmarkEnd w:id="27"/>
      <w:r/>
      <w:bookmarkEnd w:id="28"/>
      <w:r/>
      <w:r/>
    </w:p>
    <w:p>
      <w:pPr>
        <w:pStyle w:val="1066"/>
        <w:jc w:val="center"/>
        <w:keepLines w:val="0"/>
        <w:keepNext w:val="0"/>
        <w:spacing w:before="0" w:after="0" w:line="360" w:lineRule="auto"/>
        <w:widowControl w:val="off"/>
        <w:rPr>
          <w:rFonts w:hint="eastAsia" w:ascii="仿宋" w:hAnsi="仿宋" w:eastAsia="仿宋" w:cs="仿宋"/>
          <w:b w:val="0"/>
          <w:bCs w:val="0"/>
          <w:color w:val="auto"/>
          <w:sz w:val="24"/>
          <w:szCs w:val="24"/>
          <w:highlight w:val="none"/>
        </w:rPr>
        <w:outlineLvl w:val="9"/>
      </w:pPr>
      <w:r/>
      <w:bookmarkStart w:id="31" w:name="_Toc8491"/>
      <w:r/>
      <w:bookmarkStart w:id="32" w:name="_Toc7129"/>
      <w:r>
        <w:rPr>
          <w:rStyle w:val="1097"/>
          <w:rFonts w:hint="eastAsia" w:ascii="仿宋" w:hAnsi="仿宋" w:eastAsia="仿宋" w:cs="仿宋"/>
          <w:b w:val="0"/>
          <w:bCs w:val="0"/>
          <w:color w:val="auto"/>
          <w:szCs w:val="24"/>
          <w:highlight w:val="none"/>
        </w:rPr>
        <w:t xml:space="preserve">（</w:t>
      </w:r>
      <w:r>
        <w:rPr>
          <w:rFonts w:hint="eastAsia" w:ascii="仿宋" w:hAnsi="仿宋" w:eastAsia="仿宋" w:cs="仿宋"/>
          <w:b w:val="0"/>
          <w:bCs w:val="0"/>
          <w:color w:val="auto"/>
          <w:sz w:val="24"/>
          <w:szCs w:val="24"/>
          <w:highlight w:val="none"/>
        </w:rPr>
        <w:t xml:space="preserve">本章仅提供响应文件中的部分文件格式，不应被理解为包含了响应文件所需的全部资料）</w:t>
      </w:r>
      <w:bookmarkEnd w:id="31"/>
      <w:r/>
      <w:bookmarkEnd w:id="32"/>
      <w:r/>
      <w:r/>
    </w:p>
    <w:p>
      <w:pPr>
        <w:pStyle w:val="1066"/>
        <w:jc w:val="center"/>
        <w:keepLines w:val="0"/>
        <w:keepNext w:val="0"/>
        <w:spacing w:before="0" w:after="0" w:line="360" w:lineRule="auto"/>
        <w:widowControl w:val="off"/>
        <w:rPr>
          <w:rFonts w:hint="eastAsia" w:ascii="仿宋" w:hAnsi="仿宋" w:eastAsia="仿宋" w:cs="仿宋"/>
          <w:b w:val="0"/>
          <w:bCs w:val="0"/>
          <w:color w:val="auto"/>
          <w:sz w:val="28"/>
          <w:highlight w:val="none"/>
        </w:rPr>
        <w:outlineLvl w:val="9"/>
      </w:pPr>
      <w:r>
        <w:rPr>
          <w:rFonts w:hint="eastAsia" w:ascii="仿宋" w:hAnsi="仿宋" w:eastAsia="仿宋" w:cs="仿宋"/>
          <w:b w:val="0"/>
          <w:bCs w:val="0"/>
          <w:color w:val="auto"/>
          <w:sz w:val="28"/>
          <w:highlight w:val="none"/>
        </w:rPr>
      </w:r>
      <w:r/>
    </w:p>
    <w:p>
      <w:pPr>
        <w:pStyle w:val="822"/>
        <w:spacing w:line="360" w:lineRule="auto"/>
        <w:widowControl w:val="off"/>
        <w:rPr>
          <w:rStyle w:val="1097"/>
          <w:rFonts w:hint="eastAsia" w:ascii="仿宋" w:hAnsi="仿宋" w:eastAsia="仿宋" w:cs="仿宋"/>
          <w:bCs/>
          <w:color w:val="auto"/>
          <w:szCs w:val="24"/>
          <w:highlight w:val="none"/>
        </w:rPr>
      </w:pPr>
      <w:r>
        <w:rPr>
          <w:rStyle w:val="1097"/>
          <w:rFonts w:hint="eastAsia" w:ascii="仿宋" w:hAnsi="仿宋" w:eastAsia="仿宋" w:cs="仿宋"/>
          <w:bCs/>
          <w:color w:val="auto"/>
          <w:szCs w:val="24"/>
          <w:highlight w:val="none"/>
        </w:rPr>
        <w:t xml:space="preserve">一、承诺书</w:t>
      </w:r>
      <w:r/>
    </w:p>
    <w:p>
      <w:pPr>
        <w:pStyle w:val="822"/>
        <w:spacing w:line="360" w:lineRule="auto"/>
        <w:widowControl w:val="off"/>
        <w:rPr>
          <w:rStyle w:val="1097"/>
          <w:rFonts w:hint="eastAsia" w:ascii="仿宋" w:hAnsi="仿宋" w:eastAsia="仿宋" w:cs="仿宋"/>
          <w:bCs/>
          <w:color w:val="auto"/>
          <w:szCs w:val="24"/>
          <w:highlight w:val="none"/>
        </w:rPr>
      </w:pPr>
      <w:r>
        <w:rPr>
          <w:rStyle w:val="1097"/>
          <w:rFonts w:hint="eastAsia" w:ascii="仿宋" w:hAnsi="仿宋" w:eastAsia="仿宋" w:cs="仿宋"/>
          <w:bCs/>
          <w:color w:val="auto"/>
          <w:szCs w:val="24"/>
          <w:highlight w:val="none"/>
        </w:rPr>
        <w:t xml:space="preserve">二、磋商报价表</w:t>
      </w:r>
      <w:r/>
    </w:p>
    <w:p>
      <w:pPr>
        <w:pStyle w:val="822"/>
        <w:spacing w:line="360" w:lineRule="auto"/>
        <w:widowControl w:val="off"/>
        <w:tabs>
          <w:tab w:val="left" w:pos="2100" w:leader="none"/>
        </w:tabs>
        <w:rPr>
          <w:rStyle w:val="1097"/>
          <w:rFonts w:hint="eastAsia" w:ascii="仿宋" w:hAnsi="仿宋" w:eastAsia="仿宋" w:cs="仿宋"/>
          <w:bCs/>
          <w:color w:val="auto"/>
          <w:szCs w:val="24"/>
          <w:highlight w:val="none"/>
        </w:rPr>
      </w:pPr>
      <w:r>
        <w:rPr>
          <w:rStyle w:val="1097"/>
          <w:rFonts w:hint="eastAsia" w:ascii="仿宋" w:hAnsi="仿宋" w:eastAsia="仿宋" w:cs="仿宋"/>
          <w:bCs/>
          <w:color w:val="auto"/>
          <w:szCs w:val="24"/>
          <w:highlight w:val="none"/>
        </w:rPr>
        <w:t xml:space="preserve">三、分项价格表</w:t>
      </w:r>
      <w:r/>
    </w:p>
    <w:p>
      <w:pPr>
        <w:pStyle w:val="822"/>
        <w:spacing w:line="360" w:lineRule="auto"/>
        <w:widowControl w:val="off"/>
        <w:rPr>
          <w:rStyle w:val="1097"/>
          <w:rFonts w:hint="eastAsia" w:ascii="仿宋" w:hAnsi="仿宋" w:eastAsia="仿宋" w:cs="仿宋"/>
          <w:bCs/>
          <w:color w:val="auto"/>
          <w:szCs w:val="24"/>
          <w:highlight w:val="none"/>
        </w:rPr>
      </w:pPr>
      <w:r>
        <w:rPr>
          <w:rStyle w:val="1097"/>
          <w:rFonts w:hint="eastAsia" w:ascii="仿宋" w:hAnsi="仿宋" w:eastAsia="仿宋" w:cs="仿宋"/>
          <w:bCs/>
          <w:color w:val="auto"/>
          <w:szCs w:val="24"/>
          <w:highlight w:val="none"/>
        </w:rPr>
        <w:t xml:space="preserve">四、主要材料（设备）一览表</w:t>
      </w:r>
      <w:r/>
    </w:p>
    <w:p>
      <w:pPr>
        <w:pStyle w:val="822"/>
        <w:spacing w:line="360" w:lineRule="auto"/>
        <w:widowControl w:val="off"/>
        <w:tabs>
          <w:tab w:val="left" w:pos="2100" w:leader="none"/>
        </w:tabs>
        <w:rPr>
          <w:rStyle w:val="1097"/>
          <w:rFonts w:hint="eastAsia" w:ascii="仿宋" w:hAnsi="仿宋" w:eastAsia="仿宋" w:cs="仿宋"/>
          <w:bCs/>
          <w:color w:val="auto"/>
          <w:szCs w:val="24"/>
          <w:highlight w:val="none"/>
        </w:rPr>
      </w:pPr>
      <w:r>
        <w:rPr>
          <w:rStyle w:val="1097"/>
          <w:rFonts w:hint="eastAsia" w:ascii="仿宋" w:hAnsi="仿宋" w:eastAsia="仿宋" w:cs="仿宋"/>
          <w:bCs/>
          <w:color w:val="auto"/>
          <w:szCs w:val="24"/>
          <w:highlight w:val="none"/>
        </w:rPr>
        <w:t xml:space="preserve">五、无在建承诺书</w:t>
      </w:r>
      <w:r/>
    </w:p>
    <w:p>
      <w:pPr>
        <w:pStyle w:val="822"/>
        <w:spacing w:line="360" w:lineRule="auto"/>
        <w:widowControl w:val="off"/>
        <w:rPr>
          <w:rStyle w:val="1097"/>
          <w:rFonts w:hint="eastAsia" w:ascii="仿宋" w:hAnsi="仿宋" w:eastAsia="仿宋" w:cs="仿宋"/>
          <w:bCs/>
          <w:color w:val="auto"/>
          <w:szCs w:val="24"/>
          <w:highlight w:val="none"/>
        </w:rPr>
      </w:pPr>
      <w:r>
        <w:rPr>
          <w:rStyle w:val="1097"/>
          <w:rFonts w:hint="eastAsia" w:ascii="仿宋" w:hAnsi="仿宋" w:eastAsia="仿宋" w:cs="仿宋"/>
          <w:bCs/>
          <w:color w:val="auto"/>
          <w:szCs w:val="24"/>
          <w:highlight w:val="none"/>
        </w:rPr>
        <w:t xml:space="preserve">六、偏离表</w:t>
      </w:r>
      <w:r/>
    </w:p>
    <w:p>
      <w:pPr>
        <w:pStyle w:val="822"/>
        <w:spacing w:line="360" w:lineRule="auto"/>
        <w:widowControl w:val="off"/>
        <w:rPr>
          <w:rStyle w:val="1097"/>
          <w:rFonts w:hint="eastAsia" w:ascii="仿宋" w:hAnsi="仿宋" w:eastAsia="仿宋" w:cs="仿宋"/>
          <w:bCs/>
          <w:color w:val="auto"/>
          <w:szCs w:val="24"/>
          <w:highlight w:val="none"/>
        </w:rPr>
      </w:pPr>
      <w:r>
        <w:rPr>
          <w:rStyle w:val="1097"/>
          <w:rFonts w:hint="eastAsia" w:ascii="仿宋" w:hAnsi="仿宋" w:eastAsia="仿宋" w:cs="仿宋"/>
          <w:bCs/>
          <w:color w:val="auto"/>
          <w:szCs w:val="24"/>
          <w:highlight w:val="none"/>
        </w:rPr>
        <w:t xml:space="preserve">七、授权委托书</w:t>
      </w:r>
      <w:r/>
    </w:p>
    <w:p>
      <w:pPr>
        <w:pStyle w:val="822"/>
        <w:spacing w:line="360" w:lineRule="auto"/>
        <w:widowControl w:val="off"/>
        <w:rPr>
          <w:rStyle w:val="1097"/>
          <w:rFonts w:hint="eastAsia" w:ascii="仿宋" w:hAnsi="仿宋" w:eastAsia="仿宋" w:cs="仿宋"/>
          <w:bCs/>
          <w:color w:val="auto"/>
          <w:szCs w:val="24"/>
          <w:highlight w:val="none"/>
        </w:rPr>
      </w:pPr>
      <w:r>
        <w:rPr>
          <w:rStyle w:val="1097"/>
          <w:rFonts w:hint="eastAsia" w:ascii="仿宋" w:hAnsi="仿宋" w:eastAsia="仿宋" w:cs="仿宋"/>
          <w:bCs/>
          <w:color w:val="auto"/>
          <w:szCs w:val="24"/>
          <w:highlight w:val="none"/>
        </w:rPr>
        <w:t xml:space="preserve">八、中小企业声明函</w:t>
      </w:r>
      <w:r/>
    </w:p>
    <w:p>
      <w:pPr>
        <w:pStyle w:val="822"/>
        <w:spacing w:line="360" w:lineRule="auto"/>
        <w:widowControl w:val="off"/>
        <w:rPr>
          <w:rStyle w:val="1097"/>
          <w:rFonts w:hint="eastAsia" w:ascii="仿宋" w:hAnsi="仿宋" w:eastAsia="仿宋" w:cs="仿宋"/>
          <w:bCs/>
          <w:color w:val="auto"/>
          <w:szCs w:val="24"/>
          <w:highlight w:val="none"/>
        </w:rPr>
      </w:pPr>
      <w:r>
        <w:rPr>
          <w:rStyle w:val="1097"/>
          <w:rFonts w:hint="eastAsia" w:ascii="仿宋" w:hAnsi="仿宋" w:eastAsia="仿宋" w:cs="仿宋"/>
          <w:bCs/>
          <w:color w:val="auto"/>
          <w:szCs w:val="24"/>
          <w:highlight w:val="none"/>
        </w:rPr>
        <w:t xml:space="preserve">九、残疾人福利性单位声明函</w:t>
      </w:r>
      <w:r/>
    </w:p>
    <w:p>
      <w:pPr>
        <w:pStyle w:val="822"/>
        <w:spacing w:line="360" w:lineRule="auto"/>
        <w:widowControl w:val="off"/>
        <w:rPr>
          <w:rStyle w:val="1097"/>
          <w:rFonts w:hint="eastAsia" w:ascii="仿宋" w:hAnsi="仿宋" w:eastAsia="仿宋" w:cs="仿宋"/>
          <w:bCs/>
          <w:color w:val="auto"/>
          <w:szCs w:val="24"/>
          <w:highlight w:val="none"/>
        </w:rPr>
      </w:pPr>
      <w:r>
        <w:rPr>
          <w:rStyle w:val="1097"/>
          <w:rFonts w:hint="eastAsia" w:ascii="仿宋" w:hAnsi="仿宋" w:eastAsia="仿宋" w:cs="仿宋"/>
          <w:bCs/>
          <w:color w:val="auto"/>
          <w:szCs w:val="24"/>
          <w:highlight w:val="none"/>
        </w:rPr>
        <w:t xml:space="preserve">十、供应商参加政府采购活动前三年内在经营活动中没有重大违法记录的书面声明</w:t>
      </w:r>
      <w:r/>
    </w:p>
    <w:p>
      <w:pPr>
        <w:pStyle w:val="822"/>
        <w:spacing w:line="360" w:lineRule="auto"/>
        <w:widowControl w:val="off"/>
        <w:rPr>
          <w:rStyle w:val="1097"/>
          <w:rFonts w:hint="eastAsia" w:ascii="仿宋" w:hAnsi="仿宋" w:eastAsia="仿宋" w:cs="仿宋"/>
          <w:bCs/>
          <w:color w:val="auto"/>
          <w:szCs w:val="24"/>
          <w:highlight w:val="none"/>
        </w:rPr>
      </w:pPr>
      <w:r>
        <w:rPr>
          <w:rStyle w:val="1097"/>
          <w:rFonts w:hint="eastAsia" w:ascii="仿宋" w:hAnsi="仿宋" w:eastAsia="仿宋" w:cs="仿宋"/>
          <w:bCs/>
          <w:color w:val="auto"/>
          <w:szCs w:val="24"/>
          <w:highlight w:val="none"/>
        </w:rPr>
        <w:t xml:space="preserve">十一、具备履行合同所必需的设备和专业技术能力的书面声明</w:t>
      </w:r>
      <w:r/>
    </w:p>
    <w:p>
      <w:pPr>
        <w:pStyle w:val="822"/>
        <w:spacing w:line="360" w:lineRule="auto"/>
        <w:widowControl w:val="off"/>
        <w:rPr>
          <w:rStyle w:val="1097"/>
          <w:rFonts w:hint="eastAsia" w:ascii="仿宋" w:hAnsi="仿宋" w:eastAsia="仿宋" w:cs="仿宋"/>
          <w:color w:val="auto"/>
          <w:szCs w:val="24"/>
          <w:highlight w:val="none"/>
        </w:rPr>
      </w:pPr>
      <w:r>
        <w:rPr>
          <w:rStyle w:val="1097"/>
          <w:rFonts w:hint="eastAsia" w:ascii="仿宋" w:hAnsi="仿宋" w:eastAsia="仿宋" w:cs="仿宋"/>
          <w:color w:val="auto"/>
          <w:szCs w:val="24"/>
          <w:highlight w:val="none"/>
        </w:rPr>
        <w:t xml:space="preserve">十二、响应文件编制要求提供的其他资料</w:t>
      </w:r>
      <w:r/>
    </w:p>
    <w:p>
      <w:pPr>
        <w:pStyle w:val="1189"/>
        <w:ind w:left="0" w:right="0" w:firstLine="0"/>
        <w:spacing w:line="360" w:lineRule="auto"/>
        <w:widowControl w:val="off"/>
        <w:rPr>
          <w:rStyle w:val="1097"/>
          <w:rFonts w:hint="eastAsia" w:ascii="仿宋" w:hAnsi="仿宋" w:eastAsia="仿宋" w:cs="仿宋"/>
          <w:color w:val="auto"/>
          <w:szCs w:val="24"/>
          <w:highlight w:val="none"/>
        </w:rPr>
      </w:pPr>
      <w:r>
        <w:rPr>
          <w:rStyle w:val="1097"/>
          <w:rFonts w:hint="eastAsia" w:ascii="仿宋" w:hAnsi="仿宋" w:eastAsia="仿宋" w:cs="仿宋"/>
          <w:color w:val="auto"/>
          <w:szCs w:val="24"/>
          <w:highlight w:val="none"/>
        </w:rPr>
        <w:t xml:space="preserve">十三、预付款保函支付条款模板</w:t>
      </w:r>
      <w:r/>
    </w:p>
    <w:p>
      <w:pPr>
        <w:pStyle w:val="822"/>
        <w:jc w:val="center"/>
        <w:spacing w:line="360" w:lineRule="auto"/>
        <w:widowControl w:val="off"/>
        <w:rPr>
          <w:rStyle w:val="1097"/>
          <w:rFonts w:hint="eastAsia" w:ascii="仿宋" w:hAnsi="仿宋" w:eastAsia="仿宋" w:cs="仿宋"/>
          <w:bCs/>
          <w:color w:val="auto"/>
          <w:sz w:val="28"/>
          <w:highlight w:val="none"/>
        </w:rPr>
      </w:pPr>
      <w:r>
        <w:rPr>
          <w:rFonts w:hint="eastAsia" w:ascii="仿宋" w:hAnsi="仿宋" w:eastAsia="仿宋" w:cs="仿宋"/>
          <w:bCs/>
          <w:color w:val="auto"/>
          <w:sz w:val="28"/>
          <w:highlight w:val="none"/>
        </w:rPr>
      </w:r>
      <w:r/>
    </w:p>
    <w:p>
      <w:pPr>
        <w:pStyle w:val="1067"/>
        <w:jc w:val="center"/>
        <w:keepLines w:val="0"/>
        <w:keepNext w:val="0"/>
        <w:spacing w:line="360" w:lineRule="auto"/>
        <w:widowControl w:val="off"/>
        <w:rPr>
          <w:rStyle w:val="1097"/>
          <w:rFonts w:hint="eastAsia" w:ascii="仿宋" w:hAnsi="仿宋" w:eastAsia="仿宋" w:cs="仿宋"/>
          <w:color w:val="auto"/>
          <w:highlight w:val="none"/>
        </w:rPr>
      </w:pPr>
      <w:r>
        <w:rPr>
          <w:rStyle w:val="1097"/>
          <w:rFonts w:hint="eastAsia" w:ascii="仿宋" w:hAnsi="仿宋" w:eastAsia="仿宋" w:cs="仿宋"/>
          <w:color w:val="auto"/>
          <w:sz w:val="28"/>
          <w:highlight w:val="none"/>
        </w:rPr>
        <w:br w:type="page" w:clear="all"/>
      </w:r>
      <w:bookmarkStart w:id="33" w:name="_Toc80122302"/>
      <w:r/>
      <w:bookmarkStart w:id="34" w:name="_Toc6721"/>
      <w:r/>
      <w:bookmarkStart w:id="35" w:name="_Toc14058"/>
      <w:r/>
      <w:bookmarkStart w:id="36" w:name="_Toc19266"/>
      <w:r>
        <w:rPr>
          <w:rStyle w:val="1097"/>
          <w:rFonts w:hint="eastAsia" w:ascii="仿宋" w:hAnsi="仿宋" w:eastAsia="仿宋" w:cs="仿宋"/>
          <w:color w:val="auto"/>
          <w:sz w:val="28"/>
          <w:highlight w:val="none"/>
        </w:rPr>
        <w:t xml:space="preserve">一、承诺书</w:t>
      </w:r>
      <w:bookmarkEnd w:id="33"/>
      <w:r/>
      <w:bookmarkEnd w:id="34"/>
      <w:r/>
      <w:bookmarkEnd w:id="35"/>
      <w:r/>
      <w:bookmarkEnd w:id="36"/>
      <w:r/>
      <w:r/>
    </w:p>
    <w:p>
      <w:pPr>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致</w:t>
      </w:r>
      <w:r>
        <w:rPr>
          <w:rFonts w:hint="eastAsia" w:ascii="仿宋" w:hAnsi="仿宋" w:eastAsia="仿宋" w:cs="仿宋"/>
          <w:color w:val="auto"/>
          <w:sz w:val="24"/>
          <w:szCs w:val="24"/>
          <w:highlight w:val="none"/>
          <w:lang w:eastAsia="zh-CN"/>
        </w:rPr>
        <w:t xml:space="preserve">江苏苏咨工程咨询有限责任公司</w:t>
      </w:r>
      <w:r>
        <w:rPr>
          <w:rFonts w:hint="eastAsia" w:ascii="仿宋" w:hAnsi="仿宋" w:eastAsia="仿宋" w:cs="仿宋"/>
          <w:color w:val="auto"/>
          <w:sz w:val="24"/>
          <w:szCs w:val="24"/>
          <w:highlight w:val="none"/>
        </w:rPr>
        <w:t xml:space="preserve">：</w:t>
      </w:r>
      <w:r/>
    </w:p>
    <w:p>
      <w:pPr>
        <w:ind w:firstLine="480"/>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根据贵方《磋商文件》（项目编号：</w:t>
      </w:r>
      <w:r>
        <w:rPr>
          <w:rFonts w:hint="eastAsia" w:ascii="仿宋" w:hAnsi="仿宋" w:eastAsia="仿宋" w:cs="仿宋"/>
          <w:color w:val="auto"/>
          <w:sz w:val="24"/>
          <w:szCs w:val="24"/>
          <w:highlight w:val="none"/>
          <w:lang w:eastAsia="zh-CN"/>
        </w:rPr>
        <w:t xml:space="preserve">JSZC-320302-JSSZ-C2026-0052</w:t>
      </w:r>
      <w:r>
        <w:rPr>
          <w:rFonts w:hint="eastAsia" w:ascii="仿宋" w:hAnsi="仿宋" w:eastAsia="仿宋" w:cs="仿宋"/>
          <w:color w:val="auto"/>
          <w:sz w:val="24"/>
          <w:szCs w:val="24"/>
          <w:highlight w:val="none"/>
        </w:rPr>
        <w:t xml:space="preserve">）要求，本供应商正式提交以下首次响应文件。</w:t>
      </w:r>
      <w:r/>
    </w:p>
    <w:p>
      <w:pPr>
        <w:ind w:firstLine="480"/>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5" name="直接连接符 11"/>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4" o:spid="_x0000_s4" style="position:absolute;left:0;text-align:left;z-index:251659264;mso-wrap-distance-left:9.0pt;mso-wrap-distance-top:0.0pt;mso-wrap-distance-right:9.0pt;mso-wrap-distance-bottom:0.0pt;flip:y;visibility:visible;" from="147.0pt,1.3pt" to="147.1pt,2.6pt" fillcolor="#FFFFFF" strokecolor="#000000"/>
            </w:pict>
          </mc:Fallback>
        </mc:AlternateContent>
      </w:r>
      <w:r>
        <w:rPr>
          <w:rFonts w:hint="eastAsia" w:ascii="仿宋" w:hAnsi="仿宋" w:eastAsia="仿宋" w:cs="仿宋"/>
          <w:color w:val="auto"/>
          <w:sz w:val="24"/>
          <w:szCs w:val="24"/>
          <w:highlight w:val="none"/>
        </w:rPr>
        <w:t xml:space="preserve">（1）承诺书； </w:t>
      </w:r>
      <w:r/>
    </w:p>
    <w:p>
      <w:pPr>
        <w:ind w:firstLine="480"/>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（2）磋商报价表； </w:t>
      </w:r>
      <w:r/>
    </w:p>
    <w:p>
      <w:pPr>
        <w:ind w:firstLine="480"/>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（3）偏离表；</w:t>
      </w:r>
      <w:r/>
    </w:p>
    <w:p>
      <w:pPr>
        <w:ind w:firstLine="480"/>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（4）磋商文件要求提供的其他响应文件。</w:t>
      </w:r>
      <w:r/>
    </w:p>
    <w:p>
      <w:pPr>
        <w:ind w:firstLine="480"/>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我单位符合《中华人民共和国政府采购法》第二十二条的规定，符合本项目供应商资格要求。</w:t>
      </w:r>
      <w:r/>
    </w:p>
    <w:p>
      <w:pPr>
        <w:ind w:firstLine="480"/>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我单位按照磋商文件的要求编制响应文件，并对其提交的响应文件的真实性、合法性承担法律责任。</w:t>
      </w:r>
      <w:r/>
    </w:p>
    <w:p>
      <w:pPr>
        <w:ind w:firstLine="480"/>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供应商兹宣布同意如下: </w:t>
      </w:r>
      <w:r/>
    </w:p>
    <w:p>
      <w:pPr>
        <w:ind w:firstLine="480"/>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6" name="直接连接符 1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5" o:spid="_x0000_s5" style="position:absolute;left:0;text-align:left;z-index:251660288;mso-wrap-distance-left:9.0pt;mso-wrap-distance-top:0.0pt;mso-wrap-distance-right:9.0pt;mso-wrap-distance-bottom:0.0pt;visibility:visible;" from="246.8pt,23.4pt" to="246.8pt,23.4pt" fillcolor="#FFFFFF" strokecolor="#000000"/>
            </w:pict>
          </mc:Fallback>
        </mc:AlternateContent>
      </w:r>
      <w:r>
        <w:rPr>
          <w:rFonts w:hint="eastAsia" w:ascii="仿宋" w:hAnsi="仿宋" w:eastAsia="仿宋" w:cs="仿宋"/>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7" name="直接连接符 1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6" o:spid="_x0000_s6" style="position:absolute;left:0;text-align:left;z-index:251661312;mso-wrap-distance-left:9.0pt;mso-wrap-distance-top:0.0pt;mso-wrap-distance-right:9.0pt;mso-wrap-distance-bottom:0.0pt;visibility:visible;" from="220.5pt,46.8pt" to="220.6pt,46.8pt" fillcolor="#FFFFFF" strokecolor="#000000"/>
            </w:pict>
          </mc:Fallback>
        </mc:AlternateContent>
      </w:r>
      <w:r>
        <w:rPr>
          <w:rFonts w:hint="eastAsia" w:ascii="仿宋" w:hAnsi="仿宋" w:eastAsia="仿宋" w:cs="仿宋"/>
          <w:color w:val="auto"/>
          <w:sz w:val="24"/>
          <w:szCs w:val="24"/>
          <w:highlight w:val="none"/>
        </w:rPr>
        <w:t xml:space="preserve">一、完全承担根据《磋商文件》规定完成合同的责任和义务（如有偏离，将全部填写在偏离表中）。</w:t>
      </w:r>
      <w:r/>
    </w:p>
    <w:p>
      <w:pPr>
        <w:ind w:firstLine="480"/>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8" name="直接连接符 1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7" o:spid="_x0000_s7" style="position:absolute;left:0;text-align:left;z-index:251662336;mso-wrap-distance-left:9.0pt;mso-wrap-distance-top:0.0pt;mso-wrap-distance-right:9.0pt;mso-wrap-distance-bottom:0.0pt;visibility:visible;" from="210.0pt,19.5pt" to="210.1pt,19.5pt" fillcolor="#FFFFFF" strokecolor="#000000"/>
            </w:pict>
          </mc:Fallback>
        </mc:AlternateContent>
      </w:r>
      <w:r>
        <w:rPr>
          <w:rFonts w:hint="eastAsia" w:ascii="仿宋" w:hAnsi="仿宋" w:eastAsia="仿宋" w:cs="仿宋"/>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9" name="直接连接符 1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8" o:spid="_x0000_s8" style="position:absolute;left:0;text-align:left;z-index:251663360;mso-wrap-distance-left:9.0pt;mso-wrap-distance-top:0.0pt;mso-wrap-distance-right:9.0pt;mso-wrap-distance-bottom:0.0pt;visibility:visible;" from="210.0pt,19.5pt" to="210.1pt,19.5pt" fillcolor="#FFFFFF" strokecolor="#000000"/>
            </w:pict>
          </mc:Fallback>
        </mc:AlternateContent>
      </w:r>
      <w:r>
        <w:rPr>
          <w:rFonts w:hint="eastAsia" w:ascii="仿宋" w:hAnsi="仿宋" w:eastAsia="仿宋" w:cs="仿宋"/>
          <w:color w:val="auto"/>
          <w:sz w:val="24"/>
          <w:szCs w:val="24"/>
          <w:highlight w:val="none"/>
        </w:rPr>
        <w:t xml:space="preserve">二、保证所提供的响应文件及所有材料的真实、合法、有效，并对其负责。</w:t>
      </w:r>
      <w:r/>
    </w:p>
    <w:p>
      <w:pPr>
        <w:ind w:firstLine="480"/>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三、已详细审核竞争性磋商文件（含竞争性磋商文件的澄清或者修改），本供应商完全理解并同意放弃对这方面不明及误解的权利。</w:t>
      </w:r>
      <w:r/>
    </w:p>
    <w:p>
      <w:pPr>
        <w:ind w:firstLine="480"/>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四、所供货物保证符合国家有关产品质量、性能和安全标准，无权利瑕疵。</w:t>
      </w:r>
      <w:r/>
    </w:p>
    <w:p>
      <w:pPr>
        <w:ind w:firstLine="480"/>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五、报价有效期为30个工作日。</w:t>
      </w:r>
      <w:r/>
    </w:p>
    <w:p>
      <w:pPr>
        <w:ind w:firstLine="480"/>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六、同意向贵方提供贵方可能要求的与本次磋商采购有关的任何证据或资料。</w:t>
      </w:r>
      <w:r/>
    </w:p>
    <w:p>
      <w:pPr>
        <w:ind w:firstLine="480"/>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七、完全理解贵方不一定要接受最低的报价或收到的任何报价。</w:t>
      </w:r>
      <w:r/>
    </w:p>
    <w:p>
      <w:pPr>
        <w:ind w:firstLine="480"/>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八、</w:t>
      </w:r>
      <w:r>
        <w:rPr>
          <w:rFonts w:hint="eastAsia" w:ascii="仿宋" w:hAnsi="仿宋" w:eastAsia="仿宋" w:cs="仿宋"/>
          <w:color w:val="auto"/>
          <w:sz w:val="24"/>
          <w:szCs w:val="24"/>
          <w:highlight w:val="none"/>
          <w:lang w:eastAsia="zh-CN"/>
        </w:rPr>
        <w:t xml:space="preserve">江苏苏咨工程咨询有限责任公司</w:t>
      </w:r>
      <w:r>
        <w:rPr>
          <w:rFonts w:hint="eastAsia" w:ascii="仿宋" w:hAnsi="仿宋" w:eastAsia="仿宋" w:cs="仿宋"/>
          <w:color w:val="auto"/>
          <w:sz w:val="24"/>
          <w:szCs w:val="24"/>
          <w:highlight w:val="none"/>
        </w:rPr>
        <w:t xml:space="preserve">有权将我单位本项目的《磋商报价表》和《分项价格表》予以公示，公示的方式由</w:t>
      </w:r>
      <w:r>
        <w:rPr>
          <w:rFonts w:hint="eastAsia" w:ascii="仿宋" w:hAnsi="仿宋" w:eastAsia="仿宋" w:cs="仿宋"/>
          <w:color w:val="auto"/>
          <w:sz w:val="24"/>
          <w:szCs w:val="24"/>
          <w:highlight w:val="none"/>
          <w:lang w:eastAsia="zh-CN"/>
        </w:rPr>
        <w:t xml:space="preserve">江苏苏咨工程咨询有限责任公司</w:t>
      </w:r>
      <w:r>
        <w:rPr>
          <w:rFonts w:hint="eastAsia" w:ascii="仿宋" w:hAnsi="仿宋" w:eastAsia="仿宋" w:cs="仿宋"/>
          <w:color w:val="auto"/>
          <w:sz w:val="24"/>
          <w:szCs w:val="24"/>
          <w:highlight w:val="none"/>
        </w:rPr>
        <w:t xml:space="preserve">确定。</w:t>
      </w:r>
      <w:r/>
    </w:p>
    <w:p>
      <w:pPr>
        <w:ind w:firstLine="480"/>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九、采购人有权对供应商的响应文件的真实性进行核实，签订合同前，成交供应商必须向采购人提交其响应文件中所有扫描件的原件，采购人核查无误后，签订合同。如成交供应商不能在采购人规定的时间内向采购人提供原件，将被采购人视为放弃成交资格。</w:t>
      </w:r>
      <w:r/>
    </w:p>
    <w:p>
      <w:pPr>
        <w:ind w:firstLine="480"/>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供应商（电子签章）：</w:t>
      </w:r>
      <w:r/>
    </w:p>
    <w:p>
      <w:pPr>
        <w:ind w:firstLine="480"/>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p>
    <w:p>
      <w:pPr>
        <w:ind w:firstLine="480"/>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w:t>
      </w:r>
      <w:r/>
    </w:p>
    <w:p>
      <w:pPr>
        <w:pStyle w:val="822"/>
        <w:jc w:val="center"/>
        <w:spacing w:line="420" w:lineRule="exact"/>
        <w:widowControl w:val="off"/>
        <w:rPr>
          <w:rStyle w:val="1097"/>
          <w:rFonts w:hint="eastAsia" w:ascii="仿宋" w:hAnsi="仿宋" w:eastAsia="仿宋" w:cs="仿宋"/>
          <w:b/>
          <w:bCs/>
          <w:color w:val="auto"/>
          <w:sz w:val="28"/>
          <w:highlight w:val="none"/>
        </w:rPr>
        <w:outlineLvl w:val="1"/>
      </w:pPr>
      <w:r>
        <w:rPr>
          <w:rFonts w:hint="eastAsia" w:ascii="仿宋" w:hAnsi="仿宋" w:eastAsia="仿宋" w:cs="仿宋"/>
          <w:color w:val="auto"/>
          <w:highlight w:val="none"/>
        </w:rPr>
        <w:br w:type="page" w:clear="all"/>
      </w:r>
      <w:bookmarkStart w:id="37" w:name="_Toc16481"/>
      <w:r/>
      <w:bookmarkStart w:id="38" w:name="_Toc25312"/>
      <w:r/>
      <w:bookmarkStart w:id="39" w:name="_Toc80122303"/>
      <w:r/>
      <w:bookmarkStart w:id="40" w:name="_Toc21194"/>
      <w:r>
        <w:rPr>
          <w:rStyle w:val="1097"/>
          <w:rFonts w:hint="eastAsia" w:ascii="仿宋" w:hAnsi="仿宋" w:eastAsia="仿宋" w:cs="仿宋"/>
          <w:b/>
          <w:bCs/>
          <w:color w:val="auto"/>
          <w:sz w:val="28"/>
          <w:highlight w:val="none"/>
        </w:rPr>
        <w:t xml:space="preserve">二、磋商报价表</w:t>
      </w:r>
      <w:bookmarkEnd w:id="37"/>
      <w:r/>
      <w:bookmarkEnd w:id="38"/>
      <w:r/>
      <w:bookmarkEnd w:id="39"/>
      <w:r/>
      <w:bookmarkEnd w:id="40"/>
      <w:r/>
      <w:r/>
    </w:p>
    <w:p>
      <w:pPr>
        <w:jc w:val="left"/>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项目编号：</w:t>
      </w:r>
      <w:r>
        <w:rPr>
          <w:rFonts w:hint="eastAsia" w:ascii="仿宋" w:hAnsi="仿宋" w:eastAsia="仿宋" w:cs="仿宋"/>
          <w:color w:val="auto"/>
          <w:sz w:val="24"/>
          <w:szCs w:val="24"/>
          <w:highlight w:val="none"/>
          <w:lang w:eastAsia="zh-CN"/>
        </w:rPr>
        <w:t xml:space="preserve">JSZC-320302-JSSZ-C2026-0052</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本次为首次报价</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货币单位：人民币元</w:t>
      </w:r>
      <w:r/>
    </w:p>
    <w:tbl>
      <w:tblPr>
        <w:tblStyle w:val="809"/>
        <w:tblpPr w:horzAnchor="page" w:tblpX="1252" w:vertAnchor="text" w:tblpY="86" w:leftFromText="180" w:topFromText="0" w:rightFromText="180" w:bottomFromText="0"/>
        <w:tblW w:w="907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092"/>
        <w:gridCol w:w="1919"/>
        <w:gridCol w:w="1667"/>
        <w:gridCol w:w="1775"/>
        <w:gridCol w:w="1625"/>
      </w:tblGrid>
      <w:tr>
        <w:trPr>
          <w:trHeight w:val="1569"/>
        </w:trPr>
        <w:tc>
          <w:tcPr>
            <w:tcW w:w="2092" w:type="dxa"/>
            <w:vAlign w:val="center"/>
            <w:textDirection w:val="lrTb"/>
            <w:noWrap w:val="false"/>
          </w:tcPr>
          <w:p>
            <w:pPr>
              <w:pStyle w:val="822"/>
              <w:jc w:val="center"/>
              <w:spacing w:line="360" w:lineRule="auto"/>
              <w:widowControl w:val="off"/>
              <w:rPr>
                <w:rStyle w:val="1342"/>
                <w:rFonts w:hint="eastAsia" w:ascii="仿宋" w:hAnsi="仿宋" w:eastAsia="仿宋" w:cs="仿宋"/>
                <w:color w:val="auto"/>
                <w:sz w:val="24"/>
                <w:szCs w:val="24"/>
                <w:highlight w:val="none"/>
              </w:rPr>
            </w:pPr>
            <w:r>
              <w:rPr>
                <w:rStyle w:val="1342"/>
                <w:rFonts w:hint="eastAsia" w:ascii="仿宋" w:hAnsi="仿宋" w:eastAsia="仿宋" w:cs="仿宋"/>
                <w:color w:val="auto"/>
                <w:sz w:val="24"/>
                <w:szCs w:val="24"/>
                <w:highlight w:val="none"/>
              </w:rPr>
              <w:t xml:space="preserve">项目名称</w:t>
            </w:r>
            <w:r/>
          </w:p>
        </w:tc>
        <w:tc>
          <w:tcPr>
            <w:tcW w:w="1919" w:type="dxa"/>
            <w:vAlign w:val="center"/>
            <w:textDirection w:val="lrTb"/>
            <w:noWrap w:val="false"/>
          </w:tcPr>
          <w:p>
            <w:pPr>
              <w:pStyle w:val="822"/>
              <w:jc w:val="center"/>
              <w:spacing w:line="360" w:lineRule="auto"/>
              <w:widowControl w:val="off"/>
              <w:rPr>
                <w:rStyle w:val="1342"/>
                <w:rFonts w:hint="eastAsia" w:ascii="仿宋" w:hAnsi="仿宋" w:eastAsia="仿宋" w:cs="仿宋"/>
                <w:color w:val="auto"/>
                <w:sz w:val="24"/>
                <w:szCs w:val="24"/>
                <w:highlight w:val="none"/>
              </w:rPr>
            </w:pPr>
            <w:r>
              <w:rPr>
                <w:rStyle w:val="1342"/>
                <w:rFonts w:hint="eastAsia" w:ascii="仿宋" w:hAnsi="仿宋" w:eastAsia="仿宋" w:cs="仿宋"/>
                <w:color w:val="auto"/>
                <w:sz w:val="24"/>
                <w:szCs w:val="24"/>
                <w:highlight w:val="none"/>
              </w:rPr>
              <w:t xml:space="preserve">项目内容</w:t>
            </w:r>
            <w:r/>
          </w:p>
        </w:tc>
        <w:tc>
          <w:tcPr>
            <w:tcW w:w="1667" w:type="dxa"/>
            <w:vAlign w:val="center"/>
            <w:textDirection w:val="lrTb"/>
            <w:noWrap w:val="false"/>
          </w:tcPr>
          <w:p>
            <w:pPr>
              <w:pStyle w:val="822"/>
              <w:jc w:val="center"/>
              <w:spacing w:line="360" w:lineRule="auto"/>
              <w:widowControl w:val="off"/>
              <w:rPr>
                <w:rStyle w:val="1342"/>
                <w:rFonts w:hint="eastAsia" w:ascii="仿宋" w:hAnsi="仿宋" w:eastAsia="仿宋" w:cs="仿宋"/>
                <w:color w:val="auto"/>
                <w:sz w:val="24"/>
                <w:szCs w:val="24"/>
                <w:highlight w:val="none"/>
              </w:rPr>
            </w:pPr>
            <w:r>
              <w:rPr>
                <w:rStyle w:val="1342"/>
                <w:rFonts w:hint="eastAsia" w:ascii="仿宋" w:hAnsi="仿宋" w:eastAsia="仿宋" w:cs="仿宋"/>
                <w:color w:val="auto"/>
                <w:sz w:val="24"/>
                <w:szCs w:val="24"/>
                <w:highlight w:val="none"/>
              </w:rPr>
              <w:t xml:space="preserve">总价</w:t>
            </w:r>
            <w:r/>
          </w:p>
          <w:p>
            <w:pPr>
              <w:pStyle w:val="822"/>
              <w:jc w:val="center"/>
              <w:spacing w:line="360" w:lineRule="auto"/>
              <w:widowControl w:val="off"/>
              <w:rPr>
                <w:rStyle w:val="1342"/>
                <w:rFonts w:hint="eastAsia" w:ascii="仿宋" w:hAnsi="仿宋" w:eastAsia="仿宋" w:cs="仿宋"/>
                <w:color w:val="auto"/>
                <w:sz w:val="24"/>
                <w:szCs w:val="24"/>
                <w:highlight w:val="none"/>
              </w:rPr>
            </w:pPr>
            <w:r>
              <w:rPr>
                <w:rStyle w:val="1342"/>
                <w:rFonts w:hint="eastAsia" w:ascii="仿宋" w:hAnsi="仿宋" w:eastAsia="仿宋" w:cs="仿宋"/>
                <w:color w:val="auto"/>
                <w:sz w:val="24"/>
                <w:szCs w:val="24"/>
                <w:highlight w:val="none"/>
              </w:rPr>
              <w:t xml:space="preserve">（小写）</w:t>
            </w:r>
            <w:r/>
          </w:p>
        </w:tc>
        <w:tc>
          <w:tcPr>
            <w:tcW w:w="1775" w:type="dxa"/>
            <w:vAlign w:val="center"/>
            <w:textDirection w:val="lrTb"/>
            <w:noWrap w:val="false"/>
          </w:tcPr>
          <w:p>
            <w:pPr>
              <w:pStyle w:val="822"/>
              <w:jc w:val="center"/>
              <w:spacing w:line="360" w:lineRule="auto"/>
              <w:widowControl w:val="off"/>
              <w:rPr>
                <w:rStyle w:val="1342"/>
                <w:rFonts w:hint="eastAsia" w:ascii="仿宋" w:hAnsi="仿宋" w:eastAsia="仿宋" w:cs="仿宋"/>
                <w:color w:val="auto"/>
                <w:sz w:val="24"/>
                <w:szCs w:val="24"/>
                <w:highlight w:val="none"/>
              </w:rPr>
            </w:pPr>
            <w:r>
              <w:rPr>
                <w:rStyle w:val="1342"/>
                <w:rFonts w:hint="eastAsia" w:ascii="仿宋" w:hAnsi="仿宋" w:eastAsia="仿宋" w:cs="仿宋"/>
                <w:color w:val="auto"/>
                <w:sz w:val="24"/>
                <w:szCs w:val="24"/>
                <w:highlight w:val="none"/>
              </w:rPr>
              <w:t xml:space="preserve">工期</w:t>
            </w:r>
            <w:r/>
          </w:p>
          <w:p>
            <w:pPr>
              <w:pStyle w:val="822"/>
              <w:jc w:val="center"/>
              <w:spacing w:line="360" w:lineRule="auto"/>
              <w:widowControl w:val="off"/>
              <w:rPr>
                <w:rStyle w:val="1342"/>
                <w:rFonts w:hint="eastAsia" w:ascii="仿宋" w:hAnsi="仿宋" w:eastAsia="仿宋" w:cs="仿宋"/>
                <w:color w:val="auto"/>
                <w:sz w:val="24"/>
                <w:szCs w:val="24"/>
                <w:highlight w:val="none"/>
              </w:rPr>
            </w:pPr>
            <w:r>
              <w:rPr>
                <w:rStyle w:val="1342"/>
                <w:rFonts w:hint="eastAsia" w:ascii="仿宋" w:hAnsi="仿宋" w:eastAsia="仿宋" w:cs="仿宋"/>
                <w:color w:val="auto"/>
                <w:sz w:val="24"/>
                <w:szCs w:val="24"/>
                <w:highlight w:val="none"/>
              </w:rPr>
              <w:t xml:space="preserve">（日历天）</w:t>
            </w:r>
            <w:r/>
          </w:p>
        </w:tc>
        <w:tc>
          <w:tcPr>
            <w:tcW w:w="1625" w:type="dxa"/>
            <w:vAlign w:val="center"/>
            <w:textDirection w:val="lrTb"/>
            <w:noWrap w:val="false"/>
          </w:tcPr>
          <w:p>
            <w:pPr>
              <w:jc w:val="center"/>
              <w:spacing w:line="360" w:lineRule="auto"/>
              <w:rPr>
                <w:rStyle w:val="1342"/>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备注</w:t>
            </w:r>
            <w:r/>
          </w:p>
        </w:tc>
      </w:tr>
      <w:tr>
        <w:trPr>
          <w:trHeight w:val="1246"/>
        </w:trPr>
        <w:tc>
          <w:tcPr>
            <w:tcW w:w="2092" w:type="dxa"/>
            <w:vAlign w:val="center"/>
            <w:textDirection w:val="lrTb"/>
            <w:noWrap w:val="false"/>
          </w:tcPr>
          <w:p>
            <w:pPr>
              <w:pStyle w:val="822"/>
              <w:jc w:val="center"/>
              <w:spacing w:line="360" w:lineRule="auto"/>
              <w:widowControl w:val="off"/>
              <w:rPr>
                <w:rStyle w:val="1342"/>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黄河东片区道路雨污分流路面修复工程项目</w:t>
            </w:r>
            <w:r/>
          </w:p>
        </w:tc>
        <w:tc>
          <w:tcPr>
            <w:tcW w:w="1919" w:type="dxa"/>
            <w:vAlign w:val="center"/>
            <w:textDirection w:val="lrTb"/>
            <w:noWrap w:val="false"/>
          </w:tcPr>
          <w:p>
            <w:pPr>
              <w:pStyle w:val="822"/>
              <w:jc w:val="center"/>
              <w:spacing w:line="360" w:lineRule="auto"/>
              <w:widowControl w:val="off"/>
              <w:rPr>
                <w:rStyle w:val="1342"/>
                <w:rFonts w:hint="eastAsia" w:ascii="仿宋" w:hAnsi="仿宋" w:eastAsia="仿宋" w:cs="仿宋"/>
                <w:color w:val="auto"/>
                <w:sz w:val="24"/>
                <w:szCs w:val="24"/>
                <w:highlight w:val="none"/>
              </w:rPr>
            </w:pPr>
            <w:r>
              <w:rPr>
                <w:rStyle w:val="1342"/>
                <w:rFonts w:hint="eastAsia" w:ascii="仿宋" w:hAnsi="仿宋" w:eastAsia="仿宋" w:cs="仿宋"/>
                <w:color w:val="auto"/>
                <w:sz w:val="24"/>
                <w:szCs w:val="24"/>
                <w:highlight w:val="none"/>
              </w:rPr>
              <w:t xml:space="preserve">详见响应文件</w:t>
            </w:r>
            <w:r/>
          </w:p>
        </w:tc>
        <w:tc>
          <w:tcPr>
            <w:tcW w:w="1667" w:type="dxa"/>
            <w:vAlign w:val="center"/>
            <w:textDirection w:val="lrTb"/>
            <w:noWrap w:val="false"/>
          </w:tcPr>
          <w:p>
            <w:pPr>
              <w:pStyle w:val="822"/>
              <w:jc w:val="center"/>
              <w:spacing w:line="360" w:lineRule="auto"/>
              <w:widowControl w:val="off"/>
              <w:rPr>
                <w:rStyle w:val="1342"/>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775" w:type="dxa"/>
            <w:vAlign w:val="center"/>
            <w:textDirection w:val="lrTb"/>
            <w:noWrap w:val="false"/>
          </w:tcPr>
          <w:p>
            <w:pPr>
              <w:pStyle w:val="822"/>
              <w:jc w:val="center"/>
              <w:spacing w:line="360" w:lineRule="auto"/>
              <w:widowControl w:val="off"/>
              <w:rPr>
                <w:rStyle w:val="1342"/>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625" w:type="dxa"/>
            <w:vAlign w:val="center"/>
            <w:vMerge w:val="restart"/>
            <w:textDirection w:val="lrTb"/>
            <w:noWrap w:val="false"/>
          </w:tcPr>
          <w:p>
            <w:pPr>
              <w:jc w:val="center"/>
              <w:spacing w:line="360" w:lineRule="auto"/>
              <w:rPr>
                <w:rStyle w:val="1342"/>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报价为《工程量报价清单》的总价</w:t>
            </w:r>
            <w:r/>
          </w:p>
        </w:tc>
      </w:tr>
      <w:tr>
        <w:trPr>
          <w:trHeight w:val="1185"/>
        </w:trPr>
        <w:tc>
          <w:tcPr>
            <w:tcW w:w="2092" w:type="dxa"/>
            <w:vAlign w:val="center"/>
            <w:textDirection w:val="lrTb"/>
            <w:noWrap w:val="false"/>
          </w:tcPr>
          <w:p>
            <w:pPr>
              <w:pStyle w:val="822"/>
              <w:jc w:val="center"/>
              <w:spacing w:line="360" w:lineRule="auto"/>
              <w:widowControl w:val="off"/>
              <w:rPr>
                <w:rStyle w:val="1342"/>
                <w:rFonts w:hint="eastAsia" w:ascii="仿宋" w:hAnsi="仿宋" w:eastAsia="仿宋" w:cs="仿宋"/>
                <w:color w:val="auto"/>
                <w:sz w:val="24"/>
                <w:szCs w:val="24"/>
                <w:highlight w:val="none"/>
              </w:rPr>
            </w:pPr>
            <w:r>
              <w:rPr>
                <w:rStyle w:val="1342"/>
                <w:rFonts w:hint="eastAsia" w:ascii="仿宋" w:hAnsi="仿宋" w:eastAsia="仿宋" w:cs="仿宋"/>
                <w:color w:val="auto"/>
                <w:sz w:val="24"/>
                <w:szCs w:val="24"/>
                <w:highlight w:val="none"/>
              </w:rPr>
              <w:t xml:space="preserve">总价（大写）：</w:t>
            </w:r>
            <w:r/>
          </w:p>
        </w:tc>
        <w:tc>
          <w:tcPr>
            <w:gridSpan w:val="3"/>
            <w:tcW w:w="5361" w:type="dxa"/>
            <w:vAlign w:val="center"/>
            <w:textDirection w:val="lrTb"/>
            <w:noWrap w:val="false"/>
          </w:tcPr>
          <w:p>
            <w:pPr>
              <w:pStyle w:val="822"/>
              <w:jc w:val="center"/>
              <w:spacing w:line="360" w:lineRule="auto"/>
              <w:widowControl w:val="off"/>
              <w:rPr>
                <w:rStyle w:val="1342"/>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625" w:type="dxa"/>
            <w:vAlign w:val="center"/>
            <w:vMerge w:val="continue"/>
            <w:textDirection w:val="lrTb"/>
            <w:noWrap w:val="false"/>
          </w:tcPr>
          <w:p>
            <w:pPr>
              <w:jc w:val="center"/>
              <w:spacing w:line="360" w:lineRule="auto"/>
              <w:rPr>
                <w:rStyle w:val="1342"/>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tc>
      </w:tr>
    </w:tbl>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22"/>
        <w:ind w:firstLine="480"/>
        <w:jc w:val="left"/>
        <w:spacing w:line="360" w:lineRule="auto"/>
        <w:widowControl w:val="off"/>
        <w:rPr>
          <w:rFonts w:hint="eastAsia" w:ascii="仿宋" w:hAnsi="仿宋" w:eastAsia="仿宋" w:cs="仿宋"/>
          <w:color w:val="auto"/>
          <w:sz w:val="24"/>
          <w:highlight w:val="none"/>
        </w:rPr>
      </w:pPr>
      <w:r>
        <w:rPr>
          <w:rStyle w:val="1097"/>
          <w:rFonts w:hint="eastAsia" w:ascii="仿宋" w:hAnsi="仿宋" w:eastAsia="仿宋" w:cs="仿宋"/>
          <w:color w:val="auto"/>
          <w:highlight w:val="none"/>
        </w:rPr>
        <w:t xml:space="preserve">供应商承诺：  1、本报价（总价）为供应商本企业提供的施工。 </w:t>
      </w:r>
      <w:r/>
    </w:p>
    <w:p>
      <w:pPr>
        <w:pStyle w:val="822"/>
        <w:jc w:val="left"/>
        <w:spacing w:line="360" w:lineRule="auto"/>
        <w:widowControl w:val="off"/>
        <w:rPr>
          <w:rFonts w:hint="eastAsia" w:ascii="仿宋" w:hAnsi="仿宋" w:eastAsia="仿宋" w:cs="仿宋"/>
          <w:color w:val="auto"/>
          <w:sz w:val="24"/>
          <w:highlight w:val="none"/>
        </w:rPr>
      </w:pPr>
      <w:r>
        <w:rPr>
          <w:rStyle w:val="1097"/>
          <w:rFonts w:hint="eastAsia" w:ascii="仿宋" w:hAnsi="仿宋" w:eastAsia="仿宋" w:cs="仿宋"/>
          <w:color w:val="auto"/>
          <w:highlight w:val="none"/>
        </w:rPr>
        <w:t xml:space="preserve">                  2、</w:t>
      </w:r>
      <w:r>
        <w:rPr>
          <w:rFonts w:hint="eastAsia" w:ascii="仿宋" w:hAnsi="仿宋" w:eastAsia="仿宋" w:cs="仿宋"/>
          <w:color w:val="auto"/>
          <w:sz w:val="24"/>
          <w:highlight w:val="none"/>
        </w:rPr>
        <w:t xml:space="preserve">根据相关标准、规范进行试验、检测并承担所有费用。</w:t>
      </w:r>
      <w:r/>
    </w:p>
    <w:p>
      <w:pPr>
        <w:pStyle w:val="822"/>
        <w:jc w:val="left"/>
        <w:spacing w:line="360" w:lineRule="auto"/>
        <w:widowControl w:val="off"/>
        <w:rPr>
          <w:rStyle w:val="1097"/>
          <w:rFonts w:hint="eastAsia" w:ascii="仿宋" w:hAnsi="仿宋" w:eastAsia="仿宋" w:cs="仿宋"/>
          <w:color w:val="auto"/>
          <w:highlight w:val="none"/>
        </w:rPr>
      </w:pPr>
      <w:r>
        <w:rPr>
          <w:rStyle w:val="1097"/>
          <w:rFonts w:hint="eastAsia" w:ascii="仿宋" w:hAnsi="仿宋" w:eastAsia="仿宋" w:cs="仿宋"/>
          <w:color w:val="auto"/>
          <w:highlight w:val="none"/>
        </w:rPr>
        <w:t xml:space="preserve">报价说明：</w:t>
      </w:r>
      <w:r/>
    </w:p>
    <w:p>
      <w:pPr>
        <w:pStyle w:val="822"/>
        <w:ind w:firstLine="480"/>
        <w:jc w:val="left"/>
        <w:spacing w:line="360" w:lineRule="auto"/>
        <w:widowControl w:val="off"/>
        <w:rPr>
          <w:rStyle w:val="1097"/>
          <w:rFonts w:hint="eastAsia" w:ascii="仿宋" w:hAnsi="仿宋" w:eastAsia="仿宋" w:cs="仿宋"/>
          <w:color w:val="auto"/>
          <w:highlight w:val="none"/>
        </w:rPr>
      </w:pPr>
      <w:r>
        <w:rPr>
          <w:rStyle w:val="1097"/>
          <w:rFonts w:hint="eastAsia" w:ascii="仿宋" w:hAnsi="仿宋" w:eastAsia="仿宋" w:cs="仿宋"/>
          <w:color w:val="auto"/>
          <w:highlight w:val="none"/>
        </w:rPr>
        <w:t xml:space="preserve">1、报价包括完成项目的所有费用。采购人不再支付报价以外的任何费用。</w:t>
      </w:r>
      <w:r/>
    </w:p>
    <w:p>
      <w:pPr>
        <w:pStyle w:val="822"/>
        <w:ind w:firstLine="480"/>
        <w:jc w:val="left"/>
        <w:spacing w:line="360" w:lineRule="auto"/>
        <w:widowControl w:val="off"/>
        <w:rPr>
          <w:rStyle w:val="1097"/>
          <w:rFonts w:hint="eastAsia" w:ascii="仿宋" w:hAnsi="仿宋" w:eastAsia="仿宋" w:cs="仿宋"/>
          <w:color w:val="auto"/>
          <w:highlight w:val="none"/>
        </w:rPr>
      </w:pPr>
      <w:r>
        <w:rPr>
          <w:rStyle w:val="1097"/>
          <w:rFonts w:hint="eastAsia" w:ascii="仿宋" w:hAnsi="仿宋" w:eastAsia="仿宋" w:cs="仿宋"/>
          <w:color w:val="auto"/>
          <w:highlight w:val="none"/>
        </w:rPr>
        <w:t xml:space="preserve">2、报价以总价为准，大小写不一致以大写为准；</w:t>
      </w:r>
      <w:r/>
    </w:p>
    <w:p>
      <w:pPr>
        <w:pStyle w:val="822"/>
        <w:ind w:firstLine="480"/>
        <w:jc w:val="left"/>
        <w:spacing w:line="360" w:lineRule="auto"/>
        <w:widowControl w:val="off"/>
        <w:rPr>
          <w:rStyle w:val="1097"/>
          <w:rFonts w:hint="eastAsia" w:ascii="仿宋" w:hAnsi="仿宋" w:eastAsia="仿宋" w:cs="仿宋"/>
          <w:color w:val="auto"/>
          <w:highlight w:val="none"/>
        </w:rPr>
      </w:pPr>
      <w:r>
        <w:rPr>
          <w:rStyle w:val="1097"/>
          <w:rFonts w:hint="eastAsia" w:ascii="仿宋" w:hAnsi="仿宋" w:eastAsia="仿宋" w:cs="仿宋"/>
          <w:color w:val="auto"/>
          <w:highlight w:val="none"/>
        </w:rPr>
        <w:t xml:space="preserve">3、偏离说明：详见《偏离表》；</w:t>
      </w:r>
      <w:r/>
    </w:p>
    <w:p>
      <w:pPr>
        <w:pStyle w:val="822"/>
        <w:ind w:firstLine="482"/>
        <w:jc w:val="left"/>
        <w:spacing w:line="360" w:lineRule="auto"/>
        <w:widowControl w:val="off"/>
        <w:rPr>
          <w:rStyle w:val="1097"/>
          <w:rFonts w:hint="eastAsia" w:ascii="仿宋" w:hAnsi="仿宋" w:eastAsia="仿宋" w:cs="仿宋"/>
          <w:color w:val="auto"/>
          <w:highlight w:val="none"/>
        </w:rPr>
      </w:pPr>
      <w:r>
        <w:rPr>
          <w:rStyle w:val="1097"/>
          <w:rFonts w:hint="eastAsia" w:ascii="仿宋" w:hAnsi="仿宋" w:eastAsia="仿宋" w:cs="仿宋"/>
          <w:color w:val="auto"/>
          <w:highlight w:val="none"/>
        </w:rPr>
        <w:t xml:space="preserve">4、如最后报价未列明单价，则最后所报各项单价计算方法为：（最后总价/最初总价）</w:t>
      </w:r>
      <w:r>
        <w:rPr>
          <w:rStyle w:val="1097"/>
          <w:rFonts w:hint="eastAsia" w:ascii="仿宋" w:hAnsi="仿宋" w:eastAsia="仿宋" w:cs="仿宋"/>
          <w:color w:val="auto"/>
          <w:highlight w:val="none"/>
          <w:lang w:eastAsia="zh-CN"/>
        </w:rPr>
        <w:t xml:space="preserve">*</w:t>
      </w:r>
      <w:r>
        <w:rPr>
          <w:rStyle w:val="1097"/>
          <w:rFonts w:hint="eastAsia" w:ascii="仿宋" w:hAnsi="仿宋" w:eastAsia="仿宋" w:cs="仿宋"/>
          <w:color w:val="auto"/>
          <w:highlight w:val="none"/>
        </w:rPr>
        <w:t xml:space="preserve"> 各项最初报价的单价。</w:t>
      </w:r>
      <w:r/>
    </w:p>
    <w:p>
      <w:pPr>
        <w:ind w:right="29" w:firstLine="396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供应商（电子签章）：</w:t>
      </w:r>
      <w:r/>
    </w:p>
    <w:p>
      <w:pPr>
        <w:ind w:left="3950" w:right="29"/>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w:t>
      </w:r>
      <w:r/>
    </w:p>
    <w:p>
      <w:pPr>
        <w:pStyle w:val="822"/>
        <w:ind w:firstLine="482"/>
        <w:jc w:val="right"/>
        <w:spacing w:line="360" w:lineRule="auto"/>
        <w:widowControl w:val="off"/>
        <w:rPr>
          <w:rStyle w:val="1097"/>
          <w:rFonts w:hint="eastAsia" w:ascii="仿宋" w:hAnsi="仿宋" w:eastAsia="仿宋" w:cs="仿宋"/>
          <w:b/>
          <w:color w:val="auto"/>
          <w:highlight w:val="none"/>
        </w:rPr>
      </w:pPr>
      <w:r>
        <w:rPr>
          <w:rFonts w:hint="eastAsia" w:ascii="仿宋" w:hAnsi="仿宋" w:eastAsia="仿宋" w:cs="仿宋"/>
          <w:b/>
          <w:color w:val="auto"/>
          <w:highlight w:val="none"/>
        </w:rPr>
      </w:r>
      <w:r/>
    </w:p>
    <w:p>
      <w:pPr>
        <w:ind w:right="29"/>
        <w:jc w:val="center"/>
        <w:spacing w:line="360" w:lineRule="auto"/>
        <w:rPr>
          <w:rFonts w:hint="eastAsia" w:ascii="宋体" w:hAnsi="宋体" w:cs="宋体"/>
          <w:color w:val="auto"/>
          <w:sz w:val="24"/>
          <w:szCs w:val="24"/>
          <w:highlight w:val="none"/>
        </w:rPr>
      </w:pPr>
      <w:r>
        <w:rPr>
          <w:rFonts w:hint="eastAsia" w:ascii="仿宋" w:hAnsi="仿宋" w:eastAsia="仿宋" w:cs="仿宋"/>
          <w:b/>
          <w:bCs/>
          <w:color w:val="auto"/>
          <w:sz w:val="24"/>
          <w:highlight w:val="none"/>
        </w:rPr>
        <w:t xml:space="preserve">特别提醒：本项目二次报价为终次报价，由供应商代表通过苏采云系统提交。</w:t>
      </w:r>
      <w:r/>
    </w:p>
    <w:p>
      <w:pP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pStyle w:val="822"/>
        <w:ind w:firstLine="482"/>
        <w:jc w:val="right"/>
        <w:spacing w:line="360" w:lineRule="auto"/>
        <w:widowControl w:val="off"/>
        <w:rPr>
          <w:rStyle w:val="1097"/>
          <w:rFonts w:hint="eastAsia" w:ascii="仿宋" w:hAnsi="仿宋" w:eastAsia="仿宋" w:cs="仿宋"/>
          <w:b/>
          <w:color w:val="auto"/>
          <w:highlight w:val="none"/>
        </w:rPr>
      </w:pPr>
      <w:r>
        <w:rPr>
          <w:rFonts w:hint="eastAsia" w:ascii="仿宋" w:hAnsi="仿宋" w:eastAsia="仿宋" w:cs="仿宋"/>
          <w:b/>
          <w:color w:val="auto"/>
          <w:highlight w:val="none"/>
        </w:rPr>
      </w:r>
      <w:r/>
    </w:p>
    <w:p>
      <w:pPr>
        <w:rPr>
          <w:rStyle w:val="1097"/>
          <w:rFonts w:hint="eastAsia" w:ascii="仿宋" w:hAnsi="仿宋" w:eastAsia="仿宋" w:cs="仿宋"/>
          <w:b/>
          <w:bCs/>
          <w:color w:val="auto"/>
          <w:sz w:val="28"/>
          <w:highlight w:val="none"/>
        </w:rPr>
      </w:pPr>
      <w:r/>
      <w:bookmarkStart w:id="41" w:name="_Toc22792"/>
      <w:r/>
      <w:bookmarkStart w:id="42" w:name="_Toc14249"/>
      <w:r/>
      <w:bookmarkStart w:id="43" w:name="_Toc19902"/>
      <w:r/>
      <w:bookmarkStart w:id="44" w:name="_Toc80122304"/>
      <w:r>
        <w:rPr>
          <w:rStyle w:val="1097"/>
          <w:rFonts w:hint="eastAsia" w:ascii="仿宋" w:hAnsi="仿宋" w:eastAsia="仿宋" w:cs="仿宋"/>
          <w:b/>
          <w:bCs/>
          <w:color w:val="auto"/>
          <w:sz w:val="28"/>
          <w:highlight w:val="none"/>
        </w:rPr>
        <w:br w:type="page" w:clear="all"/>
      </w:r>
      <w:r/>
    </w:p>
    <w:p>
      <w:pPr>
        <w:pStyle w:val="822"/>
        <w:jc w:val="center"/>
        <w:spacing w:line="360" w:lineRule="auto"/>
        <w:widowControl w:val="off"/>
        <w:rPr>
          <w:rStyle w:val="1097"/>
          <w:rFonts w:hint="eastAsia" w:ascii="仿宋" w:hAnsi="仿宋" w:eastAsia="仿宋" w:cs="仿宋"/>
          <w:b/>
          <w:bCs/>
          <w:color w:val="auto"/>
          <w:sz w:val="28"/>
          <w:highlight w:val="none"/>
        </w:rPr>
        <w:outlineLvl w:val="1"/>
      </w:pPr>
      <w:r/>
      <w:bookmarkStart w:id="45" w:name="_Toc12469"/>
      <w:r>
        <w:rPr>
          <w:rStyle w:val="1097"/>
          <w:rFonts w:hint="eastAsia" w:ascii="仿宋" w:hAnsi="仿宋" w:eastAsia="仿宋" w:cs="仿宋"/>
          <w:b/>
          <w:bCs/>
          <w:color w:val="auto"/>
          <w:sz w:val="28"/>
          <w:highlight w:val="none"/>
        </w:rPr>
        <w:t xml:space="preserve">三、分项价格表</w:t>
      </w:r>
      <w:bookmarkEnd w:id="41"/>
      <w:r/>
      <w:bookmarkEnd w:id="45"/>
      <w:r/>
      <w:r/>
    </w:p>
    <w:p>
      <w:pPr>
        <w:pStyle w:val="829"/>
        <w:jc w:val="center"/>
        <w:spacing w:after="0"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（具有已标价的工程量清单和报价表）</w:t>
      </w:r>
      <w:r/>
    </w:p>
    <w:p>
      <w:pPr>
        <w:pStyle w:val="829"/>
        <w:spacing w:after="0" w:line="500" w:lineRule="exact"/>
        <w:widowControl w:val="off"/>
        <w:rPr>
          <w:rFonts w:hint="eastAsia" w:ascii="仿宋" w:hAnsi="仿宋" w:eastAsia="仿宋" w:cs="仿宋"/>
          <w:color w:val="auto"/>
          <w:sz w:val="24"/>
          <w:szCs w:val="24"/>
          <w:highlight w:val="none"/>
        </w:rPr>
      </w:pPr>
      <w:r/>
      <w:bookmarkStart w:id="46" w:name="_Hlk105167508"/>
      <w:r>
        <w:rPr>
          <w:rFonts w:hint="eastAsia" w:ascii="仿宋" w:hAnsi="仿宋" w:eastAsia="仿宋" w:cs="仿宋"/>
          <w:color w:val="auto"/>
          <w:sz w:val="24"/>
          <w:szCs w:val="24"/>
          <w:highlight w:val="none"/>
        </w:rPr>
        <w:t xml:space="preserve">项目名称：</w:t>
      </w:r>
      <w:r>
        <w:rPr>
          <w:rStyle w:val="1097"/>
          <w:rFonts w:hint="eastAsia" w:ascii="仿宋" w:hAnsi="仿宋" w:eastAsia="仿宋" w:cs="仿宋"/>
          <w:color w:val="auto"/>
          <w:highlight w:val="none"/>
          <w:lang w:eastAsia="zh-CN"/>
        </w:rPr>
        <w:t xml:space="preserve">黄河东片区道路雨污分流路面修复工程项目</w:t>
      </w:r>
      <w:r>
        <w:rPr>
          <w:rFonts w:hint="eastAsia" w:ascii="仿宋" w:hAnsi="仿宋" w:eastAsia="仿宋" w:cs="仿宋"/>
          <w:color w:val="auto"/>
          <w:sz w:val="24"/>
          <w:szCs w:val="24"/>
          <w:highlight w:val="none"/>
        </w:rPr>
        <w:t xml:space="preserve"> </w:t>
      </w:r>
      <w:r/>
    </w:p>
    <w:p>
      <w:pPr>
        <w:pStyle w:val="829"/>
        <w:spacing w:after="0"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项目编号：</w:t>
      </w:r>
      <w:r>
        <w:rPr>
          <w:rFonts w:hint="eastAsia" w:ascii="仿宋" w:hAnsi="仿宋" w:eastAsia="仿宋" w:cs="仿宋"/>
          <w:color w:val="auto"/>
          <w:sz w:val="24"/>
          <w:highlight w:val="none"/>
          <w:lang w:eastAsia="zh-CN"/>
        </w:rPr>
        <w:t xml:space="preserve">JSZC-320302-JSSZ-C2026-0052</w:t>
      </w:r>
      <w:r>
        <w:rPr>
          <w:rFonts w:hint="eastAsia" w:ascii="仿宋" w:hAnsi="仿宋" w:eastAsia="仿宋" w:cs="仿宋"/>
          <w:color w:val="auto"/>
          <w:sz w:val="24"/>
          <w:szCs w:val="24"/>
          <w:highlight w:val="none"/>
        </w:rPr>
        <w:t xml:space="preserve"> </w:t>
      </w:r>
      <w:bookmarkEnd w:id="46"/>
      <w:r/>
      <w:r/>
    </w:p>
    <w:p>
      <w:pPr>
        <w:pStyle w:val="829"/>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14"/>
        <w:ind w:left="0"/>
        <w:jc w:val="center"/>
        <w:spacing w:line="500" w:lineRule="exact"/>
        <w:widowControl w:val="off"/>
        <w:rPr>
          <w:rFonts w:hint="eastAsia" w:ascii="仿宋" w:hAnsi="仿宋" w:eastAsia="仿宋" w:cs="仿宋"/>
          <w:color w:val="auto"/>
          <w:sz w:val="24"/>
          <w:szCs w:val="24"/>
          <w:highlight w:val="none"/>
        </w:rPr>
        <w:outlineLvl w:val="9"/>
      </w:pPr>
      <w:r/>
      <w:bookmarkStart w:id="47" w:name="_Toc3087"/>
      <w:r>
        <w:rPr>
          <w:rFonts w:hint="eastAsia" w:ascii="仿宋" w:hAnsi="仿宋" w:eastAsia="仿宋" w:cs="仿宋"/>
          <w:color w:val="auto"/>
          <w:sz w:val="24"/>
          <w:szCs w:val="24"/>
          <w:highlight w:val="none"/>
        </w:rPr>
        <w:t xml:space="preserve">根据工程量清单进行编制</w:t>
      </w:r>
      <w:bookmarkEnd w:id="47"/>
      <w:r/>
      <w:r/>
    </w:p>
    <w:p>
      <w:pPr>
        <w:pStyle w:val="816"/>
        <w:ind w:firstLine="400"/>
        <w:spacing w:line="5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822"/>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16"/>
        <w:ind w:firstLine="400"/>
        <w:spacing w:line="5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829"/>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p>
    <w:p>
      <w:pPr>
        <w:pStyle w:val="822"/>
        <w:jc w:val="left"/>
        <w:spacing w:line="500" w:lineRule="exact"/>
        <w:widowControl w:val="off"/>
        <w:rPr>
          <w:rStyle w:val="1097"/>
          <w:rFonts w:hint="eastAsia" w:ascii="仿宋" w:hAnsi="仿宋" w:eastAsia="仿宋" w:cs="仿宋"/>
          <w:color w:val="auto"/>
          <w:szCs w:val="24"/>
          <w:highlight w:val="none"/>
        </w:rPr>
      </w:pPr>
      <w:r>
        <w:rPr>
          <w:rStyle w:val="1097"/>
          <w:rFonts w:hint="eastAsia" w:ascii="仿宋" w:hAnsi="仿宋" w:eastAsia="仿宋" w:cs="仿宋"/>
          <w:color w:val="auto"/>
          <w:szCs w:val="24"/>
          <w:highlight w:val="none"/>
        </w:rPr>
        <w:t xml:space="preserve">供应商</w:t>
      </w:r>
      <w:r>
        <w:rPr>
          <w:rFonts w:hint="eastAsia" w:ascii="仿宋" w:hAnsi="仿宋" w:eastAsia="仿宋" w:cs="仿宋"/>
          <w:color w:val="auto"/>
          <w:sz w:val="24"/>
          <w:szCs w:val="24"/>
          <w:highlight w:val="none"/>
        </w:rPr>
        <w:t xml:space="preserve">（</w:t>
      </w:r>
      <w:r>
        <w:rPr>
          <w:rStyle w:val="1097"/>
          <w:rFonts w:hint="eastAsia" w:ascii="仿宋" w:hAnsi="仿宋" w:eastAsia="仿宋" w:cs="仿宋"/>
          <w:color w:val="auto"/>
          <w:szCs w:val="24"/>
          <w:highlight w:val="none"/>
        </w:rPr>
        <w:t xml:space="preserve">电子签章</w:t>
      </w:r>
      <w:r>
        <w:rPr>
          <w:rFonts w:hint="eastAsia" w:ascii="仿宋" w:hAnsi="仿宋" w:eastAsia="仿宋" w:cs="仿宋"/>
          <w:color w:val="auto"/>
          <w:sz w:val="24"/>
          <w:szCs w:val="24"/>
          <w:highlight w:val="none"/>
        </w:rPr>
        <w:t xml:space="preserve">）</w:t>
      </w:r>
      <w:r>
        <w:rPr>
          <w:rStyle w:val="1097"/>
          <w:rFonts w:hint="eastAsia" w:ascii="仿宋" w:hAnsi="仿宋" w:eastAsia="仿宋" w:cs="仿宋"/>
          <w:color w:val="auto"/>
          <w:szCs w:val="24"/>
          <w:highlight w:val="none"/>
        </w:rPr>
        <w:t xml:space="preserve">：  </w:t>
      </w:r>
      <w:r/>
    </w:p>
    <w:p>
      <w:pPr>
        <w:pStyle w:val="822"/>
        <w:jc w:val="left"/>
        <w:spacing w:line="500" w:lineRule="exact"/>
        <w:widowControl w:val="off"/>
        <w:rPr>
          <w:rStyle w:val="1097"/>
          <w:rFonts w:hint="eastAsia" w:ascii="仿宋" w:hAnsi="仿宋" w:eastAsia="仿宋" w:cs="仿宋"/>
          <w:color w:val="auto"/>
          <w:szCs w:val="24"/>
          <w:highlight w:val="none"/>
        </w:rPr>
      </w:pPr>
      <w:r>
        <w:rPr>
          <w:rStyle w:val="1097"/>
          <w:rFonts w:hint="eastAsia" w:ascii="仿宋" w:hAnsi="仿宋" w:eastAsia="仿宋" w:cs="仿宋"/>
          <w:color w:val="auto"/>
          <w:szCs w:val="24"/>
          <w:highlight w:val="none"/>
        </w:rPr>
        <w:t xml:space="preserve">日期：</w:t>
      </w:r>
      <w:r/>
    </w:p>
    <w:p>
      <w:pPr>
        <w:pStyle w:val="829"/>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29"/>
        <w:spacing w:after="0"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w:t>
      </w:r>
      <w:r/>
    </w:p>
    <w:p>
      <w:pPr>
        <w:pStyle w:val="829"/>
        <w:ind w:firstLine="480"/>
        <w:spacing w:after="0"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1．如果不提供分项报价将视为没有实质性响应磋商文件。</w:t>
      </w:r>
      <w:r/>
    </w:p>
    <w:p>
      <w:pPr>
        <w:pStyle w:val="829"/>
        <w:ind w:firstLine="480"/>
        <w:spacing w:after="0"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2．供应商对以上数据的真实性负责。</w:t>
      </w:r>
      <w:r/>
    </w:p>
    <w:p>
      <w:pPr>
        <w:pStyle w:val="829"/>
        <w:ind w:firstLine="480"/>
        <w:spacing w:after="0"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 如果按单价计算的结果与总价不一致，以总价为准。</w:t>
      </w:r>
      <w:r/>
    </w:p>
    <w:p>
      <w:pPr>
        <w:pStyle w:val="829"/>
        <w:ind w:firstLine="480"/>
        <w:spacing w:after="0" w:line="500" w:lineRule="exact"/>
        <w:widowControl w:val="off"/>
        <w:rPr>
          <w:rFonts w:hint="eastAsia" w:ascii="仿宋" w:hAnsi="仿宋" w:eastAsia="仿宋" w:cs="仿宋"/>
          <w:b/>
          <w:iCs/>
          <w:color w:val="auto"/>
          <w:sz w:val="24"/>
          <w:szCs w:val="24"/>
          <w:highlight w:val="none"/>
          <w:u w:val="single"/>
        </w:rPr>
      </w:pPr>
      <w:r>
        <w:rPr>
          <w:rFonts w:hint="eastAsia" w:ascii="仿宋" w:hAnsi="仿宋" w:eastAsia="仿宋" w:cs="仿宋"/>
          <w:b/>
          <w:iCs/>
          <w:color w:val="auto"/>
          <w:sz w:val="24"/>
          <w:szCs w:val="24"/>
          <w:highlight w:val="none"/>
          <w:u w:val="single"/>
        </w:rPr>
        <w:t xml:space="preserve">采购人或采购代理机构有权将以上内容进行公示。</w:t>
      </w:r>
      <w:r/>
    </w:p>
    <w:p>
      <w:pPr>
        <w:jc w:val="center"/>
        <w:spacing w:line="312" w:lineRule="auto"/>
        <w:rPr>
          <w:rFonts w:hint="eastAsia" w:ascii="仿宋" w:hAnsi="仿宋" w:eastAsia="仿宋" w:cs="仿宋"/>
          <w:b/>
          <w:iCs/>
          <w:color w:val="auto"/>
          <w:sz w:val="24"/>
          <w:szCs w:val="24"/>
          <w:highlight w:val="none"/>
        </w:rPr>
        <w:sectPr>
          <w:footerReference w:type="default" r:id="rId12"/>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仿宋" w:hAnsi="仿宋" w:eastAsia="仿宋" w:cs="仿宋"/>
          <w:b/>
          <w:iCs/>
          <w:color w:val="auto"/>
          <w:sz w:val="24"/>
          <w:szCs w:val="24"/>
          <w:highlight w:val="none"/>
        </w:rPr>
      </w:r>
      <w:r/>
    </w:p>
    <w:p>
      <w:pPr>
        <w:pStyle w:val="822"/>
        <w:jc w:val="center"/>
        <w:rPr>
          <w:rFonts w:hint="eastAsia" w:ascii="仿宋" w:hAnsi="仿宋" w:eastAsia="仿宋" w:cs="仿宋"/>
          <w:b/>
          <w:bCs/>
          <w:color w:val="auto"/>
          <w:sz w:val="30"/>
          <w:szCs w:val="30"/>
          <w:highlight w:val="none"/>
        </w:rPr>
        <w:outlineLvl w:val="1"/>
      </w:pPr>
      <w:r/>
      <w:bookmarkStart w:id="48" w:name="_Toc23293"/>
      <w:r>
        <w:rPr>
          <w:rFonts w:hint="eastAsia" w:ascii="仿宋" w:hAnsi="仿宋" w:eastAsia="仿宋" w:cs="仿宋"/>
          <w:b/>
          <w:bCs/>
          <w:color w:val="auto"/>
          <w:sz w:val="30"/>
          <w:szCs w:val="30"/>
          <w:highlight w:val="none"/>
        </w:rPr>
        <w:t xml:space="preserve">四、主要材料（设备）一览表</w:t>
      </w:r>
      <w:bookmarkEnd w:id="48"/>
      <w:r/>
      <w:r/>
    </w:p>
    <w:tbl>
      <w:tblPr>
        <w:tblStyle w:val="809"/>
        <w:tblpPr w:horzAnchor="page" w:tblpX="984" w:vertAnchor="text" w:tblpY="1155" w:leftFromText="180" w:topFromText="0" w:rightFromText="180" w:bottomFromText="0"/>
        <w:tblW w:w="982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45"/>
        <w:gridCol w:w="1050"/>
        <w:gridCol w:w="2038"/>
        <w:gridCol w:w="765"/>
        <w:gridCol w:w="1330"/>
        <w:gridCol w:w="2138"/>
        <w:gridCol w:w="934"/>
        <w:gridCol w:w="1021"/>
      </w:tblGrid>
      <w:tr>
        <w:trPr>
          <w:trHeight w:val="583"/>
        </w:trPr>
        <w:tc>
          <w:tcPr>
            <w:tcMar>
              <w:left w:w="15" w:type="dxa"/>
              <w:top w:w="15" w:type="dxa"/>
              <w:right w:w="15" w:type="dxa"/>
              <w:bottom w:w="0" w:type="dxa"/>
            </w:tcMar>
            <w:tcW w:w="545" w:type="dxa"/>
            <w:vAlign w:val="center"/>
            <w:textDirection w:val="lrTb"/>
            <w:noWrap w:val="false"/>
          </w:tcPr>
          <w:p>
            <w:pPr>
              <w:pStyle w:val="822"/>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Mar>
              <w:left w:w="15" w:type="dxa"/>
              <w:top w:w="15" w:type="dxa"/>
              <w:right w:w="15" w:type="dxa"/>
              <w:bottom w:w="0" w:type="dxa"/>
            </w:tcMar>
            <w:tcW w:w="1050" w:type="dxa"/>
            <w:vAlign w:val="center"/>
            <w:textDirection w:val="lrTb"/>
            <w:noWrap w:val="false"/>
          </w:tcPr>
          <w:p>
            <w:pPr>
              <w:pStyle w:val="822"/>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材料编码</w:t>
            </w:r>
            <w:r/>
          </w:p>
        </w:tc>
        <w:tc>
          <w:tcPr>
            <w:tcMar>
              <w:left w:w="15" w:type="dxa"/>
              <w:top w:w="15" w:type="dxa"/>
              <w:right w:w="15" w:type="dxa"/>
              <w:bottom w:w="0" w:type="dxa"/>
            </w:tcMar>
            <w:tcW w:w="2038" w:type="dxa"/>
            <w:vAlign w:val="center"/>
            <w:textDirection w:val="lrTb"/>
            <w:noWrap w:val="false"/>
          </w:tcPr>
          <w:p>
            <w:pPr>
              <w:pStyle w:val="822"/>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材料（设备）名称</w:t>
            </w:r>
            <w:r/>
          </w:p>
        </w:tc>
        <w:tc>
          <w:tcPr>
            <w:tcMar>
              <w:left w:w="15" w:type="dxa"/>
              <w:top w:w="15" w:type="dxa"/>
              <w:right w:w="15" w:type="dxa"/>
              <w:bottom w:w="0" w:type="dxa"/>
            </w:tcMar>
            <w:tcW w:w="765" w:type="dxa"/>
            <w:vAlign w:val="center"/>
            <w:textDirection w:val="lrTb"/>
            <w:noWrap w:val="false"/>
          </w:tcPr>
          <w:p>
            <w:pPr>
              <w:pStyle w:val="822"/>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品牌</w:t>
            </w:r>
            <w:r/>
          </w:p>
        </w:tc>
        <w:tc>
          <w:tcPr>
            <w:tcMar>
              <w:left w:w="15" w:type="dxa"/>
              <w:top w:w="15" w:type="dxa"/>
              <w:right w:w="15" w:type="dxa"/>
              <w:bottom w:w="0" w:type="dxa"/>
            </w:tcMar>
            <w:tcW w:w="1330" w:type="dxa"/>
            <w:vAlign w:val="center"/>
            <w:textDirection w:val="lrTb"/>
            <w:noWrap w:val="false"/>
          </w:tcPr>
          <w:p>
            <w:pPr>
              <w:pStyle w:val="822"/>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规格、型号</w:t>
            </w:r>
            <w:r/>
          </w:p>
        </w:tc>
        <w:tc>
          <w:tcPr>
            <w:tcMar>
              <w:left w:w="15" w:type="dxa"/>
              <w:top w:w="15" w:type="dxa"/>
              <w:right w:w="15" w:type="dxa"/>
              <w:bottom w:w="0" w:type="dxa"/>
            </w:tcMar>
            <w:tcW w:w="2138" w:type="dxa"/>
            <w:vAlign w:val="center"/>
            <w:textDirection w:val="lrTb"/>
            <w:noWrap w:val="false"/>
          </w:tcPr>
          <w:p>
            <w:pPr>
              <w:pStyle w:val="822"/>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产品制造企业名称</w:t>
            </w:r>
            <w:r/>
          </w:p>
        </w:tc>
        <w:tc>
          <w:tcPr>
            <w:tcMar>
              <w:left w:w="15" w:type="dxa"/>
              <w:top w:w="15" w:type="dxa"/>
              <w:right w:w="15" w:type="dxa"/>
              <w:bottom w:w="0" w:type="dxa"/>
            </w:tcMar>
            <w:tcW w:w="934" w:type="dxa"/>
            <w:vAlign w:val="center"/>
            <w:textDirection w:val="lrTb"/>
            <w:noWrap w:val="false"/>
          </w:tcPr>
          <w:p>
            <w:pPr>
              <w:pStyle w:val="822"/>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单位</w:t>
            </w:r>
            <w:r/>
          </w:p>
        </w:tc>
        <w:tc>
          <w:tcPr>
            <w:tcMar>
              <w:left w:w="15" w:type="dxa"/>
              <w:top w:w="15" w:type="dxa"/>
              <w:right w:w="15" w:type="dxa"/>
              <w:bottom w:w="0" w:type="dxa"/>
            </w:tcMar>
            <w:tcW w:w="1021" w:type="dxa"/>
            <w:vAlign w:val="center"/>
            <w:textDirection w:val="lrTb"/>
            <w:noWrap w:val="false"/>
          </w:tcPr>
          <w:p>
            <w:pPr>
              <w:pStyle w:val="822"/>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trHeight w:val="300"/>
        </w:trPr>
        <w:tc>
          <w:tcPr>
            <w:tcMar>
              <w:left w:w="15" w:type="dxa"/>
              <w:top w:w="15" w:type="dxa"/>
              <w:right w:w="15" w:type="dxa"/>
              <w:bottom w:w="0" w:type="dxa"/>
            </w:tcMar>
            <w:tcW w:w="545" w:type="dxa"/>
            <w:vAlign w:val="bottom"/>
            <w:textDirection w:val="lrTb"/>
            <w:noWrap w:val="false"/>
          </w:tcPr>
          <w:p>
            <w:pPr>
              <w:pStyle w:val="822"/>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Mar>
              <w:left w:w="15" w:type="dxa"/>
              <w:top w:w="15" w:type="dxa"/>
              <w:right w:w="15" w:type="dxa"/>
              <w:bottom w:w="0" w:type="dxa"/>
            </w:tcMar>
            <w:tcW w:w="1050" w:type="dxa"/>
            <w:vAlign w:val="bottom"/>
            <w:textDirection w:val="lrTb"/>
            <w:noWrap w:val="false"/>
          </w:tcPr>
          <w:p>
            <w:pPr>
              <w:pStyle w:val="822"/>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2038" w:type="dxa"/>
            <w:vAlign w:val="bottom"/>
            <w:textDirection w:val="lrTb"/>
            <w:noWrap w:val="false"/>
          </w:tcPr>
          <w:p>
            <w:pPr>
              <w:pStyle w:val="822"/>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765" w:type="dxa"/>
            <w:textDirection w:val="lrTb"/>
            <w:noWrap w:val="false"/>
          </w:tcPr>
          <w:p>
            <w:pPr>
              <w:pStyle w:val="822"/>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1330" w:type="dxa"/>
            <w:vAlign w:val="bottom"/>
            <w:textDirection w:val="lrTb"/>
            <w:noWrap w:val="false"/>
          </w:tcPr>
          <w:p>
            <w:pPr>
              <w:pStyle w:val="822"/>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2138" w:type="dxa"/>
            <w:textDirection w:val="lrTb"/>
            <w:noWrap w:val="false"/>
          </w:tcPr>
          <w:p>
            <w:pPr>
              <w:pStyle w:val="822"/>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934" w:type="dxa"/>
            <w:vAlign w:val="bottom"/>
            <w:textDirection w:val="lrTb"/>
            <w:noWrap w:val="false"/>
          </w:tcPr>
          <w:p>
            <w:pPr>
              <w:pStyle w:val="822"/>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1021" w:type="dxa"/>
            <w:vAlign w:val="bottom"/>
            <w:textDirection w:val="lrTb"/>
            <w:noWrap w:val="false"/>
          </w:tcPr>
          <w:p>
            <w:pPr>
              <w:pStyle w:val="822"/>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214"/>
        </w:trPr>
        <w:tc>
          <w:tcPr>
            <w:tcMar>
              <w:left w:w="15" w:type="dxa"/>
              <w:top w:w="15" w:type="dxa"/>
              <w:right w:w="15" w:type="dxa"/>
              <w:bottom w:w="0" w:type="dxa"/>
            </w:tcMar>
            <w:tcW w:w="545" w:type="dxa"/>
            <w:vAlign w:val="bottom"/>
            <w:textDirection w:val="lrTb"/>
            <w:noWrap w:val="false"/>
          </w:tcPr>
          <w:p>
            <w:pPr>
              <w:pStyle w:val="822"/>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p>
        </w:tc>
        <w:tc>
          <w:tcPr>
            <w:tcMar>
              <w:left w:w="15" w:type="dxa"/>
              <w:top w:w="15" w:type="dxa"/>
              <w:right w:w="15" w:type="dxa"/>
              <w:bottom w:w="0" w:type="dxa"/>
            </w:tcMar>
            <w:tcW w:w="1050" w:type="dxa"/>
            <w:vAlign w:val="bottom"/>
            <w:textDirection w:val="lrTb"/>
            <w:noWrap w:val="false"/>
          </w:tcPr>
          <w:p>
            <w:pPr>
              <w:pStyle w:val="822"/>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2038" w:type="dxa"/>
            <w:vAlign w:val="bottom"/>
            <w:textDirection w:val="lrTb"/>
            <w:noWrap w:val="false"/>
          </w:tcPr>
          <w:p>
            <w:pPr>
              <w:pStyle w:val="822"/>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765" w:type="dxa"/>
            <w:textDirection w:val="lrTb"/>
            <w:noWrap w:val="false"/>
          </w:tcPr>
          <w:p>
            <w:pPr>
              <w:pStyle w:val="822"/>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1330" w:type="dxa"/>
            <w:vAlign w:val="bottom"/>
            <w:textDirection w:val="lrTb"/>
            <w:noWrap w:val="false"/>
          </w:tcPr>
          <w:p>
            <w:pPr>
              <w:pStyle w:val="822"/>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2138" w:type="dxa"/>
            <w:textDirection w:val="lrTb"/>
            <w:noWrap w:val="false"/>
          </w:tcPr>
          <w:p>
            <w:pPr>
              <w:pStyle w:val="822"/>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934" w:type="dxa"/>
            <w:vAlign w:val="bottom"/>
            <w:textDirection w:val="lrTb"/>
            <w:noWrap w:val="false"/>
          </w:tcPr>
          <w:p>
            <w:pPr>
              <w:pStyle w:val="822"/>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1021" w:type="dxa"/>
            <w:vAlign w:val="bottom"/>
            <w:textDirection w:val="lrTb"/>
            <w:noWrap w:val="false"/>
          </w:tcPr>
          <w:p>
            <w:pPr>
              <w:pStyle w:val="822"/>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214"/>
        </w:trPr>
        <w:tc>
          <w:tcPr>
            <w:tcMar>
              <w:left w:w="15" w:type="dxa"/>
              <w:top w:w="15" w:type="dxa"/>
              <w:right w:w="15" w:type="dxa"/>
              <w:bottom w:w="0" w:type="dxa"/>
            </w:tcMar>
            <w:tcW w:w="545" w:type="dxa"/>
            <w:vAlign w:val="bottom"/>
            <w:textDirection w:val="lrTb"/>
            <w:noWrap w:val="false"/>
          </w:tcPr>
          <w:p>
            <w:pPr>
              <w:pStyle w:val="822"/>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p>
        </w:tc>
        <w:tc>
          <w:tcPr>
            <w:tcMar>
              <w:left w:w="15" w:type="dxa"/>
              <w:top w:w="15" w:type="dxa"/>
              <w:right w:w="15" w:type="dxa"/>
              <w:bottom w:w="0" w:type="dxa"/>
            </w:tcMar>
            <w:tcW w:w="1050" w:type="dxa"/>
            <w:vAlign w:val="bottom"/>
            <w:textDirection w:val="lrTb"/>
            <w:noWrap w:val="false"/>
          </w:tcPr>
          <w:p>
            <w:pPr>
              <w:pStyle w:val="822"/>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2038" w:type="dxa"/>
            <w:vAlign w:val="bottom"/>
            <w:textDirection w:val="lrTb"/>
            <w:noWrap w:val="false"/>
          </w:tcPr>
          <w:p>
            <w:pPr>
              <w:pStyle w:val="822"/>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765" w:type="dxa"/>
            <w:textDirection w:val="lrTb"/>
            <w:noWrap w:val="false"/>
          </w:tcPr>
          <w:p>
            <w:pPr>
              <w:pStyle w:val="822"/>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1330" w:type="dxa"/>
            <w:vAlign w:val="bottom"/>
            <w:textDirection w:val="lrTb"/>
            <w:noWrap w:val="false"/>
          </w:tcPr>
          <w:p>
            <w:pPr>
              <w:pStyle w:val="822"/>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2138" w:type="dxa"/>
            <w:textDirection w:val="lrTb"/>
            <w:noWrap w:val="false"/>
          </w:tcPr>
          <w:p>
            <w:pPr>
              <w:pStyle w:val="822"/>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934" w:type="dxa"/>
            <w:vAlign w:val="bottom"/>
            <w:textDirection w:val="lrTb"/>
            <w:noWrap w:val="false"/>
          </w:tcPr>
          <w:p>
            <w:pPr>
              <w:pStyle w:val="822"/>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1021" w:type="dxa"/>
            <w:vAlign w:val="bottom"/>
            <w:textDirection w:val="lrTb"/>
            <w:noWrap w:val="false"/>
          </w:tcPr>
          <w:p>
            <w:pPr>
              <w:pStyle w:val="822"/>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322"/>
        </w:trPr>
        <w:tc>
          <w:tcPr>
            <w:tcMar>
              <w:left w:w="15" w:type="dxa"/>
              <w:top w:w="15" w:type="dxa"/>
              <w:right w:w="15" w:type="dxa"/>
              <w:bottom w:w="0" w:type="dxa"/>
            </w:tcMar>
            <w:tcW w:w="545" w:type="dxa"/>
            <w:vAlign w:val="bottom"/>
            <w:textDirection w:val="lrTb"/>
            <w:noWrap w:val="false"/>
          </w:tcPr>
          <w:p>
            <w:pPr>
              <w:pStyle w:val="822"/>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p>
        </w:tc>
        <w:tc>
          <w:tcPr>
            <w:tcMar>
              <w:left w:w="15" w:type="dxa"/>
              <w:top w:w="15" w:type="dxa"/>
              <w:right w:w="15" w:type="dxa"/>
              <w:bottom w:w="0" w:type="dxa"/>
            </w:tcMar>
            <w:tcW w:w="1050" w:type="dxa"/>
            <w:vAlign w:val="bottom"/>
            <w:textDirection w:val="lrTb"/>
            <w:noWrap w:val="false"/>
          </w:tcPr>
          <w:p>
            <w:pPr>
              <w:pStyle w:val="822"/>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2038" w:type="dxa"/>
            <w:vAlign w:val="bottom"/>
            <w:textDirection w:val="lrTb"/>
            <w:noWrap w:val="false"/>
          </w:tcPr>
          <w:p>
            <w:pPr>
              <w:pStyle w:val="822"/>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765" w:type="dxa"/>
            <w:textDirection w:val="lrTb"/>
            <w:noWrap w:val="false"/>
          </w:tcPr>
          <w:p>
            <w:pPr>
              <w:pStyle w:val="822"/>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1330" w:type="dxa"/>
            <w:vAlign w:val="bottom"/>
            <w:textDirection w:val="lrTb"/>
            <w:noWrap w:val="false"/>
          </w:tcPr>
          <w:p>
            <w:pPr>
              <w:pStyle w:val="822"/>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2138" w:type="dxa"/>
            <w:textDirection w:val="lrTb"/>
            <w:noWrap w:val="false"/>
          </w:tcPr>
          <w:p>
            <w:pPr>
              <w:pStyle w:val="822"/>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934" w:type="dxa"/>
            <w:vAlign w:val="bottom"/>
            <w:textDirection w:val="lrTb"/>
            <w:noWrap w:val="false"/>
          </w:tcPr>
          <w:p>
            <w:pPr>
              <w:pStyle w:val="822"/>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1021" w:type="dxa"/>
            <w:vAlign w:val="bottom"/>
            <w:textDirection w:val="lrTb"/>
            <w:noWrap w:val="false"/>
          </w:tcPr>
          <w:p>
            <w:pPr>
              <w:pStyle w:val="822"/>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285"/>
        </w:trPr>
        <w:tc>
          <w:tcPr>
            <w:tcMar>
              <w:left w:w="15" w:type="dxa"/>
              <w:top w:w="15" w:type="dxa"/>
              <w:right w:w="15" w:type="dxa"/>
              <w:bottom w:w="0" w:type="dxa"/>
            </w:tcMar>
            <w:tcW w:w="545" w:type="dxa"/>
            <w:vAlign w:val="bottom"/>
            <w:textDirection w:val="lrTb"/>
            <w:noWrap w:val="false"/>
          </w:tcPr>
          <w:p>
            <w:pPr>
              <w:pStyle w:val="822"/>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p>
        </w:tc>
        <w:tc>
          <w:tcPr>
            <w:tcMar>
              <w:left w:w="15" w:type="dxa"/>
              <w:top w:w="15" w:type="dxa"/>
              <w:right w:w="15" w:type="dxa"/>
              <w:bottom w:w="0" w:type="dxa"/>
            </w:tcMar>
            <w:tcW w:w="1050" w:type="dxa"/>
            <w:vAlign w:val="bottom"/>
            <w:textDirection w:val="lrTb"/>
            <w:noWrap w:val="false"/>
          </w:tcPr>
          <w:p>
            <w:pPr>
              <w:pStyle w:val="822"/>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2038" w:type="dxa"/>
            <w:vAlign w:val="bottom"/>
            <w:textDirection w:val="lrTb"/>
            <w:noWrap w:val="false"/>
          </w:tcPr>
          <w:p>
            <w:pPr>
              <w:pStyle w:val="822"/>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765" w:type="dxa"/>
            <w:textDirection w:val="lrTb"/>
            <w:noWrap w:val="false"/>
          </w:tcPr>
          <w:p>
            <w:pPr>
              <w:pStyle w:val="822"/>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1330" w:type="dxa"/>
            <w:vAlign w:val="bottom"/>
            <w:textDirection w:val="lrTb"/>
            <w:noWrap w:val="false"/>
          </w:tcPr>
          <w:p>
            <w:pPr>
              <w:pStyle w:val="822"/>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2138" w:type="dxa"/>
            <w:textDirection w:val="lrTb"/>
            <w:noWrap w:val="false"/>
          </w:tcPr>
          <w:p>
            <w:pPr>
              <w:pStyle w:val="822"/>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934" w:type="dxa"/>
            <w:vAlign w:val="bottom"/>
            <w:textDirection w:val="lrTb"/>
            <w:noWrap w:val="false"/>
          </w:tcPr>
          <w:p>
            <w:pPr>
              <w:pStyle w:val="822"/>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1021" w:type="dxa"/>
            <w:vAlign w:val="bottom"/>
            <w:textDirection w:val="lrTb"/>
            <w:noWrap w:val="false"/>
          </w:tcPr>
          <w:p>
            <w:pPr>
              <w:pStyle w:val="822"/>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285"/>
        </w:trPr>
        <w:tc>
          <w:tcPr>
            <w:tcMar>
              <w:left w:w="15" w:type="dxa"/>
              <w:top w:w="15" w:type="dxa"/>
              <w:right w:w="15" w:type="dxa"/>
              <w:bottom w:w="0" w:type="dxa"/>
            </w:tcMar>
            <w:tcW w:w="545" w:type="dxa"/>
            <w:vAlign w:val="bottom"/>
            <w:textDirection w:val="lrTb"/>
            <w:noWrap w:val="false"/>
          </w:tcPr>
          <w:p>
            <w:pPr>
              <w:pStyle w:val="822"/>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w:t>
            </w:r>
            <w:r/>
          </w:p>
        </w:tc>
        <w:tc>
          <w:tcPr>
            <w:tcMar>
              <w:left w:w="15" w:type="dxa"/>
              <w:top w:w="15" w:type="dxa"/>
              <w:right w:w="15" w:type="dxa"/>
              <w:bottom w:w="0" w:type="dxa"/>
            </w:tcMar>
            <w:tcW w:w="1050" w:type="dxa"/>
            <w:vAlign w:val="bottom"/>
            <w:textDirection w:val="lrTb"/>
            <w:noWrap w:val="false"/>
          </w:tcPr>
          <w:p>
            <w:pPr>
              <w:pStyle w:val="822"/>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2038" w:type="dxa"/>
            <w:vAlign w:val="bottom"/>
            <w:textDirection w:val="lrTb"/>
            <w:noWrap w:val="false"/>
          </w:tcPr>
          <w:p>
            <w:pPr>
              <w:pStyle w:val="822"/>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765" w:type="dxa"/>
            <w:textDirection w:val="lrTb"/>
            <w:noWrap w:val="false"/>
          </w:tcPr>
          <w:p>
            <w:pPr>
              <w:pStyle w:val="822"/>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1330" w:type="dxa"/>
            <w:vAlign w:val="bottom"/>
            <w:textDirection w:val="lrTb"/>
            <w:noWrap w:val="false"/>
          </w:tcPr>
          <w:p>
            <w:pPr>
              <w:pStyle w:val="822"/>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2138" w:type="dxa"/>
            <w:textDirection w:val="lrTb"/>
            <w:noWrap w:val="false"/>
          </w:tcPr>
          <w:p>
            <w:pPr>
              <w:pStyle w:val="822"/>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934" w:type="dxa"/>
            <w:vAlign w:val="bottom"/>
            <w:textDirection w:val="lrTb"/>
            <w:noWrap w:val="false"/>
          </w:tcPr>
          <w:p>
            <w:pPr>
              <w:pStyle w:val="822"/>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1021" w:type="dxa"/>
            <w:vAlign w:val="bottom"/>
            <w:textDirection w:val="lrTb"/>
            <w:noWrap w:val="false"/>
          </w:tcPr>
          <w:p>
            <w:pPr>
              <w:pStyle w:val="822"/>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pStyle w:val="822"/>
        <w:jc w:val="left"/>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22"/>
        <w:jc w:val="left"/>
        <w:spacing w:line="0" w:lineRule="atLeas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项目名称：</w:t>
      </w:r>
      <w:r>
        <w:rPr>
          <w:rStyle w:val="1097"/>
          <w:rFonts w:hint="eastAsia" w:ascii="仿宋" w:hAnsi="仿宋" w:eastAsia="仿宋" w:cs="仿宋"/>
          <w:color w:val="auto"/>
          <w:highlight w:val="none"/>
          <w:lang w:eastAsia="zh-CN"/>
        </w:rPr>
        <w:t xml:space="preserve">黄河东片区道路雨污分流路面修复工程项目</w:t>
      </w:r>
      <w:r/>
    </w:p>
    <w:p>
      <w:pPr>
        <w:pStyle w:val="822"/>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项目编号：</w:t>
      </w:r>
      <w:r>
        <w:rPr>
          <w:rFonts w:hint="eastAsia" w:ascii="仿宋" w:hAnsi="仿宋" w:eastAsia="仿宋" w:cs="仿宋"/>
          <w:color w:val="auto"/>
          <w:sz w:val="24"/>
          <w:highlight w:val="none"/>
          <w:lang w:eastAsia="zh-CN"/>
        </w:rPr>
        <w:t xml:space="preserve">JSZC-320302-JSSZ-C2026-0052</w:t>
      </w:r>
      <w:r/>
    </w:p>
    <w:p>
      <w:pPr>
        <w:pStyle w:val="82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22"/>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22"/>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w:t>
      </w:r>
      <w:r>
        <w:rPr>
          <w:rFonts w:hint="eastAsia" w:ascii="仿宋" w:hAnsi="仿宋" w:eastAsia="仿宋" w:cs="仿宋"/>
          <w:color w:val="auto"/>
          <w:sz w:val="24"/>
          <w:highlight w:val="none"/>
        </w:rPr>
        <w:t xml:space="preserve">电子签章</w:t>
      </w:r>
      <w:r>
        <w:rPr>
          <w:rFonts w:hint="eastAsia" w:ascii="仿宋" w:hAnsi="仿宋" w:eastAsia="仿宋" w:cs="仿宋"/>
          <w:color w:val="auto"/>
          <w:sz w:val="24"/>
          <w:szCs w:val="24"/>
          <w:highlight w:val="none"/>
        </w:rPr>
        <w:t xml:space="preserve">）：</w:t>
      </w:r>
      <w:r/>
    </w:p>
    <w:p>
      <w:pPr>
        <w:pStyle w:val="822"/>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w:t>
      </w:r>
      <w:r/>
    </w:p>
    <w:p>
      <w:pPr>
        <w:pStyle w:val="822"/>
        <w:spacing w:line="52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pStyle w:val="822"/>
        <w:spacing w:line="52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注：1、如果不提供《主要材料（设备）一览表》将视为没有实质性响应。</w:t>
      </w:r>
      <w:r/>
    </w:p>
    <w:p>
      <w:pPr>
        <w:pStyle w:val="822"/>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2、响应供应商对以上数据的真实性负责。</w:t>
      </w:r>
      <w:r/>
    </w:p>
    <w:p>
      <w:pP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p>
      <w:pP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p>
      <w:pP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p>
      <w:pPr>
        <w:jc w:val="center"/>
        <w:rPr>
          <w:rFonts w:hint="eastAsia" w:ascii="仿宋" w:hAnsi="仿宋" w:eastAsia="仿宋" w:cs="仿宋"/>
          <w:b/>
          <w:bCs/>
          <w:color w:val="auto"/>
          <w:sz w:val="24"/>
          <w:highlight w:val="none"/>
          <w:u w:val="single"/>
        </w:rPr>
      </w:pPr>
      <w:r>
        <w:rPr>
          <w:rFonts w:hint="eastAsia" w:ascii="仿宋" w:hAnsi="仿宋" w:eastAsia="仿宋" w:cs="仿宋"/>
          <w:b/>
          <w:bCs/>
          <w:color w:val="auto"/>
          <w:sz w:val="24"/>
          <w:highlight w:val="none"/>
          <w:u w:val="single"/>
        </w:rPr>
        <w:t xml:space="preserve">采购人或采购代理机构有权将以上内容进行公示。</w:t>
      </w:r>
      <w:r/>
    </w:p>
    <w:p>
      <w:pPr>
        <w:rPr>
          <w:rStyle w:val="1097"/>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br w:type="page" w:clear="all"/>
      </w:r>
      <w:r/>
    </w:p>
    <w:p>
      <w:pPr>
        <w:jc w:val="center"/>
        <w:spacing w:line="360" w:lineRule="auto"/>
        <w:rPr>
          <w:rFonts w:hint="eastAsia" w:ascii="仿宋" w:hAnsi="仿宋" w:eastAsia="仿宋" w:cs="仿宋"/>
          <w:b/>
          <w:color w:val="auto"/>
          <w:sz w:val="28"/>
          <w:szCs w:val="28"/>
          <w:highlight w:val="none"/>
        </w:rPr>
        <w:outlineLvl w:val="1"/>
      </w:pPr>
      <w:r/>
      <w:bookmarkStart w:id="49" w:name="_Toc17932"/>
      <w:r>
        <w:rPr>
          <w:rFonts w:hint="eastAsia" w:ascii="仿宋" w:hAnsi="仿宋" w:eastAsia="仿宋" w:cs="仿宋"/>
          <w:b/>
          <w:color w:val="auto"/>
          <w:sz w:val="28"/>
          <w:szCs w:val="28"/>
          <w:highlight w:val="none"/>
        </w:rPr>
        <w:t xml:space="preserve">五、</w:t>
      </w:r>
      <w:bookmarkEnd w:id="42"/>
      <w:r/>
      <w:bookmarkEnd w:id="43"/>
      <w:r/>
      <w:bookmarkEnd w:id="44"/>
      <w:r>
        <w:rPr>
          <w:rFonts w:hint="eastAsia" w:ascii="仿宋" w:hAnsi="仿宋" w:eastAsia="仿宋" w:cs="仿宋"/>
          <w:b/>
          <w:color w:val="auto"/>
          <w:sz w:val="28"/>
          <w:szCs w:val="28"/>
          <w:highlight w:val="none"/>
        </w:rPr>
        <w:t xml:space="preserve">无在建承诺书</w:t>
      </w:r>
      <w:bookmarkEnd w:id="49"/>
      <w:r/>
      <w:r/>
    </w:p>
    <w:p>
      <w:pPr>
        <w:spacing w:line="4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致</w:t>
      </w:r>
      <w:r>
        <w:rPr>
          <w:rFonts w:hint="eastAsia" w:ascii="仿宋" w:hAnsi="仿宋" w:eastAsia="仿宋" w:cs="仿宋"/>
          <w:color w:val="auto"/>
          <w:sz w:val="24"/>
          <w:szCs w:val="24"/>
          <w:highlight w:val="none"/>
          <w:lang w:eastAsia="zh-CN"/>
        </w:rPr>
        <w:t xml:space="preserve">江苏苏咨工程咨询有限责任公司</w:t>
      </w:r>
      <w:r>
        <w:rPr>
          <w:rFonts w:hint="eastAsia" w:ascii="仿宋" w:hAnsi="仿宋" w:eastAsia="仿宋" w:cs="仿宋"/>
          <w:color w:val="auto"/>
          <w:sz w:val="24"/>
          <w:szCs w:val="24"/>
          <w:highlight w:val="none"/>
        </w:rPr>
        <w:t xml:space="preserve">：</w:t>
      </w:r>
      <w:r/>
    </w:p>
    <w:p>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r>
      <w:r/>
    </w:p>
    <w:p>
      <w:pPr>
        <w:ind w:firstLine="40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（格式自拟）</w:t>
      </w:r>
      <w:r/>
    </w:p>
    <w:p>
      <w:pPr>
        <w:ind w:firstLine="40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0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0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w:t>
      </w:r>
      <w:r>
        <w:rPr>
          <w:rStyle w:val="1097"/>
          <w:rFonts w:hint="eastAsia" w:ascii="仿宋" w:hAnsi="仿宋" w:eastAsia="仿宋" w:cs="仿宋"/>
          <w:color w:val="auto"/>
          <w:szCs w:val="24"/>
          <w:highlight w:val="none"/>
        </w:rPr>
        <w:t xml:space="preserve">电子签章</w:t>
      </w:r>
      <w:r>
        <w:rPr>
          <w:rFonts w:hint="eastAsia" w:ascii="仿宋" w:hAnsi="仿宋" w:eastAsia="仿宋" w:cs="仿宋"/>
          <w:color w:val="auto"/>
          <w:sz w:val="24"/>
          <w:szCs w:val="24"/>
          <w:highlight w:val="none"/>
        </w:rPr>
        <w:t xml:space="preserve">）</w:t>
      </w:r>
      <w:r/>
    </w:p>
    <w:p>
      <w:pPr>
        <w:ind w:firstLine="40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年   月    日</w:t>
      </w:r>
      <w:r/>
    </w:p>
    <w:p>
      <w:pPr>
        <w:pStyle w:val="829"/>
        <w:ind w:firstLine="480"/>
        <w:spacing w:after="0" w:line="360" w:lineRule="auto"/>
        <w:widowControl w:val="off"/>
        <w:rPr>
          <w:rFonts w:hint="eastAsia" w:ascii="仿宋" w:hAnsi="仿宋" w:eastAsia="仿宋" w:cs="仿宋"/>
          <w:b/>
          <w:i/>
          <w:color w:val="auto"/>
          <w:sz w:val="24"/>
          <w:szCs w:val="24"/>
          <w:highlight w:val="none"/>
          <w:u w:val="single"/>
        </w:rPr>
      </w:pPr>
      <w:r>
        <w:rPr>
          <w:rFonts w:hint="eastAsia" w:ascii="仿宋" w:hAnsi="仿宋" w:eastAsia="仿宋" w:cs="仿宋"/>
          <w:b/>
          <w:i/>
          <w:color w:val="auto"/>
          <w:sz w:val="24"/>
          <w:szCs w:val="24"/>
          <w:highlight w:val="none"/>
          <w:u w:val="single"/>
        </w:rPr>
      </w:r>
      <w:r/>
    </w:p>
    <w:p>
      <w:pPr>
        <w:pStyle w:val="822"/>
        <w:ind w:firstLine="482"/>
        <w:jc w:val="left"/>
        <w:spacing w:line="360" w:lineRule="auto"/>
        <w:widowControl w:val="off"/>
        <w:tabs>
          <w:tab w:val="center" w:pos="4200" w:leader="none"/>
        </w:tabs>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pStyle w:val="822"/>
        <w:jc w:val="center"/>
        <w:spacing w:line="360" w:lineRule="auto"/>
        <w:widowControl w:val="off"/>
        <w:rPr>
          <w:rStyle w:val="1097"/>
          <w:rFonts w:hint="eastAsia" w:ascii="仿宋" w:hAnsi="仿宋" w:eastAsia="仿宋" w:cs="仿宋"/>
          <w:color w:val="auto"/>
          <w:highlight w:val="none"/>
        </w:rPr>
        <w:outlineLvl w:val="1"/>
      </w:pPr>
      <w:r>
        <w:rPr>
          <w:rFonts w:hint="eastAsia" w:ascii="仿宋" w:hAnsi="仿宋" w:eastAsia="仿宋" w:cs="仿宋"/>
          <w:color w:val="auto"/>
          <w:highlight w:val="none"/>
        </w:rPr>
        <w:br w:type="page" w:clear="all"/>
      </w:r>
      <w:bookmarkStart w:id="50" w:name="_Toc32621"/>
      <w:r/>
      <w:bookmarkStart w:id="51" w:name="_Toc9364"/>
      <w:r/>
      <w:bookmarkStart w:id="52" w:name="_Toc80122305"/>
      <w:r/>
      <w:bookmarkStart w:id="53" w:name="_Toc29724"/>
      <w:r>
        <w:rPr>
          <w:rStyle w:val="1097"/>
          <w:rFonts w:hint="eastAsia" w:ascii="仿宋" w:hAnsi="仿宋" w:eastAsia="仿宋" w:cs="仿宋"/>
          <w:b/>
          <w:bCs/>
          <w:color w:val="auto"/>
          <w:sz w:val="28"/>
          <w:szCs w:val="32"/>
          <w:highlight w:val="none"/>
        </w:rPr>
        <w:t xml:space="preserve">六、偏离表</w:t>
      </w:r>
      <w:bookmarkEnd w:id="50"/>
      <w:r/>
      <w:bookmarkEnd w:id="51"/>
      <w:r/>
      <w:bookmarkEnd w:id="52"/>
      <w:r/>
      <w:bookmarkEnd w:id="53"/>
      <w:r/>
      <w:r/>
    </w:p>
    <w:p>
      <w:pPr>
        <w:pStyle w:val="822"/>
        <w:jc w:val="left"/>
        <w:spacing w:line="360" w:lineRule="auto"/>
        <w:widowControl w:val="off"/>
        <w:rPr>
          <w:rStyle w:val="1097"/>
          <w:rFonts w:hint="eastAsia" w:ascii="仿宋" w:hAnsi="仿宋" w:eastAsia="仿宋" w:cs="仿宋"/>
          <w:color w:val="auto"/>
          <w:highlight w:val="none"/>
          <w:lang w:eastAsia="zh-CN"/>
        </w:rPr>
      </w:pPr>
      <w:r>
        <w:rPr>
          <w:rStyle w:val="1097"/>
          <w:rFonts w:hint="eastAsia" w:ascii="仿宋" w:hAnsi="仿宋" w:eastAsia="仿宋" w:cs="仿宋"/>
          <w:color w:val="auto"/>
          <w:highlight w:val="none"/>
        </w:rPr>
        <w:t xml:space="preserve">   项目名称：</w:t>
      </w:r>
      <w:r>
        <w:rPr>
          <w:rStyle w:val="1097"/>
          <w:rFonts w:hint="eastAsia" w:ascii="仿宋" w:hAnsi="仿宋" w:eastAsia="仿宋" w:cs="仿宋"/>
          <w:color w:val="auto"/>
          <w:highlight w:val="none"/>
          <w:lang w:eastAsia="zh-CN"/>
        </w:rPr>
        <w:t xml:space="preserve">黄河东片区道路雨污分流路面修复工程项目</w:t>
      </w:r>
      <w:r/>
    </w:p>
    <w:p>
      <w:pPr>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Style w:val="1097"/>
          <w:rFonts w:hint="eastAsia" w:ascii="仿宋" w:hAnsi="仿宋" w:eastAsia="仿宋" w:cs="仿宋"/>
          <w:color w:val="auto"/>
          <w:highlight w:val="none"/>
        </w:rPr>
        <w:t xml:space="preserve">   项目编号：</w:t>
      </w:r>
      <w:r>
        <w:rPr>
          <w:rFonts w:hint="eastAsia" w:ascii="仿宋" w:hAnsi="仿宋" w:eastAsia="仿宋" w:cs="仿宋"/>
          <w:color w:val="auto"/>
          <w:sz w:val="24"/>
          <w:highlight w:val="none"/>
          <w:lang w:eastAsia="zh-CN"/>
        </w:rPr>
        <w:t xml:space="preserve">JSZC-320302-JSSZ-C2026-0052</w:t>
      </w:r>
      <w:r>
        <w:rPr>
          <w:rFonts w:ascii="仿宋" w:hAnsi="仿宋" w:eastAsia="仿宋" w:cs="仿宋"/>
          <w:color w:val="auto"/>
          <w:sz w:val="24"/>
          <w:highlight w:val="none"/>
        </w:rPr>
        <w:t xml:space="preserve"> </w:t>
      </w:r>
      <w:r/>
    </w:p>
    <w:p>
      <w:pPr>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r>
      <w:r/>
    </w:p>
    <w:tbl>
      <w:tblPr>
        <w:tblStyle w:val="809"/>
        <w:tblW w:w="8928" w:type="dxa"/>
        <w:jc w:val="center"/>
        <w:tblLayout w:type="fixed"/>
        <w:tblCellMar>
          <w:left w:w="0" w:type="dxa"/>
          <w:top w:w="0" w:type="dxa"/>
          <w:right w:w="0" w:type="dxa"/>
          <w:bottom w:w="0" w:type="dxa"/>
        </w:tblCellMar>
        <w:tblLook w:val="04A0" w:firstRow="1" w:lastRow="0" w:firstColumn="1" w:lastColumn="0" w:noHBand="0" w:noVBand="1"/>
      </w:tblPr>
      <w:tblGrid>
        <w:gridCol w:w="828"/>
        <w:gridCol w:w="900"/>
        <w:gridCol w:w="2340"/>
        <w:gridCol w:w="1620"/>
        <w:gridCol w:w="1260"/>
        <w:gridCol w:w="1980"/>
      </w:tblGrid>
      <w:tr>
        <w:trPr>
          <w:jc w:val="center"/>
          <w:trHeight w:val="41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pStyle w:val="822"/>
              <w:jc w:val="center"/>
              <w:spacing w:line="360" w:lineRule="auto"/>
              <w:widowControl w:val="off"/>
              <w:rPr>
                <w:rStyle w:val="1097"/>
                <w:rFonts w:hint="eastAsia" w:ascii="仿宋" w:hAnsi="仿宋" w:eastAsia="仿宋" w:cs="仿宋"/>
                <w:caps/>
                <w:color w:val="auto"/>
                <w:highlight w:val="none"/>
              </w:rPr>
            </w:pPr>
            <w:r>
              <w:rPr>
                <w:rStyle w:val="1097"/>
                <w:rFonts w:hint="eastAsia" w:ascii="仿宋" w:hAnsi="仿宋" w:eastAsia="仿宋" w:cs="仿宋"/>
                <w:caps/>
                <w:color w:val="auto"/>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pStyle w:val="822"/>
              <w:jc w:val="center"/>
              <w:spacing w:line="360" w:lineRule="auto"/>
              <w:widowControl w:val="off"/>
              <w:rPr>
                <w:rStyle w:val="1097"/>
                <w:rFonts w:hint="eastAsia" w:ascii="仿宋" w:hAnsi="仿宋" w:eastAsia="仿宋" w:cs="仿宋"/>
                <w:caps/>
                <w:color w:val="auto"/>
                <w:highlight w:val="none"/>
              </w:rPr>
            </w:pPr>
            <w:r>
              <w:rPr>
                <w:rStyle w:val="1097"/>
                <w:rFonts w:hint="eastAsia" w:ascii="仿宋" w:hAnsi="仿宋" w:eastAsia="仿宋" w:cs="仿宋"/>
                <w:caps/>
                <w:color w:val="auto"/>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822"/>
              <w:jc w:val="center"/>
              <w:spacing w:line="360" w:lineRule="auto"/>
              <w:widowControl w:val="off"/>
              <w:rPr>
                <w:rStyle w:val="1097"/>
                <w:rFonts w:hint="eastAsia" w:ascii="仿宋" w:hAnsi="仿宋" w:eastAsia="仿宋" w:cs="仿宋"/>
                <w:caps/>
                <w:color w:val="auto"/>
                <w:highlight w:val="none"/>
              </w:rPr>
            </w:pPr>
            <w:r>
              <w:rPr>
                <w:rStyle w:val="1097"/>
                <w:rFonts w:hint="eastAsia" w:ascii="仿宋" w:hAnsi="仿宋" w:eastAsia="仿宋" w:cs="仿宋"/>
                <w:color w:val="auto"/>
                <w:highlight w:val="none"/>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822"/>
              <w:jc w:val="center"/>
              <w:spacing w:line="360" w:lineRule="auto"/>
              <w:widowControl w:val="off"/>
              <w:rPr>
                <w:rStyle w:val="1097"/>
                <w:rFonts w:hint="eastAsia" w:ascii="仿宋" w:hAnsi="仿宋" w:eastAsia="仿宋" w:cs="仿宋"/>
                <w:caps/>
                <w:color w:val="auto"/>
                <w:highlight w:val="none"/>
              </w:rPr>
            </w:pPr>
            <w:r>
              <w:rPr>
                <w:rStyle w:val="1097"/>
                <w:rFonts w:hint="eastAsia" w:ascii="仿宋" w:hAnsi="仿宋" w:eastAsia="仿宋" w:cs="仿宋"/>
                <w:color w:val="auto"/>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pStyle w:val="822"/>
              <w:jc w:val="center"/>
              <w:spacing w:line="360" w:lineRule="auto"/>
              <w:widowControl w:val="off"/>
              <w:rPr>
                <w:rStyle w:val="1097"/>
                <w:rFonts w:hint="eastAsia" w:ascii="仿宋" w:hAnsi="仿宋" w:eastAsia="仿宋" w:cs="仿宋"/>
                <w:caps/>
                <w:color w:val="auto"/>
                <w:highlight w:val="none"/>
              </w:rPr>
            </w:pPr>
            <w:r>
              <w:rPr>
                <w:rStyle w:val="1097"/>
                <w:rFonts w:hint="eastAsia" w:ascii="仿宋" w:hAnsi="仿宋" w:eastAsia="仿宋" w:cs="仿宋"/>
                <w:caps/>
                <w:color w:val="auto"/>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pStyle w:val="822"/>
              <w:jc w:val="center"/>
              <w:spacing w:line="360" w:lineRule="auto"/>
              <w:widowControl w:val="off"/>
              <w:rPr>
                <w:rStyle w:val="1097"/>
                <w:rFonts w:hint="eastAsia" w:ascii="仿宋" w:hAnsi="仿宋" w:eastAsia="仿宋" w:cs="仿宋"/>
                <w:caps/>
                <w:color w:val="auto"/>
                <w:highlight w:val="none"/>
              </w:rPr>
            </w:pPr>
            <w:r>
              <w:rPr>
                <w:rStyle w:val="1097"/>
                <w:rFonts w:hint="eastAsia" w:ascii="仿宋" w:hAnsi="仿宋" w:eastAsia="仿宋" w:cs="仿宋"/>
                <w:caps/>
                <w:color w:val="auto"/>
                <w:highlight w:val="none"/>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pStyle w:val="822"/>
              <w:jc w:val="center"/>
              <w:spacing w:line="360" w:lineRule="auto"/>
              <w:widowControl w:val="off"/>
              <w:rPr>
                <w:rStyle w:val="1097"/>
                <w:rFonts w:hint="eastAsia" w:ascii="仿宋" w:hAnsi="仿宋" w:eastAsia="仿宋" w:cs="仿宋"/>
                <w:caps/>
                <w:color w:val="auto"/>
                <w:highlight w:val="none"/>
              </w:rPr>
            </w:pPr>
            <w:r>
              <w:rPr>
                <w:rFonts w:hint="eastAsia" w:ascii="仿宋" w:hAnsi="仿宋" w:eastAsia="仿宋" w:cs="仿宋"/>
                <w:caps/>
                <w:color w:val="auto"/>
                <w:highlight w:val="none"/>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pStyle w:val="822"/>
              <w:jc w:val="center"/>
              <w:spacing w:line="360" w:lineRule="auto"/>
              <w:widowControl w:val="off"/>
              <w:rPr>
                <w:rStyle w:val="1097"/>
                <w:rFonts w:hint="eastAsia" w:ascii="仿宋" w:hAnsi="仿宋" w:eastAsia="仿宋" w:cs="仿宋"/>
                <w:caps/>
                <w:color w:val="auto"/>
                <w:highlight w:val="none"/>
              </w:rPr>
            </w:pPr>
            <w:r>
              <w:rPr>
                <w:rFonts w:hint="eastAsia" w:ascii="仿宋" w:hAnsi="仿宋" w:eastAsia="仿宋" w:cs="仿宋"/>
                <w:caps/>
                <w:color w:val="auto"/>
                <w:highlight w:val="none"/>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822"/>
              <w:jc w:val="center"/>
              <w:spacing w:line="360" w:lineRule="auto"/>
              <w:widowControl w:val="off"/>
              <w:rPr>
                <w:rStyle w:val="1097"/>
                <w:rFonts w:hint="eastAsia" w:ascii="仿宋" w:hAnsi="仿宋" w:eastAsia="仿宋" w:cs="仿宋"/>
                <w:caps/>
                <w:color w:val="auto"/>
                <w:highlight w:val="none"/>
              </w:rPr>
            </w:pPr>
            <w:r>
              <w:rPr>
                <w:rFonts w:hint="eastAsia" w:ascii="仿宋" w:hAnsi="仿宋" w:eastAsia="仿宋" w:cs="仿宋"/>
                <w:caps/>
                <w:color w:val="auto"/>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822"/>
              <w:jc w:val="center"/>
              <w:spacing w:line="360" w:lineRule="auto"/>
              <w:widowControl w:val="off"/>
              <w:rPr>
                <w:rStyle w:val="1097"/>
                <w:rFonts w:hint="eastAsia" w:ascii="仿宋" w:hAnsi="仿宋" w:eastAsia="仿宋" w:cs="仿宋"/>
                <w:caps/>
                <w:color w:val="auto"/>
                <w:highlight w:val="none"/>
              </w:rPr>
            </w:pPr>
            <w:r>
              <w:rPr>
                <w:rFonts w:hint="eastAsia" w:ascii="仿宋" w:hAnsi="仿宋" w:eastAsia="仿宋" w:cs="仿宋"/>
                <w:caps/>
                <w:color w:val="auto"/>
                <w:highlight w:val="none"/>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pStyle w:val="822"/>
              <w:jc w:val="center"/>
              <w:spacing w:line="360" w:lineRule="auto"/>
              <w:widowControl w:val="off"/>
              <w:rPr>
                <w:rStyle w:val="1097"/>
                <w:rFonts w:hint="eastAsia" w:ascii="仿宋" w:hAnsi="仿宋" w:eastAsia="仿宋" w:cs="仿宋"/>
                <w:caps/>
                <w:color w:val="auto"/>
                <w:highlight w:val="none"/>
              </w:rPr>
            </w:pPr>
            <w:r>
              <w:rPr>
                <w:rFonts w:hint="eastAsia" w:ascii="仿宋" w:hAnsi="仿宋" w:eastAsia="仿宋" w:cs="仿宋"/>
                <w:caps/>
                <w:color w:val="auto"/>
                <w:highlight w:val="none"/>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pStyle w:val="822"/>
              <w:jc w:val="center"/>
              <w:spacing w:line="360" w:lineRule="auto"/>
              <w:widowControl w:val="off"/>
              <w:rPr>
                <w:rStyle w:val="1097"/>
                <w:rFonts w:hint="eastAsia" w:ascii="仿宋" w:hAnsi="仿宋" w:eastAsia="仿宋" w:cs="仿宋"/>
                <w:caps/>
                <w:color w:val="auto"/>
                <w:highlight w:val="none"/>
              </w:rPr>
            </w:pPr>
            <w:r>
              <w:rPr>
                <w:rFonts w:hint="eastAsia" w:ascii="仿宋" w:hAnsi="仿宋" w:eastAsia="仿宋" w:cs="仿宋"/>
                <w:caps/>
                <w:color w:val="auto"/>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pStyle w:val="822"/>
              <w:jc w:val="center"/>
              <w:spacing w:line="360" w:lineRule="auto"/>
              <w:widowControl w:val="off"/>
              <w:rPr>
                <w:rStyle w:val="1097"/>
                <w:rFonts w:hint="eastAsia" w:ascii="仿宋" w:hAnsi="仿宋" w:eastAsia="仿宋" w:cs="仿宋"/>
                <w:color w:val="auto"/>
                <w:highlight w:val="none"/>
              </w:rPr>
            </w:pPr>
            <w:r>
              <w:rPr>
                <w:rFonts w:hint="eastAsia" w:ascii="仿宋" w:hAnsi="仿宋" w:eastAsia="仿宋" w:cs="仿宋"/>
                <w:color w:val="auto"/>
                <w:highlight w:val="none"/>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pStyle w:val="822"/>
              <w:jc w:val="center"/>
              <w:spacing w:line="360" w:lineRule="auto"/>
              <w:widowControl w:val="off"/>
              <w:rPr>
                <w:rStyle w:val="1097"/>
                <w:rFonts w:hint="eastAsia" w:ascii="仿宋" w:hAnsi="仿宋" w:eastAsia="仿宋" w:cs="仿宋"/>
                <w:color w:val="auto"/>
                <w:highlight w:val="none"/>
              </w:rPr>
            </w:pPr>
            <w:r>
              <w:rPr>
                <w:rFonts w:hint="eastAsia" w:ascii="仿宋" w:hAnsi="仿宋" w:eastAsia="仿宋" w:cs="仿宋"/>
                <w:color w:val="auto"/>
                <w:highlight w:val="none"/>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822"/>
              <w:jc w:val="center"/>
              <w:spacing w:line="360" w:lineRule="auto"/>
              <w:widowControl w:val="off"/>
              <w:rPr>
                <w:rStyle w:val="1097"/>
                <w:rFonts w:hint="eastAsia" w:ascii="仿宋" w:hAnsi="仿宋" w:eastAsia="仿宋" w:cs="仿宋"/>
                <w:color w:val="auto"/>
                <w:highlight w:val="none"/>
              </w:rPr>
            </w:pPr>
            <w:r>
              <w:rPr>
                <w:rFonts w:hint="eastAsia" w:ascii="仿宋" w:hAnsi="仿宋" w:eastAsia="仿宋" w:cs="仿宋"/>
                <w:color w:val="auto"/>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822"/>
              <w:jc w:val="center"/>
              <w:spacing w:line="360" w:lineRule="auto"/>
              <w:widowControl w:val="off"/>
              <w:rPr>
                <w:rStyle w:val="1097"/>
                <w:rFonts w:hint="eastAsia" w:ascii="仿宋" w:hAnsi="仿宋" w:eastAsia="仿宋" w:cs="仿宋"/>
                <w:color w:val="auto"/>
                <w:highlight w:val="none"/>
              </w:rPr>
            </w:pPr>
            <w:r>
              <w:rPr>
                <w:rFonts w:hint="eastAsia" w:ascii="仿宋" w:hAnsi="仿宋" w:eastAsia="仿宋" w:cs="仿宋"/>
                <w:color w:val="auto"/>
                <w:highlight w:val="none"/>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pStyle w:val="822"/>
              <w:jc w:val="center"/>
              <w:spacing w:line="360" w:lineRule="auto"/>
              <w:widowControl w:val="off"/>
              <w:rPr>
                <w:rStyle w:val="1097"/>
                <w:rFonts w:hint="eastAsia" w:ascii="仿宋" w:hAnsi="仿宋" w:eastAsia="仿宋" w:cs="仿宋"/>
                <w:color w:val="auto"/>
                <w:highlight w:val="none"/>
              </w:rPr>
            </w:pPr>
            <w:r>
              <w:rPr>
                <w:rFonts w:hint="eastAsia" w:ascii="仿宋" w:hAnsi="仿宋" w:eastAsia="仿宋" w:cs="仿宋"/>
                <w:color w:val="auto"/>
                <w:highlight w:val="none"/>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pStyle w:val="822"/>
              <w:jc w:val="center"/>
              <w:spacing w:line="360" w:lineRule="auto"/>
              <w:widowControl w:val="off"/>
              <w:rPr>
                <w:rStyle w:val="1097"/>
                <w:rFonts w:hint="eastAsia" w:ascii="仿宋" w:hAnsi="仿宋" w:eastAsia="仿宋" w:cs="仿宋"/>
                <w:color w:val="auto"/>
                <w:highlight w:val="none"/>
              </w:rPr>
            </w:pPr>
            <w:r>
              <w:rPr>
                <w:rFonts w:hint="eastAsia" w:ascii="仿宋" w:hAnsi="仿宋" w:eastAsia="仿宋" w:cs="仿宋"/>
                <w:color w:val="auto"/>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pStyle w:val="822"/>
              <w:jc w:val="center"/>
              <w:spacing w:line="360" w:lineRule="auto"/>
              <w:widowControl w:val="off"/>
              <w:rPr>
                <w:rStyle w:val="1097"/>
                <w:rFonts w:hint="eastAsia" w:ascii="仿宋" w:hAnsi="仿宋" w:eastAsia="仿宋" w:cs="仿宋"/>
                <w:color w:val="auto"/>
                <w:highlight w:val="none"/>
              </w:rPr>
            </w:pPr>
            <w:r>
              <w:rPr>
                <w:rFonts w:hint="eastAsia" w:ascii="仿宋" w:hAnsi="仿宋" w:eastAsia="仿宋" w:cs="仿宋"/>
                <w:color w:val="auto"/>
                <w:highlight w:val="none"/>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pStyle w:val="822"/>
              <w:jc w:val="center"/>
              <w:spacing w:line="360" w:lineRule="auto"/>
              <w:widowControl w:val="off"/>
              <w:rPr>
                <w:rStyle w:val="1097"/>
                <w:rFonts w:hint="eastAsia" w:ascii="仿宋" w:hAnsi="仿宋" w:eastAsia="仿宋" w:cs="仿宋"/>
                <w:color w:val="auto"/>
                <w:highlight w:val="none"/>
              </w:rPr>
            </w:pPr>
            <w:r>
              <w:rPr>
                <w:rFonts w:hint="eastAsia" w:ascii="仿宋" w:hAnsi="仿宋" w:eastAsia="仿宋" w:cs="仿宋"/>
                <w:color w:val="auto"/>
                <w:highlight w:val="none"/>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822"/>
              <w:jc w:val="center"/>
              <w:spacing w:line="360" w:lineRule="auto"/>
              <w:widowControl w:val="off"/>
              <w:rPr>
                <w:rStyle w:val="1097"/>
                <w:rFonts w:hint="eastAsia" w:ascii="仿宋" w:hAnsi="仿宋" w:eastAsia="仿宋" w:cs="仿宋"/>
                <w:color w:val="auto"/>
                <w:highlight w:val="none"/>
              </w:rPr>
            </w:pPr>
            <w:r>
              <w:rPr>
                <w:rFonts w:hint="eastAsia" w:ascii="仿宋" w:hAnsi="仿宋" w:eastAsia="仿宋" w:cs="仿宋"/>
                <w:color w:val="auto"/>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822"/>
              <w:jc w:val="center"/>
              <w:spacing w:line="360" w:lineRule="auto"/>
              <w:widowControl w:val="off"/>
              <w:rPr>
                <w:rStyle w:val="1097"/>
                <w:rFonts w:hint="eastAsia" w:ascii="仿宋" w:hAnsi="仿宋" w:eastAsia="仿宋" w:cs="仿宋"/>
                <w:color w:val="auto"/>
                <w:highlight w:val="none"/>
              </w:rPr>
            </w:pPr>
            <w:r>
              <w:rPr>
                <w:rFonts w:hint="eastAsia" w:ascii="仿宋" w:hAnsi="仿宋" w:eastAsia="仿宋" w:cs="仿宋"/>
                <w:color w:val="auto"/>
                <w:highlight w:val="none"/>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pStyle w:val="822"/>
              <w:jc w:val="center"/>
              <w:spacing w:line="360" w:lineRule="auto"/>
              <w:widowControl w:val="off"/>
              <w:rPr>
                <w:rStyle w:val="1097"/>
                <w:rFonts w:hint="eastAsia" w:ascii="仿宋" w:hAnsi="仿宋" w:eastAsia="仿宋" w:cs="仿宋"/>
                <w:color w:val="auto"/>
                <w:highlight w:val="none"/>
              </w:rPr>
            </w:pPr>
            <w:r>
              <w:rPr>
                <w:rFonts w:hint="eastAsia" w:ascii="仿宋" w:hAnsi="仿宋" w:eastAsia="仿宋" w:cs="仿宋"/>
                <w:color w:val="auto"/>
                <w:highlight w:val="none"/>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pStyle w:val="822"/>
              <w:jc w:val="center"/>
              <w:spacing w:line="360" w:lineRule="auto"/>
              <w:widowControl w:val="off"/>
              <w:rPr>
                <w:rStyle w:val="1097"/>
                <w:rFonts w:hint="eastAsia" w:ascii="仿宋" w:hAnsi="仿宋" w:eastAsia="仿宋" w:cs="仿宋"/>
                <w:color w:val="auto"/>
                <w:highlight w:val="none"/>
              </w:rPr>
            </w:pPr>
            <w:r>
              <w:rPr>
                <w:rFonts w:hint="eastAsia" w:ascii="仿宋" w:hAnsi="仿宋" w:eastAsia="仿宋" w:cs="仿宋"/>
                <w:color w:val="auto"/>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pStyle w:val="822"/>
              <w:jc w:val="center"/>
              <w:spacing w:line="360" w:lineRule="auto"/>
              <w:widowControl w:val="off"/>
              <w:rPr>
                <w:rStyle w:val="1097"/>
                <w:rFonts w:hint="eastAsia" w:ascii="仿宋" w:hAnsi="仿宋" w:eastAsia="仿宋" w:cs="仿宋"/>
                <w:color w:val="auto"/>
                <w:highlight w:val="none"/>
              </w:rPr>
            </w:pPr>
            <w:r>
              <w:rPr>
                <w:rFonts w:hint="eastAsia" w:ascii="仿宋" w:hAnsi="仿宋" w:eastAsia="仿宋" w:cs="仿宋"/>
                <w:color w:val="auto"/>
                <w:highlight w:val="none"/>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pStyle w:val="822"/>
              <w:jc w:val="center"/>
              <w:spacing w:line="360" w:lineRule="auto"/>
              <w:widowControl w:val="off"/>
              <w:rPr>
                <w:rStyle w:val="1097"/>
                <w:rFonts w:hint="eastAsia" w:ascii="仿宋" w:hAnsi="仿宋" w:eastAsia="仿宋" w:cs="仿宋"/>
                <w:color w:val="auto"/>
                <w:highlight w:val="none"/>
              </w:rPr>
            </w:pPr>
            <w:r>
              <w:rPr>
                <w:rFonts w:hint="eastAsia" w:ascii="仿宋" w:hAnsi="仿宋" w:eastAsia="仿宋" w:cs="仿宋"/>
                <w:color w:val="auto"/>
                <w:highlight w:val="none"/>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822"/>
              <w:jc w:val="center"/>
              <w:spacing w:line="360" w:lineRule="auto"/>
              <w:widowControl w:val="off"/>
              <w:rPr>
                <w:rStyle w:val="1097"/>
                <w:rFonts w:hint="eastAsia" w:ascii="仿宋" w:hAnsi="仿宋" w:eastAsia="仿宋" w:cs="仿宋"/>
                <w:color w:val="auto"/>
                <w:highlight w:val="none"/>
              </w:rPr>
            </w:pPr>
            <w:r>
              <w:rPr>
                <w:rFonts w:hint="eastAsia" w:ascii="仿宋" w:hAnsi="仿宋" w:eastAsia="仿宋" w:cs="仿宋"/>
                <w:color w:val="auto"/>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822"/>
              <w:jc w:val="center"/>
              <w:spacing w:line="360" w:lineRule="auto"/>
              <w:widowControl w:val="off"/>
              <w:rPr>
                <w:rStyle w:val="1097"/>
                <w:rFonts w:hint="eastAsia" w:ascii="仿宋" w:hAnsi="仿宋" w:eastAsia="仿宋" w:cs="仿宋"/>
                <w:color w:val="auto"/>
                <w:highlight w:val="none"/>
              </w:rPr>
            </w:pPr>
            <w:r>
              <w:rPr>
                <w:rFonts w:hint="eastAsia" w:ascii="仿宋" w:hAnsi="仿宋" w:eastAsia="仿宋" w:cs="仿宋"/>
                <w:color w:val="auto"/>
                <w:highlight w:val="none"/>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pStyle w:val="822"/>
              <w:jc w:val="center"/>
              <w:spacing w:line="360" w:lineRule="auto"/>
              <w:widowControl w:val="off"/>
              <w:rPr>
                <w:rStyle w:val="1097"/>
                <w:rFonts w:hint="eastAsia" w:ascii="仿宋" w:hAnsi="仿宋" w:eastAsia="仿宋" w:cs="仿宋"/>
                <w:color w:val="auto"/>
                <w:highlight w:val="none"/>
              </w:rPr>
            </w:pPr>
            <w:r>
              <w:rPr>
                <w:rFonts w:hint="eastAsia" w:ascii="仿宋" w:hAnsi="仿宋" w:eastAsia="仿宋" w:cs="仿宋"/>
                <w:color w:val="auto"/>
                <w:highlight w:val="none"/>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pStyle w:val="822"/>
              <w:jc w:val="center"/>
              <w:spacing w:line="360" w:lineRule="auto"/>
              <w:widowControl w:val="off"/>
              <w:rPr>
                <w:rStyle w:val="1097"/>
                <w:rFonts w:hint="eastAsia" w:ascii="仿宋" w:hAnsi="仿宋" w:eastAsia="仿宋" w:cs="仿宋"/>
                <w:color w:val="auto"/>
                <w:highlight w:val="none"/>
              </w:rPr>
            </w:pPr>
            <w:r>
              <w:rPr>
                <w:rFonts w:hint="eastAsia" w:ascii="仿宋" w:hAnsi="仿宋" w:eastAsia="仿宋" w:cs="仿宋"/>
                <w:color w:val="auto"/>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pStyle w:val="822"/>
              <w:jc w:val="center"/>
              <w:spacing w:line="360" w:lineRule="auto"/>
              <w:widowControl w:val="off"/>
              <w:rPr>
                <w:rStyle w:val="1097"/>
                <w:rFonts w:hint="eastAsia" w:ascii="仿宋" w:hAnsi="仿宋" w:eastAsia="仿宋" w:cs="仿宋"/>
                <w:color w:val="auto"/>
                <w:highlight w:val="none"/>
              </w:rPr>
            </w:pPr>
            <w:r>
              <w:rPr>
                <w:rFonts w:hint="eastAsia" w:ascii="仿宋" w:hAnsi="仿宋" w:eastAsia="仿宋" w:cs="仿宋"/>
                <w:color w:val="auto"/>
                <w:highlight w:val="none"/>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pStyle w:val="822"/>
              <w:jc w:val="center"/>
              <w:spacing w:line="360" w:lineRule="auto"/>
              <w:widowControl w:val="off"/>
              <w:rPr>
                <w:rStyle w:val="1097"/>
                <w:rFonts w:hint="eastAsia" w:ascii="仿宋" w:hAnsi="仿宋" w:eastAsia="仿宋" w:cs="仿宋"/>
                <w:color w:val="auto"/>
                <w:highlight w:val="none"/>
              </w:rPr>
            </w:pPr>
            <w:r>
              <w:rPr>
                <w:rFonts w:hint="eastAsia" w:ascii="仿宋" w:hAnsi="仿宋" w:eastAsia="仿宋" w:cs="仿宋"/>
                <w:color w:val="auto"/>
                <w:highlight w:val="none"/>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822"/>
              <w:jc w:val="center"/>
              <w:spacing w:line="360" w:lineRule="auto"/>
              <w:widowControl w:val="off"/>
              <w:rPr>
                <w:rStyle w:val="1097"/>
                <w:rFonts w:hint="eastAsia" w:ascii="仿宋" w:hAnsi="仿宋" w:eastAsia="仿宋" w:cs="仿宋"/>
                <w:color w:val="auto"/>
                <w:highlight w:val="none"/>
              </w:rPr>
            </w:pPr>
            <w:r>
              <w:rPr>
                <w:rFonts w:hint="eastAsia" w:ascii="仿宋" w:hAnsi="仿宋" w:eastAsia="仿宋" w:cs="仿宋"/>
                <w:color w:val="auto"/>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822"/>
              <w:jc w:val="center"/>
              <w:spacing w:line="360" w:lineRule="auto"/>
              <w:widowControl w:val="off"/>
              <w:rPr>
                <w:rStyle w:val="1097"/>
                <w:rFonts w:hint="eastAsia" w:ascii="仿宋" w:hAnsi="仿宋" w:eastAsia="仿宋" w:cs="仿宋"/>
                <w:color w:val="auto"/>
                <w:highlight w:val="none"/>
              </w:rPr>
            </w:pPr>
            <w:r>
              <w:rPr>
                <w:rFonts w:hint="eastAsia" w:ascii="仿宋" w:hAnsi="仿宋" w:eastAsia="仿宋" w:cs="仿宋"/>
                <w:color w:val="auto"/>
                <w:highlight w:val="none"/>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pStyle w:val="822"/>
              <w:jc w:val="center"/>
              <w:spacing w:line="360" w:lineRule="auto"/>
              <w:widowControl w:val="off"/>
              <w:rPr>
                <w:rStyle w:val="1097"/>
                <w:rFonts w:hint="eastAsia" w:ascii="仿宋" w:hAnsi="仿宋" w:eastAsia="仿宋" w:cs="仿宋"/>
                <w:color w:val="auto"/>
                <w:highlight w:val="none"/>
              </w:rPr>
            </w:pPr>
            <w:r>
              <w:rPr>
                <w:rFonts w:hint="eastAsia" w:ascii="仿宋" w:hAnsi="仿宋" w:eastAsia="仿宋" w:cs="仿宋"/>
                <w:color w:val="auto"/>
                <w:highlight w:val="none"/>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pStyle w:val="822"/>
              <w:jc w:val="center"/>
              <w:spacing w:line="360" w:lineRule="auto"/>
              <w:widowControl w:val="off"/>
              <w:rPr>
                <w:rStyle w:val="1097"/>
                <w:rFonts w:hint="eastAsia" w:ascii="仿宋" w:hAnsi="仿宋" w:eastAsia="仿宋" w:cs="仿宋"/>
                <w:color w:val="auto"/>
                <w:highlight w:val="none"/>
              </w:rPr>
            </w:pPr>
            <w:r>
              <w:rPr>
                <w:rFonts w:hint="eastAsia" w:ascii="仿宋" w:hAnsi="仿宋" w:eastAsia="仿宋" w:cs="仿宋"/>
                <w:color w:val="auto"/>
                <w:highlight w:val="none"/>
              </w:rPr>
            </w:r>
            <w:r/>
          </w:p>
        </w:tc>
      </w:tr>
    </w:tbl>
    <w:p>
      <w:pPr>
        <w:pStyle w:val="822"/>
        <w:jc w:val="left"/>
        <w:spacing w:line="360" w:lineRule="auto"/>
        <w:widowControl w:val="off"/>
        <w:rPr>
          <w:rStyle w:val="1097"/>
          <w:rFonts w:hint="eastAsia" w:ascii="仿宋" w:hAnsi="仿宋" w:eastAsia="仿宋" w:cs="仿宋"/>
          <w:color w:val="auto"/>
          <w:highlight w:val="none"/>
          <w:u w:val="single"/>
        </w:rPr>
      </w:pPr>
      <w:r>
        <w:rPr>
          <w:rFonts w:hint="eastAsia" w:ascii="仿宋" w:hAnsi="仿宋" w:eastAsia="仿宋" w:cs="仿宋"/>
          <w:color w:val="auto"/>
          <w:highlight w:val="none"/>
          <w:u w:val="single"/>
        </w:rPr>
      </w:r>
      <w:r/>
    </w:p>
    <w:p>
      <w:pPr>
        <w:pStyle w:val="822"/>
        <w:jc w:val="left"/>
        <w:spacing w:line="360" w:lineRule="auto"/>
        <w:widowControl w:val="off"/>
        <w:rPr>
          <w:rStyle w:val="1097"/>
          <w:rFonts w:hint="eastAsia" w:ascii="仿宋" w:hAnsi="仿宋" w:eastAsia="仿宋" w:cs="仿宋"/>
          <w:color w:val="auto"/>
          <w:highlight w:val="none"/>
          <w:u w:val="single"/>
        </w:rPr>
      </w:pPr>
      <w:r>
        <w:rPr>
          <w:rStyle w:val="1097"/>
          <w:rFonts w:hint="eastAsia" w:ascii="仿宋" w:hAnsi="仿宋" w:eastAsia="仿宋" w:cs="仿宋"/>
          <w:color w:val="auto"/>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pStyle w:val="822"/>
        <w:jc w:val="left"/>
        <w:spacing w:line="360" w:lineRule="auto"/>
        <w:widowControl w:val="off"/>
        <w:rPr>
          <w:rStyle w:val="1097"/>
          <w:rFonts w:hint="eastAsia" w:ascii="仿宋" w:hAnsi="仿宋" w:eastAsia="仿宋" w:cs="仿宋"/>
          <w:color w:val="auto"/>
          <w:highlight w:val="none"/>
        </w:rPr>
      </w:pPr>
      <w:r>
        <w:rPr>
          <w:rFonts w:hint="eastAsia" w:ascii="仿宋" w:hAnsi="仿宋" w:eastAsia="仿宋" w:cs="仿宋"/>
          <w:color w:val="auto"/>
          <w:highlight w:val="none"/>
        </w:rPr>
      </w:r>
      <w:r/>
    </w:p>
    <w:p>
      <w:pPr>
        <w:pStyle w:val="822"/>
        <w:ind w:firstLine="3960"/>
        <w:jc w:val="left"/>
        <w:spacing w:line="360" w:lineRule="auto"/>
        <w:widowControl w:val="off"/>
        <w:rPr>
          <w:rStyle w:val="1097"/>
          <w:rFonts w:hint="eastAsia" w:ascii="仿宋" w:hAnsi="仿宋" w:eastAsia="仿宋" w:cs="仿宋"/>
          <w:color w:val="auto"/>
          <w:highlight w:val="none"/>
        </w:rPr>
      </w:pPr>
      <w:r>
        <w:rPr>
          <w:rStyle w:val="1097"/>
          <w:rFonts w:hint="eastAsia" w:ascii="仿宋" w:hAnsi="仿宋" w:eastAsia="仿宋" w:cs="仿宋"/>
          <w:color w:val="auto"/>
          <w:highlight w:val="none"/>
        </w:rPr>
        <w:t xml:space="preserve">供应商（</w:t>
      </w:r>
      <w:r>
        <w:rPr>
          <w:rStyle w:val="1097"/>
          <w:rFonts w:hint="eastAsia" w:ascii="仿宋" w:hAnsi="仿宋" w:eastAsia="仿宋" w:cs="仿宋"/>
          <w:color w:val="auto"/>
          <w:szCs w:val="24"/>
          <w:highlight w:val="none"/>
        </w:rPr>
        <w:t xml:space="preserve">电子签章</w:t>
      </w:r>
      <w:r>
        <w:rPr>
          <w:rStyle w:val="1097"/>
          <w:rFonts w:hint="eastAsia" w:ascii="仿宋" w:hAnsi="仿宋" w:eastAsia="仿宋" w:cs="仿宋"/>
          <w:color w:val="auto"/>
          <w:highlight w:val="none"/>
        </w:rPr>
        <w:t xml:space="preserve">）：</w:t>
      </w:r>
      <w:r/>
    </w:p>
    <w:p>
      <w:pPr>
        <w:pStyle w:val="822"/>
        <w:ind w:firstLine="3960"/>
        <w:jc w:val="left"/>
        <w:spacing w:line="360" w:lineRule="auto"/>
        <w:widowControl w:val="off"/>
        <w:rPr>
          <w:rStyle w:val="1097"/>
          <w:rFonts w:hint="eastAsia" w:ascii="仿宋" w:hAnsi="仿宋" w:eastAsia="仿宋" w:cs="仿宋"/>
          <w:color w:val="auto"/>
          <w:highlight w:val="none"/>
        </w:rPr>
      </w:pPr>
      <w:r>
        <w:rPr>
          <w:rStyle w:val="1097"/>
          <w:rFonts w:hint="eastAsia" w:ascii="仿宋" w:hAnsi="仿宋" w:eastAsia="仿宋" w:cs="仿宋"/>
          <w:color w:val="auto"/>
          <w:highlight w:val="none"/>
        </w:rPr>
        <w:t xml:space="preserve"> </w:t>
      </w:r>
      <w:r/>
    </w:p>
    <w:p>
      <w:pPr>
        <w:pStyle w:val="822"/>
        <w:ind w:firstLine="3960"/>
        <w:jc w:val="left"/>
        <w:spacing w:line="360" w:lineRule="auto"/>
        <w:widowControl w:val="off"/>
        <w:rPr>
          <w:rStyle w:val="1097"/>
          <w:rFonts w:hint="eastAsia" w:ascii="仿宋" w:hAnsi="仿宋" w:eastAsia="仿宋" w:cs="仿宋"/>
          <w:color w:val="auto"/>
          <w:highlight w:val="none"/>
        </w:rPr>
      </w:pPr>
      <w:r>
        <w:rPr>
          <w:rStyle w:val="1097"/>
          <w:rFonts w:hint="eastAsia" w:ascii="仿宋" w:hAnsi="仿宋" w:eastAsia="仿宋" w:cs="仿宋"/>
          <w:color w:val="auto"/>
          <w:highlight w:val="none"/>
        </w:rPr>
        <w:t xml:space="preserve">日期：</w:t>
      </w:r>
      <w:r/>
    </w:p>
    <w:p>
      <w:pPr>
        <w:pStyle w:val="822"/>
        <w:jc w:val="center"/>
        <w:spacing w:line="360" w:lineRule="auto"/>
        <w:widowControl w:val="off"/>
        <w:rPr>
          <w:rStyle w:val="1097"/>
          <w:rFonts w:hint="eastAsia" w:ascii="仿宋" w:hAnsi="仿宋" w:eastAsia="仿宋" w:cs="仿宋"/>
          <w:color w:val="auto"/>
          <w:sz w:val="28"/>
          <w:highlight w:val="none"/>
        </w:rPr>
      </w:pPr>
      <w:r>
        <w:rPr>
          <w:rFonts w:hint="eastAsia" w:ascii="仿宋" w:hAnsi="仿宋" w:eastAsia="仿宋" w:cs="仿宋"/>
          <w:color w:val="auto"/>
          <w:sz w:val="28"/>
          <w:highlight w:val="none"/>
        </w:rPr>
      </w:r>
      <w:r/>
    </w:p>
    <w:p>
      <w:pPr>
        <w:pStyle w:val="822"/>
        <w:jc w:val="center"/>
        <w:spacing w:line="360" w:lineRule="auto"/>
        <w:widowControl w:val="off"/>
        <w:rPr>
          <w:rStyle w:val="1097"/>
          <w:rFonts w:hint="eastAsia" w:ascii="仿宋" w:hAnsi="仿宋" w:eastAsia="仿宋" w:cs="仿宋"/>
          <w:color w:val="auto"/>
          <w:sz w:val="28"/>
          <w:highlight w:val="none"/>
        </w:rPr>
      </w:pPr>
      <w:r>
        <w:rPr>
          <w:rFonts w:hint="eastAsia" w:ascii="仿宋" w:hAnsi="仿宋" w:eastAsia="仿宋" w:cs="仿宋"/>
          <w:color w:val="auto"/>
          <w:sz w:val="28"/>
          <w:highlight w:val="none"/>
        </w:rPr>
      </w:r>
      <w:r/>
    </w:p>
    <w:p>
      <w:pPr>
        <w:pStyle w:val="822"/>
        <w:jc w:val="center"/>
        <w:spacing w:line="360" w:lineRule="auto"/>
        <w:widowControl w:val="off"/>
        <w:rPr>
          <w:rStyle w:val="1097"/>
          <w:rFonts w:hint="eastAsia" w:ascii="仿宋" w:hAnsi="仿宋" w:eastAsia="仿宋" w:cs="仿宋"/>
          <w:color w:val="auto"/>
          <w:sz w:val="28"/>
          <w:highlight w:val="none"/>
        </w:rPr>
      </w:pPr>
      <w:r>
        <w:rPr>
          <w:rFonts w:hint="eastAsia" w:ascii="仿宋" w:hAnsi="仿宋" w:eastAsia="仿宋" w:cs="仿宋"/>
          <w:color w:val="auto"/>
          <w:sz w:val="28"/>
          <w:highlight w:val="none"/>
        </w:rPr>
      </w:r>
      <w:r/>
    </w:p>
    <w:p>
      <w:pPr>
        <w:pStyle w:val="822"/>
        <w:jc w:val="center"/>
        <w:spacing w:line="360" w:lineRule="auto"/>
        <w:widowControl w:val="off"/>
        <w:rPr>
          <w:rStyle w:val="1097"/>
          <w:rFonts w:hint="eastAsia" w:ascii="仿宋" w:hAnsi="仿宋" w:eastAsia="仿宋" w:cs="仿宋"/>
          <w:color w:val="auto"/>
          <w:sz w:val="28"/>
          <w:highlight w:val="none"/>
        </w:rPr>
      </w:pPr>
      <w:r>
        <w:rPr>
          <w:rFonts w:hint="eastAsia" w:ascii="仿宋" w:hAnsi="仿宋" w:eastAsia="仿宋" w:cs="仿宋"/>
          <w:color w:val="auto"/>
          <w:sz w:val="28"/>
          <w:highlight w:val="none"/>
        </w:rPr>
      </w:r>
      <w:r/>
    </w:p>
    <w:p>
      <w:pPr>
        <w:pStyle w:val="1067"/>
        <w:jc w:val="center"/>
        <w:keepLines w:val="0"/>
        <w:keepNext w:val="0"/>
        <w:spacing w:line="360" w:lineRule="auto"/>
        <w:widowControl w:val="off"/>
        <w:rPr>
          <w:rStyle w:val="1097"/>
          <w:rFonts w:hint="eastAsia" w:ascii="仿宋" w:hAnsi="仿宋" w:eastAsia="仿宋" w:cs="仿宋"/>
          <w:color w:val="auto"/>
          <w:sz w:val="28"/>
          <w:highlight w:val="none"/>
        </w:rPr>
      </w:pPr>
      <w:r/>
      <w:bookmarkStart w:id="54" w:name="_Toc80122306"/>
      <w:r>
        <w:rPr>
          <w:rStyle w:val="1097"/>
          <w:rFonts w:hint="eastAsia" w:ascii="仿宋" w:hAnsi="仿宋" w:eastAsia="仿宋" w:cs="仿宋"/>
          <w:color w:val="auto"/>
          <w:sz w:val="28"/>
          <w:highlight w:val="none"/>
        </w:rPr>
        <w:br w:type="page" w:clear="all"/>
      </w:r>
      <w:bookmarkStart w:id="55" w:name="_Toc15659"/>
      <w:r/>
      <w:bookmarkStart w:id="56" w:name="_Toc7832"/>
      <w:r/>
      <w:bookmarkStart w:id="57" w:name="_Toc21861"/>
      <w:r>
        <w:rPr>
          <w:rStyle w:val="1097"/>
          <w:rFonts w:hint="eastAsia" w:ascii="仿宋" w:hAnsi="仿宋" w:eastAsia="仿宋" w:cs="仿宋"/>
          <w:color w:val="auto"/>
          <w:sz w:val="28"/>
          <w:highlight w:val="none"/>
        </w:rPr>
        <w:t xml:space="preserve">七、授权委托书</w:t>
      </w:r>
      <w:bookmarkEnd w:id="54"/>
      <w:r/>
      <w:bookmarkEnd w:id="55"/>
      <w:r/>
      <w:bookmarkEnd w:id="56"/>
      <w:r/>
      <w:bookmarkEnd w:id="57"/>
      <w:r/>
      <w:r/>
    </w:p>
    <w:p>
      <w:pPr>
        <w:pStyle w:val="822"/>
        <w:jc w:val="left"/>
        <w:spacing w:line="360" w:lineRule="auto"/>
        <w:widowControl w:val="off"/>
        <w:rPr>
          <w:rStyle w:val="1097"/>
          <w:rFonts w:hint="eastAsia" w:ascii="仿宋" w:hAnsi="仿宋" w:eastAsia="仿宋" w:cs="仿宋"/>
          <w:color w:val="auto"/>
          <w:highlight w:val="none"/>
        </w:rPr>
      </w:pPr>
      <w:r>
        <w:rPr>
          <w:rStyle w:val="1097"/>
          <w:rFonts w:hint="eastAsia" w:ascii="仿宋" w:hAnsi="仿宋" w:eastAsia="仿宋" w:cs="仿宋"/>
          <w:color w:val="auto"/>
          <w:highlight w:val="none"/>
        </w:rPr>
        <w:t xml:space="preserve">委托人（全称）：</w:t>
      </w:r>
      <w:r/>
    </w:p>
    <w:p>
      <w:pPr>
        <w:pStyle w:val="822"/>
        <w:jc w:val="left"/>
        <w:spacing w:line="360" w:lineRule="auto"/>
        <w:widowControl w:val="off"/>
        <w:rPr>
          <w:rStyle w:val="1097"/>
          <w:rFonts w:hint="eastAsia" w:ascii="仿宋" w:hAnsi="仿宋" w:eastAsia="仿宋" w:cs="仿宋"/>
          <w:color w:val="auto"/>
          <w:highlight w:val="none"/>
        </w:rPr>
      </w:pPr>
      <w:r>
        <w:rPr>
          <w:rStyle w:val="1097"/>
          <w:rFonts w:hint="eastAsia" w:ascii="仿宋" w:hAnsi="仿宋" w:eastAsia="仿宋" w:cs="仿宋"/>
          <w:color w:val="auto"/>
          <w:highlight w:val="none"/>
        </w:rPr>
        <w:t xml:space="preserve">地  址：</w:t>
      </w:r>
      <w:r/>
    </w:p>
    <w:p>
      <w:pPr>
        <w:pStyle w:val="822"/>
        <w:jc w:val="left"/>
        <w:spacing w:line="360" w:lineRule="auto"/>
        <w:widowControl w:val="off"/>
        <w:rPr>
          <w:rStyle w:val="1097"/>
          <w:rFonts w:hint="eastAsia" w:ascii="仿宋" w:hAnsi="仿宋" w:eastAsia="仿宋" w:cs="仿宋"/>
          <w:color w:val="auto"/>
          <w:highlight w:val="none"/>
        </w:rPr>
      </w:pPr>
      <w:r>
        <w:rPr>
          <w:rStyle w:val="1097"/>
          <w:rFonts w:hint="eastAsia" w:ascii="仿宋" w:hAnsi="仿宋" w:eastAsia="仿宋" w:cs="仿宋"/>
          <w:color w:val="auto"/>
          <w:highlight w:val="none"/>
        </w:rPr>
        <w:t xml:space="preserve">法定代表人：              </w:t>
      </w:r>
      <w:r/>
    </w:p>
    <w:p>
      <w:pPr>
        <w:pStyle w:val="822"/>
        <w:jc w:val="left"/>
        <w:spacing w:line="360" w:lineRule="auto"/>
        <w:widowControl w:val="off"/>
        <w:rPr>
          <w:rStyle w:val="1097"/>
          <w:rFonts w:hint="eastAsia" w:ascii="仿宋" w:hAnsi="仿宋" w:eastAsia="仿宋" w:cs="仿宋"/>
          <w:color w:val="auto"/>
          <w:highlight w:val="none"/>
        </w:rPr>
      </w:pPr>
      <w:r>
        <w:rPr>
          <w:rStyle w:val="1097"/>
          <w:rFonts w:hint="eastAsia" w:ascii="仿宋" w:hAnsi="仿宋" w:eastAsia="仿宋" w:cs="仿宋"/>
          <w:color w:val="auto"/>
          <w:highlight w:val="none"/>
        </w:rPr>
        <w:t xml:space="preserve">统一社会信用代码：</w:t>
      </w:r>
      <w:r/>
    </w:p>
    <w:p>
      <w:pPr>
        <w:pStyle w:val="822"/>
        <w:jc w:val="left"/>
        <w:spacing w:line="360" w:lineRule="auto"/>
        <w:widowControl w:val="off"/>
        <w:rPr>
          <w:rStyle w:val="1097"/>
          <w:rFonts w:hint="eastAsia" w:ascii="仿宋" w:hAnsi="仿宋" w:eastAsia="仿宋" w:cs="仿宋"/>
          <w:color w:val="auto"/>
          <w:highlight w:val="none"/>
        </w:rPr>
      </w:pPr>
      <w:r>
        <w:rPr>
          <w:rStyle w:val="1097"/>
          <w:rFonts w:hint="eastAsia" w:ascii="仿宋" w:hAnsi="仿宋" w:eastAsia="仿宋" w:cs="仿宋"/>
          <w:color w:val="auto"/>
          <w:highlight w:val="none"/>
        </w:rPr>
        <w:t xml:space="preserve">受托人：                  先生（女士）</w:t>
      </w:r>
      <w:r/>
    </w:p>
    <w:p>
      <w:pPr>
        <w:pStyle w:val="822"/>
        <w:jc w:val="left"/>
        <w:spacing w:line="360" w:lineRule="auto"/>
        <w:widowControl w:val="off"/>
        <w:rPr>
          <w:rStyle w:val="1097"/>
          <w:rFonts w:hint="eastAsia" w:ascii="仿宋" w:hAnsi="仿宋" w:eastAsia="仿宋" w:cs="仿宋"/>
          <w:color w:val="auto"/>
          <w:highlight w:val="none"/>
        </w:rPr>
      </w:pPr>
      <w:r>
        <w:rPr>
          <w:rStyle w:val="1097"/>
          <w:rFonts w:hint="eastAsia" w:ascii="仿宋" w:hAnsi="仿宋" w:eastAsia="仿宋" w:cs="仿宋"/>
          <w:color w:val="auto"/>
          <w:highlight w:val="none"/>
        </w:rPr>
        <w:t xml:space="preserve">身份证号：</w:t>
      </w:r>
      <w:r/>
    </w:p>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Style w:val="1097"/>
          <w:rFonts w:hint="eastAsia" w:ascii="仿宋" w:hAnsi="仿宋" w:eastAsia="仿宋" w:cs="仿宋"/>
          <w:color w:val="auto"/>
          <w:highlight w:val="none"/>
        </w:rPr>
        <w:t xml:space="preserve">兹委托（            ）全权代表我企业（公司）参与</w:t>
      </w:r>
      <w:r>
        <w:rPr>
          <w:rStyle w:val="1097"/>
          <w:rFonts w:hint="eastAsia" w:ascii="仿宋" w:hAnsi="仿宋" w:eastAsia="仿宋" w:cs="仿宋"/>
          <w:color w:val="auto"/>
          <w:highlight w:val="none"/>
          <w:u w:val="single"/>
          <w:lang w:eastAsia="zh-CN"/>
        </w:rPr>
        <w:t xml:space="preserve">黄河东片区道路雨污分流路面修复工程项目</w:t>
      </w:r>
      <w:r>
        <w:rPr>
          <w:rStyle w:val="1097"/>
          <w:rFonts w:hint="eastAsia" w:ascii="仿宋" w:hAnsi="仿宋" w:eastAsia="仿宋" w:cs="仿宋"/>
          <w:color w:val="auto"/>
          <w:highlight w:val="none"/>
        </w:rPr>
        <w:t xml:space="preserve"> [项目编号：</w:t>
      </w:r>
      <w:r>
        <w:rPr>
          <w:rFonts w:hint="eastAsia" w:ascii="仿宋" w:hAnsi="仿宋" w:eastAsia="仿宋" w:cs="仿宋"/>
          <w:color w:val="auto"/>
          <w:sz w:val="24"/>
          <w:highlight w:val="none"/>
          <w:lang w:eastAsia="zh-CN"/>
        </w:rPr>
        <w:t xml:space="preserve">JSZC-320302-JSSZ-C2026-0052</w:t>
      </w:r>
      <w:r>
        <w:rPr>
          <w:rFonts w:ascii="仿宋" w:hAnsi="仿宋" w:eastAsia="仿宋" w:cs="仿宋"/>
          <w:color w:val="auto"/>
          <w:sz w:val="24"/>
          <w:highlight w:val="none"/>
        </w:rPr>
        <w:t xml:space="preserve"> </w:t>
      </w:r>
      <w:r>
        <w:rPr>
          <w:rStyle w:val="1097"/>
          <w:rFonts w:hint="eastAsia" w:ascii="仿宋" w:hAnsi="仿宋" w:eastAsia="仿宋" w:cs="仿宋"/>
          <w:color w:val="auto"/>
          <w:highlight w:val="none"/>
        </w:rPr>
        <w:t xml:space="preserve">]的磋商活动及签订合同。（         ）以我企业（公司）名义所为的行为及签署的文件，我企业（公司）均予以认可。有关法律责任均由我企业（公司）承担。（         ）无转委托权。委托期限自   年  月   日起至  年  月    日止。</w:t>
      </w:r>
      <w:r/>
    </w:p>
    <w:p>
      <w:pPr>
        <w:pStyle w:val="822"/>
        <w:ind w:firstLine="4560"/>
        <w:jc w:val="left"/>
        <w:spacing w:line="360" w:lineRule="auto"/>
        <w:widowControl w:val="off"/>
        <w:rPr>
          <w:rStyle w:val="1097"/>
          <w:rFonts w:hint="eastAsia" w:ascii="仿宋" w:hAnsi="仿宋" w:eastAsia="仿宋" w:cs="仿宋"/>
          <w:color w:val="auto"/>
          <w:highlight w:val="none"/>
        </w:rPr>
      </w:pPr>
      <w:r>
        <w:rPr>
          <w:rFonts w:hint="eastAsia" w:ascii="仿宋" w:hAnsi="仿宋" w:eastAsia="仿宋" w:cs="仿宋"/>
          <w:color w:val="auto"/>
          <w:highlight w:val="none"/>
        </w:rPr>
      </w:r>
      <w:r/>
    </w:p>
    <w:p>
      <w:pPr>
        <w:pStyle w:val="822"/>
        <w:jc w:val="left"/>
        <w:spacing w:line="360" w:lineRule="auto"/>
        <w:widowControl w:val="off"/>
        <w:rPr>
          <w:rStyle w:val="1097"/>
          <w:rFonts w:hint="eastAsia" w:ascii="仿宋" w:hAnsi="仿宋" w:eastAsia="仿宋" w:cs="仿宋"/>
          <w:color w:val="auto"/>
          <w:highlight w:val="none"/>
        </w:rPr>
      </w:pPr>
      <w:r>
        <w:rPr>
          <w:rStyle w:val="1097"/>
          <w:rFonts w:hint="eastAsia" w:ascii="仿宋" w:hAnsi="仿宋" w:eastAsia="仿宋" w:cs="仿宋"/>
          <w:color w:val="auto"/>
          <w:highlight w:val="none"/>
        </w:rPr>
        <w:t xml:space="preserve">委托人（</w:t>
      </w:r>
      <w:r>
        <w:rPr>
          <w:rStyle w:val="1097"/>
          <w:rFonts w:hint="eastAsia" w:ascii="仿宋" w:hAnsi="仿宋" w:eastAsia="仿宋" w:cs="仿宋"/>
          <w:color w:val="auto"/>
          <w:szCs w:val="24"/>
          <w:highlight w:val="none"/>
        </w:rPr>
        <w:t xml:space="preserve">电子签章</w:t>
      </w:r>
      <w:r>
        <w:rPr>
          <w:rStyle w:val="1097"/>
          <w:rFonts w:hint="eastAsia" w:ascii="仿宋" w:hAnsi="仿宋" w:eastAsia="仿宋" w:cs="仿宋"/>
          <w:color w:val="auto"/>
          <w:highlight w:val="none"/>
        </w:rPr>
        <w:t xml:space="preserve">）：</w:t>
      </w:r>
      <w:r/>
    </w:p>
    <w:p>
      <w:pPr>
        <w:pStyle w:val="826"/>
        <w:rPr>
          <w:color w:val="auto"/>
          <w:highlight w:val="none"/>
        </w:rPr>
      </w:pPr>
      <w:r>
        <w:rPr>
          <w:color w:val="auto"/>
          <w:highlight w:val="none"/>
        </w:rPr>
      </w:r>
      <w:r/>
    </w:p>
    <w:p>
      <w:pPr>
        <w:pStyle w:val="822"/>
        <w:jc w:val="left"/>
        <w:spacing w:line="360" w:lineRule="auto"/>
        <w:widowControl w:val="off"/>
        <w:rPr>
          <w:rStyle w:val="1097"/>
          <w:rFonts w:hint="eastAsia" w:ascii="仿宋" w:hAnsi="仿宋" w:eastAsia="仿宋" w:cs="仿宋"/>
          <w:color w:val="auto"/>
          <w:highlight w:val="none"/>
        </w:rPr>
      </w:pPr>
      <w:r>
        <w:rPr>
          <w:rStyle w:val="1097"/>
          <w:rFonts w:hint="eastAsia" w:ascii="仿宋" w:hAnsi="仿宋" w:eastAsia="仿宋" w:cs="仿宋"/>
          <w:color w:val="auto"/>
          <w:highlight w:val="none"/>
        </w:rPr>
        <w:t xml:space="preserve">法定代表人（签字或盖章）：</w:t>
      </w:r>
      <w:r/>
    </w:p>
    <w:p>
      <w:pPr>
        <w:pStyle w:val="826"/>
        <w:rPr>
          <w:color w:val="auto"/>
          <w:highlight w:val="none"/>
        </w:rPr>
      </w:pPr>
      <w:r>
        <w:rPr>
          <w:color w:val="auto"/>
          <w:highlight w:val="none"/>
        </w:rPr>
      </w:r>
      <w:r/>
    </w:p>
    <w:p>
      <w:pPr>
        <w:pStyle w:val="822"/>
        <w:jc w:val="left"/>
        <w:spacing w:line="360" w:lineRule="auto"/>
        <w:widowControl w:val="off"/>
        <w:rPr>
          <w:rStyle w:val="1097"/>
          <w:rFonts w:hint="eastAsia" w:ascii="仿宋" w:hAnsi="仿宋" w:eastAsia="仿宋" w:cs="仿宋"/>
          <w:color w:val="auto"/>
          <w:highlight w:val="none"/>
        </w:rPr>
      </w:pPr>
      <w:r>
        <w:rPr>
          <w:rStyle w:val="1097"/>
          <w:rFonts w:hint="eastAsia" w:ascii="仿宋" w:hAnsi="仿宋" w:eastAsia="仿宋" w:cs="仿宋"/>
          <w:color w:val="auto"/>
          <w:highlight w:val="none"/>
        </w:rPr>
        <w:t xml:space="preserve">受托人（签字或盖章）：</w:t>
      </w:r>
      <w:r/>
    </w:p>
    <w:p>
      <w:pPr>
        <w:pStyle w:val="826"/>
        <w:rPr>
          <w:color w:val="auto"/>
          <w:highlight w:val="none"/>
        </w:rPr>
      </w:pPr>
      <w:r>
        <w:rPr>
          <w:color w:val="auto"/>
          <w:highlight w:val="none"/>
        </w:rPr>
      </w:r>
      <w:r/>
    </w:p>
    <w:p>
      <w:pPr>
        <w:pStyle w:val="822"/>
        <w:jc w:val="left"/>
        <w:spacing w:line="360" w:lineRule="auto"/>
        <w:widowControl w:val="off"/>
        <w:rPr>
          <w:rStyle w:val="1097"/>
          <w:rFonts w:hint="eastAsia" w:ascii="仿宋" w:hAnsi="仿宋" w:eastAsia="仿宋" w:cs="仿宋"/>
          <w:color w:val="auto"/>
          <w:highlight w:val="none"/>
        </w:rPr>
      </w:pPr>
      <w:r>
        <w:rPr>
          <w:rStyle w:val="1097"/>
          <w:rFonts w:hint="eastAsia" w:ascii="仿宋" w:hAnsi="仿宋" w:eastAsia="仿宋" w:cs="仿宋"/>
          <w:color w:val="auto"/>
          <w:highlight w:val="none"/>
        </w:rPr>
        <w:t xml:space="preserve">日期：</w:t>
      </w:r>
      <w:r/>
    </w:p>
    <w:p>
      <w:pPr>
        <w:pStyle w:val="822"/>
        <w:jc w:val="center"/>
        <w:spacing w:line="360" w:lineRule="auto"/>
        <w:widowControl w:val="off"/>
        <w:rPr>
          <w:rStyle w:val="1097"/>
          <w:rFonts w:hint="eastAsia" w:ascii="仿宋" w:hAnsi="仿宋" w:eastAsia="仿宋" w:cs="仿宋"/>
          <w:color w:val="auto"/>
          <w:highlight w:val="none"/>
        </w:rPr>
      </w:pPr>
      <w:r>
        <w:rPr>
          <w:rFonts w:hint="eastAsia" w:ascii="仿宋" w:hAnsi="仿宋" w:eastAsia="仿宋" w:cs="仿宋"/>
          <w:color w:val="auto"/>
          <w:highlight w:val="none"/>
        </w:rPr>
      </w:r>
      <w:r/>
    </w:p>
    <w:p>
      <w:pPr>
        <w:pStyle w:val="822"/>
        <w:jc w:val="center"/>
        <w:spacing w:line="360" w:lineRule="auto"/>
        <w:widowControl w:val="off"/>
        <w:rPr>
          <w:rStyle w:val="1097"/>
          <w:rFonts w:hint="eastAsia" w:ascii="仿宋" w:hAnsi="仿宋" w:eastAsia="仿宋" w:cs="仿宋"/>
          <w:color w:val="auto"/>
          <w:highlight w:val="none"/>
        </w:rPr>
      </w:pPr>
      <w:r>
        <w:rPr>
          <w:rStyle w:val="1097"/>
          <w:rFonts w:hint="eastAsia" w:ascii="仿宋" w:hAnsi="仿宋" w:eastAsia="仿宋" w:cs="仿宋"/>
          <w:color w:val="auto"/>
          <w:highlight w:val="none"/>
        </w:rPr>
        <w:t xml:space="preserve">(受托人有效身份证复印件附后)</w:t>
      </w:r>
      <w:r/>
    </w:p>
    <w:p>
      <w:pPr>
        <w:pStyle w:val="822"/>
        <w:spacing w:line="360" w:lineRule="auto"/>
        <w:widowControl w:val="off"/>
        <w:rPr>
          <w:rStyle w:val="1097"/>
          <w:rFonts w:hint="eastAsia" w:ascii="仿宋" w:hAnsi="仿宋" w:eastAsia="仿宋" w:cs="仿宋"/>
          <w:b/>
          <w:bCs/>
          <w:color w:val="auto"/>
          <w:highlight w:val="none"/>
        </w:rPr>
      </w:pPr>
      <w:r>
        <w:rPr>
          <w:rFonts w:hint="eastAsia" w:ascii="仿宋" w:hAnsi="仿宋" w:eastAsia="仿宋" w:cs="仿宋"/>
          <w:b/>
          <w:bCs/>
          <w:color w:val="auto"/>
          <w:highlight w:val="none"/>
        </w:rPr>
      </w:r>
      <w:r/>
    </w:p>
    <w:p>
      <w:pPr>
        <w:pStyle w:val="822"/>
        <w:jc w:val="left"/>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特别提醒：竞争性磋商文件中如需</w:t>
      </w:r>
      <w:r>
        <w:rPr>
          <w:rStyle w:val="1097"/>
          <w:rFonts w:hint="eastAsia" w:ascii="仿宋" w:hAnsi="仿宋" w:eastAsia="仿宋" w:cs="仿宋"/>
          <w:b/>
          <w:bCs/>
          <w:color w:val="auto"/>
          <w:highlight w:val="none"/>
        </w:rPr>
        <w:t xml:space="preserve">法定代表人（签字或盖章）或受托人（签字或盖章），</w:t>
      </w:r>
      <w:r>
        <w:rPr>
          <w:rFonts w:hint="eastAsia" w:ascii="仿宋" w:hAnsi="仿宋" w:eastAsia="仿宋" w:cs="仿宋"/>
          <w:b/>
          <w:bCs/>
          <w:color w:val="auto"/>
          <w:sz w:val="24"/>
          <w:szCs w:val="24"/>
          <w:highlight w:val="none"/>
        </w:rPr>
        <w:t xml:space="preserve">供应商应打印成文档，签字或盖章后再扫描上传，最后再电子签章。</w:t>
      </w:r>
      <w:r/>
    </w:p>
    <w:p>
      <w:pPr>
        <w:ind w:firstLine="482"/>
        <w:jc w:val="left"/>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pStyle w:val="822"/>
        <w:jc w:val="center"/>
        <w:spacing w:line="360" w:lineRule="auto"/>
        <w:widowControl w:val="off"/>
        <w:rPr>
          <w:rStyle w:val="1097"/>
          <w:rFonts w:hint="eastAsia" w:ascii="仿宋" w:hAnsi="仿宋" w:eastAsia="仿宋" w:cs="仿宋"/>
          <w:color w:val="auto"/>
          <w:sz w:val="28"/>
          <w:highlight w:val="none"/>
        </w:rPr>
      </w:pPr>
      <w:r>
        <w:rPr>
          <w:rFonts w:hint="eastAsia" w:ascii="仿宋" w:hAnsi="仿宋" w:eastAsia="仿宋" w:cs="仿宋"/>
          <w:color w:val="auto"/>
          <w:sz w:val="28"/>
          <w:highlight w:val="none"/>
        </w:rPr>
      </w:r>
      <w:r/>
    </w:p>
    <w:p>
      <w:pPr>
        <w:ind w:firstLine="950"/>
        <w:spacing w:line="85" w:lineRule="atLeast"/>
        <w:rPr>
          <w:b/>
          <w:bCs/>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highlight w:val="none"/>
        </w:rPr>
        <w:t xml:space="preserve">         </w:t>
      </w:r>
      <w:r>
        <w:rPr>
          <w:rFonts w:ascii="宋体" w:hAnsi="宋体" w:cs="宋体"/>
          <w:b/>
          <w:bCs/>
          <w:color w:val="auto"/>
          <w:sz w:val="28"/>
          <w:highlight w:val="none"/>
        </w:rPr>
        <w:t xml:space="preserve"> </w:t>
      </w:r>
      <w:r/>
    </w:p>
    <w:p>
      <w:pPr>
        <w:pStyle w:val="1067"/>
        <w:jc w:val="center"/>
        <w:keepLines w:val="0"/>
        <w:keepNext w:val="0"/>
        <w:spacing w:line="360" w:lineRule="auto"/>
        <w:widowControl w:val="off"/>
        <w:rPr>
          <w:rStyle w:val="1097"/>
          <w:rFonts w:hint="eastAsia" w:ascii="仿宋" w:hAnsi="仿宋" w:eastAsia="仿宋" w:cs="仿宋"/>
          <w:color w:val="auto"/>
          <w:sz w:val="28"/>
          <w:highlight w:val="none"/>
        </w:rPr>
        <w:outlineLvl w:val="9"/>
      </w:pPr>
      <w:r/>
      <w:bookmarkStart w:id="58" w:name="_Toc80122307"/>
      <w:r/>
      <w:r/>
    </w:p>
    <w:p>
      <w:pPr>
        <w:pStyle w:val="1067"/>
        <w:jc w:val="center"/>
        <w:keepLines w:val="0"/>
        <w:keepNext w:val="0"/>
        <w:spacing w:line="360" w:lineRule="auto"/>
        <w:widowControl w:val="off"/>
        <w:rPr>
          <w:rStyle w:val="1097"/>
          <w:rFonts w:hint="eastAsia" w:ascii="仿宋" w:hAnsi="仿宋" w:eastAsia="仿宋" w:cs="仿宋"/>
          <w:color w:val="auto"/>
          <w:sz w:val="28"/>
          <w:highlight w:val="none"/>
        </w:rPr>
      </w:pPr>
      <w:r>
        <w:rPr>
          <w:rStyle w:val="1097"/>
          <w:rFonts w:hint="eastAsia" w:ascii="仿宋" w:hAnsi="仿宋" w:eastAsia="仿宋" w:cs="仿宋"/>
          <w:color w:val="auto"/>
          <w:sz w:val="28"/>
          <w:highlight w:val="none"/>
        </w:rPr>
        <w:br w:type="page" w:clear="all"/>
      </w:r>
      <w:bookmarkStart w:id="59" w:name="_Toc6068"/>
      <w:r/>
      <w:bookmarkStart w:id="60" w:name="_Toc7229"/>
      <w:r/>
      <w:bookmarkStart w:id="61" w:name="_Toc907"/>
      <w:r>
        <w:rPr>
          <w:rStyle w:val="1097"/>
          <w:rFonts w:hint="eastAsia" w:ascii="仿宋" w:hAnsi="仿宋" w:eastAsia="仿宋" w:cs="仿宋"/>
          <w:color w:val="auto"/>
          <w:sz w:val="28"/>
          <w:highlight w:val="none"/>
        </w:rPr>
        <w:t xml:space="preserve">八、中小企业声明函</w:t>
      </w:r>
      <w:bookmarkEnd w:id="58"/>
      <w:r/>
      <w:bookmarkEnd w:id="59"/>
      <w:r/>
      <w:bookmarkEnd w:id="60"/>
      <w:r/>
      <w:bookmarkEnd w:id="61"/>
      <w:r/>
      <w:r/>
    </w:p>
    <w:p>
      <w:pPr>
        <w:pStyle w:val="822"/>
        <w:jc w:val="left"/>
        <w:spacing w:line="360" w:lineRule="auto"/>
        <w:widowControl w:val="off"/>
        <w:rPr>
          <w:rStyle w:val="1097"/>
          <w:rFonts w:hint="eastAsia" w:ascii="仿宋" w:hAnsi="仿宋" w:eastAsia="仿宋" w:cs="仿宋"/>
          <w:color w:val="auto"/>
          <w:highlight w:val="none"/>
        </w:rPr>
      </w:pPr>
      <w:r>
        <w:rPr>
          <w:rStyle w:val="1097"/>
          <w:rFonts w:hint="eastAsia" w:ascii="仿宋" w:hAnsi="仿宋" w:eastAsia="仿宋" w:cs="仿宋"/>
          <w:color w:val="auto"/>
          <w:highlight w:val="none"/>
        </w:rPr>
        <w:t xml:space="preserve">项目名称：</w:t>
      </w:r>
      <w:r/>
    </w:p>
    <w:p>
      <w:pPr>
        <w:pStyle w:val="822"/>
        <w:jc w:val="left"/>
        <w:spacing w:line="360" w:lineRule="auto"/>
        <w:widowControl w:val="off"/>
        <w:rPr>
          <w:rStyle w:val="1097"/>
          <w:rFonts w:hint="eastAsia" w:ascii="仿宋" w:hAnsi="仿宋" w:eastAsia="仿宋" w:cs="仿宋"/>
          <w:color w:val="auto"/>
          <w:highlight w:val="none"/>
        </w:rPr>
      </w:pPr>
      <w:r>
        <w:rPr>
          <w:rStyle w:val="1097"/>
          <w:rFonts w:hint="eastAsia" w:ascii="仿宋" w:hAnsi="仿宋" w:eastAsia="仿宋" w:cs="仿宋"/>
          <w:color w:val="auto"/>
          <w:highlight w:val="none"/>
        </w:rPr>
        <w:t xml:space="preserve">项目编号：</w:t>
      </w:r>
      <w:r/>
    </w:p>
    <w:p>
      <w:pPr>
        <w:pStyle w:val="822"/>
        <w:ind w:firstLine="48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本公司郑重声明，根据《政府采购促进中小企业发展管理办法》（财库﹝2020﹞46号）的规定，本公司参加</w:t>
      </w:r>
      <w:r>
        <w:rPr>
          <w:rFonts w:hint="eastAsia" w:ascii="仿宋" w:hAnsi="仿宋" w:eastAsia="仿宋" w:cs="仿宋"/>
          <w:color w:val="auto"/>
          <w:sz w:val="24"/>
          <w:szCs w:val="24"/>
          <w:highlight w:val="none"/>
          <w:u w:val="single"/>
        </w:rPr>
        <w:t xml:space="preserve">（单位名称）</w:t>
      </w:r>
      <w:r>
        <w:rPr>
          <w:rFonts w:hint="eastAsia" w:ascii="仿宋" w:hAnsi="仿宋" w:eastAsia="仿宋" w:cs="仿宋"/>
          <w:color w:val="auto"/>
          <w:sz w:val="24"/>
          <w:szCs w:val="24"/>
          <w:highlight w:val="none"/>
        </w:rPr>
        <w:t xml:space="preserve">的</w:t>
      </w:r>
      <w:r>
        <w:rPr>
          <w:rFonts w:hint="eastAsia" w:ascii="仿宋" w:hAnsi="仿宋" w:eastAsia="仿宋" w:cs="仿宋"/>
          <w:color w:val="auto"/>
          <w:sz w:val="24"/>
          <w:szCs w:val="24"/>
          <w:highlight w:val="none"/>
          <w:u w:val="single"/>
        </w:rPr>
        <w:t xml:space="preserve">（项目名称）</w:t>
      </w:r>
      <w:r>
        <w:rPr>
          <w:rFonts w:hint="eastAsia" w:ascii="仿宋" w:hAnsi="仿宋" w:eastAsia="仿宋" w:cs="仿宋"/>
          <w:color w:val="auto"/>
          <w:sz w:val="24"/>
          <w:szCs w:val="24"/>
          <w:highlight w:val="none"/>
        </w:rPr>
        <w:t xml:space="preserve">采购活动，服务全部由符合政策要求的中小企业承接。相关企业的具体情况如下：</w:t>
      </w:r>
      <w:r/>
    </w:p>
    <w:p>
      <w:pPr>
        <w:pStyle w:val="822"/>
        <w:ind w:firstLine="480"/>
        <w:spacing w:line="360" w:lineRule="auto"/>
        <w:widowControl w:val="off"/>
        <w:rPr>
          <w:rFonts w:hint="eastAsia" w:ascii="仿宋" w:hAnsi="仿宋" w:eastAsia="仿宋" w:cs="仿宋"/>
          <w:color w:val="auto"/>
          <w:spacing w:val="6"/>
          <w:sz w:val="24"/>
          <w:szCs w:val="24"/>
          <w:highlight w:val="none"/>
        </w:rPr>
      </w:pPr>
      <w:r>
        <w:rPr>
          <w:rFonts w:hint="eastAsia" w:ascii="仿宋" w:hAnsi="仿宋" w:eastAsia="仿宋" w:cs="仿宋"/>
          <w:color w:val="auto"/>
          <w:sz w:val="24"/>
          <w:szCs w:val="24"/>
          <w:highlight w:val="none"/>
          <w:u w:val="single"/>
        </w:rPr>
        <w:t xml:space="preserve">（标的名称）</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w:t>
      </w:r>
      <w:bookmarkStart w:id="62" w:name="_Hlk105228467"/>
      <w:r>
        <w:rPr>
          <w:rFonts w:hint="eastAsia" w:ascii="仿宋" w:hAnsi="仿宋" w:eastAsia="仿宋" w:cs="仿宋"/>
          <w:color w:val="auto"/>
          <w:sz w:val="24"/>
          <w:szCs w:val="24"/>
          <w:highlight w:val="none"/>
          <w:u w:val="single"/>
        </w:rPr>
        <w:t xml:space="preserve">采购文件中明确的所属行业</w:t>
      </w:r>
      <w:bookmarkEnd w:id="62"/>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 承建（承接）企业为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，从业人员</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人，营业收入为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万元，资产总额为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万元，属于</w:t>
      </w:r>
      <w:r>
        <w:rPr>
          <w:rFonts w:hint="eastAsia" w:ascii="仿宋" w:hAnsi="仿宋" w:eastAsia="仿宋" w:cs="仿宋"/>
          <w:color w:val="auto"/>
          <w:sz w:val="24"/>
          <w:szCs w:val="24"/>
          <w:highlight w:val="none"/>
          <w:u w:val="single"/>
        </w:rPr>
        <w:t xml:space="preserve">       （</w:t>
      </w:r>
      <w:r>
        <w:rPr>
          <w:rFonts w:hint="eastAsia" w:ascii="仿宋" w:hAnsi="仿宋" w:eastAsia="仿宋" w:cs="仿宋"/>
          <w:b/>
          <w:color w:val="auto"/>
          <w:sz w:val="24"/>
          <w:szCs w:val="24"/>
          <w:highlight w:val="none"/>
          <w:u w:val="single"/>
        </w:rPr>
        <w:t xml:space="preserve">此处请填空</w:t>
      </w:r>
      <w:r>
        <w:rPr>
          <w:rFonts w:hint="eastAsia" w:ascii="仿宋" w:hAnsi="仿宋" w:eastAsia="仿宋" w:cs="仿宋"/>
          <w:color w:val="auto"/>
          <w:sz w:val="24"/>
          <w:szCs w:val="24"/>
          <w:highlight w:val="none"/>
          <w:u w:val="single"/>
        </w:rPr>
        <w:t xml:space="preserve">）中型企业、小型企业、微型企业</w:t>
      </w:r>
      <w:r>
        <w:rPr>
          <w:rFonts w:hint="eastAsia" w:ascii="仿宋" w:hAnsi="仿宋" w:eastAsia="仿宋" w:cs="仿宋"/>
          <w:b/>
          <w:color w:val="auto"/>
          <w:sz w:val="24"/>
          <w:szCs w:val="24"/>
          <w:highlight w:val="none"/>
          <w:u w:val="single"/>
        </w:rPr>
        <w:t xml:space="preserve">，请填空！</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w:t>
      </w:r>
      <w:r/>
    </w:p>
    <w:p>
      <w:pPr>
        <w:pStyle w:val="822"/>
        <w:ind w:firstLine="482"/>
        <w:spacing w:line="360" w:lineRule="auto"/>
        <w:widowControl w:val="off"/>
        <w:rPr>
          <w:rFonts w:hint="eastAsia" w:ascii="仿宋" w:hAnsi="仿宋" w:eastAsia="仿宋" w:cs="仿宋"/>
          <w:b/>
          <w:color w:val="auto"/>
          <w:spacing w:val="6"/>
          <w:sz w:val="24"/>
          <w:szCs w:val="24"/>
          <w:highlight w:val="none"/>
        </w:rPr>
      </w:pPr>
      <w:r>
        <w:rPr>
          <w:rFonts w:hint="eastAsia" w:ascii="仿宋" w:hAnsi="仿宋" w:eastAsia="仿宋" w:cs="仿宋"/>
          <w:b/>
          <w:color w:val="auto"/>
          <w:sz w:val="24"/>
          <w:szCs w:val="24"/>
          <w:highlight w:val="none"/>
        </w:rPr>
        <w:t xml:space="preserve">以上企业，不属于大企业的分支机构，不存在控股股东为大企业的情形，也不存在与大企业的负责人为同一人的情形。</w:t>
      </w:r>
      <w:r/>
    </w:p>
    <w:p>
      <w:pPr>
        <w:pStyle w:val="822"/>
        <w:ind w:firstLine="48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注：本项目采购属于</w:t>
      </w:r>
      <w:r>
        <w:rPr>
          <w:rFonts w:hint="eastAsia" w:ascii="仿宋" w:hAnsi="仿宋" w:eastAsia="仿宋" w:cs="仿宋"/>
          <w:color w:val="auto"/>
          <w:sz w:val="24"/>
          <w:szCs w:val="24"/>
          <w:highlight w:val="none"/>
          <w:u w:val="single"/>
        </w:rPr>
        <w:t xml:space="preserve"> 建筑业 </w:t>
      </w:r>
      <w:r>
        <w:rPr>
          <w:rFonts w:hint="eastAsia" w:ascii="仿宋" w:hAnsi="仿宋" w:eastAsia="仿宋" w:cs="仿宋"/>
          <w:color w:val="auto"/>
          <w:sz w:val="24"/>
          <w:szCs w:val="24"/>
          <w:highlight w:val="none"/>
        </w:rPr>
        <w:t xml:space="preserve">。</w:t>
      </w:r>
      <w:r/>
    </w:p>
    <w:p>
      <w:pPr>
        <w:pStyle w:val="822"/>
        <w:ind w:firstLine="48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本企业对上述声明内容的真实性负责。如有虚假，将依法承担相应责任。</w:t>
      </w:r>
      <w:r/>
    </w:p>
    <w:p>
      <w:pPr>
        <w:pStyle w:val="822"/>
        <w:ind w:firstLine="482"/>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备注：从业人员、营业收入、资产总额填报上一年度数据，无上一年度数据的新成立企业可不填报</w:t>
      </w:r>
      <w:r>
        <w:rPr>
          <w:rFonts w:hint="eastAsia" w:ascii="仿宋" w:hAnsi="仿宋" w:eastAsia="仿宋" w:cs="仿宋"/>
          <w:color w:val="auto"/>
          <w:sz w:val="24"/>
          <w:szCs w:val="24"/>
          <w:highlight w:val="none"/>
        </w:rPr>
        <w:t xml:space="preserve">。</w:t>
      </w:r>
      <w:r/>
    </w:p>
    <w:p>
      <w:pPr>
        <w:pStyle w:val="822"/>
        <w:jc w:val="left"/>
        <w:spacing w:line="360" w:lineRule="auto"/>
        <w:widowControl w:val="off"/>
        <w:rPr>
          <w:rStyle w:val="1097"/>
          <w:rFonts w:hint="eastAsia" w:ascii="仿宋" w:hAnsi="仿宋" w:eastAsia="仿宋" w:cs="仿宋"/>
          <w:color w:val="auto"/>
          <w:highlight w:val="none"/>
        </w:rPr>
      </w:pPr>
      <w:r>
        <w:rPr>
          <w:rFonts w:hint="eastAsia" w:ascii="仿宋" w:hAnsi="仿宋" w:eastAsia="仿宋" w:cs="仿宋"/>
          <w:color w:val="auto"/>
          <w:highlight w:val="none"/>
        </w:rPr>
      </w:r>
      <w:r/>
    </w:p>
    <w:p>
      <w:pPr>
        <w:pStyle w:val="822"/>
        <w:jc w:val="right"/>
        <w:spacing w:line="360" w:lineRule="auto"/>
        <w:widowControl w:val="off"/>
        <w:rPr>
          <w:rStyle w:val="1097"/>
          <w:rFonts w:hint="eastAsia" w:ascii="仿宋" w:hAnsi="仿宋" w:eastAsia="仿宋" w:cs="仿宋"/>
          <w:color w:val="auto"/>
          <w:highlight w:val="none"/>
        </w:rPr>
      </w:pPr>
      <w:r>
        <w:rPr>
          <w:rFonts w:hint="eastAsia" w:ascii="仿宋" w:hAnsi="仿宋" w:eastAsia="仿宋" w:cs="仿宋"/>
          <w:color w:val="auto"/>
          <w:highlight w:val="none"/>
        </w:rPr>
      </w:r>
      <w:r/>
    </w:p>
    <w:p>
      <w:pPr>
        <w:pStyle w:val="822"/>
        <w:ind w:firstLine="3120"/>
        <w:jc w:val="left"/>
        <w:spacing w:line="360" w:lineRule="auto"/>
        <w:widowControl w:val="off"/>
        <w:rPr>
          <w:rStyle w:val="1097"/>
          <w:rFonts w:hint="eastAsia" w:ascii="仿宋" w:hAnsi="仿宋" w:eastAsia="仿宋" w:cs="仿宋"/>
          <w:color w:val="auto"/>
          <w:highlight w:val="none"/>
        </w:rPr>
      </w:pPr>
      <w:r>
        <w:rPr>
          <w:rStyle w:val="1097"/>
          <w:rFonts w:hint="eastAsia" w:ascii="仿宋" w:hAnsi="仿宋" w:eastAsia="仿宋" w:cs="仿宋"/>
          <w:color w:val="auto"/>
          <w:highlight w:val="none"/>
        </w:rPr>
        <w:t xml:space="preserve">    供应商：（</w:t>
      </w:r>
      <w:r>
        <w:rPr>
          <w:rStyle w:val="1097"/>
          <w:rFonts w:hint="eastAsia" w:ascii="仿宋" w:hAnsi="仿宋" w:eastAsia="仿宋" w:cs="仿宋"/>
          <w:color w:val="auto"/>
          <w:szCs w:val="24"/>
          <w:highlight w:val="none"/>
        </w:rPr>
        <w:t xml:space="preserve">电子签章</w:t>
      </w:r>
      <w:r>
        <w:rPr>
          <w:rStyle w:val="1097"/>
          <w:rFonts w:hint="eastAsia" w:ascii="仿宋" w:hAnsi="仿宋" w:eastAsia="仿宋" w:cs="仿宋"/>
          <w:color w:val="auto"/>
          <w:highlight w:val="none"/>
        </w:rPr>
        <w:t xml:space="preserve">）</w:t>
      </w:r>
      <w:r/>
    </w:p>
    <w:p>
      <w:pPr>
        <w:pStyle w:val="822"/>
        <w:ind w:firstLine="480"/>
        <w:jc w:val="left"/>
        <w:spacing w:line="360" w:lineRule="auto"/>
        <w:widowControl w:val="off"/>
        <w:rPr>
          <w:rStyle w:val="1097"/>
          <w:rFonts w:hint="eastAsia" w:ascii="仿宋" w:hAnsi="仿宋" w:eastAsia="仿宋" w:cs="仿宋"/>
          <w:color w:val="auto"/>
          <w:highlight w:val="none"/>
        </w:rPr>
      </w:pPr>
      <w:r>
        <w:rPr>
          <w:rStyle w:val="1097"/>
          <w:rFonts w:hint="eastAsia" w:ascii="仿宋" w:hAnsi="仿宋" w:eastAsia="仿宋" w:cs="仿宋"/>
          <w:color w:val="auto"/>
          <w:highlight w:val="none"/>
        </w:rPr>
        <w:t xml:space="preserve">                        </w:t>
      </w:r>
      <w:r/>
    </w:p>
    <w:p>
      <w:pPr>
        <w:pStyle w:val="822"/>
        <w:ind w:firstLine="3600"/>
        <w:jc w:val="left"/>
        <w:spacing w:line="360" w:lineRule="auto"/>
        <w:widowControl w:val="off"/>
        <w:rPr>
          <w:rStyle w:val="1097"/>
          <w:rFonts w:hint="eastAsia" w:ascii="仿宋" w:hAnsi="仿宋" w:eastAsia="仿宋" w:cs="仿宋"/>
          <w:color w:val="auto"/>
          <w:highlight w:val="none"/>
        </w:rPr>
      </w:pPr>
      <w:r>
        <w:rPr>
          <w:rStyle w:val="1097"/>
          <w:rFonts w:hint="eastAsia" w:ascii="仿宋" w:hAnsi="仿宋" w:eastAsia="仿宋" w:cs="仿宋"/>
          <w:color w:val="auto"/>
          <w:highlight w:val="none"/>
        </w:rPr>
        <w:t xml:space="preserve">日期：  </w:t>
      </w:r>
      <w:r/>
    </w:p>
    <w:p>
      <w:pPr>
        <w:pStyle w:val="822"/>
        <w:jc w:val="center"/>
        <w:spacing w:line="360" w:lineRule="auto"/>
        <w:widowControl w:val="off"/>
        <w:rPr>
          <w:rFonts w:hint="eastAsia" w:ascii="仿宋" w:hAnsi="仿宋" w:eastAsia="仿宋" w:cs="仿宋"/>
          <w:color w:val="auto"/>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仿宋" w:hAnsi="仿宋" w:eastAsia="仿宋" w:cs="仿宋"/>
          <w:color w:val="auto"/>
          <w:highlight w:val="none"/>
        </w:rPr>
      </w:r>
      <w:r/>
    </w:p>
    <w:p>
      <w:pPr>
        <w:pStyle w:val="831"/>
        <w:ind w:left="0"/>
        <w:spacing w:after="0" w:line="360" w:lineRule="auto"/>
        <w:rPr>
          <w:rFonts w:hint="eastAsia" w:ascii="仿宋" w:hAnsi="仿宋" w:eastAsia="仿宋" w:cs="仿宋"/>
          <w:color w:val="auto"/>
          <w:sz w:val="24"/>
          <w:highlight w:val="none"/>
        </w:rPr>
      </w:pPr>
      <w:r>
        <w:rPr>
          <w:rFonts w:hint="eastAsia" w:ascii="仿宋" w:hAnsi="仿宋" w:eastAsia="仿宋" w:cs="仿宋"/>
          <w:color w:val="auto"/>
          <w:highlight w:val="none"/>
        </w:rPr>
        <w:t xml:space="preserve"> </w:t>
      </w:r>
      <w:r>
        <w:rPr>
          <w:rFonts w:hint="eastAsia" w:ascii="仿宋" w:hAnsi="仿宋" w:eastAsia="仿宋" w:cs="仿宋"/>
          <w:color w:val="auto"/>
          <w:sz w:val="24"/>
          <w:highlight w:val="none"/>
        </w:rPr>
        <w:t xml:space="preserve">说明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831"/>
        <w:ind w:left="0" w:firstLine="482"/>
        <w:spacing w:after="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2、从业人员、营业收入、资产总额填报响应供应商上一年度数据，无上一年度数据的新成立企业可不填报。</w:t>
      </w:r>
      <w:r/>
    </w:p>
    <w:p>
      <w:pPr>
        <w:pStyle w:val="831"/>
        <w:ind w:left="0" w:firstLine="482"/>
        <w:spacing w:after="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3、成交供应商为中型、小型、微型企业的，采购人或者其委托的采购代理机构有权随中标、成交结果同时公告其《中小企业声明函》，接受社会监督。</w:t>
      </w:r>
      <w:r/>
    </w:p>
    <w:p>
      <w:pPr>
        <w:pStyle w:val="831"/>
        <w:ind w:left="0" w:firstLine="482"/>
        <w:spacing w:after="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4、执行江苏省财政厅关于进一步加大政府采购支持中小企业力度的通知（苏财购〔2022〕45号）的规定。</w:t>
      </w:r>
      <w:r/>
    </w:p>
    <w:p>
      <w:pPr>
        <w:pStyle w:val="831"/>
        <w:ind w:left="0" w:firstLine="482"/>
        <w:spacing w:after="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5、响应供应商提供的《中小企业声明函》与事实不符的，依照《中华人民共和国政府采购法》第七十七条第一款的规定追究法律责任。</w:t>
      </w:r>
      <w:r/>
    </w:p>
    <w:p>
      <w:pPr>
        <w:pStyle w:val="1086"/>
        <w:ind w:firstLine="480"/>
        <w:spacing w:beforeAutospacing="0" w:afterAutospacing="0" w:line="360" w:lineRule="auto"/>
        <w:rPr>
          <w:rFonts w:hint="eastAsia" w:ascii="仿宋" w:hAnsi="仿宋" w:eastAsia="仿宋" w:cs="仿宋"/>
          <w:color w:val="auto"/>
          <w:sz w:val="22"/>
          <w:szCs w:val="22"/>
          <w:highlight w:val="none"/>
        </w:rPr>
      </w:pPr>
      <w:r>
        <w:rPr>
          <w:rFonts w:hint="eastAsia" w:ascii="仿宋" w:hAnsi="仿宋" w:eastAsia="仿宋" w:cs="仿宋"/>
          <w:b/>
          <w:bCs/>
          <w:color w:val="auto"/>
          <w:highlight w:val="none"/>
        </w:rPr>
        <w:t xml:space="preserve">6、《中小企业声明函》查询渠道用微信搜索“中小企业规模类型自测小程序”。</w:t>
      </w:r>
      <w:r/>
    </w:p>
    <w:p>
      <w:pPr>
        <w:pStyle w:val="1086"/>
        <w:jc w:val="center"/>
        <w:spacing w:beforeAutospacing="0" w:afterAutospacing="0" w:line="360" w:lineRule="auto"/>
        <w:rPr>
          <w:rFonts w:hint="eastAsia" w:ascii="仿宋" w:hAnsi="仿宋" w:eastAsia="仿宋" w:cs="仿宋"/>
          <w:color w:val="auto"/>
          <w:sz w:val="30"/>
          <w:szCs w:val="30"/>
          <w:highlight w:val="none"/>
        </w:rPr>
        <w:sectPr>
          <w:headerReference w:type="default" r:id="rId9"/>
          <w:footerReference w:type="even" r:id="rId13"/>
          <w:footnotePr/>
          <w:endnotePr/>
          <w:type w:val="nextPage"/>
          <w:pgSz w:w="11906" w:h="16838" w:orient="portrait"/>
          <w:pgMar w:top="1440" w:right="1080" w:bottom="1440" w:left="1080" w:header="851" w:footer="992" w:gutter="0"/>
          <w:cols w:num="1" w:sep="0" w:space="1701" w:equalWidth="1"/>
          <w:docGrid w:linePitch="360"/>
        </w:sectPr>
      </w:pPr>
      <w:r>
        <w:rPr>
          <w:rFonts w:hint="eastAsia" w:ascii="仿宋" w:hAnsi="仿宋" w:eastAsia="仿宋" w:cs="仿宋"/>
          <w:color w:val="auto"/>
          <w:highlight w:val="none"/>
        </w:rPr>
        <mc:AlternateContent>
          <mc:Choice Requires="wpg">
            <w:drawing>
              <wp:inline xmlns:wp="http://schemas.openxmlformats.org/drawingml/2006/wordprocessingDrawing" distT="0" distB="0" distL="0" distR="0">
                <wp:extent cx="1887855" cy="4225925"/>
                <wp:effectExtent l="0" t="0" r="17145" b="3175"/>
                <wp:docPr id="10" name="图片 16"/>
                <wp:cNvGraphicFramePr/>
                <a:graphic xmlns:a="http://schemas.openxmlformats.org/drawingml/2006/main">
                  <a:graphicData uri="http://schemas.openxmlformats.org/drawingml/2006/picture">
                    <pic:pic xmlns:pic="http://schemas.openxmlformats.org/drawingml/2006/picture">
                      <pic:nvPicPr>
                        <pic:cNvPr id="10" name="图片 16"/>
                        <pic:cNvPicPr/>
                        <pic:nvPr/>
                      </pic:nvPicPr>
                      <pic:blipFill>
                        <a:blip r:embed="rId22"/>
                        <a:srcRect l="0" t="4825" r="0" b="0"/>
                        <a:stretch/>
                      </pic:blipFill>
                      <pic:spPr bwMode="auto">
                        <a:xfrm>
                          <a:off x="0" y="0"/>
                          <a:ext cx="1887855" cy="4225925"/>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48.7pt;height:332.8pt;mso-wrap-distance-left:0.0pt;mso-wrap-distance-top:0.0pt;mso-wrap-distance-right:0.0pt;mso-wrap-distance-bottom:0.0pt;" stroked="f">
                <v:path textboxrect="0,0,0,0"/>
                <v:imagedata r:id="rId22" o:title=""/>
              </v:shape>
            </w:pict>
          </mc:Fallback>
        </mc:AlternateContent>
      </w:r>
      <w:r/>
    </w:p>
    <w:p>
      <w:pPr>
        <w:pStyle w:val="822"/>
        <w:jc w:val="center"/>
        <w:spacing w:line="360" w:lineRule="auto"/>
        <w:widowControl w:val="off"/>
        <w:rPr>
          <w:rStyle w:val="1097"/>
          <w:rFonts w:hint="eastAsia" w:ascii="仿宋" w:hAnsi="仿宋" w:eastAsia="仿宋" w:cs="仿宋"/>
          <w:color w:val="auto"/>
          <w:sz w:val="28"/>
          <w:highlight w:val="none"/>
        </w:rPr>
        <w:outlineLvl w:val="1"/>
      </w:pPr>
      <w:r/>
      <w:bookmarkStart w:id="63" w:name="_Toc17432"/>
      <w:r/>
      <w:bookmarkStart w:id="64" w:name="_Toc15197"/>
      <w:r/>
      <w:bookmarkStart w:id="65" w:name="_Toc80122308"/>
      <w:r/>
      <w:bookmarkStart w:id="66" w:name="_Toc1477"/>
      <w:r>
        <w:rPr>
          <w:rStyle w:val="1097"/>
          <w:rFonts w:hint="eastAsia" w:ascii="仿宋" w:hAnsi="仿宋" w:eastAsia="仿宋" w:cs="仿宋"/>
          <w:b/>
          <w:bCs/>
          <w:color w:val="auto"/>
          <w:sz w:val="28"/>
          <w:highlight w:val="none"/>
        </w:rPr>
        <w:t xml:space="preserve">九、</w:t>
      </w:r>
      <w:bookmarkStart w:id="67" w:name="OLE_LINK6"/>
      <w:r>
        <w:rPr>
          <w:rStyle w:val="1097"/>
          <w:rFonts w:hint="eastAsia" w:ascii="仿宋" w:hAnsi="仿宋" w:eastAsia="仿宋" w:cs="仿宋"/>
          <w:b/>
          <w:bCs/>
          <w:color w:val="auto"/>
          <w:sz w:val="28"/>
          <w:highlight w:val="none"/>
        </w:rPr>
        <w:t xml:space="preserve">残疾人福利性单位</w:t>
      </w:r>
      <w:bookmarkEnd w:id="67"/>
      <w:r>
        <w:rPr>
          <w:rStyle w:val="1097"/>
          <w:rFonts w:hint="eastAsia" w:ascii="仿宋" w:hAnsi="仿宋" w:eastAsia="仿宋" w:cs="仿宋"/>
          <w:b/>
          <w:bCs/>
          <w:color w:val="auto"/>
          <w:sz w:val="28"/>
          <w:highlight w:val="none"/>
        </w:rPr>
        <w:t xml:space="preserve">声明函</w:t>
      </w:r>
      <w:bookmarkEnd w:id="63"/>
      <w:r/>
      <w:bookmarkEnd w:id="64"/>
      <w:r/>
      <w:bookmarkEnd w:id="65"/>
      <w:r>
        <w:rPr>
          <w:rStyle w:val="1097"/>
          <w:rFonts w:hint="eastAsia" w:ascii="仿宋" w:hAnsi="仿宋" w:eastAsia="仿宋" w:cs="仿宋"/>
          <w:b/>
          <w:bCs/>
          <w:color w:val="auto"/>
          <w:sz w:val="28"/>
          <w:highlight w:val="none"/>
        </w:rPr>
        <w:t xml:space="preserve">（非残疾人福利性单位可以不提供）</w:t>
      </w:r>
      <w:bookmarkEnd w:id="66"/>
      <w:r/>
      <w:r/>
    </w:p>
    <w:p>
      <w:pPr>
        <w:pStyle w:val="822"/>
        <w:jc w:val="left"/>
        <w:spacing w:line="360" w:lineRule="auto"/>
        <w:widowControl w:val="off"/>
        <w:rPr>
          <w:rStyle w:val="1097"/>
          <w:rFonts w:hint="eastAsia" w:ascii="仿宋" w:hAnsi="仿宋" w:eastAsia="仿宋" w:cs="仿宋"/>
          <w:color w:val="auto"/>
          <w:highlight w:val="none"/>
        </w:rPr>
      </w:pPr>
      <w:r>
        <w:rPr>
          <w:rStyle w:val="1097"/>
          <w:rFonts w:hint="eastAsia" w:ascii="仿宋" w:hAnsi="仿宋" w:eastAsia="仿宋" w:cs="仿宋"/>
          <w:color w:val="auto"/>
          <w:highlight w:val="none"/>
        </w:rPr>
        <w:t xml:space="preserve">项目名称：</w:t>
      </w:r>
      <w:r/>
    </w:p>
    <w:p>
      <w:pPr>
        <w:pStyle w:val="822"/>
        <w:jc w:val="left"/>
        <w:spacing w:line="360" w:lineRule="auto"/>
        <w:widowControl w:val="off"/>
        <w:rPr>
          <w:rStyle w:val="1097"/>
          <w:rFonts w:hint="eastAsia" w:ascii="仿宋" w:hAnsi="仿宋" w:eastAsia="仿宋" w:cs="仿宋"/>
          <w:color w:val="auto"/>
          <w:highlight w:val="none"/>
        </w:rPr>
      </w:pPr>
      <w:r>
        <w:rPr>
          <w:rStyle w:val="1097"/>
          <w:rFonts w:hint="eastAsia" w:ascii="仿宋" w:hAnsi="仿宋" w:eastAsia="仿宋" w:cs="仿宋"/>
          <w:color w:val="auto"/>
          <w:highlight w:val="none"/>
        </w:rPr>
        <w:t xml:space="preserve">项目编号：</w:t>
      </w:r>
      <w:r/>
    </w:p>
    <w:p>
      <w:pPr>
        <w:pStyle w:val="822"/>
        <w:ind w:firstLine="504"/>
        <w:jc w:val="left"/>
        <w:spacing w:line="360" w:lineRule="auto"/>
        <w:widowControl w:val="off"/>
        <w:rPr>
          <w:rStyle w:val="1097"/>
          <w:rFonts w:hint="eastAsia" w:ascii="仿宋" w:hAnsi="仿宋" w:eastAsia="仿宋" w:cs="仿宋"/>
          <w:color w:val="auto"/>
          <w:spacing w:val="6"/>
          <w:highlight w:val="none"/>
        </w:rPr>
      </w:pPr>
      <w:r>
        <w:rPr>
          <w:rStyle w:val="1097"/>
          <w:rFonts w:hint="eastAsia" w:ascii="仿宋" w:hAnsi="仿宋" w:eastAsia="仿宋" w:cs="仿宋"/>
          <w:color w:val="auto"/>
          <w:spacing w:val="6"/>
          <w:highlight w:val="none"/>
        </w:rPr>
        <w:t xml:space="preserve">本单位郑重声明，根据《财政部民政部中国残疾人联合会关于促进残疾人就业政府采购政策的通知》（财库</w:t>
      </w:r>
      <w:r>
        <w:rPr>
          <w:rStyle w:val="1097"/>
          <w:rFonts w:hint="eastAsia" w:ascii="仿宋" w:hAnsi="仿宋" w:eastAsia="仿宋" w:cs="仿宋"/>
          <w:color w:val="auto"/>
          <w:highlight w:val="none"/>
        </w:rPr>
        <w:t xml:space="preserve">〔2017〕141</w:t>
      </w:r>
      <w:r>
        <w:rPr>
          <w:rStyle w:val="1097"/>
          <w:rFonts w:hint="eastAsia" w:ascii="仿宋" w:hAnsi="仿宋" w:eastAsia="仿宋" w:cs="仿宋"/>
          <w:color w:val="auto"/>
          <w:spacing w:val="6"/>
          <w:highlight w:val="none"/>
        </w:rPr>
        <w:t xml:space="preserve">号）的规定，本单位为符合条件的残疾人福利性单位，且本单位参加</w:t>
      </w:r>
      <w:r>
        <w:rPr>
          <w:rStyle w:val="1097"/>
          <w:rFonts w:hint="eastAsia" w:ascii="仿宋" w:hAnsi="仿宋" w:eastAsia="仿宋" w:cs="仿宋"/>
          <w:color w:val="auto"/>
          <w:highlight w:val="none"/>
        </w:rPr>
        <w:t xml:space="preserve">______</w:t>
      </w:r>
      <w:r>
        <w:rPr>
          <w:rStyle w:val="1097"/>
          <w:rFonts w:hint="eastAsia" w:ascii="仿宋" w:hAnsi="仿宋" w:eastAsia="仿宋" w:cs="仿宋"/>
          <w:color w:val="auto"/>
          <w:spacing w:val="6"/>
          <w:highlight w:val="none"/>
        </w:rPr>
        <w:t xml:space="preserve">单位的</w:t>
      </w:r>
      <w:r>
        <w:rPr>
          <w:rStyle w:val="1097"/>
          <w:rFonts w:hint="eastAsia" w:ascii="仿宋" w:hAnsi="仿宋" w:eastAsia="仿宋" w:cs="仿宋"/>
          <w:color w:val="auto"/>
          <w:highlight w:val="none"/>
        </w:rPr>
        <w:t xml:space="preserve">______</w:t>
      </w:r>
      <w:r>
        <w:rPr>
          <w:rStyle w:val="1097"/>
          <w:rFonts w:hint="eastAsia" w:ascii="仿宋" w:hAnsi="仿宋" w:eastAsia="仿宋" w:cs="仿宋"/>
          <w:color w:val="auto"/>
          <w:spacing w:val="6"/>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822"/>
        <w:ind w:firstLine="504"/>
        <w:jc w:val="left"/>
        <w:spacing w:line="360" w:lineRule="auto"/>
        <w:widowControl w:val="off"/>
        <w:rPr>
          <w:rStyle w:val="1097"/>
          <w:rFonts w:hint="eastAsia" w:ascii="仿宋" w:hAnsi="仿宋" w:eastAsia="仿宋" w:cs="仿宋"/>
          <w:color w:val="auto"/>
          <w:spacing w:val="6"/>
          <w:highlight w:val="none"/>
        </w:rPr>
      </w:pPr>
      <w:r>
        <w:rPr>
          <w:rStyle w:val="1097"/>
          <w:rFonts w:hint="eastAsia" w:ascii="仿宋" w:hAnsi="仿宋" w:eastAsia="仿宋" w:cs="仿宋"/>
          <w:color w:val="auto"/>
          <w:spacing w:val="6"/>
          <w:highlight w:val="none"/>
        </w:rPr>
        <w:t xml:space="preserve">本单位对上述声明的真实性负责。如有虚假，将依法承担相应责任。</w:t>
      </w:r>
      <w:r/>
    </w:p>
    <w:p>
      <w:pPr>
        <w:pStyle w:val="822"/>
        <w:ind w:firstLine="504"/>
        <w:jc w:val="left"/>
        <w:spacing w:line="360" w:lineRule="auto"/>
        <w:widowControl w:val="off"/>
        <w:rPr>
          <w:rStyle w:val="1097"/>
          <w:rFonts w:hint="eastAsia" w:ascii="仿宋" w:hAnsi="仿宋" w:eastAsia="仿宋" w:cs="仿宋"/>
          <w:color w:val="auto"/>
          <w:spacing w:val="6"/>
          <w:highlight w:val="none"/>
        </w:rPr>
      </w:pPr>
      <w:r>
        <w:rPr>
          <w:rFonts w:hint="eastAsia" w:ascii="仿宋" w:hAnsi="仿宋" w:eastAsia="仿宋" w:cs="仿宋"/>
          <w:color w:val="auto"/>
          <w:spacing w:val="6"/>
          <w:highlight w:val="none"/>
        </w:rPr>
      </w:r>
      <w:r/>
    </w:p>
    <w:p>
      <w:pPr>
        <w:pStyle w:val="822"/>
        <w:ind w:firstLine="504"/>
        <w:jc w:val="left"/>
        <w:spacing w:line="360" w:lineRule="auto"/>
        <w:widowControl w:val="off"/>
        <w:rPr>
          <w:rStyle w:val="1097"/>
          <w:rFonts w:hint="eastAsia" w:ascii="仿宋" w:hAnsi="仿宋" w:eastAsia="仿宋" w:cs="仿宋"/>
          <w:color w:val="auto"/>
          <w:spacing w:val="6"/>
          <w:highlight w:val="none"/>
        </w:rPr>
      </w:pPr>
      <w:r>
        <w:rPr>
          <w:rFonts w:hint="eastAsia" w:ascii="仿宋" w:hAnsi="仿宋" w:eastAsia="仿宋" w:cs="仿宋"/>
          <w:color w:val="auto"/>
          <w:spacing w:val="6"/>
          <w:highlight w:val="none"/>
        </w:rPr>
      </w:r>
      <w:r/>
    </w:p>
    <w:p>
      <w:pPr>
        <w:pStyle w:val="822"/>
        <w:ind w:firstLine="4560"/>
        <w:jc w:val="left"/>
        <w:spacing w:line="360" w:lineRule="auto"/>
        <w:widowControl w:val="off"/>
        <w:rPr>
          <w:rStyle w:val="1097"/>
          <w:rFonts w:hint="eastAsia" w:ascii="仿宋" w:hAnsi="仿宋" w:eastAsia="仿宋" w:cs="仿宋"/>
          <w:color w:val="auto"/>
          <w:highlight w:val="none"/>
        </w:rPr>
      </w:pPr>
      <w:r>
        <w:rPr>
          <w:rStyle w:val="1097"/>
          <w:rFonts w:hint="eastAsia" w:ascii="仿宋" w:hAnsi="仿宋" w:eastAsia="仿宋" w:cs="仿宋"/>
          <w:color w:val="auto"/>
          <w:highlight w:val="none"/>
        </w:rPr>
        <w:t xml:space="preserve">供应商：（</w:t>
      </w:r>
      <w:r>
        <w:rPr>
          <w:rStyle w:val="1097"/>
          <w:rFonts w:hint="eastAsia" w:ascii="仿宋" w:hAnsi="仿宋" w:eastAsia="仿宋" w:cs="仿宋"/>
          <w:color w:val="auto"/>
          <w:szCs w:val="24"/>
          <w:highlight w:val="none"/>
        </w:rPr>
        <w:t xml:space="preserve">电子签章</w:t>
      </w:r>
      <w:r>
        <w:rPr>
          <w:rStyle w:val="1097"/>
          <w:rFonts w:hint="eastAsia" w:ascii="仿宋" w:hAnsi="仿宋" w:eastAsia="仿宋" w:cs="仿宋"/>
          <w:color w:val="auto"/>
          <w:highlight w:val="none"/>
        </w:rPr>
        <w:t xml:space="preserve">）</w:t>
      </w:r>
      <w:r/>
    </w:p>
    <w:p>
      <w:pPr>
        <w:pStyle w:val="822"/>
        <w:ind w:firstLine="480"/>
        <w:jc w:val="left"/>
        <w:spacing w:line="360" w:lineRule="auto"/>
        <w:widowControl w:val="off"/>
        <w:rPr>
          <w:rStyle w:val="1097"/>
          <w:rFonts w:hint="eastAsia" w:ascii="仿宋" w:hAnsi="仿宋" w:eastAsia="仿宋" w:cs="仿宋"/>
          <w:color w:val="auto"/>
          <w:highlight w:val="none"/>
        </w:rPr>
      </w:pPr>
      <w:r>
        <w:rPr>
          <w:rStyle w:val="1097"/>
          <w:rFonts w:hint="eastAsia" w:ascii="仿宋" w:hAnsi="仿宋" w:eastAsia="仿宋" w:cs="仿宋"/>
          <w:color w:val="auto"/>
          <w:highlight w:val="none"/>
        </w:rPr>
        <w:t xml:space="preserve">                               </w:t>
      </w:r>
      <w:r/>
    </w:p>
    <w:p>
      <w:pPr>
        <w:pStyle w:val="822"/>
        <w:ind w:firstLine="480"/>
        <w:jc w:val="left"/>
        <w:spacing w:line="360" w:lineRule="auto"/>
        <w:widowControl w:val="off"/>
        <w:rPr>
          <w:rFonts w:hint="eastAsia" w:ascii="仿宋" w:hAnsi="仿宋" w:eastAsia="仿宋" w:cs="仿宋"/>
          <w:color w:val="auto"/>
          <w:sz w:val="24"/>
          <w:highlight w:val="none"/>
        </w:rPr>
      </w:pPr>
      <w:r>
        <w:rPr>
          <w:rStyle w:val="1097"/>
          <w:rFonts w:hint="eastAsia" w:ascii="仿宋" w:hAnsi="仿宋" w:eastAsia="仿宋" w:cs="仿宋"/>
          <w:color w:val="auto"/>
          <w:highlight w:val="none"/>
        </w:rPr>
        <w:t xml:space="preserve">                                  日期：  </w:t>
      </w:r>
      <w:r/>
    </w:p>
    <w:p>
      <w:pPr>
        <w:pStyle w:val="822"/>
        <w:jc w:val="center"/>
        <w:spacing w:line="360" w:lineRule="auto"/>
        <w:widowControl w:val="off"/>
        <w:rPr>
          <w:rStyle w:val="1097"/>
          <w:rFonts w:hint="eastAsia" w:ascii="仿宋" w:hAnsi="仿宋" w:eastAsia="仿宋" w:cs="仿宋"/>
          <w:color w:val="auto"/>
          <w:szCs w:val="24"/>
          <w:highlight w:val="none"/>
        </w:rPr>
        <w:sectPr>
          <w:headerReference w:type="default" r:id="rId10"/>
          <w:footerReference w:type="default" r:id="rId14"/>
          <w:footnotePr/>
          <w:endnotePr/>
          <w:type w:val="nextPage"/>
          <w:pgSz w:w="11906" w:h="16838" w:orient="portrait"/>
          <w:pgMar w:top="1440" w:right="1080" w:bottom="1440" w:left="1080" w:header="851" w:footer="992" w:gutter="0"/>
          <w:cols w:num="1" w:sep="0" w:space="1701" w:equalWidth="1"/>
          <w:docGrid w:linePitch="360"/>
        </w:sectPr>
      </w:pPr>
      <w:r>
        <w:rPr>
          <w:rFonts w:hint="eastAsia" w:ascii="仿宋" w:hAnsi="仿宋" w:eastAsia="仿宋" w:cs="仿宋"/>
          <w:color w:val="auto"/>
          <w:szCs w:val="24"/>
          <w:highlight w:val="none"/>
        </w:rPr>
      </w:r>
      <w:r/>
    </w:p>
    <w:p>
      <w:pPr>
        <w:pStyle w:val="1067"/>
        <w:jc w:val="center"/>
        <w:keepLines w:val="0"/>
        <w:keepNext w:val="0"/>
        <w:spacing w:before="0" w:after="0" w:line="360" w:lineRule="auto"/>
        <w:widowControl w:val="off"/>
        <w:rPr>
          <w:rStyle w:val="1097"/>
          <w:rFonts w:hint="eastAsia" w:ascii="仿宋" w:hAnsi="仿宋" w:eastAsia="仿宋" w:cs="仿宋"/>
          <w:color w:val="auto"/>
          <w:sz w:val="28"/>
          <w:highlight w:val="none"/>
        </w:rPr>
      </w:pPr>
      <w:r/>
      <w:bookmarkStart w:id="68" w:name="_Toc4999"/>
      <w:r/>
      <w:bookmarkStart w:id="69" w:name="_Toc4352"/>
      <w:r/>
      <w:bookmarkStart w:id="70" w:name="_Toc5658"/>
      <w:r/>
      <w:bookmarkStart w:id="71" w:name="_Toc80122309"/>
      <w:r>
        <w:rPr>
          <w:rStyle w:val="1097"/>
          <w:rFonts w:hint="eastAsia" w:ascii="仿宋" w:hAnsi="仿宋" w:eastAsia="仿宋" w:cs="仿宋"/>
          <w:color w:val="auto"/>
          <w:sz w:val="28"/>
          <w:highlight w:val="none"/>
        </w:rPr>
        <w:t xml:space="preserve">十、供应商参加政府采购活动前三年内在经营活动中没有重大违法记录的书面声明</w:t>
      </w:r>
      <w:bookmarkEnd w:id="68"/>
      <w:r/>
      <w:bookmarkEnd w:id="69"/>
      <w:r/>
      <w:bookmarkEnd w:id="70"/>
      <w:r/>
      <w:bookmarkEnd w:id="71"/>
      <w:r/>
      <w:r/>
    </w:p>
    <w:p>
      <w:pPr>
        <w:pStyle w:val="822"/>
        <w:jc w:val="left"/>
        <w:spacing w:line="360" w:lineRule="auto"/>
        <w:widowControl w:val="off"/>
        <w:rPr>
          <w:rStyle w:val="1097"/>
          <w:rFonts w:hint="eastAsia" w:ascii="仿宋" w:hAnsi="仿宋" w:eastAsia="仿宋" w:cs="仿宋"/>
          <w:color w:val="auto"/>
          <w:highlight w:val="none"/>
        </w:rPr>
      </w:pPr>
      <w:r>
        <w:rPr>
          <w:rFonts w:hint="eastAsia" w:ascii="仿宋" w:hAnsi="仿宋" w:eastAsia="仿宋" w:cs="仿宋"/>
          <w:color w:val="auto"/>
          <w:highlight w:val="none"/>
        </w:rPr>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Style w:val="1097"/>
          <w:rFonts w:hint="eastAsia" w:ascii="仿宋" w:hAnsi="仿宋" w:eastAsia="仿宋" w:cs="仿宋"/>
          <w:color w:val="auto"/>
          <w:highlight w:val="none"/>
        </w:rPr>
        <w:t xml:space="preserve">我单位在参加</w:t>
      </w:r>
      <w:r>
        <w:rPr>
          <w:rStyle w:val="1097"/>
          <w:rFonts w:hint="eastAsia" w:ascii="仿宋" w:hAnsi="仿宋" w:eastAsia="仿宋" w:cs="仿宋"/>
          <w:color w:val="auto"/>
          <w:highlight w:val="none"/>
          <w:u w:val="single"/>
        </w:rPr>
        <w:t xml:space="preserve"> </w:t>
      </w:r>
      <w:r>
        <w:rPr>
          <w:rStyle w:val="1097"/>
          <w:rFonts w:hint="eastAsia" w:ascii="仿宋" w:hAnsi="仿宋" w:eastAsia="仿宋" w:cs="仿宋"/>
          <w:color w:val="auto"/>
          <w:highlight w:val="none"/>
          <w:u w:val="single"/>
          <w:lang w:eastAsia="zh-CN"/>
        </w:rPr>
        <w:t xml:space="preserve">黄河东片区道路雨污分流路面修复工程项目</w:t>
      </w:r>
      <w:r>
        <w:rPr>
          <w:rStyle w:val="1097"/>
          <w:rFonts w:hint="eastAsia" w:ascii="仿宋" w:hAnsi="仿宋" w:eastAsia="仿宋" w:cs="仿宋"/>
          <w:color w:val="auto"/>
          <w:highlight w:val="none"/>
          <w:u w:val="single"/>
        </w:rPr>
        <w:t xml:space="preserve"> </w:t>
      </w:r>
      <w:r>
        <w:rPr>
          <w:rStyle w:val="1097"/>
          <w:rFonts w:hint="eastAsia" w:ascii="仿宋" w:hAnsi="仿宋" w:eastAsia="仿宋" w:cs="仿宋"/>
          <w:color w:val="auto"/>
          <w:highlight w:val="none"/>
        </w:rPr>
        <w:t xml:space="preserve">[项目编号：</w:t>
      </w:r>
      <w:r>
        <w:rPr>
          <w:rFonts w:hint="eastAsia" w:ascii="仿宋" w:hAnsi="仿宋" w:eastAsia="仿宋" w:cs="仿宋"/>
          <w:color w:val="auto"/>
          <w:sz w:val="24"/>
          <w:highlight w:val="none"/>
          <w:lang w:eastAsia="zh-CN"/>
        </w:rPr>
        <w:t xml:space="preserve">JSZC-320302-JSSZ-C2026-0052</w:t>
      </w:r>
      <w:r>
        <w:rPr>
          <w:rFonts w:ascii="仿宋" w:hAnsi="仿宋" w:eastAsia="仿宋" w:cs="仿宋"/>
          <w:color w:val="auto"/>
          <w:sz w:val="24"/>
          <w:highlight w:val="none"/>
        </w:rPr>
        <w:t xml:space="preserve"> </w:t>
      </w:r>
      <w:r>
        <w:rPr>
          <w:rStyle w:val="1097"/>
          <w:rFonts w:hint="eastAsia" w:ascii="仿宋" w:hAnsi="仿宋" w:eastAsia="仿宋" w:cs="仿宋"/>
          <w:color w:val="auto"/>
          <w:highlight w:val="none"/>
        </w:rPr>
        <w:t xml:space="preserve">]政府采购活动前三年内在经营活动中没有重大违法记录。重大违法记录是指因违法经营受到刑事处罚或者责令停产停业、吊销许可证或者执照、较大数额罚款等行政处罚。</w:t>
      </w:r>
      <w:r/>
    </w:p>
    <w:p>
      <w:pPr>
        <w:pStyle w:val="822"/>
        <w:ind w:firstLine="480"/>
        <w:jc w:val="left"/>
        <w:spacing w:line="360" w:lineRule="auto"/>
        <w:widowControl w:val="off"/>
        <w:rPr>
          <w:rStyle w:val="1097"/>
          <w:rFonts w:hint="eastAsia" w:ascii="仿宋" w:hAnsi="仿宋" w:eastAsia="仿宋" w:cs="仿宋"/>
          <w:color w:val="auto"/>
          <w:highlight w:val="none"/>
        </w:rPr>
      </w:pPr>
      <w:r>
        <w:rPr>
          <w:rStyle w:val="1097"/>
          <w:rFonts w:hint="eastAsia" w:ascii="仿宋" w:hAnsi="仿宋" w:eastAsia="仿宋" w:cs="仿宋"/>
          <w:color w:val="auto"/>
          <w:highlight w:val="none"/>
        </w:rPr>
        <w:t xml:space="preserve">我单位对上述声明的真实性负责。如有虚假，将依法承担相应责任。</w:t>
      </w:r>
      <w:r/>
    </w:p>
    <w:p>
      <w:pPr>
        <w:pStyle w:val="822"/>
        <w:ind w:firstLine="480"/>
        <w:jc w:val="left"/>
        <w:spacing w:line="360" w:lineRule="auto"/>
        <w:widowControl w:val="off"/>
        <w:rPr>
          <w:rStyle w:val="1097"/>
          <w:rFonts w:hint="eastAsia" w:ascii="仿宋" w:hAnsi="仿宋" w:eastAsia="仿宋" w:cs="仿宋"/>
          <w:color w:val="auto"/>
          <w:highlight w:val="none"/>
        </w:rPr>
      </w:pPr>
      <w:r>
        <w:rPr>
          <w:rFonts w:hint="eastAsia" w:ascii="仿宋" w:hAnsi="仿宋" w:eastAsia="仿宋" w:cs="仿宋"/>
          <w:color w:val="auto"/>
          <w:highlight w:val="none"/>
        </w:rPr>
      </w:r>
      <w:r/>
    </w:p>
    <w:p>
      <w:pPr>
        <w:pStyle w:val="822"/>
        <w:ind w:firstLine="480"/>
        <w:jc w:val="left"/>
        <w:spacing w:line="360" w:lineRule="auto"/>
        <w:widowControl w:val="off"/>
        <w:rPr>
          <w:rStyle w:val="1097"/>
          <w:rFonts w:hint="eastAsia" w:ascii="仿宋" w:hAnsi="仿宋" w:eastAsia="仿宋" w:cs="仿宋"/>
          <w:color w:val="auto"/>
          <w:highlight w:val="none"/>
        </w:rPr>
      </w:pPr>
      <w:r>
        <w:rPr>
          <w:rFonts w:hint="eastAsia" w:ascii="仿宋" w:hAnsi="仿宋" w:eastAsia="仿宋" w:cs="仿宋"/>
          <w:color w:val="auto"/>
          <w:highlight w:val="none"/>
        </w:rPr>
      </w:r>
      <w:r/>
    </w:p>
    <w:p>
      <w:pPr>
        <w:pStyle w:val="822"/>
        <w:ind w:firstLine="480"/>
        <w:jc w:val="left"/>
        <w:spacing w:line="360" w:lineRule="auto"/>
        <w:widowControl w:val="off"/>
        <w:rPr>
          <w:rStyle w:val="1097"/>
          <w:rFonts w:hint="eastAsia" w:ascii="仿宋" w:hAnsi="仿宋" w:eastAsia="仿宋" w:cs="仿宋"/>
          <w:color w:val="auto"/>
          <w:highlight w:val="none"/>
        </w:rPr>
      </w:pPr>
      <w:r>
        <w:rPr>
          <w:rStyle w:val="1097"/>
          <w:rFonts w:hint="eastAsia" w:ascii="仿宋" w:hAnsi="仿宋" w:eastAsia="仿宋" w:cs="仿宋"/>
          <w:color w:val="auto"/>
          <w:highlight w:val="none"/>
        </w:rPr>
        <w:t xml:space="preserve">                           供应商（</w:t>
      </w:r>
      <w:r>
        <w:rPr>
          <w:rStyle w:val="1097"/>
          <w:rFonts w:hint="eastAsia" w:ascii="仿宋" w:hAnsi="仿宋" w:eastAsia="仿宋" w:cs="仿宋"/>
          <w:color w:val="auto"/>
          <w:szCs w:val="24"/>
          <w:highlight w:val="none"/>
        </w:rPr>
        <w:t xml:space="preserve">电子签章</w:t>
      </w:r>
      <w:r>
        <w:rPr>
          <w:rStyle w:val="1097"/>
          <w:rFonts w:hint="eastAsia" w:ascii="仿宋" w:hAnsi="仿宋" w:eastAsia="仿宋" w:cs="仿宋"/>
          <w:color w:val="auto"/>
          <w:highlight w:val="none"/>
        </w:rPr>
        <w:t xml:space="preserve">）：</w:t>
      </w:r>
      <w:r/>
    </w:p>
    <w:p>
      <w:pPr>
        <w:pStyle w:val="822"/>
        <w:ind w:firstLine="480"/>
        <w:jc w:val="left"/>
        <w:spacing w:line="360" w:lineRule="auto"/>
        <w:widowControl w:val="off"/>
        <w:rPr>
          <w:rStyle w:val="1097"/>
          <w:rFonts w:hint="eastAsia" w:ascii="仿宋" w:hAnsi="仿宋" w:eastAsia="仿宋" w:cs="仿宋"/>
          <w:color w:val="auto"/>
          <w:highlight w:val="none"/>
        </w:rPr>
      </w:pPr>
      <w:r>
        <w:rPr>
          <w:rStyle w:val="1097"/>
          <w:rFonts w:hint="eastAsia" w:ascii="仿宋" w:hAnsi="仿宋" w:eastAsia="仿宋" w:cs="仿宋"/>
          <w:color w:val="auto"/>
          <w:highlight w:val="none"/>
        </w:rPr>
        <w:t xml:space="preserve">                </w:t>
      </w:r>
      <w:r/>
    </w:p>
    <w:p>
      <w:pPr>
        <w:pStyle w:val="822"/>
        <w:jc w:val="left"/>
        <w:spacing w:line="360" w:lineRule="auto"/>
        <w:widowControl w:val="off"/>
        <w:rPr>
          <w:rFonts w:hint="eastAsia" w:ascii="仿宋" w:hAnsi="仿宋" w:eastAsia="仿宋" w:cs="仿宋"/>
          <w:color w:val="auto"/>
          <w:sz w:val="24"/>
          <w:highlight w:val="none"/>
        </w:rPr>
      </w:pPr>
      <w:r>
        <w:rPr>
          <w:rStyle w:val="1097"/>
          <w:rFonts w:hint="eastAsia" w:ascii="仿宋" w:hAnsi="仿宋" w:eastAsia="仿宋" w:cs="仿宋"/>
          <w:color w:val="auto"/>
          <w:highlight w:val="none"/>
        </w:rPr>
        <w:t xml:space="preserve">                               日期： </w:t>
      </w:r>
      <w:r/>
    </w:p>
    <w:p>
      <w:pPr>
        <w:pStyle w:val="822"/>
        <w:jc w:val="left"/>
        <w:spacing w:line="360" w:lineRule="auto"/>
        <w:widowControl w:val="off"/>
        <w:rPr>
          <w:rStyle w:val="1097"/>
          <w:rFonts w:hint="eastAsia" w:ascii="仿宋" w:hAnsi="仿宋" w:eastAsia="仿宋" w:cs="仿宋"/>
          <w:color w:val="auto"/>
          <w:highlight w:val="none"/>
        </w:rPr>
      </w:pPr>
      <w:r>
        <w:rPr>
          <w:rFonts w:hint="eastAsia" w:ascii="仿宋" w:hAnsi="仿宋" w:eastAsia="仿宋" w:cs="仿宋"/>
          <w:color w:val="auto"/>
          <w:highlight w:val="none"/>
        </w:rPr>
      </w:r>
      <w:r/>
    </w:p>
    <w:p>
      <w:pPr>
        <w:pStyle w:val="1067"/>
        <w:jc w:val="center"/>
        <w:keepLines w:val="0"/>
        <w:keepNext w:val="0"/>
        <w:spacing w:before="0" w:after="0" w:line="360" w:lineRule="auto"/>
        <w:widowControl w:val="off"/>
        <w:rPr>
          <w:rStyle w:val="1097"/>
          <w:rFonts w:hint="eastAsia" w:ascii="仿宋" w:hAnsi="仿宋" w:eastAsia="仿宋" w:cs="仿宋"/>
          <w:color w:val="auto"/>
          <w:sz w:val="28"/>
          <w:highlight w:val="none"/>
        </w:rPr>
      </w:pPr>
      <w:r>
        <w:rPr>
          <w:rStyle w:val="1097"/>
          <w:rFonts w:hint="eastAsia" w:ascii="仿宋" w:hAnsi="仿宋" w:eastAsia="仿宋" w:cs="仿宋"/>
          <w:color w:val="auto"/>
          <w:sz w:val="28"/>
          <w:szCs w:val="28"/>
          <w:highlight w:val="none"/>
        </w:rPr>
        <w:br w:type="page" w:clear="all"/>
      </w:r>
      <w:bookmarkStart w:id="72" w:name="_Toc7334"/>
      <w:r/>
      <w:bookmarkStart w:id="73" w:name="_Toc20935"/>
      <w:r/>
      <w:bookmarkStart w:id="74" w:name="_Toc19880"/>
      <w:r/>
      <w:bookmarkStart w:id="75" w:name="_Toc80122310"/>
      <w:r>
        <w:rPr>
          <w:rStyle w:val="1097"/>
          <w:rFonts w:hint="eastAsia" w:ascii="仿宋" w:hAnsi="仿宋" w:eastAsia="仿宋" w:cs="仿宋"/>
          <w:color w:val="auto"/>
          <w:sz w:val="28"/>
          <w:highlight w:val="none"/>
        </w:rPr>
        <w:t xml:space="preserve">十一、具备履行合同所必需的设备和专业技术能力的书面声明</w:t>
      </w:r>
      <w:bookmarkEnd w:id="72"/>
      <w:r/>
      <w:bookmarkEnd w:id="73"/>
      <w:r/>
      <w:bookmarkEnd w:id="74"/>
      <w:r/>
      <w:r/>
    </w:p>
    <w:p>
      <w:pPr>
        <w:pStyle w:val="1067"/>
        <w:jc w:val="center"/>
        <w:keepLines w:val="0"/>
        <w:keepNext w:val="0"/>
        <w:spacing w:before="0" w:after="0" w:line="360" w:lineRule="auto"/>
        <w:widowControl w:val="off"/>
        <w:rPr>
          <w:rStyle w:val="1097"/>
          <w:rFonts w:hint="eastAsia" w:ascii="仿宋" w:hAnsi="仿宋" w:eastAsia="仿宋" w:cs="仿宋"/>
          <w:color w:val="auto"/>
          <w:sz w:val="28"/>
          <w:szCs w:val="28"/>
          <w:highlight w:val="none"/>
        </w:rPr>
        <w:outlineLvl w:val="9"/>
      </w:pPr>
      <w:r/>
      <w:bookmarkStart w:id="76" w:name="_Toc19685"/>
      <w:r/>
      <w:bookmarkStart w:id="77" w:name="_Toc28074"/>
      <w:r>
        <w:rPr>
          <w:rStyle w:val="1097"/>
          <w:rFonts w:hint="eastAsia" w:ascii="仿宋" w:hAnsi="仿宋" w:eastAsia="仿宋" w:cs="仿宋"/>
          <w:color w:val="auto"/>
          <w:sz w:val="28"/>
          <w:highlight w:val="none"/>
        </w:rPr>
        <w:t xml:space="preserve">（附证明材料复印件）</w:t>
      </w:r>
      <w:bookmarkEnd w:id="75"/>
      <w:r/>
      <w:bookmarkEnd w:id="76"/>
      <w:r/>
      <w:bookmarkEnd w:id="77"/>
      <w:r/>
      <w:r/>
    </w:p>
    <w:p>
      <w:pPr>
        <w:pStyle w:val="822"/>
        <w:jc w:val="left"/>
        <w:spacing w:line="360" w:lineRule="auto"/>
        <w:widowControl w:val="off"/>
        <w:rPr>
          <w:rStyle w:val="1097"/>
          <w:rFonts w:hint="eastAsia" w:ascii="仿宋" w:hAnsi="仿宋" w:eastAsia="仿宋" w:cs="仿宋"/>
          <w:color w:val="auto"/>
          <w:highlight w:val="none"/>
        </w:rPr>
      </w:pPr>
      <w:r>
        <w:rPr>
          <w:rStyle w:val="1097"/>
          <w:rFonts w:hint="eastAsia" w:ascii="仿宋" w:hAnsi="仿宋" w:eastAsia="仿宋" w:cs="仿宋"/>
          <w:color w:val="auto"/>
          <w:highlight w:val="none"/>
        </w:rPr>
        <w:t xml:space="preserve">项目名称：</w:t>
      </w:r>
      <w:r/>
    </w:p>
    <w:p>
      <w:pPr>
        <w:pStyle w:val="822"/>
        <w:jc w:val="left"/>
        <w:spacing w:line="360" w:lineRule="auto"/>
        <w:widowControl w:val="off"/>
        <w:rPr>
          <w:rStyle w:val="1097"/>
          <w:rFonts w:hint="eastAsia" w:ascii="仿宋" w:hAnsi="仿宋" w:eastAsia="仿宋" w:cs="仿宋"/>
          <w:color w:val="auto"/>
          <w:highlight w:val="none"/>
        </w:rPr>
      </w:pPr>
      <w:r>
        <w:rPr>
          <w:rStyle w:val="1097"/>
          <w:rFonts w:hint="eastAsia" w:ascii="仿宋" w:hAnsi="仿宋" w:eastAsia="仿宋" w:cs="仿宋"/>
          <w:color w:val="auto"/>
          <w:highlight w:val="none"/>
        </w:rPr>
        <w:t xml:space="preserve">项目编号：</w:t>
      </w:r>
      <w:r/>
    </w:p>
    <w:p>
      <w:pPr>
        <w:pStyle w:val="822"/>
        <w:ind w:firstLine="480"/>
        <w:jc w:val="left"/>
        <w:spacing w:line="360" w:lineRule="auto"/>
        <w:widowControl w:val="off"/>
        <w:rPr>
          <w:rStyle w:val="1097"/>
          <w:rFonts w:hint="eastAsia" w:ascii="仿宋" w:hAnsi="仿宋" w:eastAsia="仿宋" w:cs="仿宋"/>
          <w:color w:val="auto"/>
          <w:highlight w:val="none"/>
        </w:rPr>
      </w:pPr>
      <w:r>
        <w:rPr>
          <w:rStyle w:val="1097"/>
          <w:rFonts w:hint="eastAsia" w:ascii="仿宋" w:hAnsi="仿宋" w:eastAsia="仿宋" w:cs="仿宋"/>
          <w:color w:val="auto"/>
          <w:highlight w:val="none"/>
        </w:rPr>
        <w:t xml:space="preserve">供应商郑重声明：供应商具备履行合同（项目名称</w:t>
      </w:r>
      <w:r>
        <w:rPr>
          <w:rStyle w:val="1097"/>
          <w:rFonts w:hint="eastAsia" w:ascii="仿宋" w:hAnsi="仿宋" w:eastAsia="仿宋" w:cs="仿宋"/>
          <w:color w:val="auto"/>
          <w:highlight w:val="none"/>
          <w:u w:val="single"/>
        </w:rPr>
        <w:t xml:space="preserve">：   </w:t>
      </w:r>
      <w:r>
        <w:rPr>
          <w:rStyle w:val="1097"/>
          <w:rFonts w:hint="eastAsia" w:ascii="仿宋" w:hAnsi="仿宋" w:eastAsia="仿宋" w:cs="仿宋"/>
          <w:color w:val="auto"/>
          <w:highlight w:val="none"/>
        </w:rPr>
        <w:t xml:space="preserve">，项目编号：所必需的设备和专业技术能力，具体为：</w:t>
      </w:r>
      <w:r/>
    </w:p>
    <w:p>
      <w:pPr>
        <w:pStyle w:val="822"/>
        <w:ind w:firstLine="972"/>
        <w:jc w:val="left"/>
        <w:spacing w:line="360" w:lineRule="auto"/>
        <w:widowControl w:val="off"/>
        <w:rPr>
          <w:rStyle w:val="1097"/>
          <w:rFonts w:hint="eastAsia" w:ascii="仿宋" w:hAnsi="仿宋" w:eastAsia="仿宋" w:cs="仿宋"/>
          <w:color w:val="auto"/>
          <w:highlight w:val="none"/>
        </w:rPr>
      </w:pPr>
      <w:r>
        <w:rPr>
          <w:rStyle w:val="1097"/>
          <w:rFonts w:hint="eastAsia" w:ascii="仿宋" w:hAnsi="仿宋" w:eastAsia="仿宋" w:cs="仿宋"/>
          <w:color w:val="auto"/>
          <w:highlight w:val="none"/>
        </w:rPr>
        <w:t xml:space="preserve">设备：</w:t>
      </w:r>
      <w:r/>
    </w:p>
    <w:p>
      <w:pPr>
        <w:pStyle w:val="822"/>
        <w:ind w:firstLine="972"/>
        <w:jc w:val="left"/>
        <w:spacing w:line="360" w:lineRule="auto"/>
        <w:widowControl w:val="off"/>
        <w:rPr>
          <w:rStyle w:val="1097"/>
          <w:rFonts w:hint="eastAsia" w:ascii="仿宋" w:hAnsi="仿宋" w:eastAsia="仿宋" w:cs="仿宋"/>
          <w:color w:val="auto"/>
          <w:highlight w:val="none"/>
        </w:rPr>
      </w:pPr>
      <w:r>
        <w:rPr>
          <w:rStyle w:val="1097"/>
          <w:rFonts w:hint="eastAsia" w:ascii="仿宋" w:hAnsi="仿宋" w:eastAsia="仿宋" w:cs="仿宋"/>
          <w:color w:val="auto"/>
          <w:highlight w:val="none"/>
        </w:rPr>
        <w:t xml:space="preserve">1、 </w:t>
      </w:r>
      <w:r>
        <w:rPr>
          <w:rStyle w:val="1097"/>
          <w:rFonts w:hint="eastAsia" w:ascii="仿宋" w:hAnsi="仿宋" w:eastAsia="仿宋" w:cs="仿宋"/>
          <w:color w:val="auto"/>
          <w:highlight w:val="none"/>
          <w:u w:val="single"/>
        </w:rPr>
        <w:t xml:space="preserve">                          </w:t>
      </w:r>
      <w:r>
        <w:rPr>
          <w:rStyle w:val="1097"/>
          <w:rFonts w:hint="eastAsia" w:ascii="仿宋" w:hAnsi="仿宋" w:eastAsia="仿宋" w:cs="仿宋"/>
          <w:color w:val="auto"/>
          <w:highlight w:val="none"/>
        </w:rPr>
        <w:t xml:space="preserve">（证明材料复印件附后）</w:t>
      </w:r>
      <w:r/>
    </w:p>
    <w:p>
      <w:pPr>
        <w:pStyle w:val="822"/>
        <w:ind w:firstLine="972"/>
        <w:jc w:val="left"/>
        <w:spacing w:line="360" w:lineRule="auto"/>
        <w:widowControl w:val="off"/>
        <w:rPr>
          <w:rStyle w:val="1097"/>
          <w:rFonts w:hint="eastAsia" w:ascii="仿宋" w:hAnsi="仿宋" w:eastAsia="仿宋" w:cs="仿宋"/>
          <w:color w:val="auto"/>
          <w:highlight w:val="none"/>
        </w:rPr>
      </w:pPr>
      <w:r>
        <w:rPr>
          <w:rStyle w:val="1097"/>
          <w:rFonts w:hint="eastAsia" w:ascii="仿宋" w:hAnsi="仿宋" w:eastAsia="仿宋" w:cs="仿宋"/>
          <w:color w:val="auto"/>
          <w:highlight w:val="none"/>
        </w:rPr>
        <w:t xml:space="preserve">2、  </w:t>
      </w:r>
      <w:r>
        <w:rPr>
          <w:rStyle w:val="1097"/>
          <w:rFonts w:hint="eastAsia" w:ascii="仿宋" w:hAnsi="仿宋" w:eastAsia="仿宋" w:cs="仿宋"/>
          <w:color w:val="auto"/>
          <w:highlight w:val="none"/>
          <w:u w:val="single"/>
        </w:rPr>
        <w:t xml:space="preserve">                        </w:t>
      </w:r>
      <w:r>
        <w:rPr>
          <w:rStyle w:val="1097"/>
          <w:rFonts w:hint="eastAsia" w:ascii="仿宋" w:hAnsi="仿宋" w:eastAsia="仿宋" w:cs="仿宋"/>
          <w:color w:val="auto"/>
          <w:highlight w:val="none"/>
        </w:rPr>
        <w:t xml:space="preserve"> （证明材料复印件附后）</w:t>
      </w:r>
      <w:r/>
    </w:p>
    <w:p>
      <w:pPr>
        <w:pStyle w:val="822"/>
        <w:ind w:firstLine="972"/>
        <w:jc w:val="left"/>
        <w:spacing w:line="360" w:lineRule="auto"/>
        <w:widowControl w:val="off"/>
        <w:rPr>
          <w:rStyle w:val="1097"/>
          <w:rFonts w:hint="eastAsia" w:ascii="仿宋" w:hAnsi="仿宋" w:eastAsia="仿宋" w:cs="仿宋"/>
          <w:color w:val="auto"/>
          <w:highlight w:val="none"/>
        </w:rPr>
      </w:pPr>
      <w:r>
        <w:rPr>
          <w:rStyle w:val="1097"/>
          <w:rFonts w:hint="eastAsia" w:ascii="仿宋" w:hAnsi="仿宋" w:eastAsia="仿宋" w:cs="仿宋"/>
          <w:color w:val="auto"/>
          <w:highlight w:val="none"/>
        </w:rPr>
        <w:t xml:space="preserve">3、</w:t>
      </w:r>
      <w:r>
        <w:rPr>
          <w:rStyle w:val="1097"/>
          <w:rFonts w:hint="eastAsia" w:ascii="仿宋" w:hAnsi="仿宋" w:eastAsia="仿宋" w:cs="仿宋"/>
          <w:color w:val="auto"/>
          <w:highlight w:val="none"/>
          <w:u w:val="single"/>
        </w:rPr>
        <w:t xml:space="preserve">                          </w:t>
      </w:r>
      <w:r>
        <w:rPr>
          <w:rStyle w:val="1097"/>
          <w:rFonts w:hint="eastAsia" w:ascii="仿宋" w:hAnsi="仿宋" w:eastAsia="仿宋" w:cs="仿宋"/>
          <w:color w:val="auto"/>
          <w:highlight w:val="none"/>
        </w:rPr>
        <w:t xml:space="preserve">（证明材料复印件附后）</w:t>
      </w:r>
      <w:r/>
    </w:p>
    <w:p>
      <w:pPr>
        <w:pStyle w:val="822"/>
        <w:ind w:firstLine="972"/>
        <w:jc w:val="left"/>
        <w:spacing w:line="360" w:lineRule="auto"/>
        <w:widowControl w:val="off"/>
        <w:rPr>
          <w:rStyle w:val="1097"/>
          <w:rFonts w:hint="eastAsia" w:ascii="仿宋" w:hAnsi="仿宋" w:eastAsia="仿宋" w:cs="仿宋"/>
          <w:color w:val="auto"/>
          <w:highlight w:val="none"/>
        </w:rPr>
      </w:pPr>
      <w:r>
        <w:rPr>
          <w:rStyle w:val="1097"/>
          <w:rFonts w:hint="eastAsia" w:ascii="仿宋" w:hAnsi="仿宋" w:eastAsia="仿宋" w:cs="仿宋"/>
          <w:color w:val="auto"/>
          <w:highlight w:val="none"/>
        </w:rPr>
        <w:t xml:space="preserve">…………</w:t>
      </w:r>
      <w:r/>
    </w:p>
    <w:p>
      <w:pPr>
        <w:pStyle w:val="822"/>
        <w:ind w:firstLine="972"/>
        <w:jc w:val="left"/>
        <w:spacing w:line="360" w:lineRule="auto"/>
        <w:widowControl w:val="off"/>
        <w:rPr>
          <w:rStyle w:val="1097"/>
          <w:rFonts w:hint="eastAsia" w:ascii="仿宋" w:hAnsi="仿宋" w:eastAsia="仿宋" w:cs="仿宋"/>
          <w:color w:val="auto"/>
          <w:highlight w:val="none"/>
        </w:rPr>
      </w:pPr>
      <w:r>
        <w:rPr>
          <w:rStyle w:val="1097"/>
          <w:rFonts w:hint="eastAsia" w:ascii="仿宋" w:hAnsi="仿宋" w:eastAsia="仿宋" w:cs="仿宋"/>
          <w:color w:val="auto"/>
          <w:highlight w:val="none"/>
        </w:rPr>
        <w:t xml:space="preserve">专业技术能力：</w:t>
      </w:r>
      <w:r/>
    </w:p>
    <w:p>
      <w:pPr>
        <w:pStyle w:val="822"/>
        <w:ind w:firstLine="972"/>
        <w:jc w:val="left"/>
        <w:spacing w:line="360" w:lineRule="auto"/>
        <w:widowControl w:val="off"/>
        <w:rPr>
          <w:rStyle w:val="1097"/>
          <w:rFonts w:hint="eastAsia" w:ascii="仿宋" w:hAnsi="仿宋" w:eastAsia="仿宋" w:cs="仿宋"/>
          <w:color w:val="auto"/>
          <w:highlight w:val="none"/>
        </w:rPr>
      </w:pPr>
      <w:r>
        <w:rPr>
          <w:rStyle w:val="1097"/>
          <w:rFonts w:hint="eastAsia" w:ascii="仿宋" w:hAnsi="仿宋" w:eastAsia="仿宋" w:cs="仿宋"/>
          <w:color w:val="auto"/>
          <w:highlight w:val="none"/>
        </w:rPr>
        <w:t xml:space="preserve">1、</w:t>
      </w:r>
      <w:r>
        <w:rPr>
          <w:rStyle w:val="1097"/>
          <w:rFonts w:hint="eastAsia" w:ascii="仿宋" w:hAnsi="仿宋" w:eastAsia="仿宋" w:cs="仿宋"/>
          <w:color w:val="auto"/>
          <w:highlight w:val="none"/>
          <w:u w:val="single"/>
        </w:rPr>
        <w:t xml:space="preserve">                          </w:t>
      </w:r>
      <w:r>
        <w:rPr>
          <w:rStyle w:val="1097"/>
          <w:rFonts w:hint="eastAsia" w:ascii="仿宋" w:hAnsi="仿宋" w:eastAsia="仿宋" w:cs="仿宋"/>
          <w:color w:val="auto"/>
          <w:highlight w:val="none"/>
        </w:rPr>
        <w:t xml:space="preserve">（证明材料复印件附后）</w:t>
      </w:r>
      <w:r/>
    </w:p>
    <w:p>
      <w:pPr>
        <w:pStyle w:val="822"/>
        <w:ind w:firstLine="972"/>
        <w:jc w:val="left"/>
        <w:spacing w:line="360" w:lineRule="auto"/>
        <w:widowControl w:val="off"/>
        <w:rPr>
          <w:rStyle w:val="1097"/>
          <w:rFonts w:hint="eastAsia" w:ascii="仿宋" w:hAnsi="仿宋" w:eastAsia="仿宋" w:cs="仿宋"/>
          <w:color w:val="auto"/>
          <w:highlight w:val="none"/>
        </w:rPr>
      </w:pPr>
      <w:r>
        <w:rPr>
          <w:rStyle w:val="1097"/>
          <w:rFonts w:hint="eastAsia" w:ascii="仿宋" w:hAnsi="仿宋" w:eastAsia="仿宋" w:cs="仿宋"/>
          <w:color w:val="auto"/>
          <w:highlight w:val="none"/>
        </w:rPr>
        <w:t xml:space="preserve">2、</w:t>
      </w:r>
      <w:r>
        <w:rPr>
          <w:rStyle w:val="1097"/>
          <w:rFonts w:hint="eastAsia" w:ascii="仿宋" w:hAnsi="仿宋" w:eastAsia="仿宋" w:cs="仿宋"/>
          <w:color w:val="auto"/>
          <w:highlight w:val="none"/>
          <w:u w:val="single"/>
        </w:rPr>
        <w:t xml:space="preserve">                          </w:t>
      </w:r>
      <w:r>
        <w:rPr>
          <w:rStyle w:val="1097"/>
          <w:rFonts w:hint="eastAsia" w:ascii="仿宋" w:hAnsi="仿宋" w:eastAsia="仿宋" w:cs="仿宋"/>
          <w:color w:val="auto"/>
          <w:highlight w:val="none"/>
        </w:rPr>
        <w:t xml:space="preserve"> （证明材料复印件附后）</w:t>
      </w:r>
      <w:r/>
    </w:p>
    <w:p>
      <w:pPr>
        <w:pStyle w:val="822"/>
        <w:ind w:firstLine="972"/>
        <w:jc w:val="left"/>
        <w:spacing w:line="360" w:lineRule="auto"/>
        <w:widowControl w:val="off"/>
        <w:rPr>
          <w:rStyle w:val="1097"/>
          <w:rFonts w:hint="eastAsia" w:ascii="仿宋" w:hAnsi="仿宋" w:eastAsia="仿宋" w:cs="仿宋"/>
          <w:color w:val="auto"/>
          <w:highlight w:val="none"/>
        </w:rPr>
      </w:pPr>
      <w:r>
        <w:rPr>
          <w:rStyle w:val="1097"/>
          <w:rFonts w:hint="eastAsia" w:ascii="仿宋" w:hAnsi="仿宋" w:eastAsia="仿宋" w:cs="仿宋"/>
          <w:color w:val="auto"/>
          <w:highlight w:val="none"/>
        </w:rPr>
        <w:t xml:space="preserve">3、</w:t>
      </w:r>
      <w:r>
        <w:rPr>
          <w:rStyle w:val="1097"/>
          <w:rFonts w:hint="eastAsia" w:ascii="仿宋" w:hAnsi="仿宋" w:eastAsia="仿宋" w:cs="仿宋"/>
          <w:color w:val="auto"/>
          <w:highlight w:val="none"/>
          <w:u w:val="single"/>
        </w:rPr>
        <w:t xml:space="preserve">                          </w:t>
      </w:r>
      <w:r>
        <w:rPr>
          <w:rStyle w:val="1097"/>
          <w:rFonts w:hint="eastAsia" w:ascii="仿宋" w:hAnsi="仿宋" w:eastAsia="仿宋" w:cs="仿宋"/>
          <w:color w:val="auto"/>
          <w:highlight w:val="none"/>
        </w:rPr>
        <w:t xml:space="preserve"> （证明材料复印件附后）</w:t>
      </w:r>
      <w:r/>
    </w:p>
    <w:p>
      <w:pPr>
        <w:pStyle w:val="822"/>
        <w:ind w:firstLine="972"/>
        <w:jc w:val="left"/>
        <w:spacing w:line="360" w:lineRule="auto"/>
        <w:widowControl w:val="off"/>
        <w:rPr>
          <w:rStyle w:val="1097"/>
          <w:rFonts w:hint="eastAsia" w:ascii="仿宋" w:hAnsi="仿宋" w:eastAsia="仿宋" w:cs="仿宋"/>
          <w:color w:val="auto"/>
          <w:highlight w:val="none"/>
        </w:rPr>
      </w:pPr>
      <w:r>
        <w:rPr>
          <w:rStyle w:val="1097"/>
          <w:rFonts w:hint="eastAsia" w:ascii="仿宋" w:hAnsi="仿宋" w:eastAsia="仿宋" w:cs="仿宋"/>
          <w:color w:val="auto"/>
          <w:highlight w:val="none"/>
        </w:rPr>
        <w:t xml:space="preserve">…………</w:t>
      </w:r>
      <w:r/>
    </w:p>
    <w:p>
      <w:pPr>
        <w:pStyle w:val="822"/>
        <w:ind w:firstLine="972"/>
        <w:jc w:val="left"/>
        <w:spacing w:line="360" w:lineRule="auto"/>
        <w:widowControl w:val="off"/>
        <w:rPr>
          <w:rStyle w:val="1097"/>
          <w:rFonts w:hint="eastAsia" w:ascii="仿宋" w:hAnsi="仿宋" w:eastAsia="仿宋" w:cs="仿宋"/>
          <w:color w:val="auto"/>
          <w:highlight w:val="none"/>
        </w:rPr>
      </w:pPr>
      <w:r>
        <w:rPr>
          <w:rStyle w:val="1097"/>
          <w:rFonts w:hint="eastAsia" w:ascii="仿宋" w:hAnsi="仿宋" w:eastAsia="仿宋" w:cs="仿宋"/>
          <w:color w:val="auto"/>
          <w:highlight w:val="none"/>
        </w:rPr>
        <w:t xml:space="preserve">特此声明。</w:t>
      </w:r>
      <w:r/>
    </w:p>
    <w:p>
      <w:pPr>
        <w:pStyle w:val="822"/>
        <w:ind w:firstLine="972"/>
        <w:jc w:val="left"/>
        <w:spacing w:line="360" w:lineRule="auto"/>
        <w:widowControl w:val="off"/>
        <w:rPr>
          <w:rStyle w:val="1097"/>
          <w:rFonts w:hint="eastAsia" w:ascii="仿宋" w:hAnsi="仿宋" w:eastAsia="仿宋" w:cs="仿宋"/>
          <w:color w:val="auto"/>
          <w:highlight w:val="none"/>
        </w:rPr>
      </w:pPr>
      <w:r>
        <w:rPr>
          <w:rStyle w:val="1097"/>
          <w:rFonts w:hint="eastAsia" w:ascii="仿宋" w:hAnsi="仿宋" w:eastAsia="仿宋" w:cs="仿宋"/>
          <w:color w:val="auto"/>
          <w:highlight w:val="none"/>
        </w:rPr>
        <w:t xml:space="preserve">供应商人对上述声明的真实性负责。如有虚假，将依法承担相应责任。</w:t>
      </w:r>
      <w:r/>
    </w:p>
    <w:p>
      <w:pPr>
        <w:pStyle w:val="822"/>
        <w:ind w:firstLine="972"/>
        <w:jc w:val="left"/>
        <w:spacing w:line="360" w:lineRule="auto"/>
        <w:widowControl w:val="off"/>
        <w:rPr>
          <w:rStyle w:val="1097"/>
          <w:rFonts w:hint="eastAsia" w:ascii="仿宋" w:hAnsi="仿宋" w:eastAsia="仿宋" w:cs="仿宋"/>
          <w:color w:val="auto"/>
          <w:highlight w:val="none"/>
        </w:rPr>
      </w:pPr>
      <w:r>
        <w:rPr>
          <w:rStyle w:val="1097"/>
          <w:rFonts w:hint="eastAsia" w:ascii="仿宋" w:hAnsi="仿宋" w:eastAsia="仿宋" w:cs="仿宋"/>
          <w:color w:val="auto"/>
          <w:highlight w:val="none"/>
        </w:rPr>
        <w:t xml:space="preserve"> </w:t>
      </w:r>
      <w:r/>
    </w:p>
    <w:p>
      <w:pPr>
        <w:pStyle w:val="822"/>
        <w:ind w:firstLine="3600"/>
        <w:jc w:val="left"/>
        <w:spacing w:line="360" w:lineRule="auto"/>
        <w:widowControl w:val="off"/>
        <w:rPr>
          <w:rStyle w:val="1097"/>
          <w:rFonts w:hint="eastAsia" w:ascii="仿宋" w:hAnsi="仿宋" w:eastAsia="仿宋" w:cs="仿宋"/>
          <w:color w:val="auto"/>
          <w:highlight w:val="none"/>
        </w:rPr>
      </w:pPr>
      <w:r>
        <w:rPr>
          <w:rStyle w:val="1097"/>
          <w:rFonts w:hint="eastAsia" w:ascii="仿宋" w:hAnsi="仿宋" w:eastAsia="仿宋" w:cs="仿宋"/>
          <w:color w:val="auto"/>
          <w:highlight w:val="none"/>
        </w:rPr>
        <w:t xml:space="preserve">供应商（</w:t>
      </w:r>
      <w:r>
        <w:rPr>
          <w:rStyle w:val="1097"/>
          <w:rFonts w:hint="eastAsia" w:ascii="仿宋" w:hAnsi="仿宋" w:eastAsia="仿宋" w:cs="仿宋"/>
          <w:color w:val="auto"/>
          <w:szCs w:val="24"/>
          <w:highlight w:val="none"/>
        </w:rPr>
        <w:t xml:space="preserve">电子签章</w:t>
      </w:r>
      <w:r>
        <w:rPr>
          <w:rStyle w:val="1097"/>
          <w:rFonts w:hint="eastAsia" w:ascii="仿宋" w:hAnsi="仿宋" w:eastAsia="仿宋" w:cs="仿宋"/>
          <w:color w:val="auto"/>
          <w:highlight w:val="none"/>
        </w:rPr>
        <w:t xml:space="preserve">）：</w:t>
      </w:r>
      <w:r/>
    </w:p>
    <w:p>
      <w:pPr>
        <w:pStyle w:val="822"/>
        <w:jc w:val="left"/>
        <w:spacing w:line="360" w:lineRule="auto"/>
        <w:widowControl w:val="off"/>
        <w:rPr>
          <w:rStyle w:val="1097"/>
          <w:rFonts w:hint="eastAsia" w:ascii="仿宋" w:hAnsi="仿宋" w:eastAsia="仿宋" w:cs="仿宋"/>
          <w:color w:val="auto"/>
          <w:highlight w:val="none"/>
        </w:rPr>
      </w:pPr>
      <w:r>
        <w:rPr>
          <w:rStyle w:val="1097"/>
          <w:rFonts w:hint="eastAsia" w:ascii="仿宋" w:hAnsi="仿宋" w:eastAsia="仿宋" w:cs="仿宋"/>
          <w:color w:val="auto"/>
          <w:highlight w:val="none"/>
        </w:rPr>
        <w:t xml:space="preserve">                              </w:t>
      </w:r>
      <w:r/>
    </w:p>
    <w:p>
      <w:pPr>
        <w:pStyle w:val="822"/>
        <w:ind w:firstLine="3600"/>
        <w:spacing w:line="360" w:lineRule="auto"/>
        <w:widowControl w:val="off"/>
        <w:rPr>
          <w:rStyle w:val="1097"/>
          <w:rFonts w:hint="eastAsia" w:ascii="仿宋" w:hAnsi="仿宋" w:eastAsia="仿宋" w:cs="仿宋"/>
          <w:color w:val="auto"/>
          <w:highlight w:val="none"/>
        </w:rPr>
      </w:pPr>
      <w:r>
        <w:rPr>
          <w:rStyle w:val="1097"/>
          <w:rFonts w:hint="eastAsia" w:ascii="仿宋" w:hAnsi="仿宋" w:eastAsia="仿宋" w:cs="仿宋"/>
          <w:color w:val="auto"/>
          <w:highlight w:val="none"/>
        </w:rPr>
        <w:t xml:space="preserve">日期：</w:t>
      </w:r>
      <w:r/>
    </w:p>
    <w:p>
      <w:pPr>
        <w:pStyle w:val="822"/>
        <w:jc w:val="center"/>
        <w:spacing w:line="360" w:lineRule="auto"/>
        <w:widowControl w:val="off"/>
        <w:rPr>
          <w:rStyle w:val="1097"/>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1067"/>
        <w:jc w:val="center"/>
        <w:keepLines w:val="0"/>
        <w:keepNext w:val="0"/>
        <w:spacing w:line="360" w:lineRule="auto"/>
        <w:widowControl w:val="off"/>
        <w:rPr>
          <w:rStyle w:val="1097"/>
          <w:rFonts w:hint="eastAsia" w:ascii="仿宋" w:hAnsi="仿宋" w:eastAsia="仿宋" w:cs="仿宋"/>
          <w:color w:val="auto"/>
          <w:sz w:val="28"/>
          <w:highlight w:val="none"/>
        </w:rPr>
        <w:outlineLvl w:val="9"/>
      </w:pPr>
      <w:r/>
      <w:bookmarkStart w:id="78" w:name="_Toc80122311"/>
      <w:r>
        <w:rPr>
          <w:rStyle w:val="1097"/>
          <w:rFonts w:hint="eastAsia" w:ascii="仿宋" w:hAnsi="仿宋" w:eastAsia="仿宋" w:cs="仿宋"/>
          <w:color w:val="auto"/>
          <w:sz w:val="28"/>
          <w:highlight w:val="none"/>
        </w:rPr>
        <w:t xml:space="preserve">       </w:t>
      </w:r>
      <w:r/>
    </w:p>
    <w:p>
      <w:pPr>
        <w:pStyle w:val="822"/>
        <w:jc w:val="center"/>
        <w:spacing w:line="360" w:lineRule="auto"/>
        <w:widowControl w:val="off"/>
        <w:rPr>
          <w:rStyle w:val="1097"/>
          <w:rFonts w:hint="eastAsia" w:ascii="仿宋" w:hAnsi="仿宋" w:eastAsia="仿宋" w:cs="仿宋"/>
          <w:color w:val="auto"/>
          <w:sz w:val="28"/>
          <w:highlight w:val="none"/>
        </w:rPr>
        <w:outlineLvl w:val="1"/>
      </w:pPr>
      <w:r>
        <w:rPr>
          <w:rStyle w:val="1097"/>
          <w:rFonts w:hint="eastAsia" w:ascii="仿宋" w:hAnsi="仿宋" w:eastAsia="仿宋" w:cs="仿宋"/>
          <w:color w:val="auto"/>
          <w:sz w:val="28"/>
          <w:highlight w:val="none"/>
        </w:rPr>
        <w:br w:type="page" w:clear="all"/>
      </w:r>
      <w:bookmarkStart w:id="79" w:name="_Toc24444"/>
      <w:r/>
      <w:bookmarkStart w:id="80" w:name="_Toc2915"/>
      <w:r/>
      <w:bookmarkStart w:id="81" w:name="_Toc6127"/>
      <w:r>
        <w:rPr>
          <w:rStyle w:val="1097"/>
          <w:rFonts w:hint="eastAsia" w:ascii="仿宋" w:hAnsi="仿宋" w:eastAsia="仿宋" w:cs="仿宋"/>
          <w:b/>
          <w:bCs/>
          <w:color w:val="auto"/>
          <w:sz w:val="28"/>
          <w:highlight w:val="none"/>
        </w:rPr>
        <w:t xml:space="preserve">十</w:t>
      </w:r>
      <w:bookmarkEnd w:id="78"/>
      <w:r/>
      <w:bookmarkStart w:id="82" w:name="_Toc80122313"/>
      <w:r>
        <w:rPr>
          <w:rStyle w:val="1097"/>
          <w:rFonts w:hint="eastAsia" w:ascii="仿宋" w:hAnsi="仿宋" w:eastAsia="仿宋" w:cs="仿宋"/>
          <w:b/>
          <w:bCs/>
          <w:color w:val="auto"/>
          <w:sz w:val="28"/>
          <w:highlight w:val="none"/>
        </w:rPr>
        <w:t xml:space="preserve">二、响应文件编制及评分细则要求提供的其他资料</w:t>
      </w:r>
      <w:bookmarkEnd w:id="79"/>
      <w:r/>
      <w:bookmarkEnd w:id="80"/>
      <w:r/>
      <w:bookmarkEnd w:id="81"/>
      <w:r/>
      <w:bookmarkEnd w:id="82"/>
      <w:r/>
      <w:r/>
    </w:p>
    <w:p>
      <w:pPr>
        <w:pStyle w:val="822"/>
        <w:jc w:val="center"/>
        <w:spacing w:line="360" w:lineRule="auto"/>
        <w:widowControl w:val="off"/>
        <w:rPr>
          <w:rStyle w:val="1097"/>
          <w:rFonts w:hint="eastAsia" w:ascii="仿宋" w:hAnsi="仿宋" w:eastAsia="仿宋" w:cs="仿宋"/>
          <w:color w:val="auto"/>
          <w:sz w:val="28"/>
          <w:highlight w:val="none"/>
        </w:rPr>
      </w:pPr>
      <w:r/>
      <w:bookmarkStart w:id="83" w:name="_Toc80122314"/>
      <w:r>
        <w:rPr>
          <w:rStyle w:val="1097"/>
          <w:rFonts w:hint="eastAsia" w:ascii="仿宋" w:hAnsi="仿宋" w:eastAsia="仿宋" w:cs="仿宋"/>
          <w:color w:val="auto"/>
          <w:sz w:val="28"/>
          <w:highlight w:val="none"/>
        </w:rPr>
        <w:t xml:space="preserve">（格式自拟）</w:t>
      </w:r>
      <w:r/>
    </w:p>
    <w:p>
      <w:pPr>
        <w:pStyle w:val="822"/>
        <w:ind w:firstLine="2800"/>
        <w:jc w:val="left"/>
        <w:spacing w:line="360" w:lineRule="auto"/>
        <w:widowControl w:val="off"/>
        <w:rPr>
          <w:rStyle w:val="1097"/>
          <w:rFonts w:hint="eastAsia" w:ascii="仿宋" w:hAnsi="仿宋" w:eastAsia="仿宋" w:cs="仿宋"/>
          <w:color w:val="auto"/>
          <w:sz w:val="28"/>
          <w:highlight w:val="none"/>
        </w:rPr>
        <w:outlineLvl w:val="1"/>
      </w:pPr>
      <w:r/>
      <w:bookmarkStart w:id="84" w:name="_Toc15915"/>
      <w:r/>
      <w:bookmarkStart w:id="85" w:name="_Toc27950"/>
      <w:r/>
      <w:bookmarkStart w:id="86" w:name="_Toc8174"/>
      <w:r>
        <w:rPr>
          <w:rStyle w:val="1097"/>
          <w:rFonts w:hint="eastAsia" w:ascii="仿宋" w:hAnsi="仿宋" w:eastAsia="仿宋" w:cs="仿宋"/>
          <w:b/>
          <w:bCs/>
          <w:color w:val="auto"/>
          <w:sz w:val="28"/>
          <w:highlight w:val="none"/>
        </w:rPr>
        <w:t xml:space="preserve">十三、预付款保函支付条款模板</w:t>
      </w:r>
      <w:bookmarkEnd w:id="83"/>
      <w:r/>
      <w:bookmarkEnd w:id="84"/>
      <w:r/>
      <w:bookmarkEnd w:id="85"/>
      <w:r/>
      <w:bookmarkEnd w:id="86"/>
      <w:r/>
      <w:r/>
    </w:p>
    <w:p>
      <w:pPr>
        <w:pStyle w:val="822"/>
        <w:jc w:val="left"/>
        <w:spacing w:line="360" w:lineRule="auto"/>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符合条件一：提交预付款保函的</w:t>
      </w:r>
      <w:r/>
    </w:p>
    <w:p>
      <w:pPr>
        <w:pStyle w:val="822"/>
        <w:ind w:firstLine="48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（1）合同签订且乙方向甲方出具预付款保函后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个工作日内，甲方应支付合同价款的百分之</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%），小写￥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人民币。</w:t>
      </w:r>
      <w:r/>
    </w:p>
    <w:p>
      <w:pPr>
        <w:pStyle w:val="822"/>
        <w:ind w:firstLine="48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乙方需提交的支付文件：乙方出具的全额正式发票。</w:t>
      </w:r>
      <w:r/>
    </w:p>
    <w:p>
      <w:pPr>
        <w:pStyle w:val="822"/>
        <w:ind w:firstLine="48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（2）验收合格后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个工作日内，甲方应支付合同价款的百分之</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%），小写￥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人民币 。 </w:t>
      </w:r>
      <w:r/>
    </w:p>
    <w:p>
      <w:pPr>
        <w:pStyle w:val="822"/>
        <w:ind w:firstLine="48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p>
    <w:p>
      <w:pPr>
        <w:pStyle w:val="822"/>
        <w:jc w:val="left"/>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符合条件二：不提交预付款保函的</w:t>
      </w:r>
      <w:r/>
    </w:p>
    <w:p>
      <w:pPr>
        <w:pStyle w:val="822"/>
        <w:ind w:firstLine="48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（1）合同签订后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个工作日内，甲方应支付合同价款的百分之</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%），小写￥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人民币。</w:t>
      </w:r>
      <w:r/>
    </w:p>
    <w:p>
      <w:pPr>
        <w:pStyle w:val="822"/>
        <w:ind w:firstLine="48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乙方需提交的支付文件：乙方出具的全额正式发票。</w:t>
      </w:r>
      <w:r/>
    </w:p>
    <w:p>
      <w:pPr>
        <w:pStyle w:val="822"/>
        <w:ind w:firstLine="48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（2）验收合格后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个工作日内，甲方应支付合同价款的百分之</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%），小写￥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人民币。</w:t>
      </w:r>
      <w:r/>
    </w:p>
    <w:p>
      <w:pPr>
        <w:pStyle w:val="822"/>
        <w:ind w:firstLine="48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p>
    <w:p>
      <w:pPr>
        <w:pStyle w:val="822"/>
        <w:ind w:firstLine="48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 </w:t>
      </w:r>
      <w:r/>
    </w:p>
    <w:p>
      <w:pPr>
        <w:pStyle w:val="822"/>
        <w:ind w:firstLine="48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1、付款条件一中，出具预付款保函后支付的合同款应当与保函金额一致。</w:t>
      </w:r>
      <w:r/>
    </w:p>
    <w:p>
      <w:pPr>
        <w:pStyle w:val="822"/>
        <w:ind w:firstLine="480"/>
        <w:jc w:val="lef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2、付款条件二中，预付款比例设定应符合《关于做好政府采购支持企业发展有关事项的通知》(苏财购〔2020〕52号)要求。</w:t>
      </w:r>
      <w:r/>
    </w:p>
    <w:p>
      <w:pPr>
        <w:rPr>
          <w:rFonts w:hint="eastAsia"/>
          <w:color w:val="auto"/>
          <w:highlight w:val="none"/>
        </w:rPr>
      </w:pPr>
      <w:r>
        <w:rPr>
          <w:rFonts w:hint="eastAsia"/>
          <w:color w:val="auto"/>
          <w:highlight w:val="none"/>
        </w:rPr>
        <w:br w:type="page" w:clear="all"/>
      </w:r>
      <w:bookmarkStart w:id="87" w:name="_Toc21721"/>
      <w:r/>
      <w:bookmarkStart w:id="88" w:name="_Toc11596"/>
      <w:r/>
      <w:bookmarkStart w:id="89" w:name="_Toc80122315"/>
      <w:r/>
      <w:r/>
    </w:p>
    <w:p>
      <w:pPr>
        <w:pStyle w:val="799"/>
        <w:rPr>
          <w:color w:val="auto"/>
          <w:highlight w:val="none"/>
        </w:rPr>
      </w:pPr>
      <w:r>
        <w:rPr>
          <w:rFonts w:hint="eastAsia"/>
          <w:color w:val="auto"/>
          <w:highlight w:val="none"/>
        </w:rPr>
        <w:t xml:space="preserve">第十章</w:t>
      </w:r>
      <w:bookmarkStart w:id="90" w:name="_Hlk77698623"/>
      <w:r>
        <w:rPr>
          <w:rFonts w:hint="eastAsia"/>
          <w:color w:val="auto"/>
          <w:highlight w:val="none"/>
        </w:rPr>
        <w:t xml:space="preserve"> 拟签订的合同文本</w:t>
      </w:r>
      <w:bookmarkEnd w:id="87"/>
      <w:r/>
      <w:bookmarkEnd w:id="88"/>
      <w:r/>
      <w:bookmarkEnd w:id="89"/>
      <w:r/>
      <w:bookmarkEnd w:id="90"/>
      <w:r/>
      <w:r/>
    </w:p>
    <w:p>
      <w:pPr>
        <w:jc w:val="center"/>
        <w:spacing w:line="360" w:lineRule="auto"/>
        <w:rPr>
          <w:rFonts w:hint="eastAsia" w:ascii="仿宋" w:hAnsi="仿宋" w:eastAsia="仿宋" w:cs="仿宋"/>
          <w:b/>
          <w:color w:val="auto"/>
          <w:sz w:val="32"/>
          <w:szCs w:val="32"/>
          <w:highlight w:val="none"/>
        </w:rPr>
      </w:pPr>
      <w:r/>
      <w:bookmarkStart w:id="91" w:name="_Toc358569763"/>
      <w:r/>
      <w:bookmarkStart w:id="92" w:name="_Toc498006748"/>
      <w:r/>
      <w:bookmarkStart w:id="93" w:name="_Toc80122316"/>
      <w:r/>
      <w:r/>
    </w:p>
    <w:p>
      <w:pPr>
        <w:jc w:val="center"/>
        <w:spacing w:line="360" w:lineRule="auto"/>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建设工程施工合同</w:t>
      </w:r>
      <w:r>
        <w:rPr>
          <w:rFonts w:hint="eastAsia" w:ascii="仿宋" w:hAnsi="仿宋" w:eastAsia="仿宋" w:cs="仿宋"/>
          <w:b/>
          <w:color w:val="auto"/>
          <w:sz w:val="32"/>
          <w:szCs w:val="32"/>
          <w:highlight w:val="none"/>
        </w:rPr>
        <w:br/>
      </w:r>
      <w:r>
        <w:rPr>
          <w:rFonts w:hint="eastAsia" w:ascii="仿宋" w:hAnsi="仿宋" w:eastAsia="仿宋" w:cs="仿宋"/>
          <w:b/>
          <w:color w:val="auto"/>
          <w:sz w:val="32"/>
          <w:szCs w:val="32"/>
          <w:highlight w:val="none"/>
        </w:rPr>
        <w:t xml:space="preserve">（示范文本）</w:t>
      </w:r>
      <w:r/>
    </w:p>
    <w:p>
      <w:pPr>
        <w:jc w:val="center"/>
        <w:spacing w:line="360" w:lineRule="auto"/>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（GF—2017—0201）</w:t>
      </w:r>
      <w:r/>
    </w:p>
    <w:p>
      <w:pPr>
        <w:jc w:val="center"/>
        <w:spacing w:line="360" w:lineRule="auto"/>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jc w:val="center"/>
        <w:spacing w:line="360" w:lineRule="auto"/>
        <w:rPr>
          <w:rFonts w:hint="eastAsia" w:ascii="仿宋" w:hAnsi="仿宋" w:eastAsia="仿宋" w:cs="仿宋"/>
          <w:b/>
          <w:color w:val="auto"/>
          <w:sz w:val="72"/>
          <w:szCs w:val="72"/>
          <w:highlight w:val="none"/>
        </w:rPr>
      </w:pPr>
      <w:r>
        <w:rPr>
          <w:rFonts w:hint="eastAsia" w:ascii="仿宋" w:hAnsi="仿宋" w:eastAsia="仿宋" w:cs="仿宋"/>
          <w:b/>
          <w:color w:val="auto"/>
          <w:sz w:val="72"/>
          <w:szCs w:val="72"/>
          <w:highlight w:val="none"/>
        </w:rPr>
      </w:r>
      <w:r/>
    </w:p>
    <w:p>
      <w:pPr>
        <w:ind w:firstLine="2520"/>
        <w:spacing w:after="120"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项目名称： </w:t>
      </w:r>
      <w:r/>
    </w:p>
    <w:p>
      <w:pPr>
        <w:ind w:firstLine="2520"/>
        <w:spacing w:after="120"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标段名称：</w:t>
      </w:r>
      <w:r/>
    </w:p>
    <w:p>
      <w:pPr>
        <w:pStyle w:val="829"/>
        <w:ind w:firstLine="2400"/>
        <w:jc w:val="left"/>
        <w:spacing w:after="0"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发包人（全称）：</w:t>
      </w:r>
      <w:r>
        <w:rPr>
          <w:rFonts w:hint="eastAsia" w:ascii="仿宋" w:hAnsi="仿宋" w:eastAsia="仿宋" w:cs="仿宋"/>
          <w:bCs/>
          <w:color w:val="auto"/>
          <w:sz w:val="24"/>
          <w:szCs w:val="24"/>
          <w:highlight w:val="none"/>
          <w:u w:val="single"/>
        </w:rPr>
        <w:t xml:space="preserve">                   </w:t>
      </w:r>
      <w:r/>
    </w:p>
    <w:p>
      <w:pPr>
        <w:pStyle w:val="829"/>
        <w:ind w:firstLine="2400"/>
        <w:jc w:val="left"/>
        <w:spacing w:after="0" w:line="360" w:lineRule="auto"/>
        <w:widowControl w:val="off"/>
        <w:rPr>
          <w:rFonts w:hint="eastAsia" w:ascii="仿宋" w:hAnsi="仿宋" w:eastAsia="仿宋" w:cs="仿宋"/>
          <w:b/>
          <w:color w:val="auto"/>
          <w:sz w:val="21"/>
          <w:szCs w:val="21"/>
          <w:highlight w:val="none"/>
          <w:u w:val="single"/>
        </w:rPr>
      </w:pPr>
      <w:r>
        <w:rPr>
          <w:rFonts w:hint="eastAsia" w:ascii="仿宋" w:hAnsi="仿宋" w:eastAsia="仿宋" w:cs="仿宋"/>
          <w:bCs/>
          <w:color w:val="auto"/>
          <w:sz w:val="24"/>
          <w:szCs w:val="24"/>
          <w:highlight w:val="none"/>
        </w:rPr>
        <w:t xml:space="preserve">承包人（全称）：</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u w:val="single"/>
          <w:lang w:val="en-US" w:eastAsia="zh-CN"/>
        </w:rPr>
        <w:t xml:space="preserve">        </w:t>
      </w:r>
      <w:r>
        <w:rPr>
          <w:rFonts w:hint="eastAsia" w:ascii="仿宋" w:hAnsi="仿宋" w:eastAsia="仿宋" w:cs="仿宋"/>
          <w:bCs/>
          <w:color w:val="auto"/>
          <w:sz w:val="24"/>
          <w:szCs w:val="24"/>
          <w:highlight w:val="none"/>
          <w:u w:val="single"/>
        </w:rPr>
        <w:t xml:space="preserve">   </w:t>
      </w:r>
      <w:r/>
    </w:p>
    <w:p>
      <w:pPr>
        <w:pStyle w:val="829"/>
        <w:ind w:firstLine="2400"/>
        <w:jc w:val="left"/>
        <w:spacing w:after="0" w:line="360" w:lineRule="auto"/>
        <w:widowControl w:val="off"/>
        <w:rPr>
          <w:rFonts w:hint="eastAsia" w:ascii="仿宋" w:hAnsi="仿宋" w:eastAsia="仿宋" w:cs="仿宋"/>
          <w:b/>
          <w:color w:val="auto"/>
          <w:sz w:val="28"/>
          <w:szCs w:val="28"/>
          <w:highlight w:val="none"/>
        </w:rPr>
      </w:pPr>
      <w:r>
        <w:rPr>
          <w:rFonts w:hint="eastAsia" w:ascii="仿宋" w:hAnsi="仿宋" w:eastAsia="仿宋" w:cs="仿宋"/>
          <w:bCs/>
          <w:color w:val="auto"/>
          <w:sz w:val="24"/>
          <w:szCs w:val="24"/>
          <w:highlight w:val="none"/>
        </w:rPr>
        <w:t xml:space="preserve">合同签订日期：   年   月   日</w:t>
      </w:r>
      <w:r/>
    </w:p>
    <w:p>
      <w:pPr>
        <w:jc w:val="center"/>
        <w:spacing w:line="360" w:lineRule="auto"/>
        <w:rPr>
          <w:rFonts w:hint="eastAsia" w:ascii="仿宋" w:hAnsi="仿宋" w:eastAsia="仿宋" w:cs="仿宋"/>
          <w:b/>
          <w:color w:val="auto"/>
          <w:sz w:val="72"/>
          <w:szCs w:val="72"/>
          <w:highlight w:val="none"/>
        </w:rPr>
      </w:pPr>
      <w:r>
        <w:rPr>
          <w:rFonts w:hint="eastAsia" w:ascii="仿宋" w:hAnsi="仿宋" w:eastAsia="仿宋" w:cs="仿宋"/>
          <w:b/>
          <w:color w:val="auto"/>
          <w:sz w:val="72"/>
          <w:szCs w:val="72"/>
          <w:highlight w:val="none"/>
        </w:rPr>
      </w:r>
      <w:r/>
    </w:p>
    <w:p>
      <w:pPr>
        <w:pStyle w:val="822"/>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友情提醒：采购人与中标、成交供应商应当在中标、成交通知书发出之日起30日内，按照采购文件确定的事项签订政府采购合同。</w:t>
      </w:r>
      <w:r/>
    </w:p>
    <w:p>
      <w:pPr>
        <w:pStyle w:val="1341"/>
        <w:ind w:left="0" w:right="0" w:firstLine="560"/>
        <w:spacing w:line="360" w:lineRule="auto"/>
        <w:rPr>
          <w:rFonts w:hint="eastAsia" w:ascii="仿宋" w:hAnsi="仿宋" w:eastAsia="仿宋" w:cs="仿宋"/>
          <w:color w:val="auto"/>
          <w:highlight w:val="none"/>
        </w:rPr>
      </w:pPr>
      <w:r>
        <w:rPr>
          <w:rFonts w:hint="eastAsia" w:ascii="仿宋" w:hAnsi="仿宋" w:eastAsia="仿宋" w:cs="仿宋"/>
          <w:color w:val="auto"/>
          <w:sz w:val="24"/>
          <w:szCs w:val="24"/>
          <w:highlight w:val="none"/>
        </w:rPr>
        <w:t xml:space="preserve">采购人应当自政府采购合同签订之日起2个</w:t>
      </w:r>
      <w:r>
        <w:rPr>
          <w:rFonts w:hint="eastAsia" w:ascii="仿宋" w:hAnsi="仿宋" w:eastAsia="仿宋" w:cs="仿宋"/>
          <w:bCs/>
          <w:color w:val="auto"/>
          <w:sz w:val="24"/>
          <w:szCs w:val="24"/>
          <w:highlight w:val="none"/>
        </w:rPr>
        <w:t xml:space="preserve">工作日内，将政府采购合同在省级以上人民政府财政部门指定的媒体上公告，但政府采购合同中涉及国家秘密、商业秘密的内容除外。</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1341"/>
        <w:ind w:left="0" w:right="0" w:firstLine="482"/>
        <w:spacing w:line="360" w:lineRule="auto"/>
        <w:rPr>
          <w:rStyle w:val="1342"/>
          <w:rFonts w:hint="eastAsia" w:ascii="仿宋" w:hAnsi="仿宋" w:eastAsia="仿宋" w:cs="仿宋"/>
          <w:b/>
          <w:color w:val="auto"/>
          <w:sz w:val="24"/>
          <w:szCs w:val="24"/>
          <w:highlight w:val="none"/>
        </w:rPr>
      </w:pPr>
      <w:r>
        <w:rPr>
          <w:rStyle w:val="1342"/>
          <w:rFonts w:hint="eastAsia" w:ascii="仿宋" w:hAnsi="仿宋" w:eastAsia="仿宋" w:cs="仿宋"/>
          <w:b/>
          <w:color w:val="auto"/>
          <w:sz w:val="24"/>
          <w:szCs w:val="24"/>
          <w:highlight w:val="none"/>
        </w:rPr>
        <w:t xml:space="preserve">特别提醒：</w:t>
      </w:r>
      <w:r/>
    </w:p>
    <w:p>
      <w:pPr>
        <w:spacing w:line="360" w:lineRule="auto"/>
        <w:rPr>
          <w:rFonts w:hint="eastAsia" w:ascii="仿宋" w:hAnsi="仿宋" w:eastAsia="仿宋" w:cs="仿宋"/>
          <w:b/>
          <w:color w:val="auto"/>
          <w:sz w:val="28"/>
          <w:szCs w:val="28"/>
          <w:highlight w:val="none"/>
        </w:rPr>
      </w:pPr>
      <w:r>
        <w:rPr>
          <w:rFonts w:hint="eastAsia" w:ascii="仿宋" w:hAnsi="仿宋" w:eastAsia="仿宋" w:cs="仿宋"/>
          <w:color w:val="auto"/>
          <w:sz w:val="24"/>
          <w:highlight w:val="none"/>
        </w:rPr>
        <w:t xml:space="preserve">中标人领取中标通知书时须向代理机构提交纸质胶装投标文件一正四副，电子版投标文件二份（U盘）。</w:t>
      </w:r>
      <w:r/>
    </w:p>
    <w:p>
      <w:pP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pStyle w:val="800"/>
        <w:jc w:val="center"/>
        <w:rPr>
          <w:rFonts w:hint="eastAsia"/>
          <w:color w:val="auto"/>
          <w:highlight w:val="none"/>
        </w:rPr>
      </w:pPr>
      <w:r/>
      <w:bookmarkStart w:id="94" w:name="_Toc351203480"/>
      <w:r/>
      <w:bookmarkStart w:id="95" w:name="_Toc24196"/>
      <w:r/>
      <w:bookmarkStart w:id="96" w:name="_Toc296890982"/>
      <w:r/>
      <w:bookmarkStart w:id="97" w:name="_Toc17550"/>
      <w:r/>
      <w:bookmarkStart w:id="98" w:name="_Toc296503025"/>
      <w:r>
        <w:rPr>
          <w:rFonts w:hint="eastAsia"/>
          <w:color w:val="auto"/>
          <w:highlight w:val="none"/>
        </w:rPr>
        <w:t xml:space="preserve">第一部分 合同协议书</w:t>
      </w:r>
      <w:bookmarkEnd w:id="94"/>
      <w:r/>
      <w:bookmarkEnd w:id="95"/>
      <w:r/>
      <w:bookmarkEnd w:id="96"/>
      <w:r/>
      <w:bookmarkEnd w:id="97"/>
      <w:r/>
      <w:bookmarkEnd w:id="98"/>
      <w:r/>
      <w:r/>
    </w:p>
    <w:p>
      <w:pPr>
        <w:spacing w:line="360" w:lineRule="auto"/>
        <w:rPr>
          <w:rFonts w:hint="eastAsia" w:ascii="仿宋" w:hAnsi="仿宋" w:eastAsia="仿宋" w:cs="仿宋"/>
          <w:b/>
          <w:color w:val="auto"/>
          <w:sz w:val="24"/>
          <w:szCs w:val="24"/>
          <w:highlight w:val="none"/>
          <w:u w:val="single"/>
          <w:lang w:eastAsia="zh-CN"/>
        </w:rPr>
      </w:pPr>
      <w:r>
        <w:rPr>
          <w:rFonts w:hint="eastAsia" w:ascii="仿宋" w:hAnsi="仿宋" w:eastAsia="仿宋" w:cs="仿宋"/>
          <w:b/>
          <w:color w:val="auto"/>
          <w:sz w:val="24"/>
          <w:szCs w:val="24"/>
          <w:highlight w:val="none"/>
        </w:rPr>
        <w:t xml:space="preserve">发包人（全称）：</w:t>
      </w:r>
      <w:r>
        <w:rPr>
          <w:rFonts w:hint="eastAsia" w:ascii="仿宋" w:hAnsi="仿宋" w:eastAsia="仿宋" w:cs="仿宋"/>
          <w:b/>
          <w:color w:val="auto"/>
          <w:sz w:val="24"/>
          <w:szCs w:val="24"/>
          <w:highlight w:val="none"/>
          <w:u w:val="single"/>
          <w:lang w:eastAsia="zh-CN"/>
        </w:rPr>
        <w:t xml:space="preserve">徐州市鼓楼区城市管理局</w:t>
      </w:r>
      <w:r/>
    </w:p>
    <w:p>
      <w:pPr>
        <w:spacing w:line="360" w:lineRule="auto"/>
        <w:rPr>
          <w:rFonts w:hint="eastAsia" w:ascii="仿宋" w:hAnsi="仿宋" w:eastAsia="仿宋" w:cs="仿宋"/>
          <w:b/>
          <w:color w:val="auto"/>
          <w:sz w:val="24"/>
          <w:szCs w:val="24"/>
          <w:highlight w:val="none"/>
          <w:u w:val="single"/>
        </w:rPr>
      </w:pPr>
      <w:r>
        <w:rPr>
          <w:rFonts w:hint="eastAsia" w:ascii="仿宋" w:hAnsi="仿宋" w:eastAsia="仿宋" w:cs="仿宋"/>
          <w:b/>
          <w:color w:val="auto"/>
          <w:sz w:val="24"/>
          <w:szCs w:val="24"/>
          <w:highlight w:val="none"/>
        </w:rPr>
        <w:t xml:space="preserve">承包人（全称）：   </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根据《中华人民共和国民法典》、《中华人民共和国建筑法》及有关法律规定、本项目磋商文件及中标结果，遵循平等、自愿、公平和诚实信用的原则，双方就</w:t>
      </w:r>
      <w:r>
        <w:rPr>
          <w:rFonts w:hint="eastAsia" w:ascii="仿宋" w:hAnsi="仿宋" w:eastAsia="仿宋" w:cs="仿宋"/>
          <w:color w:val="auto"/>
          <w:sz w:val="24"/>
          <w:szCs w:val="24"/>
          <w:highlight w:val="none"/>
          <w:u w:val="single"/>
          <w:lang w:eastAsia="zh-CN"/>
        </w:rPr>
        <w:t xml:space="preserve">黄河东片区道路雨污分流路面修复工程项目</w:t>
      </w:r>
      <w:r>
        <w:rPr>
          <w:rFonts w:hint="eastAsia" w:ascii="仿宋" w:hAnsi="仿宋" w:eastAsia="仿宋" w:cs="仿宋"/>
          <w:color w:val="auto"/>
          <w:sz w:val="24"/>
          <w:szCs w:val="24"/>
          <w:highlight w:val="none"/>
        </w:rPr>
        <w:t xml:space="preserve">施工及有关事项协商一致，共同达成如下协议：</w:t>
      </w:r>
      <w:bookmarkEnd w:id="91"/>
      <w:r/>
      <w:bookmarkEnd w:id="92"/>
      <w:r/>
      <w:r/>
    </w:p>
    <w:p>
      <w:pPr>
        <w:spacing w:line="360" w:lineRule="auto"/>
        <w:rPr>
          <w:rFonts w:hint="eastAsia" w:ascii="仿宋" w:hAnsi="仿宋" w:eastAsia="仿宋" w:cs="仿宋"/>
          <w:b/>
          <w:color w:val="auto"/>
          <w:sz w:val="24"/>
          <w:szCs w:val="24"/>
          <w:highlight w:val="none"/>
        </w:rPr>
      </w:pPr>
      <w:r/>
      <w:bookmarkStart w:id="99" w:name="_Toc351203481"/>
      <w:r/>
      <w:bookmarkStart w:id="100" w:name="_Toc1567"/>
      <w:r>
        <w:rPr>
          <w:rFonts w:hint="eastAsia" w:ascii="仿宋" w:hAnsi="仿宋" w:eastAsia="仿宋" w:cs="仿宋"/>
          <w:b/>
          <w:color w:val="auto"/>
          <w:sz w:val="24"/>
          <w:szCs w:val="24"/>
          <w:highlight w:val="none"/>
        </w:rPr>
        <w:t xml:space="preserve">一、工程概况</w:t>
      </w:r>
      <w:bookmarkEnd w:id="99"/>
      <w:r/>
      <w:r/>
    </w:p>
    <w:p>
      <w:pPr>
        <w:ind w:firstLine="420"/>
        <w:jc w:val="left"/>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1.工程名称：</w:t>
      </w:r>
      <w:r>
        <w:rPr>
          <w:rFonts w:hint="eastAsia" w:ascii="仿宋" w:hAnsi="仿宋" w:eastAsia="仿宋" w:cs="仿宋"/>
          <w:color w:val="auto"/>
          <w:sz w:val="24"/>
          <w:szCs w:val="24"/>
          <w:highlight w:val="none"/>
          <w:lang w:eastAsia="zh-CN"/>
        </w:rPr>
        <w:t xml:space="preserve">黄河东片区道路雨污分流路面修复工程项目</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2.工程地点：</w:t>
      </w:r>
      <w:r>
        <w:rPr>
          <w:rFonts w:hint="eastAsia" w:ascii="仿宋" w:hAnsi="仿宋" w:eastAsia="仿宋" w:cs="仿宋"/>
          <w:color w:val="auto"/>
          <w:sz w:val="24"/>
          <w:szCs w:val="24"/>
          <w:highlight w:val="none"/>
          <w:u w:val="single"/>
        </w:rPr>
        <w:t xml:space="preserve">徐州市</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3.资金来源：</w:t>
      </w:r>
      <w:r>
        <w:rPr>
          <w:rFonts w:hint="eastAsia" w:ascii="仿宋" w:hAnsi="仿宋" w:eastAsia="仿宋" w:cs="仿宋"/>
          <w:color w:val="auto"/>
          <w:sz w:val="24"/>
          <w:szCs w:val="24"/>
          <w:highlight w:val="none"/>
          <w:u w:val="single"/>
        </w:rPr>
        <w:t xml:space="preserve">财政资金</w:t>
      </w:r>
      <w:r/>
    </w:p>
    <w:p>
      <w:pPr>
        <w:ind w:firstLine="420"/>
        <w:spacing w:line="360" w:lineRule="auto"/>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4.工程内容：</w:t>
      </w:r>
      <w:r>
        <w:rPr>
          <w:rFonts w:hint="eastAsia" w:ascii="仿宋" w:hAnsi="仿宋" w:eastAsia="仿宋" w:cs="仿宋"/>
          <w:color w:val="auto"/>
          <w:sz w:val="24"/>
          <w:szCs w:val="24"/>
          <w:highlight w:val="none"/>
          <w:u w:val="single"/>
          <w:lang w:val="en-US" w:eastAsia="zh-CN"/>
        </w:rPr>
        <w:t xml:space="preserve">本项目是对</w:t>
      </w:r>
      <w:r>
        <w:rPr>
          <w:rFonts w:hint="eastAsia" w:ascii="仿宋" w:hAnsi="仿宋" w:eastAsia="仿宋" w:cs="仿宋"/>
          <w:color w:val="auto"/>
          <w:sz w:val="24"/>
          <w:szCs w:val="24"/>
          <w:highlight w:val="none"/>
          <w:u w:val="single"/>
          <w:lang w:val="zh-CN" w:eastAsia="zh-CN"/>
        </w:rPr>
        <w:t xml:space="preserve">金马路造成的路面开挖进行恢复。</w:t>
      </w:r>
      <w:r>
        <w:rPr>
          <w:rFonts w:hint="eastAsia" w:ascii="仿宋" w:hAnsi="仿宋" w:eastAsia="仿宋" w:cs="仿宋"/>
          <w:color w:val="auto"/>
          <w:sz w:val="24"/>
          <w:szCs w:val="24"/>
          <w:highlight w:val="none"/>
          <w:u w:val="single"/>
          <w:lang w:val="en-US" w:eastAsia="zh-CN"/>
        </w:rPr>
        <w:t xml:space="preserve">具体为</w:t>
      </w:r>
      <w:r>
        <w:rPr>
          <w:rFonts w:hint="eastAsia" w:ascii="仿宋" w:hAnsi="仿宋" w:eastAsia="仿宋" w:cs="仿宋"/>
          <w:color w:val="auto"/>
          <w:sz w:val="24"/>
          <w:szCs w:val="24"/>
          <w:highlight w:val="none"/>
          <w:u w:val="single"/>
          <w:lang w:val="zh-CN" w:eastAsia="zh-CN"/>
        </w:rPr>
        <w:t xml:space="preserve">机动车道、人行道路面恢复、侧平石恢复等内容</w:t>
      </w:r>
      <w:r>
        <w:rPr>
          <w:rFonts w:hint="eastAsia" w:ascii="仿宋" w:hAnsi="仿宋" w:eastAsia="仿宋" w:cs="仿宋"/>
          <w:color w:val="auto"/>
          <w:sz w:val="24"/>
          <w:szCs w:val="24"/>
          <w:highlight w:val="none"/>
          <w:u w:val="single"/>
        </w:rPr>
        <w:t xml:space="preserve">，详见工程量清单及施工图所包含的全部内容。（本项目再生产品的使用参照设计文件及国家相关规范要求。）</w:t>
      </w:r>
      <w:r/>
    </w:p>
    <w:p>
      <w:pPr>
        <w:ind w:firstLine="420"/>
        <w:spacing w:line="360" w:lineRule="auto"/>
        <w:widowControl w:val="off"/>
        <w:rPr>
          <w:rFonts w:hint="eastAsia" w:ascii="仿宋" w:hAnsi="仿宋" w:eastAsia="仿宋" w:cs="仿宋"/>
          <w:bCs/>
          <w:color w:val="auto"/>
          <w:sz w:val="24"/>
          <w:szCs w:val="24"/>
          <w:highlight w:val="none"/>
          <w:u w:val="single"/>
        </w:rPr>
      </w:pPr>
      <w:r>
        <w:rPr>
          <w:rFonts w:hint="eastAsia" w:ascii="仿宋" w:hAnsi="仿宋" w:eastAsia="仿宋" w:cs="仿宋"/>
          <w:bCs/>
          <w:color w:val="auto"/>
          <w:sz w:val="24"/>
          <w:szCs w:val="24"/>
          <w:highlight w:val="none"/>
        </w:rPr>
        <w:t xml:space="preserve">5.工程承包范围：</w:t>
      </w:r>
      <w:r>
        <w:rPr>
          <w:rFonts w:hint="eastAsia" w:ascii="仿宋" w:hAnsi="仿宋" w:eastAsia="仿宋" w:cs="仿宋"/>
          <w:bCs/>
          <w:color w:val="auto"/>
          <w:sz w:val="24"/>
          <w:szCs w:val="24"/>
          <w:highlight w:val="none"/>
          <w:u w:val="single"/>
          <w:lang w:eastAsia="zh-CN"/>
        </w:rPr>
        <w:t xml:space="preserve">黄河东片区道路雨污分流路面修复工程项目</w:t>
      </w:r>
      <w:r>
        <w:rPr>
          <w:rFonts w:hint="eastAsia" w:ascii="仿宋" w:hAnsi="仿宋" w:eastAsia="仿宋" w:cs="仿宋"/>
          <w:bCs/>
          <w:color w:val="auto"/>
          <w:sz w:val="24"/>
          <w:szCs w:val="24"/>
          <w:highlight w:val="none"/>
          <w:u w:val="single"/>
        </w:rPr>
        <w:t xml:space="preserve">，</w:t>
      </w:r>
      <w:r>
        <w:rPr>
          <w:rFonts w:hint="eastAsia" w:ascii="仿宋" w:hAnsi="仿宋" w:eastAsia="仿宋" w:cs="仿宋"/>
          <w:color w:val="auto"/>
          <w:sz w:val="24"/>
          <w:szCs w:val="24"/>
          <w:highlight w:val="none"/>
          <w:u w:val="single"/>
        </w:rPr>
        <w:t xml:space="preserve">详见工程量清单所含全部内容</w:t>
      </w:r>
      <w:r>
        <w:rPr>
          <w:rFonts w:hint="eastAsia" w:ascii="仿宋" w:hAnsi="仿宋" w:eastAsia="仿宋" w:cs="仿宋"/>
          <w:bCs/>
          <w:color w:val="auto"/>
          <w:sz w:val="24"/>
          <w:szCs w:val="24"/>
          <w:highlight w:val="none"/>
          <w:u w:val="singl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6.承包方式：</w:t>
      </w:r>
      <w:bookmarkStart w:id="101" w:name="_Toc351203482"/>
      <w:r>
        <w:rPr>
          <w:rFonts w:hint="eastAsia" w:ascii="仿宋" w:hAnsi="仿宋" w:eastAsia="仿宋" w:cs="仿宋"/>
          <w:color w:val="auto"/>
          <w:sz w:val="24"/>
          <w:szCs w:val="24"/>
          <w:highlight w:val="none"/>
        </w:rPr>
        <w:t xml:space="preserve">包工包料，不得分包与转包。</w:t>
      </w:r>
      <w:r/>
    </w:p>
    <w:p>
      <w:pPr>
        <w:spacing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rPr>
        <w:t xml:space="preserve">二、工期</w:t>
      </w:r>
      <w:bookmarkEnd w:id="101"/>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u w:val="single"/>
        </w:rPr>
        <w:t xml:space="preserve">     日历天</w:t>
      </w:r>
      <w:r>
        <w:rPr>
          <w:rFonts w:hint="eastAsia" w:ascii="仿宋" w:hAnsi="仿宋" w:eastAsia="仿宋" w:cs="仿宋"/>
          <w:b/>
          <w:bCs/>
          <w:color w:val="auto"/>
          <w:sz w:val="24"/>
          <w:szCs w:val="24"/>
          <w:highlight w:val="none"/>
        </w:rPr>
        <w:t xml:space="preserve">，自</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b/>
          <w:bCs/>
          <w:color w:val="auto"/>
          <w:sz w:val="24"/>
          <w:szCs w:val="24"/>
          <w:highlight w:val="none"/>
        </w:rPr>
        <w:t xml:space="preserve">年</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b/>
          <w:bCs/>
          <w:color w:val="auto"/>
          <w:sz w:val="24"/>
          <w:szCs w:val="24"/>
          <w:highlight w:val="none"/>
        </w:rPr>
        <w:t xml:space="preserve">月</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b/>
          <w:bCs/>
          <w:color w:val="auto"/>
          <w:sz w:val="24"/>
          <w:szCs w:val="24"/>
          <w:highlight w:val="none"/>
        </w:rPr>
        <w:t xml:space="preserve">日 至</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b/>
          <w:bCs/>
          <w:color w:val="auto"/>
          <w:sz w:val="24"/>
          <w:szCs w:val="24"/>
          <w:highlight w:val="none"/>
        </w:rPr>
        <w:t xml:space="preserve">年</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b/>
          <w:bCs/>
          <w:color w:val="auto"/>
          <w:sz w:val="24"/>
          <w:szCs w:val="24"/>
          <w:highlight w:val="none"/>
        </w:rPr>
        <w:t xml:space="preserve">月</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b/>
          <w:bCs/>
          <w:color w:val="auto"/>
          <w:sz w:val="24"/>
          <w:szCs w:val="24"/>
          <w:highlight w:val="none"/>
        </w:rPr>
        <w:t xml:space="preserve">日。</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bidi="ar"/>
        </w:rPr>
        <w:t xml:space="preserve">具体工期应配合本项目</w:t>
      </w:r>
      <w:r>
        <w:rPr>
          <w:rFonts w:hint="eastAsia" w:ascii="仿宋" w:hAnsi="仿宋" w:eastAsia="仿宋" w:cs="仿宋"/>
          <w:color w:val="auto"/>
          <w:sz w:val="24"/>
          <w:szCs w:val="24"/>
          <w:highlight w:val="none"/>
          <w:lang w:eastAsia="zh-CN" w:bidi="ar"/>
        </w:rPr>
        <w:t xml:space="preserve">雨污分流改造工程</w:t>
      </w:r>
      <w:r>
        <w:rPr>
          <w:rFonts w:hint="eastAsia" w:ascii="仿宋" w:hAnsi="仿宋" w:eastAsia="仿宋" w:cs="仿宋"/>
          <w:color w:val="auto"/>
          <w:sz w:val="24"/>
          <w:szCs w:val="24"/>
          <w:highlight w:val="none"/>
          <w:lang w:bidi="ar"/>
        </w:rPr>
        <w:t xml:space="preserve">工期要求</w:t>
      </w:r>
      <w:r>
        <w:rPr>
          <w:rFonts w:hint="eastAsia" w:ascii="仿宋" w:hAnsi="仿宋" w:eastAsia="仿宋" w:cs="仿宋"/>
          <w:color w:val="auto"/>
          <w:sz w:val="24"/>
          <w:szCs w:val="24"/>
          <w:highlight w:val="none"/>
        </w:rPr>
        <w:t xml:space="preserve">）。</w:t>
      </w:r>
      <w:r/>
    </w:p>
    <w:p>
      <w:pPr>
        <w:spacing w:line="360" w:lineRule="auto"/>
        <w:rPr>
          <w:rFonts w:hint="eastAsia" w:ascii="仿宋" w:hAnsi="仿宋" w:eastAsia="仿宋" w:cs="仿宋"/>
          <w:b/>
          <w:color w:val="auto"/>
          <w:sz w:val="24"/>
          <w:szCs w:val="24"/>
          <w:highlight w:val="none"/>
        </w:rPr>
      </w:pPr>
      <w:r/>
      <w:bookmarkStart w:id="102" w:name="_Toc351203483"/>
      <w:r>
        <w:rPr>
          <w:rFonts w:hint="eastAsia" w:ascii="仿宋" w:hAnsi="仿宋" w:eastAsia="仿宋" w:cs="仿宋"/>
          <w:b/>
          <w:color w:val="auto"/>
          <w:sz w:val="24"/>
          <w:szCs w:val="24"/>
          <w:highlight w:val="none"/>
        </w:rPr>
        <w:t xml:space="preserve">三、质量标准</w:t>
      </w:r>
      <w:bookmarkEnd w:id="102"/>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工程质量符合</w:t>
      </w:r>
      <w:r>
        <w:rPr>
          <w:rFonts w:hint="eastAsia" w:ascii="仿宋" w:hAnsi="仿宋" w:eastAsia="仿宋" w:cs="仿宋"/>
          <w:color w:val="auto"/>
          <w:sz w:val="24"/>
          <w:szCs w:val="24"/>
          <w:highlight w:val="none"/>
          <w:u w:val="single"/>
        </w:rPr>
        <w:t xml:space="preserve">   合格    </w:t>
      </w:r>
      <w:r>
        <w:rPr>
          <w:rFonts w:hint="eastAsia" w:ascii="仿宋" w:hAnsi="仿宋" w:eastAsia="仿宋" w:cs="仿宋"/>
          <w:color w:val="auto"/>
          <w:sz w:val="24"/>
          <w:szCs w:val="24"/>
          <w:highlight w:val="none"/>
        </w:rPr>
        <w:t xml:space="preserve">标准。符合相关验收要求（标准），符合《城镇道路工程施工与质量验收规范》及发包人要求。</w:t>
      </w:r>
      <w:r/>
    </w:p>
    <w:p>
      <w:pPr>
        <w:spacing w:line="360" w:lineRule="auto"/>
        <w:rPr>
          <w:rFonts w:hint="eastAsia" w:ascii="仿宋" w:hAnsi="仿宋" w:eastAsia="仿宋" w:cs="仿宋"/>
          <w:b/>
          <w:color w:val="auto"/>
          <w:sz w:val="24"/>
          <w:szCs w:val="24"/>
          <w:highlight w:val="none"/>
        </w:rPr>
      </w:pPr>
      <w:r/>
      <w:bookmarkStart w:id="103" w:name="_Toc351203484"/>
      <w:r>
        <w:rPr>
          <w:rFonts w:hint="eastAsia" w:ascii="仿宋" w:hAnsi="仿宋" w:eastAsia="仿宋" w:cs="仿宋"/>
          <w:b/>
          <w:color w:val="auto"/>
          <w:sz w:val="24"/>
          <w:szCs w:val="24"/>
          <w:highlight w:val="none"/>
        </w:rPr>
        <w:t xml:space="preserve">四、签约合同价与合同价格形式</w:t>
      </w:r>
      <w:bookmarkEnd w:id="103"/>
      <w:r>
        <w:rPr>
          <w:rFonts w:hint="eastAsia" w:ascii="仿宋" w:hAnsi="仿宋" w:eastAsia="仿宋" w:cs="仿宋"/>
          <w:b/>
          <w:color w:val="auto"/>
          <w:sz w:val="24"/>
          <w:szCs w:val="24"/>
          <w:highlight w:val="none"/>
        </w:rPr>
        <w:tab/>
      </w:r>
      <w:r/>
    </w:p>
    <w:p>
      <w:pPr>
        <w:ind w:firstLine="420"/>
        <w:spacing w:line="360" w:lineRule="auto"/>
        <w:rPr>
          <w:rFonts w:hint="eastAsia" w:ascii="仿宋" w:hAnsi="仿宋" w:eastAsia="仿宋" w:cs="仿宋"/>
          <w:color w:val="auto"/>
          <w:sz w:val="24"/>
          <w:szCs w:val="24"/>
          <w:highlight w:val="none"/>
        </w:rPr>
      </w:pPr>
      <w:r/>
      <w:bookmarkStart w:id="104" w:name="_Toc351203485"/>
      <w:r>
        <w:rPr>
          <w:rFonts w:hint="eastAsia" w:ascii="仿宋" w:hAnsi="仿宋" w:eastAsia="仿宋" w:cs="仿宋"/>
          <w:color w:val="auto"/>
          <w:sz w:val="24"/>
          <w:szCs w:val="24"/>
          <w:highlight w:val="none"/>
        </w:rPr>
        <w:t xml:space="preserve">1.签约合同价：小写￥：（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，大写（人民币）：</w:t>
      </w:r>
      <w:r>
        <w:rPr>
          <w:rFonts w:hint="eastAsia" w:ascii="仿宋" w:hAnsi="仿宋" w:eastAsia="仿宋" w:cs="仿宋"/>
          <w:color w:val="auto"/>
          <w:sz w:val="24"/>
          <w:szCs w:val="24"/>
          <w:highlight w:val="none"/>
          <w:u w:val="single"/>
        </w:rPr>
        <w:t xml:space="preserve">           元</w:t>
      </w:r>
      <w:r>
        <w:rPr>
          <w:rFonts w:hint="eastAsia" w:ascii="仿宋" w:hAnsi="仿宋" w:eastAsia="仿宋" w:cs="仿宋"/>
          <w:color w:val="auto"/>
          <w:sz w:val="24"/>
          <w:szCs w:val="24"/>
          <w:highlight w:val="none"/>
        </w:rPr>
        <w:t xml:space="preserve">                            </w:t>
      </w:r>
      <w:r/>
    </w:p>
    <w:p>
      <w:pPr>
        <w:ind w:firstLine="422"/>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2.合同价格形式：</w:t>
      </w:r>
      <w:r>
        <w:rPr>
          <w:rFonts w:hint="eastAsia" w:ascii="仿宋" w:hAnsi="仿宋" w:eastAsia="仿宋" w:cs="仿宋"/>
          <w:color w:val="auto"/>
          <w:sz w:val="24"/>
          <w:szCs w:val="24"/>
          <w:highlight w:val="none"/>
          <w:u w:val="single"/>
        </w:rPr>
        <w:t xml:space="preserve">  固定单价合同 。</w:t>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五、</w:t>
      </w:r>
      <w:bookmarkEnd w:id="104"/>
      <w:r>
        <w:rPr>
          <w:rFonts w:hint="eastAsia" w:ascii="仿宋" w:hAnsi="仿宋" w:eastAsia="仿宋" w:cs="仿宋"/>
          <w:b/>
          <w:color w:val="auto"/>
          <w:sz w:val="24"/>
          <w:szCs w:val="24"/>
          <w:highlight w:val="none"/>
        </w:rPr>
        <w:t xml:space="preserve">项目经理</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承包人项目经理：</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，身份证号：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b/>
          <w:color w:val="auto"/>
          <w:sz w:val="24"/>
          <w:szCs w:val="24"/>
          <w:highlight w:val="none"/>
        </w:rPr>
      </w:pPr>
      <w:r/>
      <w:bookmarkStart w:id="105" w:name="_Toc351203486"/>
      <w:r>
        <w:rPr>
          <w:rFonts w:hint="eastAsia" w:ascii="仿宋" w:hAnsi="仿宋" w:eastAsia="仿宋" w:cs="仿宋"/>
          <w:b/>
          <w:color w:val="auto"/>
          <w:sz w:val="24"/>
          <w:szCs w:val="24"/>
          <w:highlight w:val="none"/>
        </w:rPr>
        <w:t xml:space="preserve">六、合同文件构成</w:t>
      </w:r>
      <w:bookmarkEnd w:id="105"/>
      <w:r/>
      <w:r/>
    </w:p>
    <w:p>
      <w:pPr>
        <w:ind w:firstLine="42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本协议书与下列文件一起构成合同文件：</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（1）中标通知书（如果有）；</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（2）投标函及其附录（如果有）； </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（3）专用合同条款及其附件；</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（4）通用合同条款；</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（5）技术标准和要求；</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（6）图纸；</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（7）已标价工程量清单或预算书；</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（8）其他合同文件。</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在合同订立及履行过程中形成的与合同有关的文件均构成合同文件组成部分。</w:t>
      </w:r>
      <w:r/>
    </w:p>
    <w:p>
      <w:pPr>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spacing w:line="360" w:lineRule="auto"/>
        <w:rPr>
          <w:rFonts w:hint="eastAsia" w:ascii="仿宋" w:hAnsi="仿宋" w:eastAsia="仿宋" w:cs="仿宋"/>
          <w:b/>
          <w:bCs/>
          <w:color w:val="auto"/>
          <w:sz w:val="24"/>
          <w:szCs w:val="24"/>
          <w:highlight w:val="none"/>
        </w:rPr>
      </w:pPr>
      <w:r/>
      <w:bookmarkStart w:id="106" w:name="_Toc351203487"/>
      <w:r>
        <w:rPr>
          <w:rFonts w:hint="eastAsia" w:ascii="仿宋" w:hAnsi="仿宋" w:eastAsia="仿宋" w:cs="仿宋"/>
          <w:b/>
          <w:bCs/>
          <w:color w:val="auto"/>
          <w:sz w:val="24"/>
          <w:szCs w:val="24"/>
          <w:highlight w:val="none"/>
        </w:rPr>
        <w:t xml:space="preserve">七、承诺</w:t>
      </w:r>
      <w:bookmarkEnd w:id="106"/>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1.发包人承诺按照法律规定履行项目审批手续、筹集工程建设资金并按照合同约定的期限和方式支付合同价款。</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3.发包人和承包人通过招投标形式签订合同的，双方理解并承诺不再就同一工程另行签订与合同实质性内容相背离的协议。</w:t>
      </w:r>
      <w:r/>
    </w:p>
    <w:p>
      <w:pPr>
        <w:spacing w:line="360" w:lineRule="auto"/>
        <w:rPr>
          <w:rFonts w:hint="eastAsia" w:ascii="仿宋" w:hAnsi="仿宋" w:eastAsia="仿宋" w:cs="仿宋"/>
          <w:b/>
          <w:color w:val="auto"/>
          <w:sz w:val="24"/>
          <w:szCs w:val="24"/>
          <w:highlight w:val="none"/>
        </w:rPr>
      </w:pPr>
      <w:r/>
      <w:bookmarkStart w:id="107" w:name="_Toc351203488"/>
      <w:r>
        <w:rPr>
          <w:rFonts w:hint="eastAsia" w:ascii="仿宋" w:hAnsi="仿宋" w:eastAsia="仿宋" w:cs="仿宋"/>
          <w:b/>
          <w:color w:val="auto"/>
          <w:sz w:val="24"/>
          <w:szCs w:val="24"/>
          <w:highlight w:val="none"/>
        </w:rPr>
        <w:t xml:space="preserve">八、词语含义</w:t>
      </w:r>
      <w:bookmarkEnd w:id="107"/>
      <w:r/>
      <w:r/>
    </w:p>
    <w:p>
      <w:pPr>
        <w:ind w:firstLine="42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本协议书中词语含义与第二部分通用合同条款中赋予的含义相同。</w:t>
      </w:r>
      <w:r/>
    </w:p>
    <w:p>
      <w:pPr>
        <w:spacing w:line="360" w:lineRule="auto"/>
        <w:rPr>
          <w:rFonts w:hint="eastAsia" w:ascii="仿宋" w:hAnsi="仿宋" w:eastAsia="仿宋" w:cs="仿宋"/>
          <w:b/>
          <w:color w:val="auto"/>
          <w:sz w:val="24"/>
          <w:szCs w:val="24"/>
          <w:highlight w:val="none"/>
        </w:rPr>
      </w:pPr>
      <w:r/>
      <w:bookmarkStart w:id="108" w:name="_Toc351203489"/>
      <w:r>
        <w:rPr>
          <w:rFonts w:hint="eastAsia" w:ascii="仿宋" w:hAnsi="仿宋" w:eastAsia="仿宋" w:cs="仿宋"/>
          <w:b/>
          <w:color w:val="auto"/>
          <w:sz w:val="24"/>
          <w:szCs w:val="24"/>
          <w:highlight w:val="none"/>
        </w:rPr>
        <w:t xml:space="preserve">九、签订时间</w:t>
      </w:r>
      <w:bookmarkEnd w:id="108"/>
      <w:r/>
      <w:r/>
    </w:p>
    <w:p>
      <w:pPr>
        <w:ind w:firstLine="42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本合同于</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 xml:space="preserve">年</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 xml:space="preserve">月</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 xml:space="preserve">日签订。</w:t>
      </w:r>
      <w:r/>
    </w:p>
    <w:p>
      <w:pPr>
        <w:spacing w:line="360" w:lineRule="auto"/>
        <w:rPr>
          <w:rFonts w:hint="eastAsia" w:ascii="仿宋" w:hAnsi="仿宋" w:eastAsia="仿宋" w:cs="仿宋"/>
          <w:b/>
          <w:color w:val="auto"/>
          <w:sz w:val="24"/>
          <w:szCs w:val="24"/>
          <w:highlight w:val="none"/>
        </w:rPr>
      </w:pPr>
      <w:r/>
      <w:bookmarkStart w:id="109" w:name="_Toc351203490"/>
      <w:r>
        <w:rPr>
          <w:rFonts w:hint="eastAsia" w:ascii="仿宋" w:hAnsi="仿宋" w:eastAsia="仿宋" w:cs="仿宋"/>
          <w:b/>
          <w:color w:val="auto"/>
          <w:sz w:val="24"/>
          <w:szCs w:val="24"/>
          <w:highlight w:val="none"/>
        </w:rPr>
        <w:t xml:space="preserve">十、签订地点</w:t>
      </w:r>
      <w:bookmarkEnd w:id="109"/>
      <w:r/>
      <w:r/>
    </w:p>
    <w:p>
      <w:pPr>
        <w:ind w:firstLine="42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本合同在</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 xml:space="preserve">签订。</w:t>
      </w:r>
      <w:r/>
    </w:p>
    <w:p>
      <w:pPr>
        <w:spacing w:line="360" w:lineRule="auto"/>
        <w:rPr>
          <w:rFonts w:hint="eastAsia" w:ascii="仿宋" w:hAnsi="仿宋" w:eastAsia="仿宋" w:cs="仿宋"/>
          <w:b/>
          <w:color w:val="auto"/>
          <w:sz w:val="24"/>
          <w:szCs w:val="24"/>
          <w:highlight w:val="none"/>
        </w:rPr>
      </w:pPr>
      <w:r/>
      <w:bookmarkStart w:id="110" w:name="_Toc351203491"/>
      <w:r>
        <w:rPr>
          <w:rFonts w:hint="eastAsia" w:ascii="仿宋" w:hAnsi="仿宋" w:eastAsia="仿宋" w:cs="仿宋"/>
          <w:b/>
          <w:color w:val="auto"/>
          <w:sz w:val="24"/>
          <w:szCs w:val="24"/>
          <w:highlight w:val="none"/>
        </w:rPr>
        <w:t xml:space="preserve">十一、补充协议</w:t>
      </w:r>
      <w:bookmarkEnd w:id="110"/>
      <w:r/>
      <w:r/>
    </w:p>
    <w:p>
      <w:pPr>
        <w:ind w:firstLine="420"/>
        <w:spacing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 xml:space="preserve">合同未尽事宜，合同当事人另行签订补充协议，补充协议是合同的组成部分。</w:t>
      </w:r>
      <w:r/>
    </w:p>
    <w:p>
      <w:pPr>
        <w:spacing w:line="360" w:lineRule="auto"/>
        <w:rPr>
          <w:rFonts w:hint="eastAsia" w:ascii="仿宋" w:hAnsi="仿宋" w:eastAsia="仿宋" w:cs="仿宋"/>
          <w:color w:val="auto"/>
          <w:sz w:val="24"/>
          <w:szCs w:val="24"/>
          <w:highlight w:val="none"/>
        </w:rPr>
      </w:pPr>
      <w:r/>
      <w:bookmarkStart w:id="111" w:name="_Toc351203492"/>
      <w:r>
        <w:rPr>
          <w:rFonts w:hint="eastAsia" w:ascii="仿宋" w:hAnsi="仿宋" w:eastAsia="仿宋" w:cs="仿宋"/>
          <w:color w:val="auto"/>
          <w:sz w:val="24"/>
          <w:szCs w:val="24"/>
          <w:highlight w:val="none"/>
        </w:rPr>
        <w:t xml:space="preserve">十二、合同生效</w:t>
      </w:r>
      <w:bookmarkEnd w:id="111"/>
      <w:r/>
      <w:r/>
    </w:p>
    <w:p>
      <w:pPr>
        <w:ind w:firstLine="42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本合同自</w:t>
      </w:r>
      <w:r>
        <w:rPr>
          <w:rFonts w:hint="eastAsia" w:ascii="仿宋" w:hAnsi="仿宋" w:eastAsia="仿宋" w:cs="仿宋"/>
          <w:bCs/>
          <w:color w:val="auto"/>
          <w:sz w:val="24"/>
          <w:szCs w:val="24"/>
          <w:highlight w:val="none"/>
          <w:u w:val="single"/>
        </w:rPr>
        <w:t xml:space="preserve">   双方签字并盖章后  </w:t>
      </w:r>
      <w:r>
        <w:rPr>
          <w:rFonts w:hint="eastAsia" w:ascii="仿宋" w:hAnsi="仿宋" w:eastAsia="仿宋" w:cs="仿宋"/>
          <w:bCs/>
          <w:color w:val="auto"/>
          <w:sz w:val="24"/>
          <w:szCs w:val="24"/>
          <w:highlight w:val="none"/>
        </w:rPr>
        <w:t xml:space="preserve">生效。</w:t>
      </w:r>
      <w:r/>
    </w:p>
    <w:p>
      <w:pPr>
        <w:ind w:firstLine="420"/>
        <w:spacing w:line="360" w:lineRule="auto"/>
        <w:rPr>
          <w:rFonts w:hint="eastAsia" w:ascii="仿宋" w:hAnsi="仿宋" w:eastAsia="仿宋" w:cs="仿宋"/>
          <w:color w:val="auto"/>
          <w:sz w:val="24"/>
          <w:szCs w:val="24"/>
          <w:highlight w:val="none"/>
        </w:rPr>
      </w:pPr>
      <w:r/>
      <w:bookmarkStart w:id="112" w:name="_Toc351203493"/>
      <w:r>
        <w:rPr>
          <w:rFonts w:hint="eastAsia" w:ascii="仿宋" w:hAnsi="仿宋" w:eastAsia="仿宋" w:cs="仿宋"/>
          <w:color w:val="auto"/>
          <w:sz w:val="24"/>
          <w:szCs w:val="24"/>
          <w:highlight w:val="none"/>
        </w:rPr>
        <w:t xml:space="preserve">十三、合同份数</w:t>
      </w:r>
      <w:bookmarkEnd w:id="112"/>
      <w:r/>
      <w:r/>
    </w:p>
    <w:p>
      <w:pPr>
        <w:ind w:firstLine="42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本合同一式</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u w:val="single"/>
          <w:lang w:val="en-US" w:eastAsia="zh-CN"/>
        </w:rPr>
        <w:t xml:space="preserve">肆</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 xml:space="preserve">份，均具有同等法律效力，发包人执</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u w:val="single"/>
          <w:lang w:val="en-US" w:eastAsia="zh-CN"/>
        </w:rPr>
        <w:t xml:space="preserve">贰</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 xml:space="preserve">份，承包人执</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u w:val="single"/>
          <w:lang w:val="en-US" w:eastAsia="zh-CN"/>
        </w:rPr>
        <w:t xml:space="preserve">贰</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 xml:space="preserve">份。</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360" w:lineRule="auto"/>
        <w:tabs>
          <w:tab w:val="left" w:pos="504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  (公章)               </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 xml:space="preserve">承包人：  (公章)</w:t>
      </w:r>
      <w:r/>
    </w:p>
    <w:p>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r>
      <w:r/>
    </w:p>
    <w:p>
      <w:pPr>
        <w:spacing w:line="360" w:lineRule="auto"/>
        <w:tabs>
          <w:tab w:val="left" w:pos="504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签订日期：  年  月  日       </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 xml:space="preserve">签订日期：  年  月  日 </w:t>
      </w:r>
      <w:r/>
    </w:p>
    <w:p>
      <w:pPr>
        <w:spacing w:line="360" w:lineRule="auto"/>
        <w:tabs>
          <w:tab w:val="left" w:pos="504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法定代表人或其委托代理人：  </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 xml:space="preserve">法定代表人或其委托代理人：</w:t>
      </w:r>
      <w:r/>
    </w:p>
    <w:p>
      <w:pPr>
        <w:spacing w:line="360" w:lineRule="auto"/>
        <w:tabs>
          <w:tab w:val="left" w:pos="5040"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（签字或签章）                    </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 xml:space="preserve">（签字或签章）</w:t>
      </w:r>
      <w:r/>
    </w:p>
    <w:p>
      <w:pPr>
        <w:spacing w:line="360" w:lineRule="auto"/>
        <w:tabs>
          <w:tab w:val="left" w:pos="4410" w:leader="none"/>
          <w:tab w:val="left" w:pos="504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组织机构代码：                   </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 xml:space="preserve">组织机构代码：  </w:t>
      </w:r>
      <w:r/>
    </w:p>
    <w:p>
      <w:pPr>
        <w:spacing w:line="360" w:lineRule="auto"/>
        <w:tabs>
          <w:tab w:val="left" w:pos="5040" w:leader="none"/>
          <w:tab w:val="left" w:pos="525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  址：                         </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 xml:space="preserve">地  址：</w:t>
      </w:r>
      <w:r/>
    </w:p>
    <w:p>
      <w:pPr>
        <w:spacing w:line="360" w:lineRule="auto"/>
        <w:tabs>
          <w:tab w:val="left" w:pos="504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  话：                         </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 xml:space="preserve">电  话：</w:t>
      </w:r>
      <w:r/>
    </w:p>
    <w:p>
      <w:pPr>
        <w:spacing w:line="360" w:lineRule="auto"/>
        <w:tabs>
          <w:tab w:val="left" w:pos="504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电子信箱：                       </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 xml:space="preserve">电子信箱：</w:t>
      </w:r>
      <w:r/>
    </w:p>
    <w:p>
      <w:pPr>
        <w:spacing w:line="360" w:lineRule="auto"/>
        <w:tabs>
          <w:tab w:val="left" w:pos="504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开户银行：                       </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 xml:space="preserve">开户银行：</w:t>
      </w:r>
      <w:r/>
    </w:p>
    <w:p>
      <w:pPr>
        <w:spacing w:line="360" w:lineRule="auto"/>
        <w:tabs>
          <w:tab w:val="left" w:pos="504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账  号：                         </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 xml:space="preserve">账  号： </w:t>
      </w:r>
      <w:r/>
    </w:p>
    <w:p>
      <w:pPr>
        <w:pStyle w:val="800"/>
        <w:jc w:val="center"/>
        <w:rPr>
          <w:rFonts w:hint="eastAsia" w:ascii="宋体" w:hAnsi="宋体" w:eastAsia="宋体" w:cs="宋体"/>
          <w:color w:val="auto"/>
          <w:szCs w:val="24"/>
          <w:highlight w:val="none"/>
        </w:rPr>
      </w:pPr>
      <w:r>
        <w:rPr>
          <w:rFonts w:hint="eastAsia" w:ascii="宋体" w:hAnsi="宋体" w:eastAsia="宋体" w:cs="宋体"/>
          <w:color w:val="auto"/>
          <w:highlight w:val="none"/>
        </w:rPr>
        <w:br w:type="page" w:clear="all"/>
      </w:r>
      <w:bookmarkStart w:id="113" w:name="_Toc29594"/>
      <w:r/>
      <w:bookmarkStart w:id="114" w:name="_Toc351203494"/>
      <w:r/>
      <w:bookmarkStart w:id="115" w:name="_Toc29286"/>
      <w:r>
        <w:rPr>
          <w:rFonts w:hint="eastAsia"/>
          <w:color w:val="auto"/>
          <w:highlight w:val="none"/>
        </w:rPr>
        <w:t xml:space="preserve">第二部分 通用合同条款</w:t>
      </w:r>
      <w:bookmarkEnd w:id="113"/>
      <w:r/>
      <w:bookmarkEnd w:id="114"/>
      <w:r/>
      <w:bookmarkEnd w:id="115"/>
      <w:r/>
      <w:bookmarkStart w:id="116" w:name="_Toc337558727"/>
      <w:r/>
      <w:r/>
    </w:p>
    <w:p>
      <w:pPr>
        <w:jc w:val="center"/>
        <w:spacing w:line="500" w:lineRule="exact"/>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备注：</w:t>
      </w:r>
      <w:r>
        <w:rPr>
          <w:rFonts w:hint="eastAsia" w:ascii="仿宋" w:hAnsi="仿宋" w:eastAsia="仿宋" w:cs="仿宋"/>
          <w:color w:val="auto"/>
          <w:sz w:val="24"/>
          <w:szCs w:val="24"/>
          <w:highlight w:val="none"/>
        </w:rPr>
        <w:t xml:space="preserve">本合同通用条款执行建设工程施工合同(GF—2017—0201)</w:t>
      </w:r>
      <w:r/>
    </w:p>
    <w:p>
      <w:pPr>
        <w:jc w:val="center"/>
        <w:spacing w:line="500" w:lineRule="exact"/>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u w:val="single"/>
        </w:rPr>
        <w:t xml:space="preserve">此部分在正式签订合同时应不加修改的、完整的装订在合同中</w:t>
      </w:r>
      <w:bookmarkEnd w:id="116"/>
      <w:r/>
      <w:r/>
    </w:p>
    <w:p>
      <w:pPr>
        <w:rPr>
          <w:color w:val="auto"/>
          <w:highlight w:val="none"/>
        </w:rPr>
      </w:pPr>
      <w:r/>
      <w:bookmarkStart w:id="117" w:name="_Toc3191"/>
      <w:r/>
      <w:bookmarkStart w:id="118" w:name="_Toc351203632"/>
      <w:r/>
      <w:bookmarkStart w:id="119" w:name="_Toc24249"/>
      <w:r/>
      <w:r/>
    </w:p>
    <w:p>
      <w:pPr>
        <w:rPr>
          <w:color w:val="auto"/>
          <w:highlight w:val="none"/>
        </w:rPr>
      </w:pPr>
      <w:r>
        <w:rPr>
          <w:rFonts w:hint="eastAsia"/>
          <w:color w:val="auto"/>
          <w:highlight w:val="none"/>
        </w:rPr>
        <w:br w:type="page" w:clear="all"/>
      </w:r>
      <w:r/>
    </w:p>
    <w:p>
      <w:pPr>
        <w:pStyle w:val="800"/>
        <w:jc w:val="center"/>
        <w:rPr>
          <w:rFonts w:hint="eastAsia"/>
          <w:color w:val="auto"/>
          <w:highlight w:val="none"/>
        </w:rPr>
      </w:pPr>
      <w:r>
        <w:rPr>
          <w:rFonts w:hint="eastAsia"/>
          <w:color w:val="auto"/>
          <w:highlight w:val="none"/>
        </w:rPr>
        <w:t xml:space="preserve">第三部分 专用合同条款</w:t>
      </w:r>
      <w:bookmarkEnd w:id="117"/>
      <w:r/>
      <w:bookmarkEnd w:id="118"/>
      <w:r/>
      <w:bookmarkEnd w:id="119"/>
      <w:r/>
      <w:r/>
    </w:p>
    <w:p>
      <w:pPr>
        <w:pStyle w:val="801"/>
        <w:rPr>
          <w:rFonts w:hint="eastAsia"/>
          <w:color w:val="auto"/>
          <w:highlight w:val="none"/>
        </w:rPr>
      </w:pPr>
      <w:r>
        <w:rPr>
          <w:rFonts w:hint="eastAsia"/>
          <w:color w:val="auto"/>
          <w:highlight w:val="none"/>
        </w:rPr>
        <w:t xml:space="preserve">1. 一般约定</w:t>
      </w:r>
      <w:r/>
    </w:p>
    <w:p>
      <w:pPr>
        <w:pStyle w:val="802"/>
        <w:ind w:firstLine="482"/>
        <w:rPr>
          <w:rFonts w:hint="eastAsia"/>
          <w:color w:val="auto"/>
          <w:highlight w:val="none"/>
        </w:rPr>
      </w:pPr>
      <w:r>
        <w:rPr>
          <w:rFonts w:hint="eastAsia"/>
          <w:color w:val="auto"/>
          <w:highlight w:val="none"/>
        </w:rPr>
        <w:t xml:space="preserve">1.1 词语定义</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1.1.1合同</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1.1.1.10其他合同文件包括：</w:t>
      </w:r>
      <w:r>
        <w:rPr>
          <w:rFonts w:hint="eastAsia" w:ascii="仿宋" w:hAnsi="仿宋" w:eastAsia="仿宋" w:cs="仿宋"/>
          <w:color w:val="auto"/>
          <w:sz w:val="24"/>
          <w:szCs w:val="24"/>
          <w:highlight w:val="none"/>
          <w:u w:val="single"/>
        </w:rPr>
        <w:t xml:space="preserve">履行合同过程中双方书面确认的会议纪要、签证、设计变更等资料 </w:t>
      </w:r>
      <w:r>
        <w:rPr>
          <w:rFonts w:hint="eastAsia" w:ascii="仿宋" w:hAnsi="仿宋" w:eastAsia="仿宋" w:cs="仿宋"/>
          <w:color w:val="auto"/>
          <w:sz w:val="24"/>
          <w:szCs w:val="24"/>
          <w:highlight w:val="none"/>
        </w:rPr>
        <w:t xml:space="preserve">。</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1.1.2 合同当事人及其他相关方</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1.1.2.4监理人：</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名    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资质类别和等级：</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电子信箱：</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通信地址：</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1.1.2.5 设计人：</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名    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资质类别和等级：</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电子信箱：</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通信地址：</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1.1.3 工程和设备</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1.1.3.7 作为施工现场组成部分的其他场所包括：</w:t>
      </w:r>
      <w:r>
        <w:rPr>
          <w:rFonts w:hint="eastAsia" w:ascii="仿宋" w:hAnsi="仿宋" w:eastAsia="仿宋" w:cs="仿宋"/>
          <w:color w:val="auto"/>
          <w:sz w:val="24"/>
          <w:szCs w:val="24"/>
          <w:highlight w:val="none"/>
          <w:u w:val="single"/>
        </w:rPr>
        <w:t xml:space="preserve">  项目部及施工场地 </w:t>
      </w:r>
      <w:r>
        <w:rPr>
          <w:rFonts w:hint="eastAsia" w:ascii="仿宋" w:hAnsi="仿宋" w:eastAsia="仿宋" w:cs="仿宋"/>
          <w:color w:val="auto"/>
          <w:sz w:val="24"/>
          <w:szCs w:val="24"/>
          <w:highlight w:val="none"/>
        </w:rPr>
        <w:t xml:space="preserve">。</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1.1.3.9 永久占地包括：</w:t>
      </w:r>
      <w:r>
        <w:rPr>
          <w:rFonts w:hint="eastAsia" w:ascii="仿宋" w:hAnsi="仿宋" w:eastAsia="仿宋" w:cs="仿宋"/>
          <w:color w:val="auto"/>
          <w:sz w:val="24"/>
          <w:szCs w:val="24"/>
          <w:highlight w:val="none"/>
          <w:u w:val="single"/>
        </w:rPr>
        <w:t xml:space="preserve">   按施工图设计确定 </w:t>
      </w:r>
      <w:r>
        <w:rPr>
          <w:rFonts w:hint="eastAsia" w:ascii="仿宋" w:hAnsi="仿宋" w:eastAsia="仿宋" w:cs="仿宋"/>
          <w:color w:val="auto"/>
          <w:sz w:val="24"/>
          <w:szCs w:val="24"/>
          <w:highlight w:val="none"/>
        </w:rPr>
        <w:t xml:space="preserve">。</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1.1.3.10 临时占地包括：</w:t>
      </w:r>
      <w:r>
        <w:rPr>
          <w:rFonts w:hint="eastAsia" w:ascii="仿宋" w:hAnsi="仿宋" w:eastAsia="仿宋" w:cs="仿宋"/>
          <w:color w:val="auto"/>
          <w:sz w:val="24"/>
          <w:szCs w:val="24"/>
          <w:highlight w:val="none"/>
          <w:u w:val="single"/>
        </w:rPr>
        <w:t xml:space="preserve">  合同履行中确定    </w:t>
      </w:r>
      <w:r>
        <w:rPr>
          <w:rFonts w:hint="eastAsia" w:ascii="仿宋" w:hAnsi="仿宋" w:eastAsia="仿宋" w:cs="仿宋"/>
          <w:color w:val="auto"/>
          <w:sz w:val="24"/>
          <w:szCs w:val="24"/>
          <w:highlight w:val="none"/>
        </w:rPr>
        <w:t xml:space="preserve">。</w:t>
      </w:r>
      <w:r/>
    </w:p>
    <w:p>
      <w:pPr>
        <w:pStyle w:val="802"/>
        <w:ind w:firstLine="482"/>
        <w:rPr>
          <w:rFonts w:hint="eastAsia"/>
          <w:color w:val="auto"/>
          <w:highlight w:val="none"/>
        </w:rPr>
      </w:pPr>
      <w:r>
        <w:rPr>
          <w:rFonts w:hint="eastAsia"/>
          <w:color w:val="auto"/>
          <w:highlight w:val="none"/>
        </w:rPr>
        <w:t xml:space="preserve">1.3法律 </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适用于合同的其他规范性文件：</w:t>
      </w:r>
      <w:r>
        <w:rPr>
          <w:rFonts w:hint="eastAsia" w:ascii="仿宋" w:hAnsi="仿宋" w:eastAsia="仿宋" w:cs="仿宋"/>
          <w:color w:val="auto"/>
          <w:sz w:val="24"/>
          <w:szCs w:val="24"/>
          <w:highlight w:val="none"/>
          <w:u w:val="single"/>
        </w:rPr>
        <w:t xml:space="preserve">《中华人民共和国民法典》、《中华人民共和国建筑法》、《中华人民共和国招标投标法》、《中华人民共和国安全生产法》、《城市道路管理条例》、《建设工程质量管理条例》、《城市道路管理条例》、《徐州市市政公用设施管理条例》及其他现行有关法律、法规。</w:t>
      </w:r>
      <w:r/>
    </w:p>
    <w:p>
      <w:pPr>
        <w:pStyle w:val="802"/>
        <w:ind w:firstLine="482"/>
        <w:rPr>
          <w:rFonts w:hint="eastAsia"/>
          <w:color w:val="auto"/>
          <w:highlight w:val="none"/>
        </w:rPr>
      </w:pPr>
      <w:r>
        <w:rPr>
          <w:rFonts w:hint="eastAsia"/>
          <w:color w:val="auto"/>
          <w:highlight w:val="none"/>
        </w:rPr>
        <w:t xml:space="preserve">1.4 标准和规范</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1.4.1适用于工程的标准规范包括：</w:t>
      </w:r>
      <w:r>
        <w:rPr>
          <w:rFonts w:hint="eastAsia" w:ascii="仿宋" w:hAnsi="仿宋" w:eastAsia="仿宋" w:cs="仿宋"/>
          <w:color w:val="auto"/>
          <w:sz w:val="24"/>
          <w:szCs w:val="24"/>
          <w:highlight w:val="none"/>
          <w:u w:val="single"/>
        </w:rPr>
        <w:t xml:space="preserve">现行国家及江苏省、徐州市的有关标准及其他适用于本工程的技术标准、规范等。</w:t>
      </w:r>
      <w:r/>
    </w:p>
    <w:p>
      <w:pPr>
        <w:ind w:firstLine="365"/>
        <w:spacing w:line="327"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1.4.2 发包人提供国外标准、规范的名称：</w:t>
      </w:r>
      <w:r>
        <w:rPr>
          <w:rFonts w:hint="eastAsia" w:ascii="仿宋" w:hAnsi="仿宋" w:eastAsia="仿宋" w:cs="仿宋"/>
          <w:color w:val="auto"/>
          <w:sz w:val="24"/>
          <w:szCs w:val="24"/>
          <w:highlight w:val="none"/>
          <w:u w:val="single"/>
        </w:rPr>
        <w:t xml:space="preserve"> 不采用   </w:t>
      </w:r>
      <w:r>
        <w:rPr>
          <w:rFonts w:hint="eastAsia" w:ascii="仿宋" w:hAnsi="仿宋" w:eastAsia="仿宋" w:cs="仿宋"/>
          <w:color w:val="auto"/>
          <w:sz w:val="24"/>
          <w:szCs w:val="24"/>
          <w:highlight w:val="none"/>
        </w:rPr>
        <w:t xml:space="preserve">；</w:t>
      </w:r>
      <w:r/>
    </w:p>
    <w:p>
      <w:pPr>
        <w:ind w:firstLine="420"/>
        <w:spacing w:line="327"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发包人提供国外标准、规范的份数：</w:t>
      </w:r>
      <w:r>
        <w:rPr>
          <w:rFonts w:hint="eastAsia" w:ascii="仿宋" w:hAnsi="仿宋" w:eastAsia="仿宋" w:cs="仿宋"/>
          <w:color w:val="auto"/>
          <w:sz w:val="24"/>
          <w:szCs w:val="24"/>
          <w:highlight w:val="none"/>
          <w:u w:val="single"/>
        </w:rPr>
        <w:t xml:space="preserve">  不采用  </w:t>
      </w:r>
      <w:r>
        <w:rPr>
          <w:rFonts w:hint="eastAsia" w:ascii="仿宋" w:hAnsi="仿宋" w:eastAsia="仿宋" w:cs="仿宋"/>
          <w:color w:val="auto"/>
          <w:sz w:val="24"/>
          <w:szCs w:val="24"/>
          <w:highlight w:val="none"/>
        </w:rPr>
        <w:t xml:space="preserve">；</w:t>
      </w:r>
      <w:r/>
    </w:p>
    <w:p>
      <w:pPr>
        <w:ind w:firstLine="420"/>
        <w:spacing w:line="327"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发包人提供国外标准、规范的名称：</w:t>
      </w:r>
      <w:r>
        <w:rPr>
          <w:rFonts w:hint="eastAsia" w:ascii="仿宋" w:hAnsi="仿宋" w:eastAsia="仿宋" w:cs="仿宋"/>
          <w:color w:val="auto"/>
          <w:sz w:val="24"/>
          <w:szCs w:val="24"/>
          <w:highlight w:val="none"/>
          <w:u w:val="single"/>
        </w:rPr>
        <w:t xml:space="preserve">  不采用  </w:t>
      </w:r>
      <w:r>
        <w:rPr>
          <w:rFonts w:hint="eastAsia" w:ascii="仿宋" w:hAnsi="仿宋" w:eastAsia="仿宋" w:cs="仿宋"/>
          <w:color w:val="auto"/>
          <w:sz w:val="24"/>
          <w:szCs w:val="24"/>
          <w:highlight w:val="none"/>
        </w:rPr>
        <w:t xml:space="preserve">。</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1.4.3发包人对工程的技术标准和功能要求的特殊要求：</w:t>
      </w:r>
      <w:r>
        <w:rPr>
          <w:rFonts w:hint="eastAsia" w:ascii="仿宋" w:hAnsi="仿宋" w:eastAsia="仿宋" w:cs="仿宋"/>
          <w:color w:val="auto"/>
          <w:sz w:val="24"/>
          <w:szCs w:val="24"/>
          <w:highlight w:val="none"/>
          <w:u w:val="single"/>
        </w:rPr>
        <w:t xml:space="preserve">符合有关行业主管部门和业主的要求  </w:t>
      </w:r>
      <w:r>
        <w:rPr>
          <w:rFonts w:hint="eastAsia" w:ascii="仿宋" w:hAnsi="仿宋" w:eastAsia="仿宋" w:cs="仿宋"/>
          <w:color w:val="auto"/>
          <w:sz w:val="24"/>
          <w:szCs w:val="24"/>
          <w:highlight w:val="none"/>
        </w:rPr>
        <w:t xml:space="preserve">。</w:t>
      </w:r>
      <w:r/>
    </w:p>
    <w:p>
      <w:pPr>
        <w:pStyle w:val="802"/>
        <w:ind w:firstLine="482"/>
        <w:rPr>
          <w:rFonts w:hint="eastAsia"/>
          <w:color w:val="auto"/>
          <w:highlight w:val="none"/>
        </w:rPr>
      </w:pPr>
      <w:r>
        <w:rPr>
          <w:rFonts w:hint="eastAsia"/>
          <w:color w:val="auto"/>
          <w:highlight w:val="none"/>
        </w:rPr>
        <w:t xml:space="preserve">1.5 合同文件的优先顺序</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合同文件组成及优先顺序为：</w:t>
      </w:r>
      <w:r>
        <w:rPr>
          <w:rFonts w:hint="eastAsia" w:ascii="仿宋" w:hAnsi="仿宋" w:eastAsia="仿宋" w:cs="仿宋"/>
          <w:color w:val="auto"/>
          <w:sz w:val="24"/>
          <w:szCs w:val="24"/>
          <w:highlight w:val="none"/>
          <w:u w:val="single"/>
        </w:rPr>
        <w:t xml:space="preserve">本合同协议书；中标通知书；投标书及其附件；本合同专用条款；本合同通用条款；标准、规范及有关技术文件；图纸；工程量清单；工程报价单或预算书；其他合同文件。双方有关工程的洽商、变更、会议纪要、双方来往函件(施工过程中的)等书面协议或文件视为本合同的组成部分。</w:t>
      </w:r>
      <w:r/>
    </w:p>
    <w:p>
      <w:pPr>
        <w:pStyle w:val="802"/>
        <w:ind w:firstLine="482"/>
        <w:rPr>
          <w:rFonts w:hint="eastAsia" w:cs="仿宋"/>
          <w:color w:val="auto"/>
          <w:szCs w:val="24"/>
          <w:highlight w:val="none"/>
        </w:rPr>
      </w:pPr>
      <w:r>
        <w:rPr>
          <w:rFonts w:hint="eastAsia" w:cs="仿宋"/>
          <w:color w:val="auto"/>
          <w:szCs w:val="24"/>
          <w:highlight w:val="none"/>
        </w:rPr>
        <w:t xml:space="preserve">1.6 图纸和承包人文件</w:t>
      </w:r>
      <w:r>
        <w:rPr>
          <w:rFonts w:hint="eastAsia" w:cs="仿宋"/>
          <w:color w:val="auto"/>
          <w:szCs w:val="24"/>
          <w:highlight w:val="none"/>
        </w:rPr>
        <w:tab/>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1.6.1 图纸的提供</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发包人向承包人提供图纸的期限：</w:t>
      </w:r>
      <w:r>
        <w:rPr>
          <w:rFonts w:hint="eastAsia" w:ascii="仿宋" w:hAnsi="仿宋" w:eastAsia="仿宋" w:cs="仿宋"/>
          <w:color w:val="auto"/>
          <w:sz w:val="24"/>
          <w:szCs w:val="24"/>
          <w:highlight w:val="none"/>
          <w:u w:val="single"/>
        </w:rPr>
        <w:t xml:space="preserve">开工前7天</w:t>
      </w:r>
      <w:r>
        <w:rPr>
          <w:rFonts w:hint="eastAsia" w:ascii="仿宋" w:hAnsi="仿宋" w:eastAsia="仿宋" w:cs="仿宋"/>
          <w:color w:val="auto"/>
          <w:sz w:val="24"/>
          <w:szCs w:val="24"/>
          <w:highlight w:val="none"/>
        </w:rPr>
        <w:t xml:space="preserve">；</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发包人向承包人提供图纸的数量：</w:t>
      </w:r>
      <w:r>
        <w:rPr>
          <w:rFonts w:hint="eastAsia" w:ascii="仿宋" w:hAnsi="仿宋" w:eastAsia="仿宋" w:cs="仿宋"/>
          <w:color w:val="auto"/>
          <w:sz w:val="24"/>
          <w:szCs w:val="24"/>
          <w:highlight w:val="none"/>
          <w:u w:val="single"/>
        </w:rPr>
        <w:t xml:space="preserve">贰套，如承包人需增加施工图纸，由发包人与设计院联系，出图费用由承包人自行承担。设计文件和图纸由发包人统一提供，承包人不得直接接收设计单位提供的设计文件和图纸；</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承包人收到设计文件和图纸后，要根据技术标准、设计规范、标准设计图、通用图和有关规定，对设计文件和图纸认真审查。发现问题及时以书面形式报告发包人。否则，因设计文件和图纸差错造成的损失，由承包人承担。</w:t>
      </w:r>
      <w:r/>
    </w:p>
    <w:p>
      <w:pPr>
        <w:ind w:firstLine="155"/>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发包人向承包人提供图纸的内容：</w:t>
      </w:r>
      <w:r>
        <w:rPr>
          <w:rFonts w:hint="eastAsia" w:ascii="仿宋" w:hAnsi="仿宋" w:eastAsia="仿宋" w:cs="仿宋"/>
          <w:color w:val="auto"/>
          <w:sz w:val="24"/>
          <w:szCs w:val="24"/>
          <w:highlight w:val="none"/>
          <w:u w:val="single"/>
        </w:rPr>
        <w:t xml:space="preserve">全套施工图纸。</w:t>
      </w:r>
      <w:r/>
    </w:p>
    <w:p>
      <w:pPr>
        <w:ind w:firstLine="155"/>
        <w:spacing w:line="327" w:lineRule="auto"/>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承包人对图纸的保密要求：未经发包人许可，除了绝对是为执行合同以外，承包人不能让第三者应用和向第三者通报图纸、规范及其它由发包人提供的任何资料或信息。如有违反，承包人应向发包人支付违约金，具体数额由发包人根据实际损失确定。</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1.6.4 承包人文件</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需要由承包人提供的文件，包括：</w:t>
      </w:r>
      <w:r>
        <w:rPr>
          <w:rFonts w:hint="eastAsia" w:ascii="仿宋" w:hAnsi="仿宋" w:eastAsia="仿宋" w:cs="仿宋"/>
          <w:color w:val="auto"/>
          <w:sz w:val="24"/>
          <w:szCs w:val="24"/>
          <w:highlight w:val="none"/>
          <w:u w:val="single"/>
        </w:rPr>
        <w:t xml:space="preserve">①按GB/T50502、本合同第二部分 通用合同条款7.1和7.2编制施工组织设计、施工措施计划、施工方案、交通导改方案、扬尘污染、噪声污染防治、建筑垃圾、生活垃圾管理等措施报监理人审核和发包人确认；</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②由承包人办理的许可和批准的办理结果书面报送监理人审核和发包人确认、留存；</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③拟制施工人员名册（动态），并与为其办理工伤保险的有效证明一起报送监理人审核和发包人确认；</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④承包人项目管理机构、职责及施工现场人员安排的报告（其内容执行通用条款3.3）和主要施工管理人员与承包人之间的劳动关系证明和缴纳社会保险的有效证明，报送监理人审核和发包人确认；</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⑤特殊工种作业人员资格证明报送监理人审核和发包人确认；</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⑥项目经理的姓名、职称、注册建造师的编号、联系方式、授权范围等事项，和与承包人之间的正式聘用劳动合同、承包人为其缴纳社会保险的有效证明，一起报送监理人审核和发包人确认；</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⑦工程质量管理体系及措施文件、质量检查制度、质量控制文件，报送监理人审核和发包人确认；</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⑧工程安全管理体系及措施文件、安全检查制度、安全控制文件，报送监理人审核和发包人确认；</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⑨发包人管理需要的其他文件；</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⑩上述文件如发包人因管理需增加时，承包人有义务按发包人提出的形式、格式、数量、时间等要求提供；</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承包人提供的文件的期限为：</w:t>
      </w:r>
      <w:r>
        <w:rPr>
          <w:rFonts w:hint="eastAsia" w:ascii="仿宋" w:hAnsi="仿宋" w:eastAsia="仿宋" w:cs="仿宋"/>
          <w:color w:val="auto"/>
          <w:sz w:val="24"/>
          <w:szCs w:val="24"/>
          <w:highlight w:val="none"/>
          <w:u w:val="single"/>
        </w:rPr>
        <w:t xml:space="preserve">合同签字后7日内或发包人、监理人要求</w:t>
      </w:r>
      <w:r>
        <w:rPr>
          <w:rFonts w:hint="eastAsia" w:ascii="仿宋" w:hAnsi="仿宋" w:eastAsia="仿宋" w:cs="仿宋"/>
          <w:color w:val="auto"/>
          <w:sz w:val="24"/>
          <w:szCs w:val="24"/>
          <w:highlight w:val="none"/>
        </w:rPr>
        <w:t xml:space="preserve">；</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承包人提供的文件的数量为：</w:t>
      </w:r>
      <w:r>
        <w:rPr>
          <w:rFonts w:hint="eastAsia" w:ascii="仿宋" w:hAnsi="仿宋" w:eastAsia="仿宋" w:cs="仿宋"/>
          <w:color w:val="auto"/>
          <w:sz w:val="24"/>
          <w:szCs w:val="24"/>
          <w:highlight w:val="none"/>
          <w:u w:val="single"/>
        </w:rPr>
        <w:t xml:space="preserve">纸质版肆套，电子版一套；或发包人、监理人要求；</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承包人提供的文件的形式为：</w:t>
      </w:r>
      <w:r>
        <w:rPr>
          <w:rFonts w:hint="eastAsia" w:ascii="仿宋" w:hAnsi="仿宋" w:eastAsia="仿宋" w:cs="仿宋"/>
          <w:color w:val="auto"/>
          <w:sz w:val="24"/>
          <w:szCs w:val="24"/>
          <w:highlight w:val="none"/>
          <w:u w:val="single"/>
        </w:rPr>
        <w:t xml:space="preserve">纸质版，电子版；或发包人、监理人要求； </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发包人审批承包人文件的期限：</w:t>
      </w:r>
      <w:r>
        <w:rPr>
          <w:rFonts w:hint="eastAsia" w:ascii="仿宋" w:hAnsi="仿宋" w:eastAsia="仿宋" w:cs="仿宋"/>
          <w:color w:val="auto"/>
          <w:sz w:val="24"/>
          <w:szCs w:val="24"/>
          <w:highlight w:val="none"/>
          <w:u w:val="single"/>
        </w:rPr>
        <w:t xml:space="preserve">7个工作日内。 </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1.6.5 现场图纸准备</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关于现场图纸准备的约定：</w:t>
      </w:r>
      <w:r>
        <w:rPr>
          <w:rFonts w:hint="eastAsia" w:ascii="仿宋" w:hAnsi="仿宋" w:eastAsia="仿宋" w:cs="仿宋"/>
          <w:color w:val="auto"/>
          <w:sz w:val="24"/>
          <w:szCs w:val="24"/>
          <w:highlight w:val="none"/>
          <w:u w:val="single"/>
        </w:rPr>
        <w:t xml:space="preserve">执行通用条款。</w:t>
      </w:r>
      <w:r/>
    </w:p>
    <w:p>
      <w:pPr>
        <w:pStyle w:val="802"/>
        <w:ind w:firstLine="482"/>
        <w:rPr>
          <w:rFonts w:hint="eastAsia"/>
          <w:color w:val="auto"/>
          <w:highlight w:val="none"/>
        </w:rPr>
      </w:pPr>
      <w:r>
        <w:rPr>
          <w:rFonts w:hint="eastAsia"/>
          <w:color w:val="auto"/>
          <w:highlight w:val="none"/>
        </w:rPr>
        <w:t xml:space="preserve">1.7 联络</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1.7.1发包人和承包人应当在</w:t>
      </w:r>
      <w:r>
        <w:rPr>
          <w:rFonts w:hint="eastAsia" w:ascii="仿宋" w:hAnsi="仿宋" w:eastAsia="仿宋" w:cs="仿宋"/>
          <w:color w:val="auto"/>
          <w:sz w:val="24"/>
          <w:szCs w:val="24"/>
          <w:highlight w:val="none"/>
          <w:u w:val="single"/>
        </w:rPr>
        <w:t xml:space="preserve">五 </w:t>
      </w:r>
      <w:r>
        <w:rPr>
          <w:rFonts w:hint="eastAsia" w:ascii="仿宋" w:hAnsi="仿宋" w:eastAsia="仿宋" w:cs="仿宋"/>
          <w:color w:val="auto"/>
          <w:sz w:val="24"/>
          <w:szCs w:val="24"/>
          <w:highlight w:val="none"/>
        </w:rPr>
        <w:t xml:space="preserve">天内将与合同有关的通知、批准、证明、证书、指示、指令、要求、请求、同意、意见、确定和决定等书面函件送达对方当事人。</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1.7.2 发包人接收文件的地点：</w:t>
      </w:r>
      <w:r>
        <w:rPr>
          <w:rFonts w:hint="eastAsia" w:ascii="仿宋" w:hAnsi="仿宋" w:eastAsia="仿宋" w:cs="仿宋"/>
          <w:color w:val="auto"/>
          <w:sz w:val="24"/>
          <w:szCs w:val="24"/>
          <w:highlight w:val="none"/>
          <w:u w:val="single"/>
        </w:rPr>
        <w:t xml:space="preserve">发包人指定地点  </w:t>
      </w:r>
      <w:r>
        <w:rPr>
          <w:rFonts w:hint="eastAsia" w:ascii="仿宋" w:hAnsi="仿宋" w:eastAsia="仿宋" w:cs="仿宋"/>
          <w:color w:val="auto"/>
          <w:sz w:val="24"/>
          <w:szCs w:val="24"/>
          <w:highlight w:val="none"/>
        </w:rPr>
        <w:t xml:space="preserve">；</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发包人指定的接收人为：</w:t>
      </w:r>
      <w:r>
        <w:rPr>
          <w:rFonts w:hint="eastAsia" w:ascii="仿宋" w:hAnsi="仿宋" w:eastAsia="仿宋" w:cs="仿宋"/>
          <w:color w:val="auto"/>
          <w:sz w:val="24"/>
          <w:szCs w:val="24"/>
          <w:highlight w:val="none"/>
          <w:u w:val="single"/>
        </w:rPr>
        <w:t xml:space="preserve">发包人派驻现场代表    </w:t>
      </w:r>
      <w:r>
        <w:rPr>
          <w:rFonts w:hint="eastAsia" w:ascii="仿宋" w:hAnsi="仿宋" w:eastAsia="仿宋" w:cs="仿宋"/>
          <w:color w:val="auto"/>
          <w:sz w:val="24"/>
          <w:szCs w:val="24"/>
          <w:highlight w:val="none"/>
        </w:rPr>
        <w:t xml:space="preserve">。</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承包人接收文件的地点：</w:t>
      </w:r>
      <w:r>
        <w:rPr>
          <w:rFonts w:hint="eastAsia" w:ascii="仿宋" w:hAnsi="仿宋" w:eastAsia="仿宋" w:cs="仿宋"/>
          <w:color w:val="auto"/>
          <w:sz w:val="24"/>
          <w:szCs w:val="24"/>
          <w:highlight w:val="none"/>
          <w:u w:val="single"/>
        </w:rPr>
        <w:t xml:space="preserve">施工现场办公室          </w:t>
      </w:r>
      <w:r>
        <w:rPr>
          <w:rFonts w:hint="eastAsia" w:ascii="仿宋" w:hAnsi="仿宋" w:eastAsia="仿宋" w:cs="仿宋"/>
          <w:color w:val="auto"/>
          <w:sz w:val="24"/>
          <w:szCs w:val="24"/>
          <w:highlight w:val="none"/>
        </w:rPr>
        <w:t xml:space="preserve">；</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承包人指定的接收人为：</w:t>
      </w:r>
      <w:r>
        <w:rPr>
          <w:rFonts w:hint="eastAsia" w:ascii="仿宋" w:hAnsi="仿宋" w:eastAsia="仿宋" w:cs="仿宋"/>
          <w:color w:val="auto"/>
          <w:sz w:val="24"/>
          <w:szCs w:val="24"/>
          <w:highlight w:val="none"/>
          <w:u w:val="single"/>
        </w:rPr>
        <w:t xml:space="preserve">项目经理            </w:t>
      </w:r>
      <w:r>
        <w:rPr>
          <w:rFonts w:hint="eastAsia" w:ascii="仿宋" w:hAnsi="仿宋" w:eastAsia="仿宋" w:cs="仿宋"/>
          <w:color w:val="auto"/>
          <w:sz w:val="24"/>
          <w:szCs w:val="24"/>
          <w:highlight w:val="none"/>
        </w:rPr>
        <w:t xml:space="preserve">。</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监理人接收文件的地点：</w:t>
      </w:r>
      <w:r>
        <w:rPr>
          <w:rFonts w:hint="eastAsia" w:ascii="仿宋" w:hAnsi="仿宋" w:eastAsia="仿宋" w:cs="仿宋"/>
          <w:color w:val="auto"/>
          <w:sz w:val="24"/>
          <w:szCs w:val="24"/>
          <w:highlight w:val="none"/>
          <w:u w:val="single"/>
        </w:rPr>
        <w:t xml:space="preserve">监理人施工现场办公室  </w:t>
      </w:r>
      <w:r>
        <w:rPr>
          <w:rFonts w:hint="eastAsia" w:ascii="仿宋" w:hAnsi="仿宋" w:eastAsia="仿宋" w:cs="仿宋"/>
          <w:color w:val="auto"/>
          <w:sz w:val="24"/>
          <w:szCs w:val="24"/>
          <w:highlight w:val="none"/>
        </w:rPr>
        <w:t xml:space="preserve">；</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监理人指定的接收人为：</w:t>
      </w:r>
      <w:r>
        <w:rPr>
          <w:rFonts w:hint="eastAsia" w:ascii="仿宋" w:hAnsi="仿宋" w:eastAsia="仿宋" w:cs="仿宋"/>
          <w:color w:val="auto"/>
          <w:sz w:val="24"/>
          <w:szCs w:val="24"/>
          <w:highlight w:val="none"/>
          <w:u w:val="single"/>
        </w:rPr>
        <w:t xml:space="preserve">总监或总监代表        </w:t>
      </w:r>
      <w:r>
        <w:rPr>
          <w:rFonts w:hint="eastAsia" w:ascii="仿宋" w:hAnsi="仿宋" w:eastAsia="仿宋" w:cs="仿宋"/>
          <w:color w:val="auto"/>
          <w:sz w:val="24"/>
          <w:szCs w:val="24"/>
          <w:highlight w:val="none"/>
        </w:rPr>
        <w:t xml:space="preserve">。</w:t>
      </w:r>
      <w:r/>
    </w:p>
    <w:p>
      <w:pPr>
        <w:pStyle w:val="802"/>
        <w:ind w:firstLine="482"/>
        <w:rPr>
          <w:rFonts w:hint="eastAsia"/>
          <w:color w:val="auto"/>
          <w:highlight w:val="none"/>
        </w:rPr>
      </w:pPr>
      <w:r>
        <w:rPr>
          <w:rFonts w:hint="eastAsia"/>
          <w:color w:val="auto"/>
          <w:highlight w:val="none"/>
        </w:rPr>
        <w:t xml:space="preserve">1.10 交通运输</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1.10.1 出入现场的权利</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关于出入现场的权利的约定：</w:t>
      </w:r>
      <w:r>
        <w:rPr>
          <w:rFonts w:hint="eastAsia" w:ascii="仿宋" w:hAnsi="仿宋" w:eastAsia="仿宋" w:cs="仿宋"/>
          <w:color w:val="auto"/>
          <w:sz w:val="24"/>
          <w:szCs w:val="24"/>
          <w:highlight w:val="none"/>
          <w:u w:val="single"/>
        </w:rPr>
        <w:t xml:space="preserve">由承包人按发包人要求负责取得出入施工现场所需的批准手续和全部权利，以及取得因施工所需修建道路、桥梁以及其他基础设施的权利，并承担相关手续费用和建设费用，此费用包含在投标报价内。</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1.10.3 场内交通</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关于场外交通和场内交通的边界的约定：</w:t>
      </w:r>
      <w:r>
        <w:rPr>
          <w:rFonts w:hint="eastAsia" w:ascii="仿宋" w:hAnsi="仿宋" w:eastAsia="仿宋" w:cs="仿宋"/>
          <w:color w:val="auto"/>
          <w:sz w:val="24"/>
          <w:szCs w:val="24"/>
          <w:highlight w:val="none"/>
          <w:u w:val="single"/>
        </w:rPr>
        <w:t xml:space="preserve">以现场实际施工条件为准。为保证道路交通安全及运输畅通，当施工期间，承包人必须事先与交通和公安部门协调，采取足够的交通疏导措施；承包人制定运输计划时，应避开现有道路上在高峰时段。所需费用包含在投标报价内。</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关于发包人向承包人免费提供满足工程施工需要的场内道路和交通设施的约定：</w:t>
      </w:r>
      <w:r>
        <w:rPr>
          <w:rFonts w:hint="eastAsia" w:ascii="仿宋" w:hAnsi="仿宋" w:eastAsia="仿宋" w:cs="仿宋"/>
          <w:color w:val="auto"/>
          <w:sz w:val="24"/>
          <w:szCs w:val="24"/>
          <w:highlight w:val="none"/>
          <w:u w:val="single"/>
        </w:rPr>
        <w:t xml:space="preserve">以现场实际施工条件为准</w:t>
      </w:r>
      <w:r>
        <w:rPr>
          <w:rFonts w:hint="eastAsia" w:ascii="仿宋" w:hAnsi="仿宋" w:eastAsia="仿宋" w:cs="仿宋"/>
          <w:color w:val="auto"/>
          <w:sz w:val="24"/>
          <w:szCs w:val="24"/>
          <w:highlight w:val="none"/>
        </w:rPr>
        <w:t xml:space="preserve">。</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1.10.4超大件和超重件的运输</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运输超大件或超重件所需的道路和桥梁临时加固改造费用和其他有关费用由</w:t>
      </w:r>
      <w:r>
        <w:rPr>
          <w:rFonts w:hint="eastAsia" w:ascii="仿宋" w:hAnsi="仿宋" w:eastAsia="仿宋" w:cs="仿宋"/>
          <w:color w:val="auto"/>
          <w:sz w:val="24"/>
          <w:szCs w:val="24"/>
          <w:highlight w:val="none"/>
          <w:u w:val="single"/>
        </w:rPr>
        <w:t xml:space="preserve"> 承包人 </w:t>
      </w:r>
      <w:r>
        <w:rPr>
          <w:rFonts w:hint="eastAsia" w:ascii="仿宋" w:hAnsi="仿宋" w:eastAsia="仿宋" w:cs="仿宋"/>
          <w:color w:val="auto"/>
          <w:sz w:val="24"/>
          <w:szCs w:val="24"/>
          <w:highlight w:val="none"/>
        </w:rPr>
        <w:t xml:space="preserve">承担。</w:t>
      </w:r>
      <w:r/>
    </w:p>
    <w:p>
      <w:pPr>
        <w:pStyle w:val="802"/>
        <w:ind w:firstLine="482"/>
        <w:rPr>
          <w:rFonts w:hint="eastAsia"/>
          <w:color w:val="auto"/>
          <w:highlight w:val="none"/>
        </w:rPr>
      </w:pPr>
      <w:r>
        <w:rPr>
          <w:rFonts w:hint="eastAsia"/>
          <w:color w:val="auto"/>
          <w:highlight w:val="none"/>
        </w:rPr>
        <w:t xml:space="preserve">1.11 知识产权</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仿宋" w:hAnsi="仿宋" w:eastAsia="仿宋" w:cs="仿宋"/>
          <w:color w:val="auto"/>
          <w:sz w:val="24"/>
          <w:szCs w:val="24"/>
          <w:highlight w:val="none"/>
          <w:u w:val="single"/>
        </w:rPr>
        <w:t xml:space="preserve">执行通用条款</w:t>
      </w:r>
      <w:r>
        <w:rPr>
          <w:rFonts w:hint="eastAsia" w:ascii="仿宋" w:hAnsi="仿宋" w:eastAsia="仿宋" w:cs="仿宋"/>
          <w:color w:val="auto"/>
          <w:sz w:val="24"/>
          <w:szCs w:val="24"/>
          <w:highlight w:val="none"/>
        </w:rPr>
        <w:t xml:space="preserve">  。</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关于发包人提供的上述文件的使用限制的要求：</w:t>
      </w:r>
      <w:r>
        <w:rPr>
          <w:rFonts w:hint="eastAsia" w:ascii="仿宋" w:hAnsi="仿宋" w:eastAsia="仿宋" w:cs="仿宋"/>
          <w:color w:val="auto"/>
          <w:sz w:val="24"/>
          <w:szCs w:val="24"/>
          <w:highlight w:val="none"/>
          <w:u w:val="single"/>
        </w:rPr>
        <w:t xml:space="preserve">执行通用条款 </w:t>
      </w:r>
      <w:r>
        <w:rPr>
          <w:rFonts w:hint="eastAsia" w:ascii="仿宋" w:hAnsi="仿宋" w:eastAsia="仿宋" w:cs="仿宋"/>
          <w:color w:val="auto"/>
          <w:sz w:val="24"/>
          <w:szCs w:val="24"/>
          <w:highlight w:val="none"/>
        </w:rPr>
        <w:t xml:space="preserve"> 。</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1.11.2 关于承包人为实施工程所编制文件的著作权的归属：</w:t>
      </w:r>
      <w:r>
        <w:rPr>
          <w:rFonts w:hint="eastAsia" w:ascii="仿宋" w:hAnsi="仿宋" w:eastAsia="仿宋" w:cs="仿宋"/>
          <w:color w:val="auto"/>
          <w:sz w:val="24"/>
          <w:szCs w:val="24"/>
          <w:highlight w:val="none"/>
          <w:u w:val="single"/>
        </w:rPr>
        <w:t xml:space="preserve">执行通用条款</w:t>
      </w:r>
      <w:r>
        <w:rPr>
          <w:rFonts w:hint="eastAsia" w:ascii="仿宋" w:hAnsi="仿宋" w:eastAsia="仿宋" w:cs="仿宋"/>
          <w:color w:val="auto"/>
          <w:sz w:val="24"/>
          <w:szCs w:val="24"/>
          <w:highlight w:val="none"/>
        </w:rPr>
        <w:t xml:space="preserve">。</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关于承包人提供的上述文件的使用限制的要求：</w:t>
      </w:r>
      <w:r>
        <w:rPr>
          <w:rFonts w:hint="eastAsia" w:ascii="仿宋" w:hAnsi="仿宋" w:eastAsia="仿宋" w:cs="仿宋"/>
          <w:color w:val="auto"/>
          <w:sz w:val="24"/>
          <w:szCs w:val="24"/>
          <w:highlight w:val="none"/>
          <w:u w:val="single"/>
        </w:rPr>
        <w:t xml:space="preserve">执行通用条款</w:t>
      </w:r>
      <w:r>
        <w:rPr>
          <w:rFonts w:hint="eastAsia" w:ascii="仿宋" w:hAnsi="仿宋" w:eastAsia="仿宋" w:cs="仿宋"/>
          <w:color w:val="auto"/>
          <w:sz w:val="24"/>
          <w:szCs w:val="24"/>
          <w:highlight w:val="none"/>
        </w:rPr>
        <w:t xml:space="preserve">  。</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1.11.4 承包人在施工过程中所采用的专利、专有技术、技术秘密的使用费的承担方式：执行通用条款。</w:t>
      </w:r>
      <w:r/>
    </w:p>
    <w:p>
      <w:pPr>
        <w:pStyle w:val="802"/>
        <w:ind w:firstLine="482"/>
        <w:rPr>
          <w:rFonts w:hint="eastAsia"/>
          <w:color w:val="auto"/>
          <w:highlight w:val="none"/>
        </w:rPr>
      </w:pPr>
      <w:r>
        <w:rPr>
          <w:rFonts w:hint="eastAsia"/>
          <w:color w:val="auto"/>
          <w:highlight w:val="none"/>
        </w:rPr>
        <w:t xml:space="preserve">1.13工程量清单错误的修正</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出现工程量清单错误时，是否调整合同价格：</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 。</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允许调整合同价格的工程量偏差范围：</w:t>
      </w:r>
      <w:r>
        <w:rPr>
          <w:rFonts w:hint="eastAsia" w:ascii="仿宋" w:hAnsi="仿宋" w:eastAsia="仿宋" w:cs="仿宋"/>
          <w:color w:val="auto"/>
          <w:sz w:val="24"/>
          <w:szCs w:val="24"/>
          <w:highlight w:val="none"/>
          <w:u w:val="single"/>
        </w:rPr>
        <w:t xml:space="preserve">执行“合同价格、计量与支付”相关条款</w:t>
      </w:r>
      <w:r>
        <w:rPr>
          <w:rFonts w:hint="eastAsia" w:ascii="仿宋" w:hAnsi="仿宋" w:eastAsia="仿宋" w:cs="仿宋"/>
          <w:color w:val="auto"/>
          <w:sz w:val="24"/>
          <w:szCs w:val="24"/>
          <w:highlight w:val="none"/>
        </w:rPr>
        <w:t xml:space="preserve"> 。 </w:t>
      </w:r>
      <w:r/>
    </w:p>
    <w:p>
      <w:pPr>
        <w:pStyle w:val="801"/>
        <w:rPr>
          <w:rFonts w:hint="eastAsia"/>
          <w:color w:val="auto"/>
          <w:highlight w:val="none"/>
        </w:rPr>
      </w:pPr>
      <w:r>
        <w:rPr>
          <w:rFonts w:hint="eastAsia"/>
          <w:color w:val="auto"/>
          <w:highlight w:val="none"/>
        </w:rPr>
        <w:t xml:space="preserve">2. 发包人</w:t>
      </w:r>
      <w:r/>
    </w:p>
    <w:p>
      <w:pPr>
        <w:pStyle w:val="802"/>
        <w:ind w:firstLine="482"/>
        <w:rPr>
          <w:rFonts w:hint="eastAsia"/>
          <w:color w:val="auto"/>
          <w:highlight w:val="none"/>
        </w:rPr>
      </w:pPr>
      <w:r>
        <w:rPr>
          <w:rFonts w:hint="eastAsia"/>
          <w:color w:val="auto"/>
          <w:highlight w:val="none"/>
        </w:rPr>
        <w:t xml:space="preserve">2.2 发包人代表</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发包人代表：</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姓    名：</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身份证号：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职    务：</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电子信箱：</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通信地址：</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发包人对发包人代表的授权范围如下：</w:t>
      </w:r>
      <w:r>
        <w:rPr>
          <w:rFonts w:hint="eastAsia" w:ascii="仿宋" w:hAnsi="仿宋" w:eastAsia="仿宋" w:cs="仿宋"/>
          <w:color w:val="auto"/>
          <w:sz w:val="24"/>
          <w:szCs w:val="24"/>
          <w:highlight w:val="none"/>
          <w:u w:val="single"/>
        </w:rPr>
        <w:t xml:space="preserve">协助外部环境的协调与配合， 主持工程的竣工验收；负责组织工程质量、进度、安全的检查监督；经发包人授权签署与工程投资有关的各种施工技术变更、施工技术方案和图纸会审纪要等；签字确认经监理工程师核准的分项工程量，并报发包人核准。</w:t>
      </w:r>
      <w:r/>
    </w:p>
    <w:p>
      <w:pPr>
        <w:pStyle w:val="802"/>
        <w:ind w:firstLine="482"/>
        <w:rPr>
          <w:rFonts w:hint="eastAsia"/>
          <w:color w:val="auto"/>
          <w:highlight w:val="none"/>
        </w:rPr>
      </w:pPr>
      <w:r>
        <w:rPr>
          <w:rFonts w:hint="eastAsia"/>
          <w:color w:val="auto"/>
          <w:highlight w:val="none"/>
        </w:rPr>
        <w:t xml:space="preserve">2.4 施工现场、施工条件和基础资料的提供</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2.4.1 提供施工现场</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关于发包人移交施工现场的期限要求：</w:t>
      </w:r>
      <w:r>
        <w:rPr>
          <w:rFonts w:hint="eastAsia" w:ascii="仿宋" w:hAnsi="仿宋" w:eastAsia="仿宋" w:cs="仿宋"/>
          <w:color w:val="auto"/>
          <w:sz w:val="24"/>
          <w:szCs w:val="24"/>
          <w:highlight w:val="none"/>
          <w:u w:val="single"/>
        </w:rPr>
        <w:t xml:space="preserve">开工通知载明的开工日期7日前 </w:t>
      </w:r>
      <w:r>
        <w:rPr>
          <w:rFonts w:hint="eastAsia" w:ascii="仿宋" w:hAnsi="仿宋" w:eastAsia="仿宋" w:cs="仿宋"/>
          <w:color w:val="auto"/>
          <w:sz w:val="24"/>
          <w:szCs w:val="24"/>
          <w:highlight w:val="none"/>
        </w:rPr>
        <w:t xml:space="preserve">。</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2.4.2 提供施工条件</w:t>
      </w:r>
      <w:r/>
    </w:p>
    <w:p>
      <w:pPr>
        <w:ind w:firstLine="403"/>
        <w:spacing w:line="327" w:lineRule="auto"/>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关于发包人应负责提供施工所需要的条件，包括：</w:t>
      </w:r>
      <w:r>
        <w:rPr>
          <w:rFonts w:hint="eastAsia" w:ascii="仿宋" w:hAnsi="仿宋" w:eastAsia="仿宋" w:cs="仿宋"/>
          <w:color w:val="auto"/>
          <w:sz w:val="24"/>
          <w:szCs w:val="24"/>
          <w:highlight w:val="none"/>
          <w:u w:val="single"/>
        </w:rPr>
        <w:t xml:space="preserve">发包人不提供电源、水源，施工用水用电由承包人自费解决，且施工用</w:t>
      </w:r>
      <w:r>
        <w:rPr>
          <w:rFonts w:hint="eastAsia" w:ascii="仿宋" w:hAnsi="仿宋" w:eastAsia="仿宋" w:cs="仿宋"/>
          <w:color w:val="auto"/>
          <w:sz w:val="24"/>
          <w:szCs w:val="24"/>
          <w:highlight w:val="none"/>
          <w:u w:val="single"/>
        </w:rPr>
        <w:t xml:space="preserve">电设备线路的安装由承包人负责实施，安装费、线路、设备购置费及施工过程中发生的所有电费，无论承包人是否在投标报价中单独列支，发包人均认为此项费用包含在投标报价中，由承包人直接缴纳。施工各用水点的管路安装、布置由承包人负责实施，其安装费、管材、设备购置费及施工过程中发生的所有水费，无论承包人是否在投标报价中单独列支，发包人均认为此项费用包含在投标报价中。由承包人直接缴纳。承包人的实际用水费用（含分摊的水费损耗费用）由其自行缴纳（或与总包单位协商）。承包人逾期缴纳及其滞纳金，发包人有权从承包人工程款中直接扣除 。</w:t>
      </w:r>
      <w:r/>
    </w:p>
    <w:p>
      <w:pPr>
        <w:ind w:firstLine="403"/>
        <w:spacing w:line="327" w:lineRule="auto"/>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图纸会审和设计交底时间：</w:t>
      </w:r>
      <w:r>
        <w:rPr>
          <w:rFonts w:hint="eastAsia" w:ascii="仿宋" w:hAnsi="仿宋" w:eastAsia="仿宋" w:cs="仿宋"/>
          <w:color w:val="auto"/>
          <w:sz w:val="24"/>
          <w:szCs w:val="24"/>
          <w:highlight w:val="none"/>
          <w:u w:val="single"/>
        </w:rPr>
        <w:t xml:space="preserve"> 开工前一周内完成。               </w:t>
      </w:r>
      <w:r/>
    </w:p>
    <w:p>
      <w:pPr>
        <w:ind w:firstLine="403"/>
        <w:spacing w:line="327" w:lineRule="auto"/>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由承包人负责协调处理施工场地周围地下管线和邻近建筑物、构筑物（含文物保护建筑）、古树名木的保护工作。承包人根据施工需要进行保护，所需费用含在投标报价内。</w:t>
      </w:r>
      <w:r/>
    </w:p>
    <w:p>
      <w:pPr>
        <w:ind w:firstLine="403"/>
        <w:spacing w:line="327" w:lineRule="auto"/>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施工期间的周边关系及第三方干扰等由承包人负责协调，所需费用含在投标报价内。</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2.4.3发包人工作</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提供基础资料。在办理施工安全技术措施审查前，组织工程监理单位、施工总承包单位共同拟定文明施工现场创建目标、规划和措施。工程项目开工前，建设单位、监理单位、施工单位应在办理安全技术措施审查的同时，签署工程文明施工管理目标。</w:t>
      </w:r>
      <w:r/>
    </w:p>
    <w:p>
      <w:pPr>
        <w:pStyle w:val="802"/>
        <w:ind w:firstLine="482"/>
        <w:rPr>
          <w:rFonts w:hint="eastAsia"/>
          <w:color w:val="auto"/>
          <w:highlight w:val="none"/>
        </w:rPr>
      </w:pPr>
      <w:r>
        <w:rPr>
          <w:rFonts w:hint="eastAsia"/>
          <w:color w:val="auto"/>
          <w:highlight w:val="none"/>
        </w:rPr>
        <w:t xml:space="preserve">2.5 资金来源证明及支付担保</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发包人提供资金来源证明的期限要求：</w:t>
      </w:r>
      <w:r>
        <w:rPr>
          <w:rFonts w:hint="eastAsia" w:ascii="仿宋" w:hAnsi="仿宋" w:eastAsia="仿宋" w:cs="仿宋"/>
          <w:color w:val="auto"/>
          <w:sz w:val="24"/>
          <w:szCs w:val="24"/>
          <w:highlight w:val="none"/>
          <w:u w:val="single"/>
        </w:rPr>
        <w:t xml:space="preserve">/  。</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发包人是否提供支付担保：</w:t>
      </w:r>
      <w:r>
        <w:rPr>
          <w:rFonts w:hint="eastAsia" w:ascii="仿宋" w:hAnsi="仿宋" w:eastAsia="仿宋" w:cs="仿宋"/>
          <w:color w:val="auto"/>
          <w:sz w:val="24"/>
          <w:szCs w:val="24"/>
          <w:highlight w:val="none"/>
          <w:u w:val="single"/>
        </w:rPr>
        <w:t xml:space="preserve">否  。</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发包人提供支付担保的形式：</w:t>
      </w:r>
      <w:r>
        <w:rPr>
          <w:rFonts w:hint="eastAsia" w:ascii="仿宋" w:hAnsi="仿宋" w:eastAsia="仿宋" w:cs="仿宋"/>
          <w:color w:val="auto"/>
          <w:sz w:val="24"/>
          <w:szCs w:val="24"/>
          <w:highlight w:val="none"/>
          <w:u w:val="single"/>
        </w:rPr>
        <w:t xml:space="preserve"> /。</w:t>
      </w:r>
      <w:r/>
    </w:p>
    <w:p>
      <w:pPr>
        <w:pStyle w:val="801"/>
        <w:rPr>
          <w:rFonts w:hint="eastAsia"/>
          <w:color w:val="auto"/>
          <w:highlight w:val="none"/>
        </w:rPr>
      </w:pPr>
      <w:r>
        <w:rPr>
          <w:rFonts w:hint="eastAsia"/>
          <w:color w:val="auto"/>
          <w:highlight w:val="none"/>
        </w:rPr>
        <w:t xml:space="preserve">3. 承包人</w:t>
      </w:r>
      <w:r/>
    </w:p>
    <w:p>
      <w:pPr>
        <w:pStyle w:val="802"/>
        <w:ind w:firstLine="482"/>
        <w:rPr>
          <w:rFonts w:hint="eastAsia"/>
          <w:color w:val="auto"/>
          <w:highlight w:val="none"/>
        </w:rPr>
      </w:pPr>
      <w:r>
        <w:rPr>
          <w:rFonts w:hint="eastAsia"/>
          <w:color w:val="auto"/>
          <w:highlight w:val="none"/>
        </w:rPr>
        <w:t xml:space="preserve">3.1 承包人的一般义务</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（7）承包人的施工安全责任</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为确保安全、文明施工，应该本着“安全第一，预防为主”的原则，建立安全管理组织体系。承包人应制定详细的安全生产实施方案，严格执行国家、江苏省及徐州市颁发的现行行业规范、相关标准及相关文件。</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如果承包人的安全措施达不到要求，发包人有权委托其他单位完成，对此发生的所有费用从承包人的安全生产费中支付。安全生产费用应当用于施工安全防护用具及设施的购买、维护和更新，安全生产措施的落实， 安全生产条件的改善，不得挪作他用。</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承包人应杜绝死亡事故、重伤事故和重大机械事故，确保无安全生产责任事故。</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在施工过程中如承包人违反生产安全责任被处罚或发生安全生产事故，承包人应向发包人支付合同金额的20%的违约金，发包人有权解除合同。所造成的一切责任和损失由承包人负责。</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（9）承包人提交的竣工资料的内容：</w:t>
      </w:r>
      <w:r>
        <w:rPr>
          <w:rFonts w:hint="eastAsia" w:ascii="仿宋" w:hAnsi="仿宋" w:eastAsia="仿宋" w:cs="仿宋"/>
          <w:color w:val="auto"/>
          <w:sz w:val="24"/>
          <w:szCs w:val="24"/>
          <w:highlight w:val="none"/>
          <w:u w:val="single"/>
        </w:rPr>
        <w:t xml:space="preserve">  承包人按照《建设工程文件归档整理规范》及江苏省相关法规、规范标准及本合同要求绘制竣工图及完整的工程技术档案、工程质量保修书、及有关工程使用、维护的说明。</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承包人需要提交的竣工资料套数：</w:t>
      </w:r>
      <w:r>
        <w:rPr>
          <w:rFonts w:hint="eastAsia" w:ascii="仿宋" w:hAnsi="仿宋" w:eastAsia="仿宋" w:cs="仿宋"/>
          <w:color w:val="auto"/>
          <w:sz w:val="24"/>
          <w:szCs w:val="24"/>
          <w:highlight w:val="none"/>
          <w:u w:val="single"/>
        </w:rPr>
        <w:t xml:space="preserve">向发包人提交盖承包人公章和工程竣工资料专用章的纸质版竣工图肆套，竣工资料肆套、电子文档资料壹套 </w:t>
      </w:r>
      <w:r>
        <w:rPr>
          <w:rFonts w:hint="eastAsia" w:ascii="仿宋" w:hAnsi="仿宋" w:eastAsia="仿宋" w:cs="仿宋"/>
          <w:color w:val="auto"/>
          <w:sz w:val="24"/>
          <w:szCs w:val="24"/>
          <w:highlight w:val="none"/>
        </w:rPr>
        <w:t xml:space="preserve">。</w:t>
      </w:r>
      <w:r/>
    </w:p>
    <w:p>
      <w:pPr>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承包人提交的竣工资料的费用承担：</w:t>
      </w:r>
      <w:r>
        <w:rPr>
          <w:rFonts w:hint="eastAsia" w:ascii="仿宋" w:hAnsi="仿宋" w:eastAsia="仿宋" w:cs="仿宋"/>
          <w:color w:val="auto"/>
          <w:sz w:val="24"/>
          <w:szCs w:val="24"/>
          <w:highlight w:val="none"/>
          <w:u w:val="single"/>
        </w:rPr>
        <w:t xml:space="preserve">由承包人承担   </w:t>
      </w:r>
      <w:r>
        <w:rPr>
          <w:rFonts w:hint="eastAsia" w:ascii="仿宋" w:hAnsi="仿宋" w:eastAsia="仿宋" w:cs="仿宋"/>
          <w:color w:val="auto"/>
          <w:sz w:val="24"/>
          <w:szCs w:val="24"/>
          <w:highlight w:val="none"/>
        </w:rPr>
        <w:t xml:space="preserve">。</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承包人提交的竣工资料移交时间：</w:t>
      </w:r>
      <w:r>
        <w:rPr>
          <w:rFonts w:hint="eastAsia" w:ascii="仿宋" w:hAnsi="仿宋" w:eastAsia="仿宋" w:cs="仿宋"/>
          <w:color w:val="auto"/>
          <w:sz w:val="24"/>
          <w:szCs w:val="24"/>
          <w:highlight w:val="none"/>
          <w:u w:val="single"/>
        </w:rPr>
        <w:t xml:space="preserve">竣工验收合格后30日内，若逾期提交，发包人有权暂停支付工程款</w:t>
      </w:r>
      <w:r>
        <w:rPr>
          <w:rFonts w:hint="eastAsia" w:ascii="仿宋" w:hAnsi="仿宋" w:eastAsia="仿宋" w:cs="仿宋"/>
          <w:color w:val="auto"/>
          <w:sz w:val="24"/>
          <w:szCs w:val="24"/>
          <w:highlight w:val="none"/>
        </w:rPr>
        <w:t xml:space="preserve">。</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承包人提交的竣工资料形式要求：</w:t>
      </w:r>
      <w:r>
        <w:rPr>
          <w:rFonts w:hint="eastAsia" w:ascii="仿宋" w:hAnsi="仿宋" w:eastAsia="仿宋" w:cs="仿宋"/>
          <w:color w:val="auto"/>
          <w:sz w:val="24"/>
          <w:szCs w:val="24"/>
          <w:highlight w:val="none"/>
          <w:u w:val="single"/>
        </w:rPr>
        <w:t xml:space="preserve">书面方式（立卷、装订成册的纸质文档）和电子文档</w:t>
      </w:r>
      <w:r>
        <w:rPr>
          <w:rFonts w:hint="eastAsia" w:ascii="仿宋" w:hAnsi="仿宋" w:eastAsia="仿宋" w:cs="仿宋"/>
          <w:color w:val="auto"/>
          <w:sz w:val="24"/>
          <w:szCs w:val="24"/>
          <w:highlight w:val="none"/>
        </w:rPr>
        <w:t xml:space="preserve">。</w:t>
      </w:r>
      <w:r/>
    </w:p>
    <w:p>
      <w:pPr>
        <w:numPr>
          <w:ilvl w:val="0"/>
          <w:numId w:val="5"/>
        </w:num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承包人应履行的其他义务：</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①施工过程中的排污、环保、渣土、环卫、市容、城建、城管、治安、人口管理等相关手续由承包人按规定负责办理并承担因此产生的一切费用，施工时对临近居民和行人的干扰及影响由承包人负责处理并承担一切责任，如因与临近居民或行人发生冲突，导致工程停工，所有停工损失及其产生的费用由承包人承担，结算时不再调整。若因上述原因引起相关部门的行政处罚，则由承包人承担行政处罚的费用，发包人据此额外对承包人进行相应的违约金处罚。  </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②承包人作为一名有经验的承包人，应预见施工中与综合管线等其他专业施工单位发生的配合工作，并自主将相关配合费用综合考虑在投标报价内，结算时不再调整。承包人按规定做好施工场地及周围地下管线、邻近建筑物等已完工程的保护。若因承包人原因造成损坏，由承包人负责修复并承担一切费用。若承包人拒绝修复，发包人有权安排其他施工单位修复，所需费用从承包人工程款中扣除。</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③符合徐州市有关部门规定的标准化施工现场要求，同时应满足市政、市容、生态环境等相关主管部门的有关规定。道路施工工地一律实行封闭施工、防尘网覆盖、定时洒水，控制扬尘污染等安全文明施工措施。不符合要求者，承包人应承担20000元/次的违约金。承包人违反规定所造成的损失和行政处罚由承包人承担。承包人负责在竣工验收合格后七日内将施工现场彻底清洁完毕，承包人拒绝清洁的，发包人有权安排其他施工单位修复，所需费用从承包人工程款中扣除。</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④承担施工安全保卫工作及非夜间施工照明的责任和要求：由承包人按建设行政管理部门和相关部门的要求自行承担，并设置明显警示标志和专职人员维护公共安全。</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⑤向发包人提供的办公和生活房屋及设施的要求：发包人驻施工现场管理人员必要的办公用房及设施由承包人负责免费提供。</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 6 \* GB3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⑥</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需承包人办理的有关施工场地交通、环卫和施工噪音污染防治管理等手续：由承包人负责承担，费用也由承包人承担并综合考虑在投标报价内。</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 7 \* GB3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⑦</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承包人综合考虑本项目全线封闭施工，且考虑可能存在的半幅道路施工，因此可能增加的费用综合考虑在投标报价内，结算时不再增加于此相关的费用。</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 8 \* GB3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⑧</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已完工程成品保护的特殊要求及费用承担：由承包人负责承担。</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 9 \* GB3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⑨</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施工场地清洁卫生和要求：应按建设行政主管部门和相关部门的规定办理，所需费用由承包人负担。</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 10 \* GB3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⑩</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承包人需要在</w:t>
      </w:r>
      <w:r>
        <w:rPr>
          <w:rFonts w:hint="eastAsia" w:ascii="仿宋" w:hAnsi="仿宋" w:eastAsia="仿宋" w:cs="仿宋"/>
          <w:color w:val="auto"/>
          <w:sz w:val="24"/>
          <w:szCs w:val="24"/>
          <w:highlight w:val="none"/>
          <w:u w:val="single"/>
        </w:rPr>
        <w:t xml:space="preserve">和管线施工单位现场验收交接后，负责维护或提供现场的围挡及交通附属设施等，并协助做好交通秩序管理，以及对工程进保护行或为公众提供安全和方便。承包人负责在工程施工整个过程中施工现场在承包范围内全部人员的安全。发包人不承担承包人或其内部班组雇用工人或其他人员的伤亡赔偿或补偿责任。承包人在施工现场的安全管理、教育和安全事故的责任由承包人承担。因承包人未履行上述义务给发包人造成的损失及财产损失的，承包人应负全部的赔偿责任，并由责任单位向发包人支付违约金，为结算价的20%。违约金于处罚书或责任认定书开出后15日内支付。</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承包人应积极配合各类上级主管部门的各项检查及验收工作等，并积极做好各项迎检工作，所产生费用由承包人承担。若承包人拒绝配合，发包人有权安排其他施工单位配合，所需费用从承包人工程款中扣除。</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承包人必须对工程现场施工人员全部实行实名制考勤管理，签订劳动合同，设立工资存储专户，按照工程进度和工人实名制登记信息，按月足额由银行代发工资。</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⑪向发包人提供的办公和生活房屋及设施的要求：发包人驻施工现场管理人员必要的办公用房及桌椅、空调等及设施由承包人负责免费提供。</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需承包人办理的有关施工场地交通、施工扬尘、施工噪声防治等：由承包人负责承担，费用也由承包人承担并综合考虑在投标报价内。已完工程成品保护的特殊要求及费用承担：由承包人负责承担。</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⑫施工过程中的排污、环保、建筑垃圾、环卫、市容、城建、城管、治安、人口管理等相关手续由承包人按规定负责办理并承担因此产生的一切费用，施工时对临近居民和行人的干扰及影响由承包人负责处理并承担一切责任，如因与临近居民或行人发生冲突，导致工程停工，所有停工损失及其产生的费用由承包人承担，结算时不再调整。 若因上述原因引起相关部门的处罚，则由承包人承担处罚的费用，并从工程款中扣除。</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⑬发包人施工期间对承包人施工管理人员进行进行考勤，由发包人、监理核查。达不到出勤要求的发包人按5000元/次人从对承包人工程款中进行扣款。应提供计划、报表的名称及完成时间：按月提供，每月 20 日之前提供当月完成进度及下月施工计划，未按规定提供的，按每次10000元违约金承担。</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⑭施工场地周围地下管线和邻近建筑物、构筑物（含文物保护建筑）、古树名木的保护要求及费用承担：承包人在施工时发现地下管线、文物时，应停止施工并及时报告监理工程师和发包人，在会同有关单位部门共同研究方案后再实施，费用由承包人在投标报价中自行考虑。</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⑮地方关系由承包人负责协调，费用包含在合同价款中。</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⑯供应商</w:t>
      </w:r>
      <w:r>
        <w:rPr>
          <w:rFonts w:hint="eastAsia" w:ascii="仿宋" w:hAnsi="仿宋" w:eastAsia="仿宋" w:cs="仿宋"/>
          <w:color w:val="auto"/>
          <w:sz w:val="24"/>
          <w:szCs w:val="24"/>
          <w:highlight w:val="none"/>
          <w:u w:val="single"/>
        </w:rPr>
        <w:t xml:space="preserve">的扬尘、噪声、建筑垃圾、生活垃圾等环保防控要求必须严格按照《中华人民共和国大气污染防治法》《中华人民共和国噪声污染防治法》《中华人民共和国固体废物污染环境防治法》等法律法规的要求，《关于印发徐州市市区工地扬尘污染管理规范的通知》（徐空气提升办﹝2018﹞11 号）和《徐州市2018年大气污染防治攻坚行动方案》、徐城管发【2018】55 号文的规定。该费用按江苏省住房和城乡建设厅《关于调整建设工程按质论价等费用计取方法的公告【2018】第 24 号》文件要求执行，已经包含在投标报价当中，结算不再增加此项费用。</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⑰施工场地清洁卫生和要求：应按建设行政主管部门和环保等相关部门的规定办理，所需费用由承包人负担。</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⑱对于在招投标、施工期间出台新的清单规范、计价定额及费用定额，本工程均不执行。</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⑲承包人勘查现场后已经在施工组织设计中体现：1、承包人与现场其他施工企业保持有序、顺利施工的措施方案；2、现场分段施工的措施方案；3、现场开辟新临时通道的方案，且承包人必须考虑完成以上 3 点所要增加的一切费用。发包人在临时设施费用中为承包人综合考虑了以上费用，承包人自主报价，结算时发包人不再支付与以上关联的任何费用。</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⑳检测机构检测费用不单独列项，承包人应综合考虑在企业管理费中，包括但不限于：材料常规检验试验及相关费用、建筑工程质量检测及相关费用、工程质量检测发生的第三方检测费用、对新工艺、新材料以及对构件做破坏性试验等，结算时不再调整。发包人不再承担此类费用。检测不合格，视为承包人违约，检测费、整改至合格的费用由承包人支付，如影响工程质量或造成其它损失，除采取补救措施，使工程质量达到合格标准外，承包人应向发包人支付合同结算价的20%违约金。</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㉑投标前应充分考察现场，本工程现场地表、沟渠、池塘等明水排除（污）费用由承包人承担，该部分费用不单独列项，供应商应综合考虑在投标报价中，结算时不再调整。</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㉒因施工或施工材料进出场造成附近居民楼产生破损等质量问题均由承包人负责维修并承担所有费用，结算时发包人不再支付因此所产生的任何费用。</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㉓项目特征描述不全或不符的项目：清单项目中特征描述不全的工序或施工内容、材料和设备名称，如施工图纸及技术要求已明确或已指明引用的规范、图集等或是常规工艺必须的工序，视为费用已包括在合同价款中，不得再以项目特征描述不全或者其他理由主张价格变更。承包人应按照发包人提供的施工图纸及技术要求实施合同工程。承包人应充分考虑中标后至工程正式开工的间隔期对自身产生的影响并视为已体现在投标报价中，结算时不再因此予以调整。</w:t>
      </w:r>
      <w:r/>
    </w:p>
    <w:p>
      <w:pPr>
        <w:pStyle w:val="802"/>
        <w:ind w:firstLine="482"/>
        <w:rPr>
          <w:rFonts w:hint="eastAsia"/>
          <w:color w:val="auto"/>
          <w:highlight w:val="none"/>
        </w:rPr>
      </w:pPr>
      <w:r>
        <w:rPr>
          <w:rFonts w:hint="eastAsia"/>
          <w:color w:val="auto"/>
          <w:highlight w:val="none"/>
        </w:rPr>
        <w:t xml:space="preserve">3.2 项目经理</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3.2.1 项目经理：</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姓    名：</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rPr>
        <w:tab/>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身份证号：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建造师执业资格等级：</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建造师注册证书号：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建造师执业印章号：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安全生产考核合格证书号：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电子信箱：</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通信地址：</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承包人对项目经理的授权范围如下：</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1.领导、决策，调集企业所属各单位、各部门为项目进行全面服务和控制。</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2.代表承包人履行对业主的合约，并受业主委托行使对项目所有分包商统一指挥、协调、管理权；</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3.负责组织编制与审批工程总体进度</w:t>
      </w:r>
      <w:r>
        <w:rPr>
          <w:color w:val="auto"/>
          <w:highlight w:val="none"/>
        </w:rPr>
        <w:fldChar w:fldCharType="begin"/>
      </w:r>
      <w:r>
        <w:rPr>
          <w:color w:val="auto"/>
          <w:highlight w:val="none"/>
        </w:rPr>
        <w:instrText xml:space="preserve"> HYPERLINK "http://www.fdcew.com/gw/List_203.html" </w:instrText>
      </w:r>
      <w:r>
        <w:rPr>
          <w:color w:val="auto"/>
          <w:highlight w:val="none"/>
        </w:rPr>
        <w:fldChar w:fldCharType="separate"/>
      </w:r>
      <w:r>
        <w:rPr>
          <w:rFonts w:hint="eastAsia" w:ascii="仿宋" w:hAnsi="仿宋" w:eastAsia="仿宋" w:cs="仿宋"/>
          <w:color w:val="auto"/>
          <w:sz w:val="24"/>
          <w:szCs w:val="24"/>
          <w:highlight w:val="none"/>
          <w:u w:val="single"/>
        </w:rPr>
        <w:t xml:space="preserve">计划</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及其修订与调整；</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4.负责组织编制与审批质量保证计划及其修订与调整；</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5.负责组织编制与审批主要物资供应与采购计划及其修订与调整；</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6.负责组织编制与审批工程分包计划及其修订与调整；</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7.组织工程成本的分析、预测及控制，对项目资金管理与</w:t>
      </w:r>
      <w:r>
        <w:rPr>
          <w:color w:val="auto"/>
          <w:highlight w:val="none"/>
        </w:rPr>
        <w:fldChar w:fldCharType="begin"/>
      </w:r>
      <w:r>
        <w:rPr>
          <w:color w:val="auto"/>
          <w:highlight w:val="none"/>
        </w:rPr>
        <w:instrText xml:space="preserve"> HYPERLINK "http://www.fdcew.com/hypx/List_192.html" </w:instrText>
      </w:r>
      <w:r>
        <w:rPr>
          <w:color w:val="auto"/>
          <w:highlight w:val="none"/>
        </w:rPr>
        <w:fldChar w:fldCharType="separate"/>
      </w:r>
      <w:r>
        <w:rPr>
          <w:rFonts w:hint="eastAsia" w:ascii="仿宋" w:hAnsi="仿宋" w:eastAsia="仿宋" w:cs="仿宋"/>
          <w:color w:val="auto"/>
          <w:sz w:val="24"/>
          <w:szCs w:val="24"/>
          <w:highlight w:val="none"/>
          <w:u w:val="single"/>
        </w:rPr>
        <w:t xml:space="preserve">财务</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运作负责；</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8.与业主、监理保持经常沟通，了解业主需求，解决随时出现的问题，替业主排忧解难，保护业主利益；</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9.负责组织人力资源调配、内部和外部关系协调；遵照</w:t>
      </w:r>
      <w:r>
        <w:rPr>
          <w:color w:val="auto"/>
          <w:highlight w:val="none"/>
        </w:rPr>
        <w:fldChar w:fldCharType="begin"/>
      </w:r>
      <w:r>
        <w:rPr>
          <w:color w:val="auto"/>
          <w:highlight w:val="none"/>
        </w:rPr>
        <w:instrText xml:space="preserve"> HYPERLINK "http://www.fdcew.com/gw/List_211.html" </w:instrText>
      </w:r>
      <w:r>
        <w:rPr>
          <w:color w:val="auto"/>
          <w:highlight w:val="none"/>
        </w:rPr>
        <w:fldChar w:fldCharType="separate"/>
      </w:r>
      <w:r>
        <w:rPr>
          <w:rFonts w:hint="eastAsia" w:ascii="仿宋" w:hAnsi="仿宋" w:eastAsia="仿宋" w:cs="仿宋"/>
          <w:color w:val="auto"/>
          <w:sz w:val="24"/>
          <w:szCs w:val="24"/>
          <w:highlight w:val="none"/>
          <w:u w:val="single"/>
        </w:rPr>
        <w:t xml:space="preserve">合同</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约定及施工组织设计中的内容实施于工程，当超出实施范围应向上级决策机构申报。</w:t>
      </w:r>
      <w:r/>
    </w:p>
    <w:p>
      <w:pPr>
        <w:ind w:firstLine="420"/>
        <w:spacing w:line="327" w:lineRule="auto"/>
        <w:rPr>
          <w:rFonts w:hint="eastAsia" w:ascii="仿宋" w:hAnsi="仿宋" w:eastAsia="仿宋" w:cs="仿宋"/>
          <w:b/>
          <w:color w:val="auto"/>
          <w:sz w:val="24"/>
          <w:szCs w:val="24"/>
          <w:highlight w:val="none"/>
          <w:u w:val="single"/>
        </w:rPr>
      </w:pPr>
      <w:r>
        <w:rPr>
          <w:rFonts w:hint="eastAsia" w:ascii="仿宋" w:hAnsi="仿宋" w:eastAsia="仿宋" w:cs="仿宋"/>
          <w:color w:val="auto"/>
          <w:sz w:val="24"/>
          <w:szCs w:val="24"/>
          <w:highlight w:val="none"/>
        </w:rPr>
        <w:t xml:space="preserve">关于项目经理每月在施工现场的时间要求：</w:t>
      </w:r>
      <w:r>
        <w:rPr>
          <w:rFonts w:hint="eastAsia" w:ascii="仿宋" w:hAnsi="仿宋" w:eastAsia="仿宋" w:cs="仿宋"/>
          <w:color w:val="auto"/>
          <w:sz w:val="24"/>
          <w:szCs w:val="24"/>
          <w:highlight w:val="none"/>
          <w:u w:val="single"/>
        </w:rPr>
        <w:t xml:space="preserve"> 项目经理必须亲临施工现场组织本工程项目的施工，必须严格遵循现行的有关法律、法规，切实履行自己的权利和义务。项目实施期间，项目经理应驻守现场，现场办公，离开施工现场应向发包人驻工地代表请假。项目经理每月驻守工地时间不得低于24天，每天不低于8小时，项目经理擅离职守，每发现一次，将向发包人支付10000元违约金。</w:t>
      </w:r>
      <w:r>
        <w:rPr>
          <w:rFonts w:hint="eastAsia" w:ascii="仿宋" w:hAnsi="仿宋" w:eastAsia="仿宋" w:cs="仿宋"/>
          <w:bCs/>
          <w:color w:val="auto"/>
          <w:sz w:val="24"/>
          <w:szCs w:val="24"/>
          <w:highlight w:val="none"/>
          <w:u w:val="single"/>
        </w:rPr>
        <w:t xml:space="preserve">且应及时参加发包人、监理方组织的例会、参与竣工验收、并保证现场施工及时顺畅的进行。</w:t>
      </w:r>
      <w:r/>
    </w:p>
    <w:p>
      <w:pPr>
        <w:ind w:firstLine="422"/>
        <w:spacing w:line="327" w:lineRule="auto"/>
        <w:rPr>
          <w:rFonts w:hint="eastAsia" w:ascii="仿宋" w:hAnsi="仿宋" w:eastAsia="仿宋" w:cs="仿宋"/>
          <w:b/>
          <w:color w:val="auto"/>
          <w:sz w:val="24"/>
          <w:szCs w:val="24"/>
          <w:highlight w:val="none"/>
          <w:u w:val="single"/>
        </w:rPr>
      </w:pPr>
      <w:r>
        <w:rPr>
          <w:rFonts w:hint="eastAsia" w:ascii="仿宋" w:hAnsi="仿宋" w:eastAsia="仿宋" w:cs="仿宋"/>
          <w:b/>
          <w:color w:val="auto"/>
          <w:sz w:val="24"/>
          <w:szCs w:val="24"/>
          <w:highlight w:val="none"/>
          <w:u w:val="single"/>
        </w:rPr>
        <w:t xml:space="preserve">承包人未提交劳动合同，以及没有为项目经理缴纳社会保险证明的违约责任：承包人承担结算价金额的20%违约金，逾期未提交劳动合同，视为无项目经理，发包人有权终止合同，承包人应当赔偿发包人损失。</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项目经理未经批准，擅自离开施工现场的违约责任：</w:t>
      </w:r>
      <w:r>
        <w:rPr>
          <w:rFonts w:hint="eastAsia" w:ascii="仿宋" w:hAnsi="仿宋" w:eastAsia="仿宋" w:cs="仿宋"/>
          <w:color w:val="auto"/>
          <w:sz w:val="24"/>
          <w:szCs w:val="24"/>
          <w:highlight w:val="none"/>
          <w:u w:val="single"/>
        </w:rPr>
        <w:t xml:space="preserve">承包人应承担10000元/天的违约金，且承包人承担上述违约给发包人造成的一切损失。</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3.2.3 承包人擅自更换项目经理的违约责任：</w:t>
      </w:r>
      <w:r>
        <w:rPr>
          <w:rFonts w:hint="eastAsia" w:ascii="仿宋" w:hAnsi="仿宋" w:eastAsia="仿宋" w:cs="仿宋"/>
          <w:color w:val="auto"/>
          <w:sz w:val="24"/>
          <w:szCs w:val="24"/>
          <w:highlight w:val="none"/>
          <w:u w:val="single"/>
        </w:rPr>
        <w:t xml:space="preserve">项目经理及项目部其他主要组成人员（施工员、质量员、安全员等）应与承包人承诺的名单一致，并保持稳定，不应无故不到位或被替换。以上人员的变更，必须经发包人书面同意。未征得发包人同意撤换项目经理，</w:t>
      </w:r>
      <w:r>
        <w:rPr>
          <w:rFonts w:hint="eastAsia" w:ascii="仿宋" w:hAnsi="仿宋" w:eastAsia="仿宋" w:cs="仿宋"/>
          <w:b/>
          <w:color w:val="auto"/>
          <w:sz w:val="24"/>
          <w:szCs w:val="24"/>
          <w:highlight w:val="none"/>
          <w:u w:val="single"/>
        </w:rPr>
        <w:t xml:space="preserve">承包人除应承担壹拾万元/次的违约金外</w:t>
      </w:r>
      <w:r>
        <w:rPr>
          <w:rFonts w:hint="eastAsia" w:ascii="仿宋" w:hAnsi="仿宋" w:eastAsia="仿宋" w:cs="仿宋"/>
          <w:color w:val="auto"/>
          <w:sz w:val="24"/>
          <w:szCs w:val="24"/>
          <w:highlight w:val="none"/>
          <w:u w:val="single"/>
        </w:rPr>
        <w:t xml:space="preserve">，还应按照项目经理擅自离开现场的违约责任向发包人支付违约金，且发包人有权单方面终止合同，由此造成的一切损失均由承包人承担</w:t>
      </w:r>
      <w:r>
        <w:rPr>
          <w:rFonts w:hint="eastAsia" w:ascii="仿宋" w:hAnsi="仿宋" w:eastAsia="仿宋" w:cs="仿宋"/>
          <w:color w:val="auto"/>
          <w:sz w:val="24"/>
          <w:szCs w:val="24"/>
          <w:highlight w:val="none"/>
        </w:rPr>
        <w:t xml:space="preserve">。</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3.2.4 承包人无正当理由拒绝更换项目经理的违约责任：</w:t>
      </w:r>
      <w:r>
        <w:rPr>
          <w:rFonts w:hint="eastAsia" w:ascii="仿宋" w:hAnsi="仿宋" w:eastAsia="仿宋" w:cs="仿宋"/>
          <w:color w:val="auto"/>
          <w:sz w:val="24"/>
          <w:szCs w:val="24"/>
          <w:highlight w:val="none"/>
          <w:u w:val="single"/>
        </w:rPr>
        <w:t xml:space="preserve">在任何情况下，如果发包人要求撤换不能胜任本职工作、行为不端或玩忽职守的承包人项目经理，有权以书面通知承包人撤换项目经理，同时应在收到发包人通知之日起的7日内，委派经发包人与监理人同意的新的项目经理。</w:t>
      </w:r>
      <w:r>
        <w:rPr>
          <w:rFonts w:hint="eastAsia" w:ascii="仿宋" w:hAnsi="仿宋" w:eastAsia="仿宋" w:cs="仿宋"/>
          <w:b/>
          <w:color w:val="auto"/>
          <w:sz w:val="24"/>
          <w:szCs w:val="24"/>
          <w:highlight w:val="none"/>
          <w:u w:val="single"/>
        </w:rPr>
        <w:t xml:space="preserve">承包人无正当理由拒绝更换项目经理，向发包人支付壹拾万元/次违约金</w:t>
      </w:r>
      <w:r>
        <w:rPr>
          <w:rFonts w:hint="eastAsia" w:ascii="仿宋" w:hAnsi="仿宋" w:eastAsia="仿宋" w:cs="仿宋"/>
          <w:color w:val="auto"/>
          <w:sz w:val="24"/>
          <w:szCs w:val="24"/>
          <w:highlight w:val="none"/>
          <w:u w:val="single"/>
        </w:rPr>
        <w:t xml:space="preserve">，发包人并有权解除合同并责令承包人退场，由此产生的一切损失及后果由承包人承担 。</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如承包人拒绝执行发包人的合理指令，发包人有权另行委托第三方执行指令，承包人向发包人支付壹拾万元/次的违约金，且执行指令的费用由承包人支付；若承包人拒绝支付，则发包人有权从承包人工程款中扣除。</w:t>
      </w:r>
      <w:r/>
    </w:p>
    <w:p>
      <w:pPr>
        <w:pStyle w:val="802"/>
        <w:ind w:firstLine="482"/>
        <w:rPr>
          <w:rFonts w:hint="eastAsia"/>
          <w:color w:val="auto"/>
          <w:highlight w:val="none"/>
        </w:rPr>
      </w:pPr>
      <w:r>
        <w:rPr>
          <w:rFonts w:hint="eastAsia"/>
          <w:color w:val="auto"/>
          <w:highlight w:val="none"/>
        </w:rPr>
        <w:t xml:space="preserve">3.3 承包人人员 </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3.3.1 承包人提交项目管理机构及施工现场管理人员安排报告的期限：</w:t>
      </w:r>
      <w:r>
        <w:rPr>
          <w:rFonts w:hint="eastAsia" w:ascii="仿宋" w:hAnsi="仿宋" w:eastAsia="仿宋" w:cs="仿宋"/>
          <w:color w:val="auto"/>
          <w:sz w:val="24"/>
          <w:szCs w:val="24"/>
          <w:highlight w:val="none"/>
          <w:u w:val="single"/>
        </w:rPr>
        <w:t xml:space="preserve">合同生效后7天内按照投标文件的项目管理机构及施工现场管理人员提交</w:t>
      </w:r>
      <w:r>
        <w:rPr>
          <w:rFonts w:hint="eastAsia" w:ascii="仿宋" w:hAnsi="仿宋" w:eastAsia="仿宋" w:cs="仿宋"/>
          <w:color w:val="auto"/>
          <w:sz w:val="24"/>
          <w:szCs w:val="24"/>
          <w:highlight w:val="none"/>
        </w:rPr>
        <w:t xml:space="preserve">。</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3.3.3 承包人无正当理由拒绝撤换主要施工管理人员的违约责任：</w:t>
      </w:r>
      <w:r>
        <w:rPr>
          <w:rFonts w:hint="eastAsia" w:ascii="仿宋" w:hAnsi="仿宋" w:eastAsia="仿宋" w:cs="仿宋"/>
          <w:color w:val="auto"/>
          <w:sz w:val="24"/>
          <w:szCs w:val="24"/>
          <w:highlight w:val="none"/>
          <w:u w:val="single"/>
        </w:rPr>
        <w:t xml:space="preserve">在任何情况下，如果发包人认为施工管理人员不能胜任工作，有权以书面通知，要求承包人更换施工管理人员；承包人应在收到发包人通知之日起的7天内，按照发包人要求，提出新的人选，报发包人批准后，即刻任命。</w:t>
      </w:r>
      <w:r>
        <w:rPr>
          <w:rFonts w:hint="eastAsia" w:ascii="仿宋" w:hAnsi="仿宋" w:eastAsia="仿宋" w:cs="仿宋"/>
          <w:b/>
          <w:color w:val="auto"/>
          <w:sz w:val="24"/>
          <w:szCs w:val="24"/>
          <w:highlight w:val="none"/>
          <w:u w:val="single"/>
        </w:rPr>
        <w:t xml:space="preserve">承包人拒绝更换的，承包人应承担叁万元∕人.次的违约金，</w:t>
      </w:r>
      <w:r>
        <w:rPr>
          <w:rFonts w:hint="eastAsia" w:ascii="仿宋" w:hAnsi="仿宋" w:eastAsia="仿宋" w:cs="仿宋"/>
          <w:color w:val="auto"/>
          <w:sz w:val="24"/>
          <w:szCs w:val="24"/>
          <w:highlight w:val="none"/>
          <w:u w:val="single"/>
        </w:rPr>
        <w:t xml:space="preserve">由此产生的一切损失及后果由承包人承担。</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3.3.4 承包人主要施工管理人员离开施工现场的批准要求：</w:t>
      </w:r>
      <w:r>
        <w:rPr>
          <w:rFonts w:hint="eastAsia" w:ascii="仿宋" w:hAnsi="仿宋" w:eastAsia="仿宋" w:cs="仿宋"/>
          <w:color w:val="auto"/>
          <w:sz w:val="24"/>
          <w:szCs w:val="24"/>
          <w:highlight w:val="none"/>
          <w:u w:val="single"/>
        </w:rPr>
        <w:t xml:space="preserve">主要施工管理人员，必须严格遵循现行的有关法律、法规，切实履行自己的权利和义务。项目实施期间，应全程驻守，现场办公，离开施工现场应</w:t>
      </w:r>
      <w:r>
        <w:rPr>
          <w:rFonts w:hint="eastAsia" w:ascii="仿宋" w:hAnsi="仿宋" w:eastAsia="仿宋" w:cs="仿宋"/>
          <w:b/>
          <w:color w:val="auto"/>
          <w:sz w:val="24"/>
          <w:szCs w:val="24"/>
          <w:highlight w:val="none"/>
          <w:u w:val="single"/>
        </w:rPr>
        <w:t xml:space="preserve">由总监理工程师及发包人代表批准后方可离开</w:t>
      </w:r>
      <w:r>
        <w:rPr>
          <w:rFonts w:hint="eastAsia" w:ascii="仿宋" w:hAnsi="仿宋" w:eastAsia="仿宋" w:cs="仿宋"/>
          <w:color w:val="auto"/>
          <w:sz w:val="24"/>
          <w:szCs w:val="24"/>
          <w:highlight w:val="none"/>
          <w:u w:val="single"/>
        </w:rPr>
        <w:t xml:space="preserve">。 施工管理人员擅自离开施工现场，承包人承担5000元/人.天的违约金，承包人还应承担上述违约给发包人造成的损失。</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3.3.5承包人擅自更换主要施工管理人员的违约责任：</w:t>
      </w:r>
      <w:r>
        <w:rPr>
          <w:rFonts w:hint="eastAsia" w:ascii="仿宋" w:hAnsi="仿宋" w:eastAsia="仿宋" w:cs="仿宋"/>
          <w:color w:val="auto"/>
          <w:sz w:val="24"/>
          <w:szCs w:val="24"/>
          <w:highlight w:val="none"/>
          <w:u w:val="single"/>
        </w:rPr>
        <w:t xml:space="preserve">承包人的施工管理人员不能擅自更换，确须调整时，必须经发包人书面同意。擅自</w:t>
      </w:r>
      <w:r>
        <w:rPr>
          <w:rFonts w:hint="eastAsia" w:ascii="仿宋" w:hAnsi="仿宋" w:eastAsia="仿宋" w:cs="仿宋"/>
          <w:bCs/>
          <w:color w:val="auto"/>
          <w:sz w:val="24"/>
          <w:szCs w:val="24"/>
          <w:highlight w:val="none"/>
          <w:u w:val="single"/>
        </w:rPr>
        <w:t xml:space="preserve">撤换技术负责人、质量负责人、安全负责人等其他项目部主要成员，</w:t>
      </w:r>
      <w:r>
        <w:rPr>
          <w:rFonts w:hint="eastAsia" w:ascii="仿宋" w:hAnsi="仿宋" w:eastAsia="仿宋" w:cs="仿宋"/>
          <w:color w:val="auto"/>
          <w:sz w:val="24"/>
          <w:szCs w:val="24"/>
          <w:highlight w:val="none"/>
          <w:u w:val="single"/>
        </w:rPr>
        <w:t xml:space="preserve"> </w:t>
      </w:r>
      <w:r>
        <w:rPr>
          <w:rFonts w:hint="eastAsia" w:ascii="仿宋" w:hAnsi="仿宋" w:eastAsia="仿宋" w:cs="仿宋"/>
          <w:b/>
          <w:color w:val="auto"/>
          <w:sz w:val="24"/>
          <w:szCs w:val="24"/>
          <w:highlight w:val="none"/>
          <w:u w:val="single"/>
        </w:rPr>
        <w:t xml:space="preserve">承包人应承担壹拾万元∕次的违约金，</w:t>
      </w:r>
      <w:r>
        <w:rPr>
          <w:rFonts w:hint="eastAsia" w:ascii="仿宋" w:hAnsi="仿宋" w:eastAsia="仿宋" w:cs="仿宋"/>
          <w:color w:val="auto"/>
          <w:sz w:val="24"/>
          <w:szCs w:val="24"/>
          <w:highlight w:val="none"/>
          <w:u w:val="single"/>
        </w:rPr>
        <w:t xml:space="preserve">由此产生的一切损失及后果由承包人承担</w:t>
      </w:r>
      <w:r>
        <w:rPr>
          <w:rFonts w:hint="eastAsia" w:ascii="仿宋" w:hAnsi="仿宋" w:eastAsia="仿宋" w:cs="仿宋"/>
          <w:bCs/>
          <w:color w:val="auto"/>
          <w:sz w:val="24"/>
          <w:szCs w:val="24"/>
          <w:highlight w:val="none"/>
          <w:u w:val="single"/>
        </w:rPr>
        <w:t xml:space="preserve">。</w:t>
      </w:r>
      <w:r/>
    </w:p>
    <w:p>
      <w:pPr>
        <w:pStyle w:val="802"/>
        <w:ind w:firstLine="482"/>
        <w:rPr>
          <w:rFonts w:hint="eastAsia"/>
          <w:color w:val="auto"/>
          <w:highlight w:val="none"/>
        </w:rPr>
      </w:pPr>
      <w:r>
        <w:rPr>
          <w:rFonts w:hint="eastAsia"/>
          <w:color w:val="auto"/>
          <w:highlight w:val="none"/>
        </w:rPr>
        <w:t xml:space="preserve">3.5 分包</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3.5.1 分包的一般约定</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禁止分包的工程包括：</w:t>
      </w:r>
      <w:r>
        <w:rPr>
          <w:rFonts w:hint="eastAsia" w:ascii="仿宋" w:hAnsi="仿宋" w:eastAsia="仿宋" w:cs="仿宋"/>
          <w:color w:val="auto"/>
          <w:sz w:val="24"/>
          <w:szCs w:val="24"/>
          <w:highlight w:val="none"/>
          <w:u w:val="single"/>
        </w:rPr>
        <w:t xml:space="preserve">本工程禁止转包及违法分包。</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主体结构、关键性工作的范围：</w:t>
      </w:r>
      <w:r>
        <w:rPr>
          <w:rFonts w:hint="eastAsia" w:ascii="仿宋" w:hAnsi="仿宋" w:eastAsia="仿宋" w:cs="仿宋"/>
          <w:color w:val="auto"/>
          <w:sz w:val="24"/>
          <w:szCs w:val="24"/>
          <w:highlight w:val="none"/>
          <w:u w:val="single"/>
        </w:rPr>
        <w:t xml:space="preserve">执行国家相关法律、法规规定 </w:t>
      </w:r>
      <w:r>
        <w:rPr>
          <w:rFonts w:hint="eastAsia" w:ascii="仿宋" w:hAnsi="仿宋" w:eastAsia="仿宋" w:cs="仿宋"/>
          <w:color w:val="auto"/>
          <w:sz w:val="24"/>
          <w:szCs w:val="24"/>
          <w:highlight w:val="none"/>
        </w:rPr>
        <w:t xml:space="preserve">。</w:t>
      </w:r>
      <w:bookmarkStart w:id="120" w:name="_Toc297123494"/>
      <w:r/>
      <w:bookmarkStart w:id="121" w:name="_Toc297048347"/>
      <w:r/>
      <w:bookmarkStart w:id="122" w:name="_Toc296891201"/>
      <w:r/>
      <w:bookmarkStart w:id="123" w:name="_Toc296503161"/>
      <w:r/>
      <w:bookmarkStart w:id="124" w:name="_Toc297120461"/>
      <w:r/>
      <w:bookmarkStart w:id="125" w:name="_Toc296346662"/>
      <w:r/>
      <w:bookmarkStart w:id="126" w:name="_Toc296944500"/>
      <w:r/>
      <w:bookmarkStart w:id="127" w:name="_Toc300934947"/>
      <w:r/>
      <w:bookmarkStart w:id="128" w:name="_Toc304295525"/>
      <w:r/>
      <w:bookmarkStart w:id="129" w:name="_Toc296347160"/>
      <w:r/>
      <w:bookmarkStart w:id="130" w:name="_Toc297216153"/>
      <w:r/>
      <w:bookmarkStart w:id="131" w:name="_Toc296890989"/>
      <w:r/>
      <w:bookmarkStart w:id="132" w:name="_Toc303539104"/>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如发现分包、转包，发包人有权单方面取消或终止合同并支付给发包人合同结算价20%违约金，由此造成的一切损失均由承包人承担。</w:t>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r/>
    </w:p>
    <w:p>
      <w:pPr>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3.5.2分包的确定</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允许分包的专业工程包括：不允许分包。</w:t>
      </w:r>
      <w:r/>
    </w:p>
    <w:p>
      <w:pPr>
        <w:pStyle w:val="802"/>
        <w:ind w:firstLine="482"/>
        <w:rPr>
          <w:rFonts w:hint="eastAsia"/>
          <w:color w:val="auto"/>
          <w:highlight w:val="none"/>
        </w:rPr>
      </w:pPr>
      <w:r>
        <w:rPr>
          <w:rFonts w:hint="eastAsia"/>
          <w:color w:val="auto"/>
          <w:highlight w:val="none"/>
        </w:rPr>
        <w:t xml:space="preserve">3.6 工程照管与成品、半成品保护</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承包人负责照管工程及工程相关的材料、工程设备的起始时间：</w:t>
      </w:r>
      <w:r>
        <w:rPr>
          <w:rFonts w:hint="eastAsia" w:ascii="仿宋" w:hAnsi="仿宋" w:eastAsia="仿宋" w:cs="仿宋"/>
          <w:color w:val="auto"/>
          <w:sz w:val="24"/>
          <w:szCs w:val="24"/>
          <w:highlight w:val="none"/>
          <w:u w:val="single"/>
        </w:rPr>
        <w:t xml:space="preserve">工程施工开始至竣工验收合格并办理完工程移交手续止 。设备、人员进场至工程移交/接收证书签发前由承包人负责照管，费用由承包人承担。承包人负责采取有效措施对已完成工程成品的保护，费用由承包人承担。保护期间发生的损坏承包人予以修理并承担因此产生的一切损失和费用。损坏其他单位所承担的施工内容，由承包人负责赔偿或修复，并承担因此产生的一切损失费用。承包人拒绝赔偿或修复的，发包人有权另行委托施工单位进行修复，所需费用从承包人工程款中直接扣除，承包人不得有任何异议。</w:t>
      </w:r>
      <w:r/>
    </w:p>
    <w:p>
      <w:pPr>
        <w:pStyle w:val="802"/>
        <w:ind w:firstLine="482"/>
        <w:rPr>
          <w:rFonts w:hint="eastAsia"/>
          <w:color w:val="auto"/>
          <w:highlight w:val="none"/>
        </w:rPr>
      </w:pPr>
      <w:r>
        <w:rPr>
          <w:rFonts w:hint="eastAsia"/>
          <w:color w:val="auto"/>
          <w:highlight w:val="none"/>
        </w:rPr>
        <w:t xml:space="preserve">3.7 履约担保</w:t>
      </w:r>
      <w:r/>
    </w:p>
    <w:p>
      <w:pPr>
        <w:ind w:firstLine="420"/>
        <w:spacing w:line="327"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承包人是否提供履约担保：</w:t>
      </w:r>
      <w:r>
        <w:rPr>
          <w:rFonts w:hint="eastAsia" w:ascii="仿宋" w:hAnsi="仿宋" w:eastAsia="仿宋" w:cs="仿宋"/>
          <w:color w:val="auto"/>
          <w:sz w:val="24"/>
          <w:szCs w:val="24"/>
          <w:highlight w:val="none"/>
          <w:u w:val="single"/>
        </w:rPr>
        <w:t xml:space="preserve">提供，签订合同前缴纳</w:t>
      </w:r>
      <w:r>
        <w:rPr>
          <w:rFonts w:hint="eastAsia" w:ascii="仿宋" w:hAnsi="仿宋" w:eastAsia="仿宋" w:cs="仿宋"/>
          <w:color w:val="auto"/>
          <w:sz w:val="24"/>
          <w:szCs w:val="24"/>
          <w:highlight w:val="none"/>
        </w:rPr>
        <w:t xml:space="preserve">。</w:t>
      </w:r>
      <w:r/>
    </w:p>
    <w:p>
      <w:pPr>
        <w:ind w:firstLine="420"/>
        <w:spacing w:line="327"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履约保证金的形式：</w:t>
      </w:r>
      <w:r>
        <w:rPr>
          <w:rFonts w:hint="eastAsia" w:ascii="仿宋" w:hAnsi="仿宋" w:eastAsia="仿宋" w:cs="仿宋"/>
          <w:color w:val="auto"/>
          <w:sz w:val="24"/>
          <w:szCs w:val="24"/>
          <w:highlight w:val="none"/>
          <w:u w:val="single"/>
        </w:rPr>
        <w:t xml:space="preserve">以支票、汇票、本票或者金融机构、担保机构出具的保函等非现金形式提交</w:t>
      </w:r>
      <w:r>
        <w:rPr>
          <w:rFonts w:hint="eastAsia" w:ascii="仿宋" w:hAnsi="仿宋" w:eastAsia="仿宋" w:cs="仿宋"/>
          <w:color w:val="auto"/>
          <w:sz w:val="24"/>
          <w:szCs w:val="24"/>
          <w:highlight w:val="none"/>
        </w:rPr>
        <w:t xml:space="preserve">。 </w:t>
      </w:r>
      <w:r/>
    </w:p>
    <w:p>
      <w:pPr>
        <w:ind w:firstLine="420"/>
        <w:spacing w:line="327"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履约保证金的金额：</w:t>
      </w:r>
      <w:r>
        <w:rPr>
          <w:rFonts w:hint="eastAsia" w:ascii="仿宋" w:hAnsi="仿宋" w:eastAsia="仿宋" w:cs="仿宋"/>
          <w:color w:val="auto"/>
          <w:sz w:val="24"/>
          <w:szCs w:val="24"/>
          <w:highlight w:val="none"/>
          <w:u w:val="single"/>
        </w:rPr>
        <w:t xml:space="preserve">中标金额的3%</w:t>
      </w:r>
      <w:r>
        <w:rPr>
          <w:rFonts w:hint="eastAsia" w:ascii="仿宋" w:hAnsi="仿宋" w:eastAsia="仿宋" w:cs="仿宋"/>
          <w:color w:val="auto"/>
          <w:sz w:val="24"/>
          <w:szCs w:val="24"/>
          <w:highlight w:val="none"/>
        </w:rPr>
        <w:t xml:space="preserve">。</w:t>
      </w:r>
      <w:r/>
    </w:p>
    <w:p>
      <w:pPr>
        <w:ind w:firstLine="420"/>
        <w:spacing w:line="327"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履约保证金的返还：</w:t>
      </w:r>
      <w:r>
        <w:rPr>
          <w:rFonts w:hint="eastAsia" w:ascii="仿宋" w:hAnsi="仿宋" w:eastAsia="仿宋" w:cs="仿宋"/>
          <w:color w:val="auto"/>
          <w:sz w:val="24"/>
          <w:szCs w:val="24"/>
          <w:highlight w:val="none"/>
          <w:u w:val="single"/>
        </w:rPr>
        <w:t xml:space="preserve">待工程竣工验收合格且质保期满无质量问题后30日历天内无息退还。如果承包人不履行合同约定的义务，未能完全履行合同规定的义务或其履行不符合合同的约定，发包人有权扣除履约保证金取得补偿。</w:t>
      </w:r>
      <w:r/>
    </w:p>
    <w:p>
      <w:pPr>
        <w:pStyle w:val="801"/>
        <w:rPr>
          <w:rFonts w:hint="eastAsia"/>
          <w:color w:val="auto"/>
          <w:highlight w:val="none"/>
        </w:rPr>
      </w:pPr>
      <w:r>
        <w:rPr>
          <w:rFonts w:hint="eastAsia"/>
          <w:color w:val="auto"/>
          <w:highlight w:val="none"/>
        </w:rPr>
        <w:t xml:space="preserve">4. 监理人</w:t>
      </w:r>
      <w:r/>
    </w:p>
    <w:p>
      <w:pPr>
        <w:pStyle w:val="802"/>
        <w:ind w:firstLine="482"/>
        <w:rPr>
          <w:rFonts w:hint="eastAsia"/>
          <w:color w:val="auto"/>
          <w:highlight w:val="none"/>
        </w:rPr>
      </w:pPr>
      <w:r>
        <w:rPr>
          <w:rFonts w:hint="eastAsia"/>
          <w:color w:val="auto"/>
          <w:highlight w:val="none"/>
        </w:rPr>
        <w:t xml:space="preserve">4.1监理人的一般规定</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关于监理人的监理内容：</w:t>
      </w:r>
      <w:r>
        <w:rPr>
          <w:rFonts w:hint="eastAsia" w:ascii="仿宋" w:hAnsi="仿宋" w:eastAsia="仿宋" w:cs="仿宋"/>
          <w:color w:val="auto"/>
          <w:sz w:val="24"/>
          <w:szCs w:val="24"/>
          <w:highlight w:val="none"/>
          <w:u w:val="single"/>
        </w:rPr>
        <w:t xml:space="preserve"> 施工图设计范围内（含变更）工程施工的安全、质量、进度、文明施工、扬尘防治、成本控制；本项目分包、转包监督等。</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关于监理人的监理权限：</w:t>
      </w:r>
      <w:r>
        <w:rPr>
          <w:rFonts w:hint="eastAsia" w:ascii="仿宋" w:hAnsi="仿宋" w:eastAsia="仿宋" w:cs="仿宋"/>
          <w:color w:val="auto"/>
          <w:sz w:val="24"/>
          <w:szCs w:val="24"/>
          <w:highlight w:val="none"/>
          <w:u w:val="single"/>
        </w:rPr>
        <w:t xml:space="preserve">对工程建设实施全面监督和管理，但不得修改本施工合同、减轻或免除合同约定的承包人的任何责任与义务，任何增加工程造价的签证均需获得发包人同意。 </w:t>
      </w:r>
      <w:r>
        <w:rPr>
          <w:rFonts w:hint="eastAsia" w:ascii="仿宋" w:hAnsi="仿宋" w:eastAsia="仿宋" w:cs="仿宋"/>
          <w:color w:val="auto"/>
          <w:sz w:val="24"/>
          <w:szCs w:val="24"/>
          <w:highlight w:val="none"/>
        </w:rPr>
        <w:t xml:space="preserve"> </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关于监理人在施工现场的办公场所、生活场所的提供和费用承担的约定：</w:t>
      </w:r>
      <w:r>
        <w:rPr>
          <w:rFonts w:hint="eastAsia" w:ascii="仿宋" w:hAnsi="仿宋" w:eastAsia="仿宋" w:cs="仿宋"/>
          <w:color w:val="auto"/>
          <w:sz w:val="24"/>
          <w:szCs w:val="24"/>
          <w:highlight w:val="none"/>
          <w:u w:val="single"/>
        </w:rPr>
        <w:t xml:space="preserve"> 详见监理合同 </w:t>
      </w:r>
      <w:r>
        <w:rPr>
          <w:rFonts w:hint="eastAsia" w:ascii="仿宋" w:hAnsi="仿宋" w:eastAsia="仿宋" w:cs="仿宋"/>
          <w:color w:val="auto"/>
          <w:sz w:val="24"/>
          <w:szCs w:val="24"/>
          <w:highlight w:val="none"/>
        </w:rPr>
        <w:t xml:space="preserve">。</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（1）职责范围</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施工全过程监理，包括“三控二管一协调以及安全管理”，即施工过程中的质量、进度、投资控制，合同、信息等方面的管理及安全文明生产管理 ；协调各方面与工程有关的关系；负责施工组织设计、单项施工技术方案的审核和图纸会审纪要的签发；负责主持分部分项工程验收及工程竣工预验收，定期的现场施工调度会；参加发包人主持的竣工验收工作；竣工后保修阶段的服务以及发包人赋予的其他有关权利。 </w:t>
      </w:r>
      <w:r/>
    </w:p>
    <w:p>
      <w:pPr>
        <w:ind w:firstLine="63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（2）工程变更和签证授权</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涉及设计变更和签证单的签字，监理人的总监工程师签字后应在24小时内送交委托人工地代表核准。其中，涉及到费用增加的签证单，监理人应在签字前通知委托人的工地代表，确认是否需要征得委托人同意，否则，因监理人签证所发生的增加费用，委托人将不予认可。</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（3）监理人在征得委托人代表同意的前提下，有权要求承包人调换其人员。 </w:t>
      </w:r>
      <w:r/>
    </w:p>
    <w:p>
      <w:pPr>
        <w:pStyle w:val="802"/>
        <w:ind w:firstLine="482"/>
        <w:rPr>
          <w:rFonts w:hint="eastAsia"/>
          <w:color w:val="auto"/>
          <w:highlight w:val="none"/>
        </w:rPr>
      </w:pPr>
      <w:r>
        <w:rPr>
          <w:rFonts w:hint="eastAsia"/>
          <w:color w:val="auto"/>
          <w:highlight w:val="none"/>
        </w:rPr>
        <w:t xml:space="preserve">4.2 监理人员</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总监理工程师：</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姓    名：</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职    务：</w:t>
      </w:r>
      <w:r>
        <w:rPr>
          <w:rFonts w:hint="eastAsia" w:ascii="仿宋" w:hAnsi="仿宋" w:eastAsia="仿宋" w:cs="仿宋"/>
          <w:color w:val="auto"/>
          <w:sz w:val="24"/>
          <w:szCs w:val="24"/>
          <w:highlight w:val="none"/>
          <w:u w:val="single"/>
        </w:rPr>
        <w:t xml:space="preserve">   总监理工程师       </w:t>
      </w:r>
      <w:r>
        <w:rPr>
          <w:rFonts w:hint="eastAsia" w:ascii="仿宋" w:hAnsi="仿宋" w:eastAsia="仿宋" w:cs="仿宋"/>
          <w:color w:val="auto"/>
          <w:sz w:val="24"/>
          <w:szCs w:val="24"/>
          <w:highlight w:val="none"/>
        </w:rPr>
        <w:t xml:space="preserve">；</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监理工程师执业资格证书号：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电子信箱：</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通信地址：</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关于监理人的其他约定：</w:t>
      </w:r>
      <w:r>
        <w:rPr>
          <w:rFonts w:hint="eastAsia" w:ascii="仿宋" w:hAnsi="仿宋" w:eastAsia="仿宋" w:cs="仿宋"/>
          <w:color w:val="auto"/>
          <w:sz w:val="24"/>
          <w:szCs w:val="24"/>
          <w:highlight w:val="none"/>
          <w:u w:val="single"/>
        </w:rPr>
        <w:t xml:space="preserve">详见本工程监理合同</w:t>
      </w:r>
      <w:r>
        <w:rPr>
          <w:rFonts w:hint="eastAsia" w:ascii="仿宋" w:hAnsi="仿宋" w:eastAsia="仿宋" w:cs="仿宋"/>
          <w:color w:val="auto"/>
          <w:sz w:val="24"/>
          <w:szCs w:val="24"/>
          <w:highlight w:val="none"/>
        </w:rPr>
        <w:t xml:space="preserve">。</w:t>
      </w:r>
      <w:r/>
    </w:p>
    <w:p>
      <w:pPr>
        <w:pStyle w:val="802"/>
        <w:ind w:firstLine="482"/>
        <w:rPr>
          <w:rFonts w:hint="eastAsia"/>
          <w:color w:val="auto"/>
          <w:highlight w:val="none"/>
        </w:rPr>
      </w:pPr>
      <w:r>
        <w:rPr>
          <w:rFonts w:hint="eastAsia"/>
          <w:color w:val="auto"/>
          <w:highlight w:val="none"/>
        </w:rPr>
        <w:t xml:space="preserve">4.3 商定或确定</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在发包人和承包人不能通过协商达成一致意见时，发包人授权监理人对以下事项进行确定：</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 xml:space="preserve">。</w:t>
      </w:r>
      <w:r/>
    </w:p>
    <w:p>
      <w:pPr>
        <w:pStyle w:val="801"/>
        <w:rPr>
          <w:rFonts w:hint="eastAsia"/>
          <w:color w:val="auto"/>
          <w:highlight w:val="none"/>
        </w:rPr>
      </w:pPr>
      <w:r>
        <w:rPr>
          <w:rFonts w:hint="eastAsia"/>
          <w:color w:val="auto"/>
          <w:highlight w:val="none"/>
        </w:rPr>
        <w:t xml:space="preserve">5. 工程质量</w:t>
      </w:r>
      <w:r/>
    </w:p>
    <w:p>
      <w:pPr>
        <w:pStyle w:val="802"/>
        <w:ind w:firstLine="482"/>
        <w:rPr>
          <w:rFonts w:hint="eastAsia"/>
          <w:color w:val="auto"/>
          <w:highlight w:val="none"/>
        </w:rPr>
      </w:pPr>
      <w:r>
        <w:rPr>
          <w:rFonts w:hint="eastAsia"/>
          <w:color w:val="auto"/>
          <w:highlight w:val="none"/>
        </w:rPr>
        <w:t xml:space="preserve">5.1 质量要求</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5.1 特殊质量标准和要求：</w:t>
      </w:r>
      <w:r>
        <w:rPr>
          <w:rFonts w:hint="eastAsia" w:ascii="仿宋" w:hAnsi="仿宋" w:eastAsia="仿宋" w:cs="仿宋"/>
          <w:color w:val="auto"/>
          <w:sz w:val="24"/>
          <w:szCs w:val="24"/>
          <w:highlight w:val="none"/>
          <w:u w:val="single"/>
        </w:rPr>
        <w:t xml:space="preserve">满足发包人及道路移交相关部门的要求。</w:t>
      </w:r>
      <w:r/>
    </w:p>
    <w:p>
      <w:pPr>
        <w:pStyle w:val="802"/>
        <w:ind w:firstLine="482"/>
        <w:rPr>
          <w:rFonts w:hint="eastAsia"/>
          <w:color w:val="auto"/>
          <w:highlight w:val="none"/>
        </w:rPr>
      </w:pPr>
      <w:r>
        <w:rPr>
          <w:rFonts w:hint="eastAsia"/>
          <w:color w:val="auto"/>
          <w:highlight w:val="none"/>
        </w:rPr>
        <w:t xml:space="preserve">5.2 隐蔽工程检查</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承包人提前通知监理人隐蔽工程检查的期限的约定：</w:t>
      </w:r>
      <w:r/>
    </w:p>
    <w:p>
      <w:pPr>
        <w:ind w:firstLine="420"/>
        <w:spacing w:line="327" w:lineRule="auto"/>
        <w:rPr>
          <w:rFonts w:hint="eastAsia" w:ascii="仿宋" w:hAnsi="仿宋" w:eastAsia="仿宋" w:cs="仿宋"/>
          <w:i/>
          <w:iCs/>
          <w:color w:val="auto"/>
          <w:sz w:val="24"/>
          <w:szCs w:val="24"/>
          <w:highlight w:val="none"/>
          <w:u w:val="single"/>
        </w:rPr>
      </w:pPr>
      <w:r>
        <w:rPr>
          <w:rFonts w:hint="eastAsia" w:ascii="仿宋" w:hAnsi="仿宋" w:eastAsia="仿宋" w:cs="仿宋"/>
          <w:color w:val="auto"/>
          <w:sz w:val="24"/>
          <w:szCs w:val="24"/>
          <w:highlight w:val="none"/>
          <w:u w:val="single"/>
        </w:rPr>
        <w:t xml:space="preserve">隐蔽工程覆盖前的检查：未经监理工程师、发包人代表批准，工程的任何部位都不能覆盖，当任何部分的隐蔽工程或基础已经具备检验条件时，承包人应及时通知监理工程师、发包人代表，且必须保留施工关键部位及主要施工过程的影像资料。监理工程师、发包人代表在接到承包人通知24小时后没有批复，承包人可以覆盖这部分工程或基础，但必须保留施工关键部位及主要施工过程的影像资料。 如隐蔽工程竣工验收资料不全、缺失、不规范，或不能反映出已按照合同、图纸约定的内容完成的，发包人有权要求承包人返工，产生的相关费用由承包人承担。</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剥露和开口：承包人应按监理工程师、发包人代表随时发出的指示，对工程的任何部分剥露或开口，并负责这部分工程恢复原样，且不论最终验收结果如何，发包人均不承担损失和顺延工期。</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承包人未按上述要求施工的，承包人应向发包人支付合同金额的20%的违约金，发包人有权解除合同。所造成的一切责任和损失由承包人负责。</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监理人不能按时进行检查时，应提前</w:t>
      </w:r>
      <w:r>
        <w:rPr>
          <w:rFonts w:hint="eastAsia" w:ascii="仿宋" w:hAnsi="仿宋" w:eastAsia="仿宋" w:cs="仿宋"/>
          <w:color w:val="auto"/>
          <w:sz w:val="24"/>
          <w:szCs w:val="24"/>
          <w:highlight w:val="none"/>
          <w:u w:val="single"/>
        </w:rPr>
        <w:t xml:space="preserve">  8  </w:t>
      </w:r>
      <w:r>
        <w:rPr>
          <w:rFonts w:hint="eastAsia" w:ascii="仿宋" w:hAnsi="仿宋" w:eastAsia="仿宋" w:cs="仿宋"/>
          <w:color w:val="auto"/>
          <w:sz w:val="24"/>
          <w:szCs w:val="24"/>
          <w:highlight w:val="none"/>
        </w:rPr>
        <w:t xml:space="preserve">小时提交书面延期要求。关于延期最长不得超过：</w:t>
      </w:r>
      <w:r>
        <w:rPr>
          <w:rFonts w:hint="eastAsia" w:ascii="仿宋" w:hAnsi="仿宋" w:eastAsia="仿宋" w:cs="仿宋"/>
          <w:color w:val="auto"/>
          <w:sz w:val="24"/>
          <w:szCs w:val="24"/>
          <w:highlight w:val="none"/>
          <w:u w:val="single"/>
        </w:rPr>
        <w:t xml:space="preserve">  24  </w:t>
      </w:r>
      <w:r>
        <w:rPr>
          <w:rFonts w:hint="eastAsia" w:ascii="仿宋" w:hAnsi="仿宋" w:eastAsia="仿宋" w:cs="仿宋"/>
          <w:color w:val="auto"/>
          <w:sz w:val="24"/>
          <w:szCs w:val="24"/>
          <w:highlight w:val="none"/>
        </w:rPr>
        <w:t xml:space="preserve">小时。</w:t>
      </w:r>
      <w:r/>
    </w:p>
    <w:p>
      <w:pPr>
        <w:pStyle w:val="801"/>
        <w:rPr>
          <w:rFonts w:hint="eastAsia"/>
          <w:color w:val="auto"/>
          <w:highlight w:val="none"/>
        </w:rPr>
      </w:pPr>
      <w:r>
        <w:rPr>
          <w:rFonts w:hint="eastAsia"/>
          <w:color w:val="auto"/>
          <w:highlight w:val="none"/>
        </w:rPr>
        <w:t xml:space="preserve">6. 安全文明施工与环境保护</w:t>
      </w:r>
      <w:r/>
    </w:p>
    <w:p>
      <w:pPr>
        <w:pStyle w:val="802"/>
        <w:ind w:firstLine="482"/>
        <w:rPr>
          <w:rFonts w:hint="eastAsia"/>
          <w:color w:val="auto"/>
          <w:highlight w:val="none"/>
        </w:rPr>
      </w:pPr>
      <w:r>
        <w:rPr>
          <w:rFonts w:hint="eastAsia"/>
          <w:color w:val="auto"/>
          <w:highlight w:val="none"/>
        </w:rPr>
        <w:t xml:space="preserve">6.1安全文明施工</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6.1.1 项目安全生产的达标目标及相应事项的约定：</w:t>
      </w:r>
      <w:r>
        <w:rPr>
          <w:rFonts w:hint="eastAsia" w:ascii="仿宋" w:hAnsi="仿宋" w:eastAsia="仿宋" w:cs="仿宋"/>
          <w:color w:val="auto"/>
          <w:sz w:val="24"/>
          <w:szCs w:val="24"/>
          <w:highlight w:val="none"/>
          <w:u w:val="single"/>
        </w:rPr>
        <w:t xml:space="preserve"> </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 1 \* GB3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①</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达标目标为徐州市安全文明工地及相关规范标准。其安全文明施工费用已经含在投标报价内。</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②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如因承包人安全文明施工措施不到位对第三方造成损害，全部影响由承包人承担，并赔偿发包人相应损失。</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③施工过程中的排污、环卫、市容、城建、城管、治安、人口管理等相关手续由承包人按规定负责办理，对临近居民和行人的影响由承包人负责处理并承担相应费用。</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④承包人负责采取有效措施对已完成工程成品的保护，费用由承包人承担。保护期间发生的损坏承包人自费予以修理。损坏其他单位所承担的施工内容，由承包人负责赔偿，并承担修复费用。</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⑤承包人按规定做好施工场地周围地下管线和邻近建筑物的保护。</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⑥其安全文明施工费已经含在合同价款（即中标价）内。</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承包人须按规范要求做好扬尘污染防治措施，相关费用均包含在投标报价内。未编制噪音污染、施工扬尘污染防治方案，未落实防治措施的，应向发包人支付合同价款20%的违约金；</w:t>
      </w:r>
      <w:r/>
    </w:p>
    <w:p>
      <w:pPr>
        <w:ind w:firstLine="420"/>
        <w:spacing w:line="327" w:lineRule="auto"/>
        <w:rPr>
          <w:rFonts w:hint="eastAsia" w:ascii="仿宋" w:hAnsi="仿宋" w:eastAsia="仿宋" w:cs="仿宋"/>
          <w:bCs/>
          <w:color w:val="auto"/>
          <w:sz w:val="24"/>
          <w:szCs w:val="24"/>
          <w:highlight w:val="none"/>
          <w:u w:val="single"/>
        </w:rPr>
      </w:pPr>
      <w:r>
        <w:rPr>
          <w:rFonts w:hint="eastAsia" w:ascii="仿宋" w:hAnsi="仿宋" w:eastAsia="仿宋" w:cs="仿宋"/>
          <w:bCs/>
          <w:color w:val="auto"/>
          <w:sz w:val="24"/>
          <w:szCs w:val="24"/>
          <w:highlight w:val="none"/>
          <w:u w:val="single"/>
        </w:rPr>
        <w:t xml:space="preserve">开工前应提交安全技术措施或专项施工方案、安全生产责任制度、治安保卫制度及安全生产教育培训制度。未按时提交，由此造成工期延误的，参照本合同工期延误条款执行。承包人未制定安全技术措施或专项施工方案、安全生产责任制度、治安保卫制度及安全生产教育培训制度中任意一项的，支付5万元违约金；内容弄虚作假或与项目严重不符的，支付2万元违约金。</w:t>
      </w:r>
      <w:r/>
    </w:p>
    <w:p>
      <w:pPr>
        <w:ind w:firstLine="420"/>
        <w:spacing w:line="327" w:lineRule="auto"/>
        <w:rPr>
          <w:rFonts w:hint="eastAsia" w:ascii="仿宋" w:hAnsi="仿宋" w:eastAsia="仿宋" w:cs="仿宋"/>
          <w:bCs/>
          <w:color w:val="auto"/>
          <w:sz w:val="24"/>
          <w:szCs w:val="24"/>
          <w:highlight w:val="none"/>
          <w:u w:val="single"/>
        </w:rPr>
      </w:pPr>
      <w:r>
        <w:rPr>
          <w:rFonts w:hint="eastAsia" w:ascii="仿宋" w:hAnsi="仿宋" w:eastAsia="仿宋" w:cs="仿宋"/>
          <w:bCs/>
          <w:color w:val="auto"/>
          <w:sz w:val="24"/>
          <w:szCs w:val="24"/>
          <w:highlight w:val="none"/>
          <w:u w:val="single"/>
        </w:rPr>
        <w:t xml:space="preserve">在施工和维修整个工程期间，承包人应于工程地点明显位置，日间设置具有警示作用的装置，夜间设置照明装置，在施工现场出入口设置监控装置，或加防护设施，费用由承包人承担；对于工地附近公私建筑、路面、沟渠、街道上下的水电及通讯管线、私有林木植物及人民生命财产的安全均应采取防范措施。</w:t>
      </w:r>
      <w:r/>
    </w:p>
    <w:p>
      <w:pPr>
        <w:ind w:firstLine="420"/>
        <w:spacing w:line="327" w:lineRule="auto"/>
        <w:rPr>
          <w:rFonts w:hint="eastAsia" w:ascii="仿宋" w:hAnsi="仿宋" w:eastAsia="仿宋" w:cs="仿宋"/>
          <w:bCs/>
          <w:color w:val="auto"/>
          <w:sz w:val="24"/>
          <w:szCs w:val="24"/>
          <w:highlight w:val="none"/>
          <w:u w:val="single"/>
        </w:rPr>
      </w:pPr>
      <w:r>
        <w:rPr>
          <w:rFonts w:hint="eastAsia" w:ascii="仿宋" w:hAnsi="仿宋" w:eastAsia="仿宋" w:cs="仿宋"/>
          <w:bCs/>
          <w:color w:val="auto"/>
          <w:sz w:val="24"/>
          <w:szCs w:val="24"/>
          <w:highlight w:val="none"/>
          <w:u w:val="single"/>
        </w:rPr>
        <w:t xml:space="preserve">承包人应服从发包人、监理对施工现场安全施工方面的监管。如发包人或监理发现承包人工作中的安全措施/设施不符合国家、地方、行业及本合同的有关规定，承包人应向发包人承担合同金额的1%/次的违约金，并在发包人要求期限内整改，发包人有权上报主管部门。</w:t>
      </w:r>
      <w:r/>
    </w:p>
    <w:p>
      <w:pPr>
        <w:ind w:firstLine="420"/>
        <w:spacing w:line="327" w:lineRule="auto"/>
        <w:rPr>
          <w:rFonts w:hint="eastAsia" w:ascii="仿宋" w:hAnsi="仿宋" w:eastAsia="仿宋" w:cs="仿宋"/>
          <w:bCs/>
          <w:color w:val="auto"/>
          <w:sz w:val="24"/>
          <w:szCs w:val="24"/>
          <w:highlight w:val="none"/>
          <w:u w:val="single"/>
        </w:rPr>
      </w:pPr>
      <w:r>
        <w:rPr>
          <w:rFonts w:hint="eastAsia" w:ascii="仿宋" w:hAnsi="仿宋" w:eastAsia="仿宋" w:cs="仿宋"/>
          <w:bCs/>
          <w:color w:val="auto"/>
          <w:sz w:val="24"/>
          <w:szCs w:val="24"/>
          <w:highlight w:val="none"/>
          <w:u w:val="single"/>
        </w:rPr>
        <w:t xml:space="preserve">承包人违反安全生产管理制度的，给予2万元违约金。</w:t>
      </w:r>
      <w:r/>
    </w:p>
    <w:p>
      <w:pPr>
        <w:ind w:firstLine="420"/>
        <w:spacing w:line="327" w:lineRule="auto"/>
        <w:rPr>
          <w:rFonts w:hint="eastAsia" w:ascii="仿宋" w:hAnsi="仿宋" w:eastAsia="仿宋" w:cs="仿宋"/>
          <w:bCs/>
          <w:color w:val="auto"/>
          <w:sz w:val="24"/>
          <w:szCs w:val="24"/>
          <w:highlight w:val="none"/>
          <w:u w:val="single"/>
        </w:rPr>
      </w:pPr>
      <w:r>
        <w:rPr>
          <w:rFonts w:hint="eastAsia" w:ascii="仿宋" w:hAnsi="仿宋" w:eastAsia="仿宋" w:cs="仿宋"/>
          <w:bCs/>
          <w:color w:val="auto"/>
          <w:sz w:val="24"/>
          <w:szCs w:val="24"/>
          <w:highlight w:val="none"/>
          <w:u w:val="single"/>
        </w:rPr>
        <w:t xml:space="preserve">承包人在施工过程中发生安全事故的，除向发包人支付合同总价款10%的违约金外，造成损失的赔偿损失，并依法承担相应法律责任；发包人有权单方面取消或终止合同。</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6.1.2 关于治安保卫的特别约定：</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关于编制施工场地治安管理计划的约定：</w:t>
      </w:r>
      <w:r>
        <w:rPr>
          <w:rFonts w:hint="eastAsia" w:ascii="仿宋" w:hAnsi="仿宋" w:eastAsia="仿宋" w:cs="仿宋"/>
          <w:color w:val="auto"/>
          <w:sz w:val="24"/>
          <w:szCs w:val="24"/>
          <w:highlight w:val="none"/>
          <w:u w:val="single"/>
        </w:rPr>
        <w:t xml:space="preserve">开工通知载明的开工日期7天前提交施工场地治安管理计划</w:t>
      </w:r>
      <w:r>
        <w:rPr>
          <w:rFonts w:hint="eastAsia" w:ascii="仿宋" w:hAnsi="仿宋" w:eastAsia="仿宋" w:cs="仿宋"/>
          <w:color w:val="auto"/>
          <w:sz w:val="24"/>
          <w:szCs w:val="24"/>
          <w:highlight w:val="none"/>
        </w:rPr>
        <w:t xml:space="preserve">。</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6.1.3 文明施工</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合同当事人对文明施工的要求：</w:t>
      </w:r>
      <w:r>
        <w:rPr>
          <w:rFonts w:hint="eastAsia" w:ascii="仿宋" w:hAnsi="仿宋" w:eastAsia="仿宋" w:cs="仿宋"/>
          <w:color w:val="auto"/>
          <w:sz w:val="24"/>
          <w:szCs w:val="24"/>
          <w:highlight w:val="none"/>
          <w:u w:val="single"/>
        </w:rPr>
        <w:t xml:space="preserve"> 符合徐州市有关部门规定的标准化施工现场要求，同时应满足市政、市容等相关主管部门的有关规定。承包人按当地有关主管部门的规定办理相关手续，并承担相应费用，同时以书面形式通知发包人，承担施工过程中因自身原因造成的违约金。</w:t>
      </w:r>
      <w:r/>
    </w:p>
    <w:p>
      <w:pPr>
        <w:ind w:firstLine="420"/>
        <w:spacing w:line="327" w:lineRule="auto"/>
        <w:rPr>
          <w:rFonts w:hint="eastAsia" w:ascii="仿宋" w:hAnsi="仿宋" w:eastAsia="仿宋" w:cs="仿宋"/>
          <w:b/>
          <w:bCs/>
          <w:color w:val="auto"/>
          <w:sz w:val="24"/>
          <w:szCs w:val="24"/>
          <w:highlight w:val="none"/>
          <w:u w:val="single"/>
        </w:rPr>
      </w:pPr>
      <w:r>
        <w:rPr>
          <w:rFonts w:hint="eastAsia" w:ascii="仿宋" w:hAnsi="仿宋" w:eastAsia="仿宋" w:cs="仿宋"/>
          <w:color w:val="auto"/>
          <w:sz w:val="24"/>
          <w:szCs w:val="24"/>
          <w:highlight w:val="none"/>
          <w:u w:val="single"/>
        </w:rPr>
        <w:t xml:space="preserve">按照《中华人民共和国大气污染防治法》《中华人民共和国噪声污染防治法》《中华人民共和国固体废</w:t>
      </w:r>
      <w:r>
        <w:rPr>
          <w:rFonts w:hint="eastAsia" w:ascii="仿宋" w:hAnsi="仿宋" w:eastAsia="仿宋" w:cs="仿宋"/>
          <w:color w:val="auto"/>
          <w:sz w:val="24"/>
          <w:szCs w:val="24"/>
          <w:highlight w:val="none"/>
          <w:u w:val="single"/>
        </w:rPr>
        <w:t xml:space="preserve">物污染环境防治法》等法律法规的要求，制定并落实扬尘、噪声、固体废物等污染防治措施；开工前15日向项目所在地生态环境、城市管理等部门进行排污申报；道路施工工地一律实行封闭施工、施工便道硬化、防尘网覆盖、定时洒水等控制扬尘污染措施；扬尘污染防治设施应当保持完好、正常运行，不得擅自拆除和闲置；确需拆除和闲置的，应当报经环境保护行政主管部门批准；拆除、开挖后的建筑垃圾必须当日清除，并且覆盖运输，如因建筑垃圾未及时清理或运输不当，造成工地周边扬尘、噪声污染等及其他给发包人带来不利影响或出现群众投诉举报造成不良后果的，</w:t>
      </w:r>
      <w:r>
        <w:rPr>
          <w:rFonts w:hint="eastAsia" w:ascii="仿宋" w:hAnsi="仿宋" w:eastAsia="仿宋" w:cs="仿宋"/>
          <w:b/>
          <w:bCs/>
          <w:color w:val="auto"/>
          <w:sz w:val="24"/>
          <w:szCs w:val="24"/>
          <w:highlight w:val="none"/>
          <w:u w:val="single"/>
        </w:rPr>
        <w:t xml:space="preserve">每查实一次向发包人支付20000元违约金；造成损失的，由承包人承担。</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本工程位于市区，承包人必须充分考虑工程施工涉及的地方关系、交通协调等情况，及时与交通、公安部门协调，采取足够的交通疏导措施，保持施工期间交通通行，不得全封闭交通，并按要求设置围挡和安全标识；制定运输计划时，应充分考虑现有道路承运能力，避开高峰时段；施工机械设备不得停放在通行道路上。</w:t>
      </w:r>
      <w:r>
        <w:rPr>
          <w:rFonts w:ascii="仿宋" w:hAnsi="仿宋" w:eastAsia="仿宋" w:cs="仿宋"/>
          <w:color w:val="auto"/>
          <w:sz w:val="24"/>
          <w:szCs w:val="24"/>
          <w:highlight w:val="none"/>
          <w:u w:val="single"/>
        </w:rPr>
        <w:t xml:space="preserve">未按要求执行的，每查实一次向发包人支付 20000 元违约金；造成损失的，由承包人承担。</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本工程要求在施工现场出、入口位置安装在线视频监控，包括视频设备的安装、调试、维护、平台租用及购买费用由承包人自理，包含在合同价中。</w:t>
      </w:r>
      <w:r>
        <w:rPr>
          <w:rFonts w:hint="eastAsia" w:ascii="仿宋" w:hAnsi="仿宋" w:eastAsia="仿宋" w:cs="仿宋"/>
          <w:b/>
          <w:color w:val="auto"/>
          <w:sz w:val="24"/>
          <w:szCs w:val="24"/>
          <w:highlight w:val="none"/>
          <w:u w:val="single"/>
        </w:rPr>
        <w:t xml:space="preserve">现场施工及管理人员均需挂牌进场，否则，发包人有权对承包人处以 50元∕人·次的违约金。</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承包人不得以现场增加投入、赶工等借口拖延工期或申请追加合同金额，否则视为违约。</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交工后一周内彻底清洁完毕撤离现场。</w:t>
      </w:r>
      <w:r/>
    </w:p>
    <w:p>
      <w:pPr>
        <w:ind w:firstLine="422"/>
        <w:spacing w:line="327" w:lineRule="auto"/>
        <w:rPr>
          <w:rFonts w:hint="eastAsia" w:ascii="仿宋" w:hAnsi="仿宋" w:eastAsia="仿宋" w:cs="仿宋"/>
          <w:b/>
          <w:color w:val="auto"/>
          <w:sz w:val="24"/>
          <w:szCs w:val="24"/>
          <w:highlight w:val="none"/>
          <w:u w:val="single"/>
        </w:rPr>
      </w:pPr>
      <w:r>
        <w:rPr>
          <w:rFonts w:hint="eastAsia" w:ascii="仿宋" w:hAnsi="仿宋" w:eastAsia="仿宋" w:cs="仿宋"/>
          <w:b/>
          <w:color w:val="auto"/>
          <w:sz w:val="24"/>
          <w:szCs w:val="24"/>
          <w:highlight w:val="none"/>
          <w:u w:val="single"/>
        </w:rPr>
        <w:t xml:space="preserve">因扬尘治理、噪声污染防治等环境保护措施未落实或者未达标准，每查实一次，承包人向发包人支付合同金额2%的违约金。</w:t>
      </w:r>
      <w:r/>
    </w:p>
    <w:p>
      <w:pPr>
        <w:ind w:firstLine="422"/>
        <w:spacing w:line="327" w:lineRule="auto"/>
        <w:rPr>
          <w:rFonts w:hint="eastAsia" w:ascii="仿宋" w:hAnsi="仿宋" w:eastAsia="仿宋" w:cs="仿宋"/>
          <w:color w:val="auto"/>
          <w:sz w:val="24"/>
          <w:szCs w:val="24"/>
          <w:highlight w:val="none"/>
          <w:u w:val="single"/>
        </w:rPr>
      </w:pPr>
      <w:r>
        <w:rPr>
          <w:rFonts w:hint="eastAsia" w:ascii="仿宋" w:hAnsi="仿宋" w:eastAsia="仿宋" w:cs="仿宋"/>
          <w:b/>
          <w:color w:val="auto"/>
          <w:sz w:val="24"/>
          <w:szCs w:val="24"/>
          <w:highlight w:val="none"/>
          <w:u w:val="single"/>
        </w:rPr>
        <w:t xml:space="preserve">文明施工相关法律、标准和规范的其他要求。</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6.1.4 关于安全文明施工费支付比例和支付期限的约定：</w:t>
      </w:r>
      <w:r>
        <w:rPr>
          <w:rFonts w:hint="eastAsia" w:ascii="仿宋" w:hAnsi="仿宋" w:eastAsia="仿宋" w:cs="仿宋"/>
          <w:color w:val="auto"/>
          <w:sz w:val="24"/>
          <w:szCs w:val="24"/>
          <w:highlight w:val="none"/>
          <w:u w:val="single"/>
        </w:rPr>
        <w:t xml:space="preserve">合同价款中已含，与合同价款同期支付。</w:t>
      </w:r>
      <w:r/>
    </w:p>
    <w:p>
      <w:pPr>
        <w:pStyle w:val="801"/>
        <w:rPr>
          <w:rFonts w:hint="eastAsia"/>
          <w:color w:val="auto"/>
          <w:highlight w:val="none"/>
        </w:rPr>
      </w:pPr>
      <w:r>
        <w:rPr>
          <w:rFonts w:hint="eastAsia"/>
          <w:color w:val="auto"/>
          <w:highlight w:val="none"/>
        </w:rPr>
        <w:t xml:space="preserve">7.工期和进度</w:t>
      </w:r>
      <w:r/>
    </w:p>
    <w:p>
      <w:pPr>
        <w:pStyle w:val="802"/>
        <w:ind w:firstLine="482"/>
        <w:rPr>
          <w:rFonts w:hint="eastAsia"/>
          <w:color w:val="auto"/>
          <w:highlight w:val="none"/>
        </w:rPr>
      </w:pPr>
      <w:r>
        <w:rPr>
          <w:rFonts w:hint="eastAsia"/>
          <w:color w:val="auto"/>
          <w:highlight w:val="none"/>
        </w:rPr>
        <w:t xml:space="preserve">7.1 施工组织设计</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7.1.1 合同当事人约定的施工组织设计应包括的其他内容：</w:t>
      </w:r>
      <w:r>
        <w:rPr>
          <w:rFonts w:hint="eastAsia" w:ascii="仿宋" w:hAnsi="仿宋" w:eastAsia="仿宋" w:cs="仿宋"/>
          <w:color w:val="auto"/>
          <w:sz w:val="24"/>
          <w:szCs w:val="24"/>
          <w:highlight w:val="none"/>
          <w:u w:val="single"/>
        </w:rPr>
        <w:t xml:space="preserve">执行通用条款 。</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7.1.2 施工组织设计的提交和修改</w:t>
      </w:r>
      <w:r/>
    </w:p>
    <w:p>
      <w:pPr>
        <w:ind w:firstLine="420"/>
        <w:spacing w:line="327" w:lineRule="auto"/>
        <w:rPr>
          <w:rFonts w:hint="eastAsia" w:ascii="仿宋" w:hAnsi="仿宋" w:eastAsia="仿宋" w:cs="仿宋"/>
          <w:bCs/>
          <w:color w:val="auto"/>
          <w:sz w:val="24"/>
          <w:szCs w:val="24"/>
          <w:highlight w:val="none"/>
          <w:u w:val="single"/>
        </w:rPr>
      </w:pPr>
      <w:r>
        <w:rPr>
          <w:rFonts w:hint="eastAsia" w:ascii="仿宋" w:hAnsi="仿宋" w:eastAsia="仿宋" w:cs="仿宋"/>
          <w:color w:val="auto"/>
          <w:sz w:val="24"/>
          <w:szCs w:val="24"/>
          <w:highlight w:val="none"/>
        </w:rPr>
        <w:t xml:space="preserve">承包人提交详细施工组织设计的期限的约定：</w:t>
      </w:r>
      <w:r>
        <w:rPr>
          <w:rFonts w:hint="eastAsia" w:ascii="仿宋" w:hAnsi="仿宋" w:eastAsia="仿宋" w:cs="仿宋"/>
          <w:bCs/>
          <w:color w:val="auto"/>
          <w:sz w:val="24"/>
          <w:szCs w:val="24"/>
          <w:highlight w:val="none"/>
          <w:u w:val="single"/>
        </w:rPr>
        <w:t xml:space="preserve">承包人在收到设计施工图后，应在7日内做出详细的施工组织设计，一式二份报总监及发包人审批；总监及发包人在收到施工组织设计后10日内进</w:t>
      </w:r>
      <w:r>
        <w:rPr>
          <w:rFonts w:hint="eastAsia" w:ascii="仿宋" w:hAnsi="仿宋" w:eastAsia="仿宋" w:cs="仿宋"/>
          <w:bCs/>
          <w:color w:val="auto"/>
          <w:sz w:val="24"/>
          <w:szCs w:val="24"/>
          <w:highlight w:val="none"/>
          <w:u w:val="single"/>
        </w:rPr>
        <w:t xml:space="preserve">行审核批准或提出修改意见；承包人不按时送审符合要求的施工组织设计，造成总监及发包人无法判断工程施工顺利与否，发包人可暂缓支付相应部分的工程进度款，直至符合要求，责任由承包人承担。发包人对施工组织设计方案的确认是对其可行性的确认，并不是对所涉及费用的确认；施工组织设计方案属承包人自身的施工措施，所增加的人工、材料、机械等费用均由承包人自行承担。在工程实施过程中，涉及到施工单位所提出的设计方案，如施工组织设计或施工方案，发包人同意并不代表免除承包人的责任，即如果方案在实施过程中出现问题，其全部责任由承包人承担。</w:t>
      </w:r>
      <w:r/>
    </w:p>
    <w:p>
      <w:pPr>
        <w:ind w:firstLine="422"/>
        <w:spacing w:line="327" w:lineRule="auto"/>
        <w:rPr>
          <w:rFonts w:hint="eastAsia" w:ascii="仿宋" w:hAnsi="仿宋" w:eastAsia="仿宋" w:cs="仿宋"/>
          <w:bCs/>
          <w:color w:val="auto"/>
          <w:sz w:val="24"/>
          <w:szCs w:val="24"/>
          <w:highlight w:val="none"/>
          <w:u w:val="single"/>
        </w:rPr>
      </w:pPr>
      <w:r>
        <w:rPr>
          <w:rFonts w:hint="eastAsia" w:ascii="仿宋" w:hAnsi="仿宋" w:eastAsia="仿宋" w:cs="仿宋"/>
          <w:bCs/>
          <w:color w:val="auto"/>
          <w:sz w:val="24"/>
          <w:szCs w:val="24"/>
          <w:highlight w:val="none"/>
          <w:u w:val="single"/>
        </w:rPr>
        <w:t xml:space="preserve">承包人勘查现场后必须在施工组织设计中体现：1、承包人保正有序、和谐施工力保不发生人身伤害等恶性事件；2、现场分段施工的措施方案，临设搭设转移等措施项目费用；3、保护已有建筑、管网、线路等措施；4、控制现场扬尘，必须采取应对措施，必须符合我市关于扬尘管控的规定。以上四点是承包人必须考虑的费用，但不限于此，承包人可以自主报价。发包人在措施费用中为承包人综合考虑了以上费用，供应商自主报价，结算时发包人不再支付任何费用，且承包人必须承担与此相关的责任及费用。</w:t>
      </w:r>
      <w:r/>
    </w:p>
    <w:p>
      <w:pPr>
        <w:ind w:firstLine="422"/>
        <w:spacing w:line="327" w:lineRule="auto"/>
        <w:rPr>
          <w:rFonts w:hint="eastAsia" w:ascii="仿宋" w:hAnsi="仿宋" w:eastAsia="仿宋" w:cs="仿宋"/>
          <w:bCs/>
          <w:color w:val="auto"/>
          <w:sz w:val="24"/>
          <w:szCs w:val="24"/>
          <w:highlight w:val="none"/>
          <w:u w:val="single"/>
        </w:rPr>
      </w:pPr>
      <w:r>
        <w:rPr>
          <w:rFonts w:hint="eastAsia" w:ascii="仿宋" w:hAnsi="仿宋" w:eastAsia="仿宋" w:cs="仿宋"/>
          <w:bCs/>
          <w:color w:val="auto"/>
          <w:sz w:val="24"/>
          <w:szCs w:val="24"/>
          <w:highlight w:val="none"/>
          <w:u w:val="single"/>
        </w:rPr>
        <w:t xml:space="preserve">承包人应保证按照本合同所述的工程建设进度目标进行本合同项下的服务并负责协调与本工程有关的其他工程的进度，根据本合同确定的工程进度计划表应按工程的实际进展情况每月更新一次。</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发包人和监理人在收到详细的施工组织设计后确认或提出修改意见的期限：</w:t>
      </w:r>
      <w:r>
        <w:rPr>
          <w:rFonts w:hint="eastAsia" w:ascii="仿宋" w:hAnsi="仿宋" w:eastAsia="仿宋" w:cs="仿宋"/>
          <w:color w:val="auto"/>
          <w:sz w:val="24"/>
          <w:szCs w:val="24"/>
          <w:highlight w:val="none"/>
          <w:u w:val="single"/>
        </w:rPr>
        <w:t xml:space="preserve">  收到后7天内  </w:t>
      </w:r>
      <w:r>
        <w:rPr>
          <w:rFonts w:hint="eastAsia" w:ascii="仿宋" w:hAnsi="仿宋" w:eastAsia="仿宋" w:cs="仿宋"/>
          <w:color w:val="auto"/>
          <w:sz w:val="24"/>
          <w:szCs w:val="24"/>
          <w:highlight w:val="none"/>
        </w:rPr>
        <w:t xml:space="preserve">。</w:t>
      </w:r>
      <w:r/>
    </w:p>
    <w:p>
      <w:pPr>
        <w:pStyle w:val="802"/>
        <w:ind w:firstLine="482"/>
        <w:rPr>
          <w:rFonts w:hint="eastAsia"/>
          <w:color w:val="auto"/>
          <w:highlight w:val="none"/>
        </w:rPr>
      </w:pPr>
      <w:r>
        <w:rPr>
          <w:rFonts w:hint="eastAsia"/>
          <w:color w:val="auto"/>
          <w:highlight w:val="none"/>
        </w:rPr>
        <w:t xml:space="preserve">7.2 施工进度计划</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7.2.1施工进度计划的修订</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发包人和监理人在收到修订的施工进度计划后确认或提出修改意见的期限：</w:t>
      </w:r>
      <w:r>
        <w:rPr>
          <w:rFonts w:hint="eastAsia" w:ascii="仿宋" w:hAnsi="仿宋" w:eastAsia="仿宋" w:cs="仿宋"/>
          <w:color w:val="auto"/>
          <w:sz w:val="24"/>
          <w:szCs w:val="24"/>
          <w:highlight w:val="none"/>
          <w:u w:val="single"/>
        </w:rPr>
        <w:t xml:space="preserve"> 收到后7天施工期间，承包人每月25日前向监理工程师报送下月的“月度工程进度计划表”，经监理工程师审核和发包人代表确认后，应于3日内返回承包人；“月度工程进度计划表”如需修改时，应于当日发回承包人修改，承包人须于次日报送修改稿。</w:t>
      </w:r>
      <w:r/>
    </w:p>
    <w:p>
      <w:pPr>
        <w:pStyle w:val="802"/>
        <w:ind w:firstLine="482"/>
        <w:rPr>
          <w:rFonts w:hint="eastAsia"/>
          <w:color w:val="auto"/>
          <w:highlight w:val="none"/>
        </w:rPr>
      </w:pPr>
      <w:r>
        <w:rPr>
          <w:rFonts w:hint="eastAsia"/>
          <w:color w:val="auto"/>
          <w:highlight w:val="none"/>
        </w:rPr>
        <w:t xml:space="preserve">7.3 开工</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7.3.1 开工准备</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关于承包人提交工程开工报审表的期限：</w:t>
      </w:r>
      <w:r>
        <w:rPr>
          <w:rFonts w:hint="eastAsia" w:ascii="仿宋" w:hAnsi="仿宋" w:eastAsia="仿宋" w:cs="仿宋"/>
          <w:color w:val="auto"/>
          <w:sz w:val="24"/>
          <w:szCs w:val="24"/>
          <w:highlight w:val="none"/>
          <w:u w:val="single"/>
        </w:rPr>
        <w:t xml:space="preserve"> 合同签订后、开工前。</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关于发包人应完成的其他开工准备工作及期限：</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关于承包人应完成的其他开工准备工作及期限：</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7.3.2开工通知</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因发包人原因造成监理人未能在计划开工日期之日起</w:t>
      </w:r>
      <w:r>
        <w:rPr>
          <w:rFonts w:hint="eastAsia" w:ascii="仿宋" w:hAnsi="仿宋" w:eastAsia="仿宋" w:cs="仿宋"/>
          <w:color w:val="auto"/>
          <w:sz w:val="24"/>
          <w:szCs w:val="24"/>
          <w:highlight w:val="none"/>
          <w:u w:val="single"/>
        </w:rPr>
        <w:t xml:space="preserve"> 60 </w:t>
      </w:r>
      <w:r>
        <w:rPr>
          <w:rFonts w:hint="eastAsia" w:ascii="仿宋" w:hAnsi="仿宋" w:eastAsia="仿宋" w:cs="仿宋"/>
          <w:color w:val="auto"/>
          <w:sz w:val="24"/>
          <w:szCs w:val="24"/>
          <w:highlight w:val="none"/>
        </w:rPr>
        <w:t xml:space="preserve">天内发出开工通知的，承包人有权提出价格调整要求，或者解除合同。</w:t>
      </w:r>
      <w:r/>
    </w:p>
    <w:p>
      <w:pPr>
        <w:pStyle w:val="802"/>
        <w:ind w:firstLine="482"/>
        <w:rPr>
          <w:rFonts w:hint="eastAsia"/>
          <w:color w:val="auto"/>
          <w:highlight w:val="none"/>
        </w:rPr>
      </w:pPr>
      <w:r>
        <w:rPr>
          <w:rFonts w:hint="eastAsia"/>
          <w:color w:val="auto"/>
          <w:highlight w:val="none"/>
        </w:rPr>
        <w:t xml:space="preserve">7.4 测量放线</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7.4.1发包人通过监理人向承包人提供测量基准点、基准线和水准点及其书面资料的期限：</w:t>
      </w:r>
      <w:r>
        <w:rPr>
          <w:rFonts w:hint="eastAsia" w:ascii="仿宋" w:hAnsi="仿宋" w:eastAsia="仿宋" w:cs="仿宋"/>
          <w:color w:val="auto"/>
          <w:sz w:val="24"/>
          <w:szCs w:val="24"/>
          <w:highlight w:val="none"/>
          <w:u w:val="single"/>
        </w:rPr>
        <w:t xml:space="preserve">执行通用条款</w:t>
      </w:r>
      <w:r>
        <w:rPr>
          <w:rFonts w:hint="eastAsia" w:ascii="仿宋" w:hAnsi="仿宋" w:eastAsia="仿宋" w:cs="仿宋"/>
          <w:color w:val="auto"/>
          <w:sz w:val="24"/>
          <w:szCs w:val="24"/>
          <w:highlight w:val="none"/>
        </w:rPr>
        <w:t xml:space="preserve">。</w:t>
      </w:r>
      <w:r/>
    </w:p>
    <w:p>
      <w:pPr>
        <w:pStyle w:val="802"/>
        <w:ind w:firstLine="482"/>
        <w:rPr>
          <w:rFonts w:hint="eastAsia"/>
          <w:color w:val="auto"/>
          <w:highlight w:val="none"/>
        </w:rPr>
      </w:pPr>
      <w:r>
        <w:rPr>
          <w:rFonts w:hint="eastAsia"/>
          <w:color w:val="auto"/>
          <w:highlight w:val="none"/>
        </w:rPr>
        <w:t xml:space="preserve">7.5 工期延误</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7.5.1 因发包人原因导致工期延误</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因发包人原因导致工期延误的其他情形：</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7.5.2 因承包人原因导致工期延误</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因承包人原因造成工期延误，逾期竣工违约金的计算方法为：</w:t>
      </w:r>
      <w:r/>
    </w:p>
    <w:p>
      <w:pPr>
        <w:ind w:firstLine="48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经批准的施工组织设计的节点工期每延误一天，由承包人向发包人按5000元/天支付违约金，发包人有权采取任何补救措施来弥补该延误，由此增加的费用由承包人承担</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u w:val="single"/>
        </w:rPr>
        <w:t xml:space="preserve">施工过程中故意拖延工期、故意不按计划进度施工的，向发包人支付合同总价款10%的违约金。</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因承包人原因造成工期延误，每延迟一日，向发包人支付10000元违约金。逾期竣工违约金的上限：合同价款的20%。</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非承包人原因及不可抗力因素造成未按时竣工的，认定材料经发包人书面审核，并附相关佐证资料。</w:t>
      </w:r>
      <w:r/>
    </w:p>
    <w:p>
      <w:pPr>
        <w:pStyle w:val="802"/>
        <w:ind w:firstLine="482"/>
        <w:rPr>
          <w:rFonts w:hint="eastAsia"/>
          <w:color w:val="auto"/>
          <w:highlight w:val="none"/>
        </w:rPr>
      </w:pPr>
      <w:r>
        <w:rPr>
          <w:rFonts w:hint="eastAsia"/>
          <w:color w:val="auto"/>
          <w:highlight w:val="none"/>
        </w:rPr>
        <w:t xml:space="preserve">7.6 不利物质条件</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不利物质条件的其他情形和有关约定：</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w:t>
      </w:r>
      <w:r/>
    </w:p>
    <w:p>
      <w:pPr>
        <w:pStyle w:val="802"/>
        <w:ind w:firstLine="482"/>
        <w:rPr>
          <w:rFonts w:hint="eastAsia"/>
          <w:color w:val="auto"/>
          <w:highlight w:val="none"/>
        </w:rPr>
      </w:pPr>
      <w:r>
        <w:rPr>
          <w:rFonts w:hint="eastAsia"/>
          <w:color w:val="auto"/>
          <w:highlight w:val="none"/>
        </w:rPr>
        <w:t xml:space="preserve">7.7异常恶劣的气候条件</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发包人和承包人同意以下情形视为异常恶劣的气候条件：</w:t>
      </w:r>
      <w:r/>
    </w:p>
    <w:p>
      <w:pPr>
        <w:numPr>
          <w:ilvl w:val="0"/>
          <w:numId w:val="6"/>
        </w:num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w:t>
      </w:r>
      <w:r/>
    </w:p>
    <w:p>
      <w:pPr>
        <w:pStyle w:val="802"/>
        <w:ind w:firstLine="482"/>
        <w:rPr>
          <w:rFonts w:hint="eastAsia"/>
          <w:color w:val="auto"/>
          <w:highlight w:val="none"/>
        </w:rPr>
      </w:pPr>
      <w:r>
        <w:rPr>
          <w:rFonts w:hint="eastAsia"/>
          <w:color w:val="auto"/>
          <w:highlight w:val="none"/>
        </w:rPr>
        <w:t xml:space="preserve">7.9 提前竣工的奖励</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7.9.2提前竣工的奖励：</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pStyle w:val="801"/>
        <w:rPr>
          <w:rFonts w:hint="eastAsia"/>
          <w:color w:val="auto"/>
          <w:highlight w:val="none"/>
        </w:rPr>
      </w:pPr>
      <w:r>
        <w:rPr>
          <w:rFonts w:hint="eastAsia"/>
          <w:color w:val="auto"/>
          <w:highlight w:val="none"/>
        </w:rPr>
        <w:t xml:space="preserve">8. 材料与设备</w:t>
      </w:r>
      <w:r/>
    </w:p>
    <w:p>
      <w:pPr>
        <w:pStyle w:val="802"/>
        <w:ind w:firstLine="482"/>
        <w:rPr>
          <w:rFonts w:hint="eastAsia"/>
          <w:color w:val="auto"/>
          <w:highlight w:val="none"/>
        </w:rPr>
      </w:pPr>
      <w:r>
        <w:rPr>
          <w:rFonts w:hint="eastAsia"/>
          <w:color w:val="auto"/>
          <w:highlight w:val="none"/>
        </w:rPr>
        <w:t xml:space="preserve">8.4材料与工程设备的保管与使用</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8.4.1发包人供应的材料设备的保管费用的承担：</w:t>
      </w:r>
      <w:r>
        <w:rPr>
          <w:rFonts w:hint="eastAsia" w:ascii="仿宋" w:hAnsi="仿宋" w:eastAsia="仿宋" w:cs="仿宋"/>
          <w:color w:val="auto"/>
          <w:sz w:val="24"/>
          <w:szCs w:val="24"/>
          <w:highlight w:val="none"/>
          <w:u w:val="single"/>
        </w:rPr>
        <w:t xml:space="preserve">本工程无甲供材，所有材料均由承包人自行采购。其采购、运输、验收、检验、保管等费用由承包人负责。承包人采购的所有材料、设备按合格质量要求采购（必须符合规范标准、设计要求及地方有关规定），并提供产品合格证明，并对材料设备质量负责，对存在缺陷而承包人未能检测出问题的设备材料，承包人应无条件更换并应承担因此设备材料的使用而造成的一切直接和间接损失。</w:t>
      </w:r>
      <w:r/>
    </w:p>
    <w:p>
      <w:pPr>
        <w:pStyle w:val="802"/>
        <w:ind w:firstLine="482"/>
        <w:rPr>
          <w:rFonts w:hint="eastAsia"/>
          <w:color w:val="auto"/>
          <w:highlight w:val="none"/>
        </w:rPr>
      </w:pPr>
      <w:r>
        <w:rPr>
          <w:rFonts w:hint="eastAsia"/>
          <w:color w:val="auto"/>
          <w:highlight w:val="none"/>
        </w:rPr>
        <w:t xml:space="preserve">8.6 样品</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8.6.1样品的报送与封存</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①需要承包人报送样品的材料或工程设备，样品的种类、名称、规格、数量要求：</w:t>
      </w:r>
      <w:r>
        <w:rPr>
          <w:rFonts w:hint="eastAsia" w:ascii="仿宋" w:hAnsi="仿宋" w:eastAsia="仿宋" w:cs="仿宋"/>
          <w:color w:val="auto"/>
          <w:sz w:val="24"/>
          <w:szCs w:val="24"/>
          <w:highlight w:val="none"/>
          <w:u w:val="single"/>
        </w:rPr>
        <w:t xml:space="preserve">本工程如有路灯、电缆、桥梁栏杆、检查井盖座、人行道板、侧平石、装饰板、隔离柱等材料均需报送样品，具体以监理通知为准 。样品不得另行收取费用。</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②承包人在采购材料、设备前须提供与施工图纸及发包人要求的规格相符的样品至少1份，样品应在订购制造此样品材料的28日历天前呈报。有关此样品的材料及加工步骤在被工程师或发包人核准之前均不允许使用。每份样品都应有标签并附有相应的说明书（性能介绍、出厂报告、合格证明）及在工程中的使用位置等，标签上应留有空间让工程师或发包人写上意见及盖用核准章。</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③如样品有不同的款式及颜色时，承包人应提供足够多的样品以供选择。样品审核通过后承包人应严格按照样品采购与施工，禁止使用其他种类的样品，除非发包人在需求上有所改变，承包人需再依上法报交样品审核，有关经费由承包人负担。所有材料及设备应与样品相符，承包人应提供适合尺寸的样品作为方便对照之用。样品的封存保管台账、照片，（与隐蔽工程等的台账资料）应附卷保存。</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④所有样品均为发包人所有，被工程师和发包人核准通过的样品应由监理方、工程师、发包人和承包人共同予以封存成为日后用于对照的标准，承包人需在工地办公区选择一间有锁的样品室给监理人，以保存一份样品以便施工中对照。</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⑤承包人投标报价时自行去现场踏勘。</w:t>
      </w:r>
      <w:r/>
    </w:p>
    <w:p>
      <w:pPr>
        <w:pStyle w:val="802"/>
        <w:ind w:firstLine="482"/>
        <w:rPr>
          <w:rFonts w:hint="eastAsia"/>
          <w:color w:val="auto"/>
          <w:highlight w:val="none"/>
        </w:rPr>
      </w:pPr>
      <w:r>
        <w:rPr>
          <w:rFonts w:hint="eastAsia"/>
          <w:color w:val="auto"/>
          <w:highlight w:val="none"/>
        </w:rPr>
        <w:t xml:space="preserve">8.8 施工设备和临时设施</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8.8.1 承包人提供的施工设备和临时设施</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关于修建临时设施费用承担的约定：</w:t>
      </w:r>
      <w:r>
        <w:rPr>
          <w:rFonts w:hint="eastAsia" w:ascii="仿宋" w:hAnsi="仿宋" w:eastAsia="仿宋" w:cs="仿宋"/>
          <w:color w:val="auto"/>
          <w:sz w:val="24"/>
          <w:szCs w:val="24"/>
          <w:highlight w:val="none"/>
          <w:u w:val="single"/>
        </w:rPr>
        <w:t xml:space="preserve">除法律规定由发包人承担的内容外，承包人自行承担修建临时设施和使用施工设备的费用</w:t>
      </w:r>
      <w:r>
        <w:rPr>
          <w:rFonts w:hint="eastAsia" w:ascii="仿宋" w:hAnsi="仿宋" w:eastAsia="仿宋" w:cs="仿宋"/>
          <w:color w:val="auto"/>
          <w:sz w:val="24"/>
          <w:szCs w:val="24"/>
          <w:highlight w:val="none"/>
        </w:rPr>
        <w:t xml:space="preserve">。</w:t>
      </w:r>
      <w:r/>
    </w:p>
    <w:p>
      <w:pPr>
        <w:pStyle w:val="801"/>
        <w:rPr>
          <w:rFonts w:hint="eastAsia"/>
          <w:color w:val="auto"/>
          <w:highlight w:val="none"/>
        </w:rPr>
      </w:pPr>
      <w:r>
        <w:rPr>
          <w:rFonts w:hint="eastAsia"/>
          <w:color w:val="auto"/>
          <w:highlight w:val="none"/>
        </w:rPr>
        <w:t xml:space="preserve">9. 试验与检验</w:t>
      </w:r>
      <w:r/>
    </w:p>
    <w:p>
      <w:pPr>
        <w:pStyle w:val="802"/>
        <w:ind w:firstLine="482"/>
        <w:rPr>
          <w:rFonts w:hint="eastAsia"/>
          <w:color w:val="auto"/>
          <w:highlight w:val="none"/>
        </w:rPr>
      </w:pPr>
      <w:r>
        <w:rPr>
          <w:rFonts w:hint="eastAsia"/>
          <w:color w:val="auto"/>
          <w:highlight w:val="none"/>
        </w:rPr>
        <w:t xml:space="preserve">9.1试验设备与试验人员</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9.1.2 试验设备</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施工现场需要配置的试验场所：</w:t>
      </w:r>
      <w:r>
        <w:rPr>
          <w:rFonts w:hint="eastAsia" w:ascii="仿宋" w:hAnsi="仿宋" w:eastAsia="仿宋" w:cs="仿宋"/>
          <w:color w:val="auto"/>
          <w:sz w:val="24"/>
          <w:szCs w:val="24"/>
          <w:highlight w:val="none"/>
          <w:u w:val="single"/>
        </w:rPr>
        <w:t xml:space="preserve"> 承包人必须设立独立的试验室，配备合格的实验检测设备、人员，或委托有资质的试验单位对进场材料及施工工序进行自检；承包人委托的试验单位不得与发包人进行平行检测或抽检的试验单位重复，其资质资料在签订合同前报发包人审核；自检费用由承包人承担。 </w:t>
      </w:r>
      <w:r/>
    </w:p>
    <w:p>
      <w:pPr>
        <w:pStyle w:val="802"/>
        <w:ind w:firstLine="482"/>
        <w:rPr>
          <w:rFonts w:hint="eastAsia"/>
          <w:color w:val="auto"/>
          <w:highlight w:val="none"/>
        </w:rPr>
      </w:pPr>
      <w:r>
        <w:rPr>
          <w:rFonts w:hint="eastAsia"/>
          <w:color w:val="auto"/>
          <w:highlight w:val="none"/>
        </w:rPr>
        <w:t xml:space="preserve">9.4 现场工艺试验 </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现场工艺试验的有关约定：</w:t>
      </w:r>
      <w:r>
        <w:rPr>
          <w:rFonts w:hint="eastAsia" w:ascii="仿宋" w:hAnsi="仿宋" w:eastAsia="仿宋" w:cs="仿宋"/>
          <w:color w:val="auto"/>
          <w:sz w:val="24"/>
          <w:szCs w:val="24"/>
          <w:highlight w:val="none"/>
          <w:u w:val="single"/>
        </w:rPr>
        <w:t xml:space="preserve">按现场监理通知执行   </w:t>
      </w:r>
      <w:r>
        <w:rPr>
          <w:rFonts w:hint="eastAsia" w:ascii="仿宋" w:hAnsi="仿宋" w:eastAsia="仿宋" w:cs="仿宋"/>
          <w:color w:val="auto"/>
          <w:sz w:val="24"/>
          <w:szCs w:val="24"/>
          <w:highlight w:val="none"/>
        </w:rPr>
        <w:t xml:space="preserve">。</w:t>
      </w:r>
      <w:r/>
    </w:p>
    <w:p>
      <w:pPr>
        <w:pStyle w:val="801"/>
        <w:rPr>
          <w:rFonts w:hint="eastAsia"/>
          <w:color w:val="auto"/>
          <w:highlight w:val="none"/>
        </w:rPr>
      </w:pPr>
      <w:r>
        <w:rPr>
          <w:rFonts w:hint="eastAsia"/>
          <w:color w:val="auto"/>
          <w:highlight w:val="none"/>
        </w:rPr>
        <w:t xml:space="preserve">10. 变更</w:t>
      </w:r>
      <w:r/>
    </w:p>
    <w:p>
      <w:pPr>
        <w:pStyle w:val="802"/>
        <w:ind w:firstLine="482"/>
        <w:rPr>
          <w:rFonts w:hint="eastAsia"/>
          <w:color w:val="auto"/>
          <w:highlight w:val="none"/>
        </w:rPr>
      </w:pPr>
      <w:r>
        <w:rPr>
          <w:rFonts w:hint="eastAsia"/>
          <w:color w:val="auto"/>
          <w:highlight w:val="none"/>
        </w:rPr>
        <w:t xml:space="preserve">10.1变更的范围</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关于变更的范围的约定：</w:t>
      </w:r>
      <w:r>
        <w:rPr>
          <w:rFonts w:hint="eastAsia" w:ascii="仿宋" w:hAnsi="仿宋" w:eastAsia="仿宋" w:cs="仿宋"/>
          <w:color w:val="auto"/>
          <w:sz w:val="24"/>
          <w:szCs w:val="24"/>
          <w:highlight w:val="none"/>
          <w:u w:val="single"/>
        </w:rPr>
        <w:t xml:space="preserve">执行“合同价格、计量与支付”相关条款</w:t>
      </w:r>
      <w:r>
        <w:rPr>
          <w:rFonts w:hint="eastAsia" w:ascii="仿宋" w:hAnsi="仿宋" w:eastAsia="仿宋" w:cs="仿宋"/>
          <w:color w:val="auto"/>
          <w:sz w:val="24"/>
          <w:szCs w:val="24"/>
          <w:highlight w:val="none"/>
        </w:rPr>
        <w:t xml:space="preserve">。</w:t>
      </w:r>
      <w:r/>
    </w:p>
    <w:p>
      <w:pPr>
        <w:pStyle w:val="802"/>
        <w:ind w:firstLine="482"/>
        <w:rPr>
          <w:rFonts w:hint="eastAsia"/>
          <w:color w:val="auto"/>
          <w:highlight w:val="none"/>
        </w:rPr>
      </w:pPr>
      <w:r>
        <w:rPr>
          <w:rFonts w:hint="eastAsia"/>
          <w:color w:val="auto"/>
          <w:highlight w:val="none"/>
        </w:rPr>
        <w:t xml:space="preserve">10.4 变更估价</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10.2.1 变更估价原则</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关于变更估价的约定： </w:t>
      </w:r>
      <w:r>
        <w:rPr>
          <w:rFonts w:hint="eastAsia" w:ascii="仿宋" w:hAnsi="仿宋" w:eastAsia="仿宋" w:cs="仿宋"/>
          <w:color w:val="auto"/>
          <w:sz w:val="24"/>
          <w:szCs w:val="24"/>
          <w:highlight w:val="none"/>
          <w:u w:val="single"/>
        </w:rPr>
        <w:t xml:space="preserve">执行“合同价格、计量与支付”相关条款。</w:t>
      </w:r>
      <w:r/>
    </w:p>
    <w:p>
      <w:pPr>
        <w:pStyle w:val="802"/>
        <w:ind w:firstLine="482"/>
        <w:rPr>
          <w:rFonts w:hint="eastAsia"/>
          <w:color w:val="auto"/>
          <w:highlight w:val="none"/>
        </w:rPr>
      </w:pPr>
      <w:r>
        <w:rPr>
          <w:rFonts w:hint="eastAsia"/>
          <w:color w:val="auto"/>
          <w:highlight w:val="none"/>
        </w:rPr>
        <w:t xml:space="preserve">10.5承包人的合理化建议</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监理人审查承包人合理化建议的期限：</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 xml:space="preserve">。</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发包人审批承包人合理化建议的期限：</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 xml:space="preserve">。</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承包人提出的合理化建议降低了合同价格或者提高了工程经济效益的奖励的方法和金额为：</w:t>
      </w:r>
      <w:r>
        <w:rPr>
          <w:rFonts w:hint="eastAsia" w:ascii="仿宋" w:hAnsi="仿宋" w:eastAsia="仿宋" w:cs="仿宋"/>
          <w:color w:val="auto"/>
          <w:sz w:val="24"/>
          <w:szCs w:val="24"/>
          <w:highlight w:val="none"/>
          <w:u w:val="single"/>
        </w:rPr>
        <w:t xml:space="preserve">另行协商</w:t>
      </w:r>
      <w:r>
        <w:rPr>
          <w:rFonts w:hint="eastAsia" w:ascii="仿宋" w:hAnsi="仿宋" w:eastAsia="仿宋" w:cs="仿宋"/>
          <w:color w:val="auto"/>
          <w:sz w:val="24"/>
          <w:szCs w:val="24"/>
          <w:highlight w:val="none"/>
        </w:rPr>
        <w:t xml:space="preserve">。</w:t>
      </w:r>
      <w:r/>
    </w:p>
    <w:p>
      <w:pPr>
        <w:pStyle w:val="801"/>
        <w:rPr>
          <w:rFonts w:hint="eastAsia"/>
          <w:color w:val="auto"/>
          <w:highlight w:val="none"/>
        </w:rPr>
      </w:pPr>
      <w:r>
        <w:rPr>
          <w:rFonts w:hint="eastAsia"/>
          <w:color w:val="auto"/>
          <w:highlight w:val="none"/>
        </w:rPr>
        <w:t xml:space="preserve">11. 价格调整</w:t>
      </w:r>
      <w:r/>
    </w:p>
    <w:p>
      <w:pPr>
        <w:pStyle w:val="802"/>
        <w:ind w:firstLine="482"/>
        <w:rPr>
          <w:rFonts w:hint="eastAsia"/>
          <w:color w:val="auto"/>
          <w:highlight w:val="none"/>
        </w:rPr>
      </w:pPr>
      <w:r>
        <w:rPr>
          <w:rFonts w:hint="eastAsia"/>
          <w:color w:val="auto"/>
          <w:highlight w:val="none"/>
        </w:rPr>
        <w:t xml:space="preserve">11.1 市场价格波动引起的调整</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市场价格波动是否调整合同价格的约定：</w:t>
      </w:r>
      <w:r>
        <w:rPr>
          <w:rFonts w:hint="eastAsia" w:ascii="仿宋" w:hAnsi="仿宋" w:eastAsia="仿宋" w:cs="仿宋"/>
          <w:color w:val="auto"/>
          <w:sz w:val="24"/>
          <w:szCs w:val="24"/>
          <w:highlight w:val="none"/>
          <w:u w:val="single"/>
        </w:rPr>
        <w:t xml:space="preserve"> </w:t>
      </w:r>
      <w:r>
        <w:rPr>
          <w:rFonts w:hint="eastAsia" w:ascii="仿宋" w:hAnsi="仿宋" w:eastAsia="仿宋" w:cs="仿宋"/>
          <w:b/>
          <w:color w:val="auto"/>
          <w:sz w:val="24"/>
          <w:szCs w:val="24"/>
          <w:highlight w:val="none"/>
          <w:u w:val="single"/>
        </w:rPr>
        <w:t xml:space="preserve">不予调整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因市场价格波动调整合同价格，采用以下第</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种方式对合同价格进行调整：</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第1种方式：采用价格指数进行价格调整。</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关于各可调因子、定值和变值权重，以及基本价格指数及其来源的约定：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  </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第2种方式：采用造价信息进行价格调整。</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本工程以下主要建筑材料：钢材、水泥、管材、沥青、石材、商品混凝土、沥青混凝土、水泥稳定碎石、二灰碎石、碎石、黄沙、石灰、电线电缆，价格按以下方式调整：</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（1）承包人投标报价中材料单价低于基准单价：施工期间材料单价涨幅以基准单价为基础超过10%，或材料单价跌幅以投标报价为基础超过5%时，其超过部分按实调整。</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（2）承包人投标报价中材料单价高于基准单价：施工期间材料单价跌幅以基准单价为基础超过5%，或材料单价涨幅以投标报价为基础超过10%时，其超过部分按实调整。</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（3）承包人投标报价中材料单价等于基准单价：施工期间材料单价涨、跌幅均以基准单价为基础，涨幅超过10%和跌幅超过5%，其超过部分按实调整。</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材料价格调整费用仅计取材料差价及其税金，不再计取其他相关费用。</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第3种方式：其他价格调整方式：</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pStyle w:val="802"/>
        <w:ind w:firstLine="482"/>
        <w:rPr>
          <w:rFonts w:hint="eastAsia"/>
          <w:color w:val="auto"/>
          <w:highlight w:val="none"/>
        </w:rPr>
      </w:pPr>
      <w:r>
        <w:rPr>
          <w:rFonts w:hint="eastAsia"/>
          <w:color w:val="auto"/>
          <w:highlight w:val="none"/>
        </w:rPr>
        <w:t xml:space="preserve">11.2 对于法律、法规、规章或有关政策出台导致工程税金等发生变化的，应按照有关规定执行。</w:t>
      </w:r>
      <w:r/>
    </w:p>
    <w:p>
      <w:pPr>
        <w:pStyle w:val="801"/>
        <w:rPr>
          <w:rFonts w:hint="eastAsia"/>
          <w:color w:val="auto"/>
          <w:highlight w:val="none"/>
        </w:rPr>
      </w:pPr>
      <w:r>
        <w:rPr>
          <w:rFonts w:hint="eastAsia"/>
          <w:color w:val="auto"/>
          <w:highlight w:val="none"/>
        </w:rPr>
        <w:t xml:space="preserve">12. 合同价格、计量与支付</w:t>
      </w:r>
      <w:r/>
    </w:p>
    <w:p>
      <w:pPr>
        <w:pStyle w:val="802"/>
        <w:ind w:firstLine="482"/>
        <w:rPr>
          <w:rFonts w:hint="eastAsia"/>
          <w:color w:val="auto"/>
          <w:highlight w:val="none"/>
        </w:rPr>
      </w:pPr>
      <w:r>
        <w:rPr>
          <w:rFonts w:hint="eastAsia"/>
          <w:color w:val="auto"/>
          <w:highlight w:val="none"/>
        </w:rPr>
        <w:t xml:space="preserve">12.1 合同价格形式</w:t>
      </w:r>
      <w:r/>
    </w:p>
    <w:p>
      <w:pPr>
        <w:ind w:firstLine="420"/>
        <w:spacing w:line="327" w:lineRule="auto"/>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1、单价合同。</w:t>
      </w:r>
      <w:r>
        <w:rPr>
          <w:rFonts w:hint="eastAsia" w:ascii="仿宋" w:hAnsi="仿宋" w:eastAsia="仿宋" w:cs="仿宋"/>
          <w:color w:val="auto"/>
          <w:sz w:val="24"/>
          <w:szCs w:val="24"/>
          <w:highlight w:val="none"/>
          <w:u w:val="single"/>
        </w:rPr>
        <w:t xml:space="preserve">本工程综合单价在约定的风险范围内固定。</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综合单价包含的风险范围：</w:t>
      </w:r>
      <w:r/>
    </w:p>
    <w:p>
      <w:pPr>
        <w:ind w:firstLine="420"/>
        <w:spacing w:line="327"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eq \o\ac(○,1)</w:instrText>
      </w:r>
      <w:r>
        <w:rPr>
          <w:rFonts w:hint="eastAsia" w:ascii="仿宋" w:hAnsi="仿宋" w:eastAsia="仿宋" w:cs="仿宋"/>
          <w:color w:val="auto"/>
          <w:sz w:val="24"/>
          <w:szCs w:val="24"/>
          <w:highlight w:val="none"/>
        </w:rPr>
        <w:fldChar w:fldCharType="end"/>
      </w:r>
      <w:r>
        <w:rPr>
          <w:rFonts w:ascii="仿宋" w:hAnsi="仿宋" w:eastAsia="仿宋" w:cs="仿宋"/>
          <w:color w:val="auto"/>
          <w:sz w:val="24"/>
          <w:szCs w:val="24"/>
          <w:highlight w:val="none"/>
        </w:rPr>
        <w:t xml:space="preserve">承包人应完全承担的是技术和管理风险，如管理费和利润、由于承包人使用机械设备、施工技术以及组织管理水平等自身原因造成施工费用增加的及施工期间各类市场风险等。</w:t>
      </w:r>
      <w:r/>
    </w:p>
    <w:p>
      <w:pPr>
        <w:ind w:firstLine="420"/>
        <w:spacing w:line="327"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eq \o\ac(○,2)</w:instrText>
      </w:r>
      <w:r>
        <w:rPr>
          <w:rFonts w:hint="eastAsia" w:ascii="仿宋" w:hAnsi="仿宋" w:eastAsia="仿宋" w:cs="仿宋"/>
          <w:color w:val="auto"/>
          <w:sz w:val="24"/>
          <w:szCs w:val="24"/>
          <w:highlight w:val="none"/>
        </w:rPr>
        <w:fldChar w:fldCharType="end"/>
      </w:r>
      <w:r>
        <w:rPr>
          <w:rFonts w:ascii="仿宋" w:hAnsi="仿宋" w:eastAsia="仿宋" w:cs="仿宋"/>
          <w:color w:val="auto"/>
          <w:sz w:val="24"/>
          <w:szCs w:val="24"/>
          <w:highlight w:val="none"/>
        </w:rPr>
        <w:t xml:space="preserve">承包人建设标准高于发包人要求标准时引起多投入的费用己包含在合同价款中，不再另行增补。</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eq \o\ac(○,3)</w:instrText>
      </w:r>
      <w:r>
        <w:rPr>
          <w:rFonts w:hint="eastAsia" w:ascii="仿宋" w:hAnsi="仿宋" w:eastAsia="仿宋" w:cs="仿宋"/>
          <w:color w:val="auto"/>
          <w:sz w:val="24"/>
          <w:szCs w:val="24"/>
          <w:highlight w:val="none"/>
        </w:rPr>
        <w:fldChar w:fldCharType="end"/>
      </w:r>
      <w:r>
        <w:rPr>
          <w:rFonts w:ascii="仿宋" w:hAnsi="仿宋" w:eastAsia="仿宋" w:cs="仿宋"/>
          <w:color w:val="auto"/>
          <w:sz w:val="24"/>
          <w:szCs w:val="24"/>
          <w:highlight w:val="none"/>
        </w:rPr>
        <w:t xml:space="preserve">招标文件及合同明确约定给予调整的情形外的其他一切风险。</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风险费用的计算方法：</w:t>
      </w:r>
      <w:r>
        <w:rPr>
          <w:rFonts w:hint="eastAsia" w:ascii="仿宋" w:hAnsi="仿宋" w:eastAsia="仿宋" w:cs="仿宋"/>
          <w:color w:val="auto"/>
          <w:sz w:val="24"/>
          <w:szCs w:val="24"/>
          <w:highlight w:val="none"/>
          <w:u w:val="single"/>
        </w:rPr>
        <w:t xml:space="preserve">综合单价应考虑招标文件和合同中要求承包人承担的风险内容及其范围（幅度）产生的风险费用。在施工过程中，当出现的风险范围（幅度）在合同约定的范围内，合同价款不做调整</w:t>
      </w:r>
      <w:r>
        <w:rPr>
          <w:rFonts w:hint="eastAsia" w:ascii="仿宋" w:hAnsi="仿宋" w:eastAsia="仿宋" w:cs="仿宋"/>
          <w:color w:val="auto"/>
          <w:sz w:val="24"/>
          <w:szCs w:val="24"/>
          <w:highlight w:val="none"/>
        </w:rPr>
        <w:t xml:space="preserve"> 。</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风险范围以外合同价格的调整方法：</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（1）竣工结算的工程量按发承包双方在合同中约定应予计量且实际完成的工程量确定，完成发包人要求的合同以外的零星工作或发生非承包人责任事件的工程量按现场签证确定。</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工程变更涉及合同工程范围、工期、质量、合同规范等实质性内容变化并引起措施项目发生改变时，发承包双方的不利一方提出调整措施项目费的，应在实施前将拟实施的方案提交另一方审核，并详细说明与原方案措施项目对比的变化情况。拟实施的方案经发承包双方确认后执行的，可按 GB/T50500-2024 建设工程工程量清单计价标准第 8.9.4 条、第 8.9.5 条的规定调整措施项目费。</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（3）因工程变更或工程量清单缺陷引起分部分项工程的清单项目变化(项目增减),或清单工程 量发生变化且工程量变化不超出 15%(含 15%)时，发承包双方应依据《建设工程工程量清单计价标准》（GBT50500-2024）规定确认的工程变更或工程量清单缺陷引起变化的工程量，按下列规定确定综合单价并计价，调整合同价格:</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①相同施工条件下实施相同项目特征的清单项目，应采用相应的合同单价； </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②相同施工条件下实施类似项目特征的清单项目或类似施工条件下实施相同项目特征的清单项目，应采用类似清单项目的合同单价换算调整后的综合单价； </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③相同施工条件下实施不同项目特征的清单项目或不同施工条件下实施相同项目特征的清单项目，可依据工程实施情况，结合类似项目的合同单价计价规则及报价水平，协商确定市场合理的综合单价； </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④不同施工条件下实施不同项目特征的清单项目，可依据工程实施情况，结合同类工程类似清单项目的综合单价，协商确定市场合理的综合单价； </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⑤因减少或取消清单项目的工程变更显著改变了实施中的工程施工条件，可根据实施工程的具体情况、市场价格、合同单价计价规则及报价水平协商确定工程变更的综合单价。（4）因工程变更或工程量清单缺陷引起分部分项工程的清单工程量发生变化，且工程量变化超出 15%(不含 15%)时,发承包双方应按《建设工程工程量清单计价标准》（GBT50500-2024）规定确认的工程变更或工程量清单缺陷引起变化的工程量，按下列规定调整合同价格:</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①如工程变更或工程量清单缺陷引起增加清单项目及相应清单项目工程量的，可依据计价标准的规定，并结合因增加工程数量引起的人工及材料采购价格优惠的影响，在合理下调其合同单价及新增综合单价后，计算相应清单项目价格，调整合同价格; </w:t>
      </w:r>
      <w:r/>
    </w:p>
    <w:p>
      <w:pPr>
        <w:ind w:firstLine="420"/>
        <w:spacing w:line="327" w:lineRule="auto"/>
        <w:rPr>
          <w:color w:val="auto"/>
          <w:highlight w:val="none"/>
        </w:rPr>
      </w:pPr>
      <w:r>
        <w:rPr>
          <w:rFonts w:hint="eastAsia" w:ascii="仿宋" w:hAnsi="仿宋" w:eastAsia="仿宋" w:cs="仿宋"/>
          <w:color w:val="auto"/>
          <w:sz w:val="24"/>
          <w:szCs w:val="24"/>
          <w:highlight w:val="none"/>
          <w:u w:val="single"/>
        </w:rPr>
        <w:t xml:space="preserve">②如工程变更或工程量清单缺陷引起减少清单项目及相应清单项目工程量的，可依据计价标准的规定，并结合因减少工程数量引起的人工及材料采购价格失去优惠的影响，在合理上调其合同单价及新增综合单价后，计算相应清单项目价格，调整合同价格。</w:t>
      </w:r>
      <w:r/>
    </w:p>
    <w:p>
      <w:pPr>
        <w:pStyle w:val="802"/>
        <w:ind w:firstLine="482"/>
        <w:rPr>
          <w:rFonts w:hint="eastAsia"/>
          <w:color w:val="auto"/>
          <w:highlight w:val="none"/>
        </w:rPr>
      </w:pPr>
      <w:r>
        <w:rPr>
          <w:rFonts w:hint="eastAsia"/>
          <w:color w:val="auto"/>
          <w:highlight w:val="none"/>
        </w:rPr>
        <w:t xml:space="preserve">12.2 预付款</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12.2.1 预付款的支付</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预付款支付比例或金额：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预付款支付期限：</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预付款扣回的方式：</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12.2.2 预付款担保</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承包人提交预付款担保的期限：</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预付款担保的形式为：</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pStyle w:val="802"/>
        <w:ind w:firstLine="482"/>
        <w:rPr>
          <w:rFonts w:hint="eastAsia"/>
          <w:color w:val="auto"/>
          <w:highlight w:val="none"/>
        </w:rPr>
      </w:pPr>
      <w:r>
        <w:rPr>
          <w:rFonts w:hint="eastAsia"/>
          <w:color w:val="auto"/>
          <w:highlight w:val="none"/>
        </w:rPr>
        <w:t xml:space="preserve">12.3 计量</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12.3.1 计量原则</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本工程采用工程量清单方式计价，竣工结算的工程量按实际完成的工程量确定，完成发包人要求的合同以外的零星工作或发生非承包人责任事件的工程量按现场签证确定。</w:t>
      </w:r>
      <w:r/>
    </w:p>
    <w:p>
      <w:pPr>
        <w:ind w:firstLine="420"/>
        <w:spacing w:line="327" w:lineRule="auto"/>
        <w:rPr>
          <w:rFonts w:hint="default"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rPr>
        <w:t xml:space="preserve">工程量计算规则</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eastAsia="zh-CN"/>
        </w:rPr>
        <w:t xml:space="preserve">《建设工程工程量清单计价标准》(GB/T50500-2024)；《江苏省市政工程消耗量》；委托方（甲方）提供的《</w:t>
      </w:r>
      <w:r>
        <w:rPr>
          <w:rFonts w:hint="eastAsia" w:ascii="仿宋" w:hAnsi="仿宋" w:eastAsia="仿宋" w:cs="仿宋"/>
          <w:color w:val="auto"/>
          <w:sz w:val="24"/>
          <w:szCs w:val="24"/>
          <w:highlight w:val="none"/>
          <w:u w:val="single"/>
          <w:lang w:val="zh-CN" w:eastAsia="zh-CN"/>
        </w:rPr>
        <w:t xml:space="preserve">黄河东片区道路雨污分流路面修复工程项目</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施工图</w:t>
      </w:r>
      <w:r>
        <w:rPr>
          <w:rFonts w:hint="eastAsia" w:ascii="仿宋" w:hAnsi="仿宋" w:eastAsia="仿宋" w:cs="仿宋"/>
          <w:color w:val="auto"/>
          <w:sz w:val="24"/>
          <w:szCs w:val="24"/>
          <w:highlight w:val="none"/>
          <w:u w:val="single"/>
          <w:lang w:eastAsia="zh-CN"/>
        </w:rPr>
        <w:t xml:space="preserve">及相关规范、文件</w:t>
      </w:r>
      <w:r>
        <w:rPr>
          <w:rFonts w:hint="eastAsia" w:ascii="仿宋" w:hAnsi="仿宋" w:eastAsia="仿宋" w:cs="仿宋"/>
          <w:color w:val="auto"/>
          <w:sz w:val="24"/>
          <w:szCs w:val="24"/>
          <w:highlight w:val="none"/>
          <w:u w:val="single"/>
          <w:lang w:val="en-US" w:eastAsia="zh-CN"/>
        </w:rPr>
        <w:t xml:space="preserve">等</w:t>
      </w:r>
      <w:r>
        <w:rPr>
          <w:rFonts w:hint="eastAsia" w:ascii="仿宋" w:hAnsi="仿宋" w:eastAsia="仿宋" w:cs="仿宋"/>
          <w:color w:val="auto"/>
          <w:sz w:val="24"/>
          <w:szCs w:val="24"/>
          <w:highlight w:val="none"/>
          <w:u w:val="single"/>
          <w:lang w:eastAsia="zh-CN"/>
        </w:rPr>
        <w:t xml:space="preserve">；有关文件规定及招标人提供的工程量清单。</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12.3.2 计量周期</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关于计量周期的约定：</w:t>
      </w:r>
      <w:r>
        <w:rPr>
          <w:rFonts w:hint="eastAsia" w:ascii="仿宋" w:hAnsi="仿宋" w:eastAsia="仿宋" w:cs="仿宋"/>
          <w:color w:val="auto"/>
          <w:sz w:val="24"/>
          <w:szCs w:val="24"/>
          <w:highlight w:val="none"/>
          <w:u w:val="single"/>
        </w:rPr>
        <w:t xml:space="preserve">按月进行，每月的25日前提交本月已完工程量报告及相关形象进度资料。如承包人未按时报送工程量，影响工程款支付的，由承包人自行负责</w:t>
      </w:r>
      <w:r>
        <w:rPr>
          <w:rFonts w:hint="eastAsia" w:ascii="仿宋" w:hAnsi="仿宋" w:eastAsia="仿宋" w:cs="仿宋"/>
          <w:color w:val="auto"/>
          <w:sz w:val="24"/>
          <w:szCs w:val="24"/>
          <w:highlight w:val="none"/>
        </w:rPr>
        <w:t xml:space="preserve">。</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12.3.3 单价合同的计量</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关于单价合同计量的约定：</w:t>
      </w:r>
      <w:r>
        <w:rPr>
          <w:rFonts w:hint="eastAsia" w:ascii="仿宋" w:hAnsi="仿宋" w:eastAsia="仿宋" w:cs="仿宋"/>
          <w:color w:val="auto"/>
          <w:sz w:val="24"/>
          <w:szCs w:val="24"/>
          <w:highlight w:val="none"/>
          <w:u w:val="single"/>
        </w:rPr>
        <w:t xml:space="preserve">（1）承包人应于每月25日向监理人报送本月已完成的工程量报告，并附具进度付款申请单、已完成工程量报表和有关资料。</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（3）监理人未在收到承包人提交的工程量报表后的7天内完成审核的，承包人报送的工程量报告中的工程量视为承包人实际完成的工程量，据此计算工程价款。</w:t>
      </w:r>
      <w:r/>
    </w:p>
    <w:p>
      <w:pPr>
        <w:pStyle w:val="802"/>
        <w:ind w:firstLine="482"/>
        <w:rPr>
          <w:rFonts w:hint="eastAsia"/>
          <w:color w:val="auto"/>
          <w:highlight w:val="none"/>
        </w:rPr>
      </w:pPr>
      <w:r>
        <w:rPr>
          <w:rFonts w:hint="eastAsia"/>
          <w:color w:val="auto"/>
          <w:highlight w:val="none"/>
        </w:rPr>
        <w:t xml:space="preserve">12.4 工程进度款支付</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12.4.1 付款</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关于付款周期的约定：</w:t>
      </w:r>
      <w:r/>
    </w:p>
    <w:p>
      <w:pPr>
        <w:ind w:firstLine="482"/>
        <w:jc w:val="left"/>
        <w:spacing w:line="327" w:lineRule="auto"/>
        <w:rPr>
          <w:rFonts w:hint="eastAsia" w:ascii="仿宋" w:hAnsi="仿宋" w:eastAsia="仿宋" w:cs="仿宋"/>
          <w:bCs/>
          <w:color w:val="auto"/>
          <w:sz w:val="24"/>
          <w:szCs w:val="24"/>
          <w:highlight w:val="none"/>
          <w:u w:val="single"/>
        </w:rPr>
      </w:pPr>
      <w:r>
        <w:rPr>
          <w:rFonts w:hint="eastAsia" w:ascii="仿宋" w:hAnsi="仿宋" w:eastAsia="仿宋" w:cs="仿宋"/>
          <w:color w:val="auto"/>
          <w:sz w:val="24"/>
          <w:szCs w:val="24"/>
          <w:highlight w:val="none"/>
        </w:rPr>
        <w:t xml:space="preserve">本合同总金额为人民币大写金额</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元（小写金额：</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元），</w:t>
      </w:r>
      <w:r>
        <w:rPr>
          <w:rFonts w:hint="eastAsia" w:ascii="仿宋" w:hAnsi="仿宋" w:eastAsia="仿宋" w:cs="仿宋"/>
          <w:bCs/>
          <w:color w:val="auto"/>
          <w:sz w:val="24"/>
          <w:szCs w:val="24"/>
          <w:highlight w:val="none"/>
        </w:rPr>
        <w:t xml:space="preserve">选择以下付款方式：</w:t>
      </w:r>
      <w:r/>
    </w:p>
    <w:p>
      <w:pPr>
        <w:ind w:firstLine="422"/>
        <w:spacing w:line="327" w:lineRule="auto"/>
        <w:rPr>
          <w:rFonts w:hint="eastAsia" w:ascii="仿宋" w:hAnsi="仿宋" w:eastAsia="仿宋" w:cs="仿宋"/>
          <w:b/>
          <w:color w:val="auto"/>
          <w:sz w:val="24"/>
          <w:szCs w:val="24"/>
          <w:highlight w:val="none"/>
          <w:u w:val="single"/>
        </w:rPr>
      </w:pPr>
      <w:r>
        <w:rPr>
          <w:rFonts w:hint="eastAsia" w:ascii="仿宋" w:hAnsi="仿宋" w:eastAsia="仿宋" w:cs="仿宋"/>
          <w:b/>
          <w:bCs/>
          <w:color w:val="auto"/>
          <w:sz w:val="24"/>
          <w:szCs w:val="24"/>
          <w:highlight w:val="none"/>
          <w:u w:val="single"/>
        </w:rPr>
        <w:t xml:space="preserve">①</w:t>
      </w:r>
      <w:r>
        <w:rPr>
          <w:rFonts w:hint="eastAsia" w:ascii="仿宋" w:hAnsi="仿宋" w:eastAsia="仿宋" w:cs="仿宋"/>
          <w:b/>
          <w:color w:val="auto"/>
          <w:sz w:val="24"/>
          <w:szCs w:val="24"/>
          <w:highlight w:val="none"/>
          <w:u w:val="single"/>
        </w:rPr>
        <w:t xml:space="preserve">工程完成总工程量的2/3后30日内支付至合同价款的</w:t>
      </w:r>
      <w:r>
        <w:rPr>
          <w:rFonts w:hint="eastAsia" w:ascii="仿宋" w:hAnsi="仿宋" w:eastAsia="仿宋" w:cs="仿宋"/>
          <w:b/>
          <w:bCs/>
          <w:color w:val="auto"/>
          <w:sz w:val="24"/>
          <w:szCs w:val="24"/>
          <w:highlight w:val="none"/>
          <w:u w:val="single"/>
        </w:rPr>
        <w:t xml:space="preserve">百分之五十（</w:t>
      </w:r>
      <w:r>
        <w:rPr>
          <w:rFonts w:hint="eastAsia" w:ascii="仿宋" w:hAnsi="仿宋" w:eastAsia="仿宋" w:cs="仿宋"/>
          <w:b/>
          <w:color w:val="auto"/>
          <w:sz w:val="24"/>
          <w:szCs w:val="24"/>
          <w:highlight w:val="none"/>
          <w:u w:val="single"/>
        </w:rPr>
        <w:t xml:space="preserve">50%</w:t>
      </w:r>
      <w:r>
        <w:rPr>
          <w:rFonts w:hint="eastAsia" w:ascii="仿宋" w:hAnsi="仿宋" w:eastAsia="仿宋" w:cs="仿宋"/>
          <w:b/>
          <w:bCs/>
          <w:color w:val="auto"/>
          <w:sz w:val="24"/>
          <w:szCs w:val="24"/>
          <w:highlight w:val="none"/>
          <w:u w:val="single"/>
        </w:rPr>
        <w:t xml:space="preserve">）。</w:t>
      </w:r>
      <w:r/>
    </w:p>
    <w:p>
      <w:pPr>
        <w:ind w:firstLine="422"/>
        <w:spacing w:line="327" w:lineRule="auto"/>
        <w:rPr>
          <w:rFonts w:hint="eastAsia" w:ascii="仿宋" w:hAnsi="仿宋" w:eastAsia="仿宋" w:cs="仿宋"/>
          <w:b/>
          <w:color w:val="auto"/>
          <w:sz w:val="24"/>
          <w:szCs w:val="24"/>
          <w:highlight w:val="none"/>
          <w:u w:val="single"/>
        </w:rPr>
      </w:pPr>
      <w:r>
        <w:rPr>
          <w:rFonts w:hint="eastAsia" w:ascii="仿宋" w:hAnsi="仿宋" w:eastAsia="仿宋" w:cs="仿宋"/>
          <w:b/>
          <w:color w:val="auto"/>
          <w:sz w:val="24"/>
          <w:szCs w:val="24"/>
          <w:highlight w:val="none"/>
          <w:u w:val="single"/>
        </w:rPr>
        <w:t xml:space="preserve">②工程竣工验收合格后30日内支付至合同价款的</w:t>
      </w:r>
      <w:r>
        <w:rPr>
          <w:rFonts w:hint="eastAsia" w:ascii="仿宋" w:hAnsi="仿宋" w:eastAsia="仿宋" w:cs="仿宋"/>
          <w:b/>
          <w:bCs/>
          <w:color w:val="auto"/>
          <w:sz w:val="24"/>
          <w:szCs w:val="24"/>
          <w:highlight w:val="none"/>
          <w:u w:val="single"/>
        </w:rPr>
        <w:t xml:space="preserve">百分之八十（8</w:t>
      </w:r>
      <w:r>
        <w:rPr>
          <w:rFonts w:hint="eastAsia" w:ascii="仿宋" w:hAnsi="仿宋" w:eastAsia="仿宋" w:cs="仿宋"/>
          <w:b/>
          <w:color w:val="auto"/>
          <w:sz w:val="24"/>
          <w:szCs w:val="24"/>
          <w:highlight w:val="none"/>
          <w:u w:val="single"/>
        </w:rPr>
        <w:t xml:space="preserve">0%</w:t>
      </w:r>
      <w:r>
        <w:rPr>
          <w:rFonts w:hint="eastAsia" w:ascii="仿宋" w:hAnsi="仿宋" w:eastAsia="仿宋" w:cs="仿宋"/>
          <w:b/>
          <w:bCs/>
          <w:color w:val="auto"/>
          <w:sz w:val="24"/>
          <w:szCs w:val="24"/>
          <w:highlight w:val="none"/>
          <w:u w:val="single"/>
        </w:rPr>
        <w:t xml:space="preserve">）。</w:t>
      </w:r>
      <w:r/>
    </w:p>
    <w:p>
      <w:pPr>
        <w:ind w:firstLine="422"/>
        <w:spacing w:line="327" w:lineRule="auto"/>
        <w:rPr>
          <w:rFonts w:hint="eastAsia" w:ascii="仿宋" w:hAnsi="仿宋" w:eastAsia="仿宋" w:cs="仿宋"/>
          <w:b/>
          <w:color w:val="auto"/>
          <w:sz w:val="24"/>
          <w:szCs w:val="24"/>
          <w:highlight w:val="none"/>
          <w:u w:val="single"/>
        </w:rPr>
      </w:pPr>
      <w:r>
        <w:rPr>
          <w:rFonts w:hint="eastAsia" w:ascii="仿宋" w:hAnsi="仿宋" w:eastAsia="仿宋" w:cs="仿宋"/>
          <w:b/>
          <w:color w:val="auto"/>
          <w:sz w:val="24"/>
          <w:szCs w:val="24"/>
          <w:highlight w:val="none"/>
          <w:u w:val="single"/>
        </w:rPr>
        <w:t xml:space="preserve">③结算资料报发包人，经必要双方认可的竣工结算价完成后，30日内支付至双方认可的结算价的100%；</w:t>
      </w:r>
      <w:r/>
    </w:p>
    <w:p>
      <w:pPr>
        <w:ind w:firstLine="422"/>
        <w:spacing w:line="327" w:lineRule="auto"/>
        <w:rPr>
          <w:rFonts w:hint="eastAsia" w:ascii="仿宋" w:hAnsi="仿宋" w:eastAsia="仿宋" w:cs="仿宋"/>
          <w:b/>
          <w:bCs/>
          <w:color w:val="auto"/>
          <w:sz w:val="24"/>
          <w:szCs w:val="24"/>
          <w:highlight w:val="none"/>
          <w:u w:val="single"/>
        </w:rPr>
      </w:pPr>
      <w:r>
        <w:rPr>
          <w:rFonts w:hint="eastAsia" w:ascii="仿宋" w:hAnsi="仿宋" w:eastAsia="仿宋" w:cs="仿宋"/>
          <w:b/>
          <w:bCs/>
          <w:color w:val="auto"/>
          <w:sz w:val="24"/>
          <w:szCs w:val="24"/>
          <w:highlight w:val="none"/>
          <w:u w:val="single"/>
        </w:rPr>
        <w:t xml:space="preserve">其他约定：</w:t>
      </w:r>
      <w:r/>
    </w:p>
    <w:p>
      <w:pPr>
        <w:ind w:firstLine="422"/>
        <w:spacing w:line="327" w:lineRule="auto"/>
        <w:rPr>
          <w:rFonts w:hint="eastAsia" w:ascii="仿宋" w:hAnsi="仿宋" w:eastAsia="仿宋" w:cs="仿宋"/>
          <w:b/>
          <w:color w:val="auto"/>
          <w:sz w:val="24"/>
          <w:szCs w:val="24"/>
          <w:highlight w:val="none"/>
          <w:u w:val="single"/>
        </w:rPr>
      </w:pPr>
      <w:r>
        <w:rPr>
          <w:rFonts w:hint="eastAsia" w:ascii="仿宋" w:hAnsi="仿宋" w:eastAsia="仿宋" w:cs="仿宋"/>
          <w:b/>
          <w:color w:val="auto"/>
          <w:sz w:val="24"/>
          <w:szCs w:val="24"/>
          <w:highlight w:val="none"/>
          <w:u w:val="single"/>
        </w:rPr>
        <w:t xml:space="preserve">承包人根据发包人书面确定的支付数额，在每次申请支付款项前，向发包人提供等额合法有效发票，否则发包人有权拒绝付款，且不承担逾期付款违约责任。发包人按照财政流程申请支付。支付程序、时间节点遵循发包人财务付款程序。</w:t>
      </w:r>
      <w:r/>
    </w:p>
    <w:p>
      <w:pPr>
        <w:ind w:firstLine="422"/>
        <w:spacing w:line="327" w:lineRule="auto"/>
        <w:rPr>
          <w:rFonts w:hint="eastAsia" w:ascii="仿宋" w:hAnsi="仿宋" w:eastAsia="仿宋" w:cs="仿宋"/>
          <w:b/>
          <w:bCs/>
          <w:color w:val="auto"/>
          <w:sz w:val="24"/>
          <w:szCs w:val="24"/>
          <w:highlight w:val="none"/>
          <w:u w:val="single"/>
        </w:rPr>
      </w:pPr>
      <w:r>
        <w:rPr>
          <w:rFonts w:hint="eastAsia" w:ascii="仿宋" w:hAnsi="仿宋" w:eastAsia="仿宋" w:cs="仿宋"/>
          <w:b/>
          <w:bCs/>
          <w:color w:val="auto"/>
          <w:sz w:val="24"/>
          <w:szCs w:val="24"/>
          <w:highlight w:val="none"/>
          <w:u w:val="single"/>
        </w:rPr>
        <w:t xml:space="preserve">农民工工资支付需按照《关于转发〈关于扎实推进房屋建筑和市政基础设施建设领域保障农民工工资支付工作的通知〉的通知》徐住建发〔2023〕119 号文件严格落实</w:t>
      </w:r>
      <w:r>
        <w:rPr>
          <w:rFonts w:ascii="仿宋" w:hAnsi="仿宋" w:eastAsia="仿宋" w:cs="仿宋"/>
          <w:b/>
          <w:bCs/>
          <w:color w:val="auto"/>
          <w:sz w:val="24"/>
          <w:szCs w:val="24"/>
          <w:highlight w:val="none"/>
          <w:u w:val="single"/>
        </w:rPr>
        <w:t xml:space="preserve">。</w:t>
      </w:r>
      <w:r/>
    </w:p>
    <w:p>
      <w:pPr>
        <w:ind w:firstLine="422"/>
        <w:spacing w:line="327" w:lineRule="auto"/>
        <w:rPr>
          <w:rFonts w:hint="eastAsia" w:ascii="仿宋" w:hAnsi="仿宋" w:eastAsia="仿宋" w:cs="仿宋"/>
          <w:b/>
          <w:bCs/>
          <w:color w:val="auto"/>
          <w:sz w:val="24"/>
          <w:szCs w:val="24"/>
          <w:highlight w:val="none"/>
          <w:u w:val="single"/>
        </w:rPr>
      </w:pPr>
      <w:r>
        <w:rPr>
          <w:rFonts w:hint="eastAsia" w:ascii="仿宋" w:hAnsi="仿宋" w:eastAsia="仿宋" w:cs="仿宋"/>
          <w:b/>
          <w:bCs/>
          <w:color w:val="auto"/>
          <w:sz w:val="24"/>
          <w:szCs w:val="24"/>
          <w:highlight w:val="none"/>
          <w:u w:val="single"/>
        </w:rPr>
        <w:t xml:space="preserve">合同履行过程中合同价款的调整均在竣工结算时调整，合同履行过程中不预付该款项。</w:t>
      </w:r>
      <w:r/>
    </w:p>
    <w:p>
      <w:pPr>
        <w:ind w:firstLine="422"/>
        <w:spacing w:line="327" w:lineRule="auto"/>
        <w:rPr>
          <w:rFonts w:hint="eastAsia" w:ascii="仿宋" w:hAnsi="仿宋" w:eastAsia="仿宋" w:cs="仿宋"/>
          <w:b/>
          <w:bCs/>
          <w:color w:val="auto"/>
          <w:sz w:val="24"/>
          <w:szCs w:val="24"/>
          <w:highlight w:val="none"/>
          <w:u w:val="single"/>
        </w:rPr>
      </w:pPr>
      <w:r>
        <w:rPr>
          <w:rFonts w:hint="eastAsia" w:ascii="仿宋" w:hAnsi="仿宋" w:eastAsia="仿宋" w:cs="仿宋"/>
          <w:b/>
          <w:bCs/>
          <w:color w:val="auto"/>
          <w:sz w:val="24"/>
          <w:szCs w:val="24"/>
          <w:highlight w:val="none"/>
          <w:u w:val="single"/>
        </w:rPr>
        <w:t xml:space="preserve">合同约定的承包人应承担的违约金及各项费用，发包人有权从工程款中直接扣除。</w:t>
      </w:r>
      <w:r/>
    </w:p>
    <w:p>
      <w:pPr>
        <w:ind w:firstLine="422"/>
        <w:spacing w:line="327" w:lineRule="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u w:val="single"/>
        </w:rPr>
        <w:t xml:space="preserve">进度款与质量挂钩，如果所完成工程的质量达不到验收规范要求，发包人有权暂缓支付该部分工程款，待承包人整改完成符合验收规范要求后再行支付。</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u w:val="single"/>
        </w:rPr>
        <w:t xml:space="preserve">履约保证金的返还：待工程竣工验收合格且质保期满无质量问题后无息退还。如果承包人不履行合同约定的义务，未能完全履行合同规定的义务或其履行不符合合同的约定，发包人有权扣除履约保证金取得补偿。</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12.4.2 进度付款申请单的编制</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关于进度付款申请单编制的约定：</w:t>
      </w:r>
      <w:r>
        <w:rPr>
          <w:rFonts w:hint="eastAsia" w:ascii="仿宋" w:hAnsi="仿宋" w:eastAsia="仿宋" w:cs="仿宋"/>
          <w:color w:val="auto"/>
          <w:sz w:val="24"/>
          <w:szCs w:val="24"/>
          <w:highlight w:val="none"/>
          <w:u w:val="single"/>
        </w:rPr>
        <w:t xml:space="preserve">执行通用条款    </w:t>
      </w:r>
      <w:r>
        <w:rPr>
          <w:rFonts w:hint="eastAsia" w:ascii="仿宋" w:hAnsi="仿宋" w:eastAsia="仿宋" w:cs="仿宋"/>
          <w:color w:val="auto"/>
          <w:sz w:val="24"/>
          <w:szCs w:val="24"/>
          <w:highlight w:val="none"/>
        </w:rPr>
        <w:t xml:space="preserve">。</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12.4.3 进度付款申请单的提交</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（1）单价合同进度付款申请单提交的约定：</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（2）总价合同进度付款申请单提交的约定：</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（3）其他价格形式合同进度付款申请单提交的约定：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12.4.4 进度款审核和支付</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（1）监理人审查并报送发包人的期限：</w:t>
      </w:r>
      <w:r>
        <w:rPr>
          <w:rFonts w:hint="eastAsia" w:ascii="仿宋" w:hAnsi="仿宋" w:eastAsia="仿宋" w:cs="仿宋"/>
          <w:color w:val="auto"/>
          <w:sz w:val="24"/>
          <w:szCs w:val="24"/>
          <w:highlight w:val="none"/>
          <w:u w:val="single"/>
        </w:rPr>
        <w:t xml:space="preserve">收到承包人修正后的进度付款申请单及发票后3个工作日内</w:t>
      </w:r>
      <w:r>
        <w:rPr>
          <w:rFonts w:hint="eastAsia" w:ascii="仿宋" w:hAnsi="仿宋" w:eastAsia="仿宋" w:cs="仿宋"/>
          <w:color w:val="auto"/>
          <w:sz w:val="24"/>
          <w:szCs w:val="24"/>
          <w:highlight w:val="none"/>
        </w:rPr>
        <w:t xml:space="preserve">。</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发包人完成审批并签发进度款支付证书的期限：</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（2）发包人支付进度款的期限：</w:t>
      </w:r>
      <w:r>
        <w:rPr>
          <w:rFonts w:hint="eastAsia" w:ascii="仿宋" w:hAnsi="仿宋" w:eastAsia="仿宋" w:cs="仿宋"/>
          <w:color w:val="auto"/>
          <w:sz w:val="24"/>
          <w:szCs w:val="24"/>
          <w:highlight w:val="none"/>
          <w:u w:val="single"/>
        </w:rPr>
        <w:t xml:space="preserve">  遵循采购人工程付款程序，无息。</w:t>
      </w:r>
      <w:r/>
    </w:p>
    <w:p>
      <w:pPr>
        <w:ind w:firstLine="525"/>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12.4.6 支付分解表的编制</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2、总价合同支付分解表的编制与审批：  执行通用条款  。</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3、单价合同的总价项目支付分解表的编制与审批：</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w:t>
      </w:r>
      <w:r/>
    </w:p>
    <w:p>
      <w:pPr>
        <w:pStyle w:val="801"/>
        <w:rPr>
          <w:rFonts w:hint="eastAsia"/>
          <w:color w:val="auto"/>
          <w:highlight w:val="none"/>
        </w:rPr>
      </w:pPr>
      <w:r>
        <w:rPr>
          <w:rFonts w:hint="eastAsia"/>
          <w:color w:val="auto"/>
          <w:highlight w:val="none"/>
        </w:rPr>
        <w:t xml:space="preserve">13. 验收和工程试车</w:t>
      </w:r>
      <w:r/>
    </w:p>
    <w:p>
      <w:pPr>
        <w:pStyle w:val="802"/>
        <w:ind w:firstLine="482"/>
        <w:rPr>
          <w:rFonts w:hint="eastAsia"/>
          <w:color w:val="auto"/>
          <w:highlight w:val="none"/>
        </w:rPr>
      </w:pPr>
      <w:r>
        <w:rPr>
          <w:rFonts w:hint="eastAsia"/>
          <w:color w:val="auto"/>
          <w:highlight w:val="none"/>
        </w:rPr>
        <w:t xml:space="preserve">13.1 分部分项工程验收</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13.1.2监理人不能按时进行验收时，应提前</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小时提交书面延期要求。</w:t>
      </w:r>
      <w:r/>
    </w:p>
    <w:p>
      <w:pPr>
        <w:ind w:firstLine="420"/>
        <w:spacing w:line="327" w:lineRule="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关于延期最长不得超过：</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小时。</w:t>
      </w:r>
      <w:r/>
    </w:p>
    <w:p>
      <w:pPr>
        <w:pStyle w:val="802"/>
        <w:ind w:firstLine="482"/>
        <w:rPr>
          <w:rFonts w:hint="eastAsia"/>
          <w:color w:val="auto"/>
          <w:highlight w:val="none"/>
        </w:rPr>
      </w:pPr>
      <w:r>
        <w:rPr>
          <w:rFonts w:hint="eastAsia"/>
          <w:color w:val="auto"/>
          <w:highlight w:val="none"/>
        </w:rPr>
        <w:t xml:space="preserve">13.2 竣工验收</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13.2.2竣工验收程序</w:t>
      </w:r>
      <w:r/>
    </w:p>
    <w:p>
      <w:pPr>
        <w:ind w:firstLine="48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关于竣工验收程序的约定：</w:t>
      </w:r>
      <w:r>
        <w:rPr>
          <w:rFonts w:hint="eastAsia" w:ascii="仿宋" w:hAnsi="仿宋" w:eastAsia="仿宋" w:cs="仿宋"/>
          <w:color w:val="auto"/>
          <w:sz w:val="24"/>
          <w:szCs w:val="24"/>
          <w:highlight w:val="none"/>
          <w:u w:val="single"/>
        </w:rPr>
        <w:t xml:space="preserve">执行通用条款。验收发生的检测(检验)费、专业技术人员费用等费用支出由承包人承担。在竣工验收中被验收专家组指出明显、严重问题缺陷的，每发现一项，将向发包人支付合同金额1%的违约金。</w:t>
      </w:r>
      <w:r/>
    </w:p>
    <w:p>
      <w:pPr>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发包人不按照本项约定组织竣工验收、颁发工程接收证书的违约金的计算方法：</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13.2.5移交、接收全部与部分工程</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承包人向发包人移交工程的期限：</w:t>
      </w:r>
      <w:r>
        <w:rPr>
          <w:rFonts w:hint="eastAsia" w:ascii="仿宋" w:hAnsi="仿宋" w:eastAsia="仿宋" w:cs="仿宋"/>
          <w:color w:val="auto"/>
          <w:sz w:val="24"/>
          <w:szCs w:val="24"/>
          <w:highlight w:val="none"/>
          <w:u w:val="single"/>
        </w:rPr>
        <w:t xml:space="preserve">30天内（含30天），每延迟一天承包人应向发包人支付合同价款千分之五违约金，超过30天，每延迟一天承包人应向发包人支付合同价款千分之十违约金。</w:t>
      </w:r>
      <w:r/>
    </w:p>
    <w:p>
      <w:pPr>
        <w:pStyle w:val="802"/>
        <w:ind w:firstLine="482"/>
        <w:rPr>
          <w:rFonts w:hint="eastAsia"/>
          <w:color w:val="auto"/>
          <w:highlight w:val="none"/>
        </w:rPr>
      </w:pPr>
      <w:r>
        <w:rPr>
          <w:rFonts w:hint="eastAsia"/>
          <w:color w:val="auto"/>
          <w:highlight w:val="none"/>
        </w:rPr>
        <w:t xml:space="preserve">13.3 工程试车</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13.3.1 试车程序</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工程试车内容：</w:t>
      </w:r>
      <w:r>
        <w:rPr>
          <w:rFonts w:hint="eastAsia" w:ascii="仿宋" w:hAnsi="仿宋" w:eastAsia="仿宋" w:cs="仿宋"/>
          <w:color w:val="auto"/>
          <w:sz w:val="24"/>
          <w:szCs w:val="24"/>
          <w:highlight w:val="none"/>
          <w:u w:val="single"/>
        </w:rPr>
        <w:t xml:space="preserve">   以监理通知为准   </w:t>
      </w:r>
      <w:r>
        <w:rPr>
          <w:rFonts w:hint="eastAsia" w:ascii="仿宋" w:hAnsi="仿宋" w:eastAsia="仿宋" w:cs="仿宋"/>
          <w:color w:val="auto"/>
          <w:sz w:val="24"/>
          <w:szCs w:val="24"/>
          <w:highlight w:val="none"/>
        </w:rPr>
        <w:t xml:space="preserve">。</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（1）单机无负荷试车费用由</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承担；</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（2）无负荷联动试车费用由</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承担。</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13.3.3 投料试车</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关于投料试车相关事项的约定：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pStyle w:val="802"/>
        <w:ind w:firstLine="482"/>
        <w:rPr>
          <w:rFonts w:hint="eastAsia"/>
          <w:color w:val="auto"/>
          <w:highlight w:val="none"/>
        </w:rPr>
      </w:pPr>
      <w:r>
        <w:rPr>
          <w:rFonts w:hint="eastAsia"/>
          <w:color w:val="auto"/>
          <w:highlight w:val="none"/>
        </w:rPr>
        <w:t xml:space="preserve">13.6 竣工退场</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13.6.1 竣工退场</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承包人完成竣工退场的期限：</w:t>
      </w:r>
      <w:r>
        <w:rPr>
          <w:rFonts w:hint="eastAsia" w:ascii="仿宋" w:hAnsi="仿宋" w:eastAsia="仿宋" w:cs="仿宋"/>
          <w:color w:val="auto"/>
          <w:sz w:val="24"/>
          <w:szCs w:val="24"/>
          <w:highlight w:val="none"/>
          <w:u w:val="single"/>
        </w:rPr>
        <w:t xml:space="preserve">   以监理通知为准   </w:t>
      </w:r>
      <w:r>
        <w:rPr>
          <w:rFonts w:hint="eastAsia" w:ascii="仿宋" w:hAnsi="仿宋" w:eastAsia="仿宋" w:cs="仿宋"/>
          <w:color w:val="auto"/>
          <w:sz w:val="24"/>
          <w:szCs w:val="24"/>
          <w:highlight w:val="none"/>
        </w:rPr>
        <w:t xml:space="preserve">。</w:t>
      </w:r>
      <w:r/>
    </w:p>
    <w:p>
      <w:pPr>
        <w:pStyle w:val="801"/>
        <w:rPr>
          <w:rFonts w:hint="eastAsia"/>
          <w:color w:val="auto"/>
          <w:highlight w:val="none"/>
        </w:rPr>
      </w:pPr>
      <w:r>
        <w:rPr>
          <w:rFonts w:hint="eastAsia"/>
          <w:color w:val="auto"/>
          <w:highlight w:val="none"/>
        </w:rPr>
        <w:t xml:space="preserve">14. 竣工结算</w:t>
      </w:r>
      <w:r/>
    </w:p>
    <w:p>
      <w:pPr>
        <w:pStyle w:val="802"/>
        <w:ind w:firstLine="482"/>
        <w:rPr>
          <w:rFonts w:hint="eastAsia"/>
          <w:color w:val="auto"/>
          <w:highlight w:val="none"/>
        </w:rPr>
      </w:pPr>
      <w:r>
        <w:rPr>
          <w:rFonts w:hint="eastAsia"/>
          <w:color w:val="auto"/>
          <w:highlight w:val="none"/>
        </w:rPr>
        <w:t xml:space="preserve">14.1 竣工结算申请</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承包人提交竣工结算申请单的期限：</w:t>
      </w:r>
      <w:r>
        <w:rPr>
          <w:rFonts w:hint="eastAsia" w:ascii="仿宋" w:hAnsi="仿宋" w:eastAsia="仿宋" w:cs="仿宋"/>
          <w:color w:val="auto"/>
          <w:sz w:val="24"/>
          <w:szCs w:val="24"/>
          <w:highlight w:val="none"/>
          <w:u w:val="single"/>
        </w:rPr>
        <w:t xml:space="preserve">工程竣工验收合格后30天内提供完整的结算书，否则逾期影响财政结算不再受理，违约责任由承包人承担</w:t>
      </w:r>
      <w:r>
        <w:rPr>
          <w:rFonts w:hint="eastAsia" w:ascii="仿宋" w:hAnsi="仿宋" w:eastAsia="仿宋" w:cs="仿宋"/>
          <w:color w:val="auto"/>
          <w:sz w:val="24"/>
          <w:szCs w:val="24"/>
          <w:highlight w:val="none"/>
        </w:rPr>
        <w:t xml:space="preserve">。</w:t>
      </w:r>
      <w:r/>
    </w:p>
    <w:p>
      <w:pPr>
        <w:ind w:firstLine="315"/>
        <w:spacing w:line="327" w:lineRule="auto"/>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竣工结算申请单应包括的内容：</w:t>
      </w:r>
      <w:r>
        <w:rPr>
          <w:rFonts w:hint="eastAsia" w:ascii="仿宋" w:hAnsi="仿宋" w:eastAsia="仿宋" w:cs="仿宋"/>
          <w:color w:val="auto"/>
          <w:sz w:val="24"/>
          <w:szCs w:val="24"/>
          <w:highlight w:val="none"/>
          <w:u w:val="single"/>
        </w:rPr>
        <w:t xml:space="preserve">除通用条款要求外，还应包括工程验收合格证书、工程移交单、工程竣工图（施工、设计、监理等单位签字盖章）、工程结算书（含现场签证）、接收甲供材料数量一览表并附相关凭证（含供货单位、发包人、承包人、监理单位签字盖章）、工程中标通知书（复印件）、工程投标书及其附件和其它报财政评审需要的资料，一式两份。</w:t>
      </w:r>
      <w:r/>
    </w:p>
    <w:p>
      <w:pPr>
        <w:ind w:firstLine="315"/>
        <w:spacing w:line="327" w:lineRule="auto"/>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为防止工程结算高估冒算，承包人应认真核对所报真实提供结算信息，工程造价最终审减额若超过送审额的7%以上（不含7%），发包人可按审减超出部分的5%予以扣款。 </w:t>
      </w:r>
      <w:r/>
    </w:p>
    <w:p>
      <w:pPr>
        <w:pStyle w:val="802"/>
        <w:ind w:firstLine="482"/>
        <w:rPr>
          <w:rFonts w:hint="eastAsia"/>
          <w:color w:val="auto"/>
          <w:highlight w:val="none"/>
        </w:rPr>
      </w:pPr>
      <w:r>
        <w:rPr>
          <w:rFonts w:hint="eastAsia"/>
          <w:color w:val="auto"/>
          <w:highlight w:val="none"/>
        </w:rPr>
        <w:t xml:space="preserve">14.2 竣工结算审核</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发包人审批竣工付款申请单的期限：</w:t>
      </w:r>
      <w:r>
        <w:rPr>
          <w:rFonts w:hint="eastAsia" w:ascii="仿宋" w:hAnsi="仿宋" w:eastAsia="仿宋" w:cs="仿宋"/>
          <w:color w:val="auto"/>
          <w:sz w:val="24"/>
          <w:szCs w:val="24"/>
          <w:highlight w:val="none"/>
          <w:u w:val="single"/>
        </w:rPr>
        <w:t xml:space="preserve">在双方无争议的情况下，自收到承包人完整的竣工结算资料3个月内，承包人在上述时间内应积极配合发包人及审计部门的审核，若承包人不配合，或双方存在争议的，审计时间相应顺延。结算审计完成后，承包人放弃对结算价款之外的任何款项的权利主张。</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发包人完成竣工付款的期限：</w:t>
      </w:r>
      <w:r>
        <w:rPr>
          <w:rFonts w:hint="eastAsia" w:ascii="仿宋" w:hAnsi="仿宋" w:eastAsia="仿宋" w:cs="仿宋"/>
          <w:color w:val="auto"/>
          <w:sz w:val="24"/>
          <w:szCs w:val="24"/>
          <w:highlight w:val="none"/>
          <w:u w:val="single"/>
        </w:rPr>
        <w:t xml:space="preserve">竣工验收合格后且审计结束，按发包人财务付款程序支付。</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关于竣工付款证书异议部分复核的方式和程序：</w:t>
      </w:r>
      <w:r>
        <w:rPr>
          <w:rFonts w:hint="eastAsia" w:ascii="仿宋" w:hAnsi="仿宋" w:eastAsia="仿宋" w:cs="仿宋"/>
          <w:color w:val="auto"/>
          <w:sz w:val="24"/>
          <w:szCs w:val="24"/>
          <w:highlight w:val="none"/>
          <w:u w:val="single"/>
        </w:rPr>
        <w:t xml:space="preserve">  执行通用条款 。</w:t>
      </w:r>
      <w:r/>
    </w:p>
    <w:p>
      <w:pPr>
        <w:pStyle w:val="802"/>
        <w:ind w:firstLine="482"/>
        <w:rPr>
          <w:rFonts w:hint="eastAsia"/>
          <w:color w:val="auto"/>
          <w:highlight w:val="none"/>
        </w:rPr>
      </w:pPr>
      <w:r>
        <w:rPr>
          <w:rFonts w:hint="eastAsia"/>
          <w:color w:val="auto"/>
          <w:highlight w:val="none"/>
        </w:rPr>
        <w:t xml:space="preserve">14.4 最终结清</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14.4.1 最终结清申请单</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承包人提交最终结清申请单的份数：</w:t>
      </w:r>
      <w:r>
        <w:rPr>
          <w:rFonts w:hint="eastAsia" w:ascii="仿宋" w:hAnsi="仿宋" w:eastAsia="仿宋" w:cs="仿宋"/>
          <w:color w:val="auto"/>
          <w:sz w:val="24"/>
          <w:szCs w:val="24"/>
          <w:highlight w:val="none"/>
          <w:u w:val="single"/>
        </w:rPr>
        <w:t xml:space="preserve">  一式四份  </w:t>
      </w:r>
      <w:r>
        <w:rPr>
          <w:rFonts w:hint="eastAsia" w:ascii="仿宋" w:hAnsi="仿宋" w:eastAsia="仿宋" w:cs="仿宋"/>
          <w:color w:val="auto"/>
          <w:sz w:val="24"/>
          <w:szCs w:val="24"/>
          <w:highlight w:val="none"/>
        </w:rPr>
        <w:t xml:space="preserve">。</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承包人提交最终结算申请单的期限：</w:t>
      </w:r>
      <w:r>
        <w:rPr>
          <w:rFonts w:hint="eastAsia" w:ascii="仿宋" w:hAnsi="仿宋" w:eastAsia="仿宋" w:cs="仿宋"/>
          <w:color w:val="auto"/>
          <w:sz w:val="24"/>
          <w:szCs w:val="24"/>
          <w:highlight w:val="none"/>
          <w:u w:val="single"/>
        </w:rPr>
        <w:t xml:space="preserve">   竣工验收合格之日起满2年后、已办理完毕接收部门的移交手续后且无质量问题后7天内</w:t>
      </w:r>
      <w:r>
        <w:rPr>
          <w:rFonts w:hint="eastAsia" w:ascii="仿宋" w:hAnsi="仿宋" w:eastAsia="仿宋" w:cs="仿宋"/>
          <w:color w:val="auto"/>
          <w:sz w:val="24"/>
          <w:szCs w:val="24"/>
          <w:highlight w:val="none"/>
        </w:rPr>
        <w:t xml:space="preserve">。 </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14.4.2 最终结清证书和支付</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（1）发包人完成最终结清申请单的审批并颁发最终结清证书的期限：</w:t>
      </w:r>
      <w:r>
        <w:rPr>
          <w:rFonts w:hint="eastAsia" w:ascii="仿宋" w:hAnsi="仿宋" w:eastAsia="仿宋" w:cs="仿宋"/>
          <w:color w:val="auto"/>
          <w:sz w:val="24"/>
          <w:szCs w:val="24"/>
          <w:highlight w:val="none"/>
          <w:u w:val="single"/>
        </w:rPr>
        <w:t xml:space="preserve"> 收到承包人提交的最终结清申请单后56天内</w:t>
      </w:r>
      <w:r>
        <w:rPr>
          <w:rFonts w:hint="eastAsia" w:ascii="仿宋" w:hAnsi="仿宋" w:eastAsia="仿宋" w:cs="仿宋"/>
          <w:color w:val="auto"/>
          <w:sz w:val="24"/>
          <w:szCs w:val="24"/>
          <w:highlight w:val="none"/>
        </w:rPr>
        <w:t xml:space="preserve">。</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（2）发包人完成支付的期限：</w:t>
      </w:r>
      <w:r>
        <w:rPr>
          <w:rFonts w:hint="eastAsia" w:ascii="仿宋" w:hAnsi="仿宋" w:eastAsia="仿宋" w:cs="仿宋"/>
          <w:color w:val="auto"/>
          <w:sz w:val="24"/>
          <w:szCs w:val="24"/>
          <w:highlight w:val="none"/>
          <w:u w:val="single"/>
        </w:rPr>
        <w:t xml:space="preserve">  颁发最终结清证书后56天内  </w:t>
      </w:r>
      <w:r>
        <w:rPr>
          <w:rFonts w:hint="eastAsia" w:ascii="仿宋" w:hAnsi="仿宋" w:eastAsia="仿宋" w:cs="仿宋"/>
          <w:color w:val="auto"/>
          <w:sz w:val="24"/>
          <w:szCs w:val="24"/>
          <w:highlight w:val="none"/>
        </w:rPr>
        <w:t xml:space="preserve">。</w:t>
      </w:r>
      <w:r/>
    </w:p>
    <w:p>
      <w:pPr>
        <w:pStyle w:val="801"/>
        <w:rPr>
          <w:rFonts w:hint="eastAsia"/>
          <w:color w:val="auto"/>
          <w:highlight w:val="none"/>
        </w:rPr>
      </w:pPr>
      <w:r>
        <w:rPr>
          <w:rFonts w:hint="eastAsia"/>
          <w:color w:val="auto"/>
          <w:highlight w:val="none"/>
        </w:rPr>
        <w:t xml:space="preserve">15. 缺陷责任期与保修</w:t>
      </w:r>
      <w:r/>
    </w:p>
    <w:p>
      <w:pPr>
        <w:pStyle w:val="802"/>
        <w:ind w:firstLine="482"/>
        <w:rPr>
          <w:rFonts w:hint="eastAsia"/>
          <w:color w:val="auto"/>
          <w:highlight w:val="none"/>
        </w:rPr>
      </w:pPr>
      <w:r>
        <w:rPr>
          <w:rFonts w:hint="eastAsia"/>
          <w:color w:val="auto"/>
          <w:highlight w:val="none"/>
        </w:rPr>
        <w:t xml:space="preserve">15.2缺陷责任期</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缺陷责任期的具体期限：</w:t>
      </w:r>
      <w:r>
        <w:rPr>
          <w:rFonts w:hint="eastAsia" w:ascii="仿宋" w:hAnsi="仿宋" w:eastAsia="仿宋" w:cs="仿宋"/>
          <w:color w:val="auto"/>
          <w:sz w:val="24"/>
          <w:szCs w:val="24"/>
          <w:highlight w:val="none"/>
          <w:u w:val="single"/>
        </w:rPr>
        <w:t xml:space="preserve"> 自竣工验收合格之日起24个月 。</w:t>
      </w:r>
      <w:r/>
    </w:p>
    <w:p>
      <w:pPr>
        <w:pStyle w:val="802"/>
        <w:ind w:firstLine="482"/>
        <w:rPr>
          <w:rFonts w:hint="eastAsia"/>
          <w:color w:val="auto"/>
          <w:highlight w:val="none"/>
        </w:rPr>
      </w:pPr>
      <w:r>
        <w:rPr>
          <w:rFonts w:hint="eastAsia"/>
          <w:color w:val="auto"/>
          <w:highlight w:val="none"/>
        </w:rPr>
        <w:t xml:space="preserve">15.4保修</w:t>
      </w:r>
      <w:r/>
    </w:p>
    <w:p>
      <w:pPr>
        <w:ind w:firstLine="409"/>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15.4.1 保修责任</w:t>
      </w:r>
      <w:r/>
    </w:p>
    <w:p>
      <w:pPr>
        <w:ind w:firstLine="409"/>
        <w:spacing w:line="327" w:lineRule="auto"/>
        <w:rPr>
          <w:rFonts w:hint="eastAsia" w:ascii="仿宋" w:hAnsi="仿宋" w:eastAsia="仿宋" w:cs="仿宋"/>
          <w:b/>
          <w:color w:val="auto"/>
          <w:sz w:val="24"/>
          <w:szCs w:val="24"/>
          <w:highlight w:val="none"/>
          <w:u w:val="single"/>
        </w:rPr>
      </w:pPr>
      <w:r>
        <w:rPr>
          <w:rFonts w:hint="eastAsia" w:ascii="仿宋" w:hAnsi="仿宋" w:eastAsia="仿宋" w:cs="仿宋"/>
          <w:color w:val="auto"/>
          <w:sz w:val="24"/>
          <w:szCs w:val="24"/>
          <w:highlight w:val="none"/>
        </w:rPr>
        <w:t xml:space="preserve">工程保修期为</w:t>
      </w:r>
      <w:r>
        <w:rPr>
          <w:rFonts w:hint="eastAsia" w:ascii="仿宋" w:hAnsi="仿宋" w:eastAsia="仿宋" w:cs="仿宋"/>
          <w:bCs/>
          <w:color w:val="auto"/>
          <w:sz w:val="24"/>
          <w:szCs w:val="24"/>
          <w:highlight w:val="none"/>
          <w:u w:val="single"/>
        </w:rPr>
        <w:t xml:space="preserve">详工程质量保修书。</w:t>
      </w:r>
      <w:r/>
    </w:p>
    <w:p>
      <w:pPr>
        <w:ind w:firstLine="409"/>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15.4.3 修复通知</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承包人收到保修通知并到达工程现场的合理时间：</w:t>
      </w:r>
      <w:r>
        <w:rPr>
          <w:rFonts w:hint="eastAsia" w:ascii="仿宋" w:hAnsi="仿宋" w:eastAsia="仿宋" w:cs="仿宋"/>
          <w:color w:val="auto"/>
          <w:sz w:val="24"/>
          <w:szCs w:val="24"/>
          <w:highlight w:val="none"/>
          <w:u w:val="single"/>
        </w:rPr>
        <w:t xml:space="preserve">   6小时内  </w:t>
      </w:r>
      <w:r>
        <w:rPr>
          <w:rFonts w:hint="eastAsia" w:ascii="仿宋" w:hAnsi="仿宋" w:eastAsia="仿宋" w:cs="仿宋"/>
          <w:color w:val="auto"/>
          <w:sz w:val="24"/>
          <w:szCs w:val="24"/>
          <w:highlight w:val="none"/>
        </w:rPr>
        <w:t xml:space="preserve">。</w:t>
      </w:r>
      <w:r/>
    </w:p>
    <w:p>
      <w:pPr>
        <w:pStyle w:val="801"/>
        <w:rPr>
          <w:rFonts w:hint="eastAsia"/>
          <w:color w:val="auto"/>
          <w:highlight w:val="none"/>
        </w:rPr>
      </w:pPr>
      <w:r>
        <w:rPr>
          <w:rFonts w:hint="eastAsia"/>
          <w:color w:val="auto"/>
          <w:highlight w:val="none"/>
        </w:rPr>
        <w:t xml:space="preserve">16. 违约</w:t>
      </w:r>
      <w:r/>
    </w:p>
    <w:p>
      <w:pPr>
        <w:pStyle w:val="802"/>
        <w:ind w:firstLine="482"/>
        <w:rPr>
          <w:rFonts w:hint="eastAsia"/>
          <w:color w:val="auto"/>
          <w:highlight w:val="none"/>
        </w:rPr>
      </w:pPr>
      <w:r>
        <w:rPr>
          <w:rFonts w:hint="eastAsia"/>
          <w:color w:val="auto"/>
          <w:highlight w:val="none"/>
        </w:rPr>
        <w:t xml:space="preserve">16.1 发包人违约</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16.1.1发包人违约的情形：</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w:t>
      </w:r>
      <w:r/>
    </w:p>
    <w:p>
      <w:pPr>
        <w:ind w:firstLine="409"/>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16.1.2 发包人违约的责任</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发包人违约责任的承担方式和计算方法：</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（1）因发包人原因未能在计划开工日期前7天内下达开工通知的违约责任：</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（2）因发包人原因未能按合同约定支付合同价款的违约责任：</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（3）发包人违反第10.1款〔变更的范围〕第（2）项约定，自行实施被取消的工作或转由他人实施的违约责任：</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（4）发包人提供的材料、工程设备的规格、数量或质量不符合合同约定，或因发包人原因导致交货日期延误或交货地点变更等情况的违约责任：</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（5）因发包人违反合同约定造成暂停施工的违约责任：</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（6）发包人无正当理由没有在约定期限内发出复工指示，导致承包人无法复工的违约责任：</w:t>
      </w:r>
      <w:r>
        <w:rPr>
          <w:rFonts w:hint="eastAsia" w:ascii="仿宋" w:hAnsi="仿宋" w:eastAsia="仿宋" w:cs="仿宋"/>
          <w:color w:val="auto"/>
          <w:sz w:val="24"/>
          <w:szCs w:val="24"/>
          <w:highlight w:val="none"/>
          <w:u w:val="single"/>
        </w:rPr>
        <w:t xml:space="preserve">执行通用条款</w:t>
      </w:r>
      <w:r>
        <w:rPr>
          <w:rFonts w:hint="eastAsia" w:ascii="仿宋" w:hAnsi="仿宋" w:eastAsia="仿宋" w:cs="仿宋"/>
          <w:color w:val="auto"/>
          <w:sz w:val="24"/>
          <w:szCs w:val="24"/>
          <w:highlight w:val="none"/>
        </w:rPr>
        <w:t xml:space="preserve">。</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（7）其他：</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16.1.3 因发包人违约解除合同</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承包人按16.1.1项〔发包人违约的情形〕约定暂停施工满</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天后发包人仍不纠正其违约行为并致使合同目的不能实现的，承包人有权解除合同。</w:t>
      </w:r>
      <w:r/>
    </w:p>
    <w:p>
      <w:pPr>
        <w:pStyle w:val="802"/>
        <w:ind w:firstLine="482"/>
        <w:rPr>
          <w:rFonts w:hint="eastAsia"/>
          <w:color w:val="auto"/>
          <w:highlight w:val="none"/>
        </w:rPr>
      </w:pPr>
      <w:r>
        <w:rPr>
          <w:rFonts w:hint="eastAsia"/>
          <w:color w:val="auto"/>
          <w:highlight w:val="none"/>
        </w:rPr>
        <w:t xml:space="preserve">16.2 承包人违约</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16.2.1 承包人违约的情形</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承包人承包的工程质量必须符合城镇道路等技术规范要求,如不符合质量验收标准要求,所发生的一切返工费用及由此给发包人造成的的经济损失均由承包人承担,此项赔偿并不能解除中标单位完成工程的责任及合同规定的其他责任。如因施工质量导致安全事故,承担事故处理的一切费用、工程的恢复费用及因此造成后续工程延误费用。</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承包人违约的其他情形：</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①承包人在中标后，未能按规定的时间办理相关手续、缴纳相关费用，影响办理施工许可证；</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②没有合理的原因而未能按期开工；</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③承包人无正当理由停工；</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④拒绝或不遵照发包人或监理工程师要求整改、更换或拆除有缺陷的工程，不合适的材料或物资的书面通知；或执行（整改）不力的。</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⑤中标后被发现有出卖资质、非法挂靠行为的中标人（承包人）。</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⑥其他执行通用条款和专用条款约定 。</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16.2.2承包人违约的责任</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承包人违约责任的承担方式和计算方法：</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①承包人违反合同约定进行转包或违法分包的：转包或分包合同无效，承包人应向发包人承担转包或分包合同金额 30%的违约金，并继续履行本合同；发包人也有权选择单方解除施工合同，清退施工人员并按合同总价的 20%收取违约金，在这种情况下，承包人必须在 10 日内退场，并且不得提出任何对发包人不利的要求。发包人若选择接受分包行为的，承包人应当与实际施工人就分包工程向发包人承担连带责任。</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②承包人违反合同约定采购和使用不合格的材料和工程设备的: 承包人采购的材料设备的品种、规格、型号、质量等级不能通过监理或发包人认可或不符</w:t>
      </w:r>
      <w:r>
        <w:rPr>
          <w:rFonts w:hint="eastAsia" w:ascii="仿宋" w:hAnsi="仿宋" w:eastAsia="仿宋" w:cs="仿宋"/>
          <w:color w:val="auto"/>
          <w:sz w:val="24"/>
          <w:szCs w:val="24"/>
          <w:highlight w:val="none"/>
          <w:u w:val="single"/>
        </w:rPr>
        <w:t xml:space="preserve">合样品要求的,监理或发包人有权拒绝相应的材料、设备进场使用，已经使用的，承包人应负责拆除更换并承担因此产生的一切费用和损失，所造成的工期延误等损失由承包人承担，且每发生一次，承包人向发包人支付 5000 元违约金。如承包人拒绝执行监理或发包人上述指令的，发包人有权单方解除合同，要求承包人清场，承包人应向发包人承担合同价款 20%的违约金，由此造成的发包人的损失和工期延误，由承包人负责赔偿。监理或发包人有权随时在指令规定的时间内一次或分几次从现场运离发包人认为不合格的任何材料或设备，所发生的费用由承包人承担。</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③因承包人原因导致工程质量不符合合同要求的：承包人应无条件整改直至满足合同要求，并承担因此所产生的一切费用和损失。整改所需时间计算在合同总工期内，因此造成的工期延误按照合同专用条款 7.5.2 执行。</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④承包人在缺陷责任期及保修期内，应根据本合同约定的期限对工程缺陷、损坏进行修复，承包人如未按时到场维修或经过两次及以上维修仍未能解决问题或承包人未按要求维修，发包人有权另行委托第三方进行维修，因此而产生的费用将从承包人履约保证金中双倍扣除，超支部分由承包人承担。缺陷责任期及保修期内因工程质量问题给发包人、业主或他人造成财产损失和人身伤害的，由承包人承担一切责任。</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⑤承包人明确表示或者以其行为表明不履行合同主要义务的：发包人有权单方解除合同并不再对承包人已完工程量进行结算，承包人应承担因此造成的一切损失。</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⑥承包人无正当理由停工: 如承包人施工期间无正当理由停工 48 小时或工期延误超过五天，发包人有权将承包人未完成工作量全部或部分发包给其他承包人进行施工，发包人与其它承包人的结算价款直接从承包人结算总价中扣除，不足部分仍由承包人承担，且承包人须无条件认可。</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工期延误达十天时，发包人有权单方解除合同，将承包人清退出场并更换施工单位，由此产生的所有损失由承包人负责赔偿，承包人还应向发包人支付合同总价款 20%的违约金。</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⑦拒绝或不遵照发包人或监理工程师要求整改、更换或拆除有缺陷的工程，不合适的材料或物资的书面通知；或执行（整改）不力的：发包人有权要求对承包人支付违约金，违约金数额为该缺陷部位工程造价的 1-3 倍；该违约金并不免除承包人的整改、更换工拆除责任及因此缺陷给发包人造成损失的赔偿责任。</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⑧承包人对本项目相关知识产权、成果文件及图纸的保密要求：未经发包人许可，除了绝对是为执行合同以外，承包人不能让第三者应用和向第三者通报相关知识产权、成果文件及图纸、规范及其它由发包人提供的任何资料或信息。如有违反，承包人应向发包人支付违约金，具体数额由发包人根据实际损失确定。</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承包人发生除本项第⑤目约定以外的其他违约情况时，监理人可向承包人发出整改通知，要求其在指定的期限内改正。若不能按期改正，按以下约定执行。</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由此造成的一切损失由承包人承担。由承包人承担全部费用并承担相关法律责任。</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16.2.3 因承包人违约解除合同</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关于承包人违约解除合同的特别约定：</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(1)不遵守交通法规，未按照规程操作发生有责交通事故的。</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(2)遇有重大活动或突发事件时，未按要求落实作业机具和人员，保障不力而造成不良影响的。</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(3)市领导及各级监管部门检查发现抄告问题未限期整改到位的。</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(4)管理混乱，发生人员集体上访的。</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(5)组织管理机构、人员素质、管理人数与投标承诺不符，无法完成本工程的。</w:t>
      </w:r>
      <w:r/>
    </w:p>
    <w:p>
      <w:pPr>
        <w:pStyle w:val="801"/>
        <w:rPr>
          <w:rFonts w:hint="eastAsia"/>
          <w:color w:val="auto"/>
          <w:highlight w:val="none"/>
        </w:rPr>
      </w:pPr>
      <w:r>
        <w:rPr>
          <w:rFonts w:hint="eastAsia"/>
          <w:color w:val="auto"/>
          <w:highlight w:val="none"/>
        </w:rPr>
        <w:t xml:space="preserve">17. 不可抗力 </w:t>
      </w:r>
      <w:r/>
    </w:p>
    <w:p>
      <w:pPr>
        <w:pStyle w:val="802"/>
        <w:ind w:firstLine="482"/>
        <w:rPr>
          <w:rFonts w:hint="eastAsia"/>
          <w:color w:val="auto"/>
          <w:highlight w:val="none"/>
        </w:rPr>
      </w:pPr>
      <w:r>
        <w:rPr>
          <w:rFonts w:hint="eastAsia"/>
          <w:color w:val="auto"/>
          <w:highlight w:val="none"/>
        </w:rPr>
        <w:t xml:space="preserve">17.1 不可抗力的确认</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除通用合同条款约定的不可抗力事件之外，视为不可抗力的其他情形： </w:t>
      </w:r>
      <w:r>
        <w:rPr>
          <w:rFonts w:hint="eastAsia" w:ascii="仿宋" w:hAnsi="仿宋" w:eastAsia="仿宋" w:cs="仿宋"/>
          <w:color w:val="auto"/>
          <w:sz w:val="24"/>
          <w:szCs w:val="24"/>
          <w:highlight w:val="none"/>
          <w:u w:val="single"/>
        </w:rPr>
        <w:t xml:space="preserve"> 政策调整，取消全部或部分工程内容 。必须由发包人书面认证并提供相关材料和文件。</w:t>
      </w:r>
      <w:r/>
    </w:p>
    <w:p>
      <w:pPr>
        <w:pStyle w:val="802"/>
        <w:ind w:firstLine="482"/>
        <w:rPr>
          <w:rFonts w:hint="eastAsia"/>
          <w:color w:val="auto"/>
          <w:highlight w:val="none"/>
        </w:rPr>
      </w:pPr>
      <w:r>
        <w:rPr>
          <w:rFonts w:hint="eastAsia"/>
          <w:color w:val="auto"/>
          <w:highlight w:val="none"/>
        </w:rPr>
        <w:t xml:space="preserve">17.4 因不可抗力解除合同</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合同解除后，发包人应在商定或确定发包人应支付款项后</w:t>
      </w:r>
      <w:r>
        <w:rPr>
          <w:rFonts w:hint="eastAsia" w:ascii="仿宋" w:hAnsi="仿宋" w:eastAsia="仿宋" w:cs="仿宋"/>
          <w:color w:val="auto"/>
          <w:sz w:val="24"/>
          <w:szCs w:val="24"/>
          <w:highlight w:val="none"/>
          <w:u w:val="single"/>
        </w:rPr>
        <w:t xml:space="preserve"> 56 </w:t>
      </w:r>
      <w:r>
        <w:rPr>
          <w:rFonts w:hint="eastAsia" w:ascii="仿宋" w:hAnsi="仿宋" w:eastAsia="仿宋" w:cs="仿宋"/>
          <w:color w:val="auto"/>
          <w:sz w:val="24"/>
          <w:szCs w:val="24"/>
          <w:highlight w:val="none"/>
        </w:rPr>
        <w:t xml:space="preserve">天内完成款项的支付。</w:t>
      </w:r>
      <w:r/>
    </w:p>
    <w:p>
      <w:pPr>
        <w:pStyle w:val="801"/>
        <w:rPr>
          <w:rFonts w:hint="eastAsia"/>
          <w:color w:val="auto"/>
          <w:highlight w:val="none"/>
        </w:rPr>
      </w:pPr>
      <w:r>
        <w:rPr>
          <w:rFonts w:hint="eastAsia"/>
          <w:color w:val="auto"/>
          <w:highlight w:val="none"/>
        </w:rPr>
        <w:t xml:space="preserve">18. 保险</w:t>
      </w:r>
      <w:r/>
    </w:p>
    <w:p>
      <w:pPr>
        <w:pStyle w:val="802"/>
        <w:ind w:firstLine="482"/>
        <w:rPr>
          <w:rFonts w:hint="eastAsia"/>
          <w:color w:val="auto"/>
          <w:highlight w:val="none"/>
        </w:rPr>
      </w:pPr>
      <w:r>
        <w:rPr>
          <w:rFonts w:hint="eastAsia"/>
          <w:color w:val="auto"/>
          <w:highlight w:val="none"/>
        </w:rPr>
        <w:t xml:space="preserve">18.1 工程保险</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关于工程保险的特别约定：</w:t>
      </w:r>
      <w:r>
        <w:rPr>
          <w:rFonts w:hint="eastAsia" w:ascii="仿宋" w:hAnsi="仿宋" w:eastAsia="仿宋" w:cs="仿宋"/>
          <w:color w:val="auto"/>
          <w:sz w:val="24"/>
          <w:szCs w:val="24"/>
          <w:highlight w:val="none"/>
          <w:u w:val="single"/>
        </w:rPr>
        <w:t xml:space="preserve">承包人投保并承担投保费用</w:t>
      </w:r>
      <w:r>
        <w:rPr>
          <w:rFonts w:hint="eastAsia" w:ascii="仿宋" w:hAnsi="仿宋" w:eastAsia="仿宋" w:cs="仿宋"/>
          <w:color w:val="auto"/>
          <w:sz w:val="24"/>
          <w:szCs w:val="24"/>
          <w:highlight w:val="none"/>
        </w:rPr>
        <w:t xml:space="preserve">。</w:t>
      </w:r>
      <w:r/>
    </w:p>
    <w:p>
      <w:pPr>
        <w:pStyle w:val="802"/>
        <w:ind w:firstLine="482"/>
        <w:rPr>
          <w:rFonts w:hint="eastAsia"/>
          <w:color w:val="auto"/>
          <w:highlight w:val="none"/>
        </w:rPr>
      </w:pPr>
      <w:r>
        <w:rPr>
          <w:rFonts w:hint="eastAsia"/>
          <w:color w:val="auto"/>
          <w:highlight w:val="none"/>
        </w:rPr>
        <w:t xml:space="preserve">18.3 其他保险</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关于其他保险的约定：</w:t>
      </w:r>
      <w:r>
        <w:rPr>
          <w:rFonts w:hint="eastAsia" w:ascii="仿宋" w:hAnsi="仿宋" w:eastAsia="仿宋" w:cs="仿宋"/>
          <w:color w:val="auto"/>
          <w:sz w:val="24"/>
          <w:szCs w:val="24"/>
          <w:highlight w:val="none"/>
          <w:u w:val="single"/>
        </w:rPr>
        <w:t xml:space="preserve">承包人应为其施工现场的全部人员办理意外伤害保险并支付保险费，包括其员工及为履行合同聘请的第三方的人员，若发生安全事故造成的一切人身伤害(包括第三人) 和经济损失均由承包人承担 </w:t>
      </w:r>
      <w:r>
        <w:rPr>
          <w:rFonts w:hint="eastAsia" w:ascii="仿宋" w:hAnsi="仿宋" w:eastAsia="仿宋" w:cs="仿宋"/>
          <w:color w:val="auto"/>
          <w:sz w:val="24"/>
          <w:szCs w:val="24"/>
          <w:highlight w:val="none"/>
        </w:rPr>
        <w:t xml:space="preserve">。</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承包人是否应为其施工设备等办理财产保险：</w:t>
      </w:r>
      <w:r>
        <w:rPr>
          <w:rFonts w:hint="eastAsia" w:ascii="仿宋" w:hAnsi="仿宋" w:eastAsia="仿宋" w:cs="仿宋"/>
          <w:color w:val="auto"/>
          <w:sz w:val="24"/>
          <w:szCs w:val="24"/>
          <w:highlight w:val="none"/>
          <w:u w:val="single"/>
        </w:rPr>
        <w:t xml:space="preserve">  是  </w:t>
      </w:r>
      <w:r>
        <w:rPr>
          <w:rFonts w:hint="eastAsia" w:ascii="仿宋" w:hAnsi="仿宋" w:eastAsia="仿宋" w:cs="仿宋"/>
          <w:color w:val="auto"/>
          <w:sz w:val="24"/>
          <w:szCs w:val="24"/>
          <w:highlight w:val="none"/>
        </w:rPr>
        <w:t xml:space="preserve">。</w:t>
      </w:r>
      <w:r/>
    </w:p>
    <w:p>
      <w:pPr>
        <w:pStyle w:val="802"/>
        <w:ind w:firstLine="482"/>
        <w:rPr>
          <w:rFonts w:hint="eastAsia"/>
          <w:color w:val="auto"/>
          <w:highlight w:val="none"/>
        </w:rPr>
      </w:pPr>
      <w:r>
        <w:rPr>
          <w:rFonts w:hint="eastAsia"/>
          <w:color w:val="auto"/>
          <w:highlight w:val="none"/>
        </w:rPr>
        <w:t xml:space="preserve">18.7 通知义务</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关于变更保险合同时的通知义务的约定：</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w:t>
      </w:r>
      <w:r/>
    </w:p>
    <w:p>
      <w:pPr>
        <w:pStyle w:val="801"/>
        <w:rPr>
          <w:rFonts w:hint="eastAsia"/>
          <w:color w:val="auto"/>
          <w:highlight w:val="none"/>
        </w:rPr>
      </w:pPr>
      <w:r>
        <w:rPr>
          <w:rFonts w:hint="eastAsia"/>
          <w:color w:val="auto"/>
          <w:highlight w:val="none"/>
        </w:rPr>
        <w:t xml:space="preserve">20.争议解决</w:t>
      </w:r>
      <w:r/>
    </w:p>
    <w:p>
      <w:pPr>
        <w:pStyle w:val="802"/>
        <w:ind w:firstLine="482"/>
        <w:rPr>
          <w:rFonts w:hint="eastAsia"/>
          <w:color w:val="auto"/>
          <w:highlight w:val="none"/>
        </w:rPr>
      </w:pPr>
      <w:r>
        <w:rPr>
          <w:rFonts w:hint="eastAsia"/>
          <w:color w:val="auto"/>
          <w:highlight w:val="none"/>
        </w:rPr>
        <w:t xml:space="preserve">20.3 争议评审</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合同当事人是否同意将工程争议提交争议评审小组决定：</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  </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20.1.1 争议评审小组的确定</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争议评审小组成员的确定：</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选定争议评审员的期限：</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争议评审小组成员的报酬承担方式：</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其他事项的约定：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20.1.2 争议评审小组的决定</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合同当事人关于本项的约定：</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w:t>
      </w:r>
      <w:r/>
    </w:p>
    <w:p>
      <w:pPr>
        <w:pStyle w:val="802"/>
        <w:ind w:firstLine="482"/>
        <w:rPr>
          <w:rFonts w:hint="eastAsia"/>
          <w:color w:val="auto"/>
          <w:highlight w:val="none"/>
        </w:rPr>
      </w:pPr>
      <w:r>
        <w:rPr>
          <w:rFonts w:hint="eastAsia"/>
          <w:color w:val="auto"/>
          <w:highlight w:val="none"/>
        </w:rPr>
        <w:t xml:space="preserve">20.4仲裁或诉讼</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因合同及合同有关事项发生的争议，按下列第</w:t>
      </w:r>
      <w:r>
        <w:rPr>
          <w:rFonts w:hint="eastAsia" w:ascii="仿宋" w:hAnsi="仿宋" w:eastAsia="仿宋" w:cs="仿宋"/>
          <w:color w:val="auto"/>
          <w:sz w:val="24"/>
          <w:szCs w:val="24"/>
          <w:highlight w:val="none"/>
          <w:u w:val="single"/>
        </w:rPr>
        <w:t xml:space="preserve">  2  </w:t>
      </w:r>
      <w:r>
        <w:rPr>
          <w:rFonts w:hint="eastAsia" w:ascii="仿宋" w:hAnsi="仿宋" w:eastAsia="仿宋" w:cs="仿宋"/>
          <w:color w:val="auto"/>
          <w:sz w:val="24"/>
          <w:szCs w:val="24"/>
          <w:highlight w:val="none"/>
        </w:rPr>
        <w:t xml:space="preserve">种方式解决：</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（1）向</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仲裁委员会申请仲裁；</w:t>
      </w:r>
      <w:r/>
    </w:p>
    <w:p>
      <w:pPr>
        <w:ind w:firstLine="420"/>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（2）向</w:t>
      </w:r>
      <w:r>
        <w:rPr>
          <w:rFonts w:hint="eastAsia" w:ascii="仿宋" w:hAnsi="仿宋" w:eastAsia="仿宋" w:cs="仿宋"/>
          <w:color w:val="auto"/>
          <w:sz w:val="24"/>
          <w:szCs w:val="24"/>
          <w:highlight w:val="none"/>
          <w:u w:val="single"/>
        </w:rPr>
        <w:t xml:space="preserve">       工程所在地     </w:t>
      </w:r>
      <w:r>
        <w:rPr>
          <w:rFonts w:hint="eastAsia" w:ascii="仿宋" w:hAnsi="仿宋" w:eastAsia="仿宋" w:cs="仿宋"/>
          <w:color w:val="auto"/>
          <w:sz w:val="24"/>
          <w:szCs w:val="24"/>
          <w:highlight w:val="none"/>
        </w:rPr>
        <w:t xml:space="preserve">人民法院起诉。</w:t>
      </w:r>
      <w:r/>
    </w:p>
    <w:p>
      <w:pPr>
        <w:pStyle w:val="801"/>
        <w:rPr>
          <w:rFonts w:hint="eastAsia"/>
          <w:color w:val="auto"/>
          <w:highlight w:val="none"/>
        </w:rPr>
      </w:pPr>
      <w:r>
        <w:rPr>
          <w:rFonts w:hint="eastAsia"/>
          <w:color w:val="auto"/>
          <w:highlight w:val="none"/>
        </w:rPr>
        <w:t xml:space="preserve">21. 补充条款</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21.1根据徐建重办[2015]20 号文件要求，为防止工程结算高估冒算，工程审减额若超过送审额的 7%以上（不含 7%），超出部分按审减额 5%给予扣款,发包人自工程款中扣罚。</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21.2本工程的下浮比率为（1-中标价/工程预算价）</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100%=    %，工程结算时需下浮的部分按此比率下浮。</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21.3承包人应在办理完现场确认后7日内（如设计变更等在图纸中能明确反映，无需现场确认的，可根据具体情况在相应工作开始前或结束后14日内）向监理提交“工程签证单”，承包人在规定的时间内不向监理单位提交“工程签证单”的，则认为该项变更不涉及合同价款变更、经济补偿和工期增加，逾期不予补签。</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签证的办理执行发包人《工程签证管理办法》（承包人进场后由发包人提供），审计单位审计结束，承包人、发包人确认审计结果，有异议的必须在7日内提出，否则视同认可。</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设计变更、现场签证、新增减工程等变更均须经设计院、监理工程师和发包人代表签字认可并加盖公章。否则不作为结算调整依据。承包人根据发包人书面确认的变更文件予以变更。变更文件中须明确原做法、变更后做法及工艺、材料名称、规格、品牌、尺寸等，标注要清晰。</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21.4供应商要对周围环境及各种影响施工的不利因素有充分了解和应对准备，施工期间要自行化解因施工对周围产生影响所造成的矛盾，并做好群众解释工作。因以上矛盾造成的误工，工期不予顺延。</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21.5投标报价应充分考虑施工场地狭窄对材料堆放、材料现场加工、安全设施搭建、标志指示牌的设置、施工对群众安全进出影响等，竣工结算不再对以上问题进行考虑。</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21.6施工方自行办理环保、交管、市政、渣土等部门的相关手续，费用按相关规定缴纳。</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21.7在本工程竣工时，承包人应把留在现场的所有施工设备和临时工程以及任何未使用过的材料撤离现场。发包人在任何时候对上述任何施工设备、临时工程或材料所受的损失或伤害概不负责。</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21.8社会保障费已包含在合同价款内，若由发包人缴付，则此部分费用从第一次付款节点扣回。</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21.9施工过程中，承包人无条件配合发包人处理周围相关事宜及相关分包工程的施工。</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21.10承包人必须遵守发包人现场的管理制度和规定，服从发包人及监理人的管理和监督检查。</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21.11施工过程中，承包人如违反现场管理制度和规定，发包人有权对承包人进行经济处罚，罚金必须3日内缴纳，若未按期缴纳，发包人有权暂缓支付工程款直至缴纳罚金。</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21.12对放线验线、关键工序、主要原材料、取芯检验等，发包人有权请权威机构或部门进行复核或检验，复核或检验结果合格则发包人承担相应费用；如不合格则承包人承担相应费用及造成的一切损失。</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21.13如承包人未按设计图纸、国家规范及合同要求施工，发包人可勒令承包人暂停施工，待承包人整改完毕并报经监理人、发包人验收同意后方可复工，由此造成的损失由承包人负责。</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21.14如承包人拒绝执行发包人的合理指令，发包人有权另行委托第三方执行指令，并视情节轻重对承包人处以10000元/次的违约金，且执行指令的费用由承包人支付；若承包人拒绝支付，则发包人有权从承包人工程款中扣除。如因发包人指令错误造成的损失费用则由发包人承担。</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 21.15对发包人支付的工程款，承包人应优先用于支付工人劳动报酬；承包人如有拖欠、克扣工人劳动报酬的行为并造成社会不良影响的，发包人有权在承包人工程款中扣除相应款项，按程序直接支付给承包人所属工人，同时承包人还应赔偿因此给发包人造成的一切损失。发生工人群访事件的（3 人以上），承包人向发包人支付合同金额5%违约金。</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21.16承包人建造师必须参加每周例会、专题会议和发包人组织召开的需承包人参加的有关会议，因故不能参加的应提前24小时向发包人提出申请，并在获得发包人批准后方可缺席，否则发包人将处10000元/次违约金。</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21.17施工期间，承包人不得辱骂、殴打、威胁发包人、监理人等，如若发生将处罚承包人1万元/次，停止支付工程款，并追究其法律责任，直至承包人向发包人保证此类事件不再发生。</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21.18施工临水、临电、排水、降水、道路等执行招标文件。</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21.19在施工现场土石方挖掘过程中，如若发现各种管线、公共设施、文物、古墓等，承包人应立即停止挖掘工作，并及时报告发包人与有关部门；如未及时报告或已造成损坏的，承包人负责无偿修复并承担赔偿责任。</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21.20因承包人原因造成工期延误，承包人除承担违约金外，还应承担因工期延误而产生的其他赔付费用（如有）。</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21.21本合同履行期间，承包人与第三方产生的债权、债务均由承包人自行解决，与发包人无关。</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未经发包人书面同意，承包人不得向第三人转让本合同的任何权利、义务。</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21.22本工程合同备案手续由承包人办理，发包人配合。</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21.23本工程材料与设备的材料试验费（含试件试样的取样、制作、封样、送检及检验试验费及取芯检测等）等由承包人在管理费中综合考虑，包干使用，结算时不作调整。进场材料抽检由承包人负责，投标时自行考虑在报价内，发包人不再支付此项费用。</w:t>
      </w:r>
      <w:r/>
    </w:p>
    <w:p>
      <w:pPr>
        <w:ind w:firstLine="48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21.24地方关系、施工涉及的交通协调费供应商自行综合考虑在投标报价内，就此项发包人不支付任何费用。</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21.25由于承包人施工质量原因，出现质量问题，承包人除按要求进行整改外并承担相应责任外，还应向发包人支付合同金额的5%/次违约金；</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21.26场地障碍物（包括地表、地下及围档增设开口）清除（包含挖填等处理）、场地内的积水处理、施工中为保证施工机械及构件进场和正常施工所发生的换填土、垫路、三边关系、周边关系相应的处理协调及其它的一切相关配合等所产生的费用由承包人承担。</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21.27甲乙双方管理人员以及相关其他人员在工程施工期间必须严格遵守廉洁从业规定。</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廉洁管理条款：承包人不得对发包人的工作人员有请吃、送礼行为。如有违反此规定除将违纪线索报有关纪检监察部门查处处理外，发包人将按下列标准扣减承包人应得的工程款。工程款竣工结算后被发现的，发包人有权向承包人按下列标准的金额追索违约金，且不受时效限制。</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(a)宴请或以其它方式提供消费的，按5，000元/次 。</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(b)所送礼品、现金、有价证券等，价值在5，000元以下的，按50，000元/次 。</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(c)所送礼品、现金、有价证券等，价值在5，000元以上的，按标段总造价的5%/次 。</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21.28本项目措施费支护、排水、降水等投标时自行考虑在报价内，结算时不再调整此项费用。</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21.29因本项目沟槽挖掘施工线路较长，需分段多次进场修复，供应商应充分考虑重复进退场费用且包含在响应报价中，结算时不再调整此项费用。</w:t>
      </w:r>
      <w:r/>
    </w:p>
    <w:p>
      <w:pPr>
        <w:ind w:firstLine="420"/>
        <w:spacing w:line="327"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21.30本项目验收按照《江苏省政府采购履约验收管理办法》执行，对履约验收发生的检测（检验）费、验收小组成员中的专业技术人员费用等支出，均由承包人承担，执行标准参照江苏省政府采购专家评审费，发包人不再支付其它任何费用。</w:t>
      </w:r>
      <w:r/>
    </w:p>
    <w:p>
      <w:pPr>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专用合同条款附件：</w:t>
      </w:r>
      <w:r/>
    </w:p>
    <w:p>
      <w:pPr>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附件1：工程质量保修书；</w:t>
      </w:r>
      <w:r/>
    </w:p>
    <w:p>
      <w:pPr>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附件2：承包人用于本工程施工的机械设备表；</w:t>
      </w:r>
      <w:r/>
    </w:p>
    <w:p>
      <w:pPr>
        <w:spacing w:line="32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附件3：承包人主要施工管理人员表；</w:t>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color w:val="auto"/>
          <w:highlight w:val="none"/>
        </w:rPr>
      </w:pPr>
      <w:r>
        <w:rPr>
          <w:color w:val="auto"/>
          <w:highlight w:val="none"/>
        </w:rPr>
      </w:r>
      <w:r/>
    </w:p>
    <w:p>
      <w:pPr>
        <w:jc w:val="left"/>
        <w:rPr>
          <w:rFonts w:hint="eastAsia" w:ascii="仿宋" w:hAnsi="仿宋" w:eastAsia="仿宋" w:cs="Arial"/>
          <w:b/>
          <w:color w:val="auto"/>
          <w:sz w:val="24"/>
          <w:szCs w:val="30"/>
          <w:highlight w:val="none"/>
        </w:rPr>
      </w:pPr>
      <w:r>
        <w:rPr>
          <w:rFonts w:hint="eastAsia"/>
          <w:color w:val="auto"/>
          <w:highlight w:val="none"/>
        </w:rPr>
        <w:br w:type="page" w:clear="all"/>
      </w:r>
      <w:r/>
    </w:p>
    <w:p>
      <w:pPr>
        <w:pStyle w:val="801"/>
        <w:rPr>
          <w:rFonts w:hint="eastAsia"/>
          <w:color w:val="auto"/>
          <w:highlight w:val="none"/>
        </w:rPr>
      </w:pPr>
      <w:r>
        <w:rPr>
          <w:rFonts w:hint="eastAsia"/>
          <w:color w:val="auto"/>
          <w:highlight w:val="none"/>
        </w:rPr>
        <w:t xml:space="preserve">附</w:t>
      </w:r>
      <w:bookmarkStart w:id="133" w:name="_Toc296891053"/>
      <w:r/>
      <w:bookmarkStart w:id="134" w:name="_Toc296347224"/>
      <w:r/>
      <w:bookmarkStart w:id="135" w:name="_Toc296503225"/>
      <w:r/>
      <w:bookmarkStart w:id="136" w:name="_Toc296891265"/>
      <w:r/>
      <w:bookmarkStart w:id="137" w:name="_Toc296346726"/>
      <w:r/>
      <w:bookmarkStart w:id="138" w:name="_Toc267261692"/>
      <w:r/>
      <w:bookmarkStart w:id="139" w:name="_Toc296944564"/>
      <w:r>
        <w:rPr>
          <w:rFonts w:hint="eastAsia"/>
          <w:color w:val="auto"/>
          <w:highlight w:val="none"/>
        </w:rPr>
        <w:t xml:space="preserve">件1：</w:t>
      </w:r>
      <w:bookmarkEnd w:id="133"/>
      <w:r/>
      <w:bookmarkEnd w:id="134"/>
      <w:r/>
      <w:bookmarkEnd w:id="135"/>
      <w:r/>
      <w:bookmarkEnd w:id="136"/>
      <w:r/>
      <w:bookmarkEnd w:id="137"/>
      <w:r/>
      <w:bookmarkEnd w:id="138"/>
      <w:r/>
      <w:bookmarkEnd w:id="139"/>
      <w:r/>
      <w:r/>
    </w:p>
    <w:p>
      <w:pPr>
        <w:jc w:val="center"/>
        <w:spacing w:line="264"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工程质量保修书</w:t>
      </w:r>
      <w:r/>
    </w:p>
    <w:p>
      <w:pPr>
        <w:ind w:firstLine="420"/>
        <w:spacing w:line="264"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发包人（全称）：</w:t>
      </w:r>
      <w:r>
        <w:rPr>
          <w:rFonts w:hint="eastAsia" w:ascii="仿宋" w:hAnsi="仿宋" w:eastAsia="仿宋" w:cs="仿宋"/>
          <w:color w:val="auto"/>
          <w:sz w:val="24"/>
          <w:szCs w:val="24"/>
          <w:highlight w:val="none"/>
          <w:u w:val="single"/>
          <w:lang w:eastAsia="zh-CN"/>
        </w:rPr>
        <w:t xml:space="preserve">徐州市鼓楼区城市管理局</w:t>
      </w:r>
      <w:r/>
    </w:p>
    <w:p>
      <w:pPr>
        <w:spacing w:line="264"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承包人（全称）：</w:t>
      </w:r>
      <w:r/>
    </w:p>
    <w:p>
      <w:pPr>
        <w:spacing w:line="264"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　　发包人和承包人根据《中华人民共和国建筑法》和《建设工程质量管理条例》，经协商一致就</w:t>
      </w:r>
      <w:r>
        <w:rPr>
          <w:rFonts w:hint="eastAsia" w:ascii="仿宋" w:hAnsi="仿宋" w:eastAsia="仿宋" w:cs="仿宋"/>
          <w:color w:val="auto"/>
          <w:sz w:val="24"/>
          <w:szCs w:val="24"/>
          <w:highlight w:val="none"/>
          <w:u w:val="single"/>
          <w:lang w:eastAsia="zh-CN"/>
        </w:rPr>
        <w:t xml:space="preserve">黄河东片区道路雨污分流路面修复工程项目</w:t>
      </w:r>
      <w:r>
        <w:rPr>
          <w:rFonts w:hint="eastAsia" w:ascii="仿宋" w:hAnsi="仿宋" w:eastAsia="仿宋" w:cs="仿宋"/>
          <w:color w:val="auto"/>
          <w:sz w:val="24"/>
          <w:szCs w:val="24"/>
          <w:highlight w:val="none"/>
        </w:rPr>
        <w:t xml:space="preserve">（工程全称）签订工程质量保修书。</w:t>
      </w:r>
      <w:r/>
    </w:p>
    <w:p>
      <w:pPr>
        <w:spacing w:line="264"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一、工程质量保修范围和内容</w:t>
      </w:r>
      <w:r/>
    </w:p>
    <w:p>
      <w:pPr>
        <w:spacing w:line="264"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承包人在质量保修期内，按照有关法律规定和合同约定，承担工程质量保修责任。</w:t>
      </w:r>
      <w:r/>
    </w:p>
    <w:p>
      <w:pPr>
        <w:spacing w:line="264"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具体保修的内容，双方约定如下：</w:t>
      </w:r>
      <w:r/>
    </w:p>
    <w:p>
      <w:pPr>
        <w:spacing w:line="264"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u w:val="single"/>
        </w:rPr>
        <w:t xml:space="preserve">承包人实施的全部工程，详见施工图及工程量清单所含全部内容。</w:t>
      </w:r>
      <w:r/>
    </w:p>
    <w:p>
      <w:pPr>
        <w:spacing w:line="264"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二、质量保修期</w:t>
      </w:r>
      <w:r/>
    </w:p>
    <w:p>
      <w:pPr>
        <w:ind w:firstLine="420"/>
        <w:spacing w:line="264"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根据《建设工程质量管理条例》及有关规定，工程的质量保修期如下：</w:t>
      </w:r>
      <w:r/>
    </w:p>
    <w:p>
      <w:pPr>
        <w:ind w:firstLine="420"/>
        <w:spacing w:line="264"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本工程保修期为 2 年；质量保修期自竣工验收合格、办理交付使用之日起计算 。</w:t>
      </w:r>
      <w:r/>
    </w:p>
    <w:p>
      <w:pPr>
        <w:spacing w:line="264"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三、缺陷责任期</w:t>
      </w:r>
      <w:r/>
    </w:p>
    <w:p>
      <w:pPr>
        <w:ind w:firstLine="420"/>
        <w:spacing w:line="264"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工程缺陷责任期为 </w:t>
      </w:r>
      <w:r>
        <w:rPr>
          <w:rFonts w:hint="eastAsia" w:ascii="仿宋" w:hAnsi="仿宋" w:eastAsia="仿宋" w:cs="仿宋"/>
          <w:color w:val="auto"/>
          <w:sz w:val="24"/>
          <w:szCs w:val="24"/>
          <w:highlight w:val="none"/>
          <w:u w:val="single"/>
        </w:rPr>
        <w:t xml:space="preserve">24  </w:t>
      </w:r>
      <w:r>
        <w:rPr>
          <w:rFonts w:hint="eastAsia" w:ascii="仿宋" w:hAnsi="仿宋" w:eastAsia="仿宋" w:cs="仿宋"/>
          <w:color w:val="auto"/>
          <w:sz w:val="24"/>
          <w:szCs w:val="24"/>
          <w:highlight w:val="none"/>
        </w:rPr>
        <w:t xml:space="preserve">个月，缺陷责任期自工程实际竣工之日起计算。单位工程先于全部工程进行验收，单位工程缺陷责任期自单位工程验收合格之日起算。</w:t>
      </w:r>
      <w:r/>
    </w:p>
    <w:p>
      <w:pPr>
        <w:spacing w:line="264"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四、质量保修责任</w:t>
      </w:r>
      <w:r/>
    </w:p>
    <w:p>
      <w:pPr>
        <w:ind w:firstLine="420"/>
        <w:spacing w:line="264"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1、属于保修范围、内容的项目，承包人应当在接到保修通知之日起6小时内派人保修。承包人不在约定期限内派人保修的，发包人可以委托他人修理。</w:t>
      </w:r>
      <w:r/>
    </w:p>
    <w:p>
      <w:pPr>
        <w:ind w:firstLine="420"/>
        <w:spacing w:line="264"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2、发生紧急事故需抢修的，承包人在接到事故通知后，应当立即到达事故现场抢修。</w:t>
      </w:r>
      <w:r/>
    </w:p>
    <w:p>
      <w:pPr>
        <w:ind w:firstLine="420"/>
        <w:spacing w:line="264"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20"/>
        <w:spacing w:line="264"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4、质量保修完成后，由发包人组织验收。</w:t>
      </w:r>
      <w:r/>
    </w:p>
    <w:p>
      <w:pPr>
        <w:spacing w:line="264"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五、保修费用</w:t>
      </w:r>
      <w:r/>
    </w:p>
    <w:p>
      <w:pPr>
        <w:ind w:firstLine="420"/>
        <w:spacing w:line="264"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保修费用由造成质量缺陷的责任方承担。</w:t>
      </w:r>
      <w:r/>
    </w:p>
    <w:p>
      <w:pPr>
        <w:spacing w:line="264" w:lineRule="auto"/>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六</w:t>
      </w:r>
      <w:r>
        <w:rPr>
          <w:rFonts w:hint="eastAsia" w:ascii="仿宋" w:hAnsi="仿宋" w:eastAsia="仿宋" w:cs="仿宋"/>
          <w:color w:val="auto"/>
          <w:sz w:val="24"/>
          <w:szCs w:val="24"/>
          <w:highlight w:val="none"/>
        </w:rPr>
        <w:t xml:space="preserve">、双方约定的其他工程质量保修事项：</w:t>
      </w:r>
      <w:r/>
    </w:p>
    <w:p>
      <w:pPr>
        <w:ind w:firstLine="420"/>
        <w:spacing w:line="264"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承包人在竣工交付后落实专人负责向发包人办理交付手续，在保修期内承包人明确专人服务。承包人在竣工交付的同时以公函形式明确人员、联系方法、通讯地址，在保修期内如有变化，承包人应以公函形式告知发包人，联系不上、保修函被退回的情况均视为已通知到承包人。</w:t>
      </w:r>
      <w:r/>
    </w:p>
    <w:p>
      <w:pPr>
        <w:ind w:firstLine="420"/>
        <w:spacing w:line="264"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（2）如因承包人的责任，造成直接或间接损失，由承包人负责赔偿。 </w:t>
      </w:r>
      <w:r/>
    </w:p>
    <w:p>
      <w:pPr>
        <w:ind w:firstLine="399"/>
        <w:spacing w:line="264"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工程质量保修书由发包人、承包人在工程竣工验收前共同签署，作为施工合同附件，其有效期限至保修期满。</w:t>
      </w:r>
      <w:r/>
    </w:p>
    <w:p>
      <w:pPr>
        <w:spacing w:line="264"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发包人(公章)：                          承包人(公章)：</w:t>
      </w:r>
      <w:r/>
    </w:p>
    <w:p>
      <w:pPr>
        <w:spacing w:line="264"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  年  月  日                      日期：  年  月  日 </w:t>
      </w:r>
      <w:r/>
    </w:p>
    <w:p>
      <w:pPr>
        <w:spacing w:line="264"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法定代表人(签字)：                      法定代表人(签字)：</w:t>
      </w:r>
      <w:r/>
    </w:p>
    <w:p>
      <w:pPr>
        <w:spacing w:line="264" w:lineRule="auto"/>
        <w:rPr>
          <w:color w:val="auto"/>
          <w:highlight w:val="none"/>
        </w:rPr>
      </w:pPr>
      <w:r>
        <w:rPr>
          <w:rFonts w:hint="eastAsia" w:ascii="仿宋" w:hAnsi="仿宋" w:eastAsia="仿宋" w:cs="仿宋"/>
          <w:color w:val="auto"/>
          <w:sz w:val="24"/>
          <w:szCs w:val="24"/>
          <w:highlight w:val="none"/>
        </w:rPr>
        <w:t xml:space="preserve">委托代理人(签字)：                      委托代理人(签字)：</w:t>
      </w:r>
      <w:r/>
    </w:p>
    <w:p>
      <w:pPr>
        <w:pStyle w:val="801"/>
        <w:rPr>
          <w:rFonts w:hint="eastAsia" w:cs="仿宋"/>
          <w:color w:val="auto"/>
          <w:szCs w:val="24"/>
          <w:highlight w:val="none"/>
        </w:rPr>
      </w:pPr>
      <w:r>
        <w:rPr>
          <w:rFonts w:hint="eastAsia" w:cs="仿宋"/>
          <w:color w:val="auto"/>
          <w:szCs w:val="24"/>
          <w:highlight w:val="none"/>
        </w:rPr>
      </w:r>
      <w:r/>
    </w:p>
    <w:p>
      <w:pPr>
        <w:pStyle w:val="801"/>
        <w:rPr>
          <w:rFonts w:hint="eastAsia" w:cs="仿宋"/>
          <w:color w:val="auto"/>
          <w:szCs w:val="24"/>
          <w:highlight w:val="none"/>
        </w:rPr>
      </w:pPr>
      <w:r>
        <w:rPr>
          <w:rFonts w:hint="eastAsia" w:cs="仿宋"/>
          <w:color w:val="auto"/>
          <w:szCs w:val="24"/>
          <w:highlight w:val="none"/>
        </w:rPr>
        <w:t xml:space="preserve">附件2：</w:t>
      </w:r>
      <w:r/>
    </w:p>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承包人用于本工程施工的机械设备表</w:t>
      </w:r>
      <w:r/>
    </w:p>
    <w:tbl>
      <w:tblPr>
        <w:tblStyle w:val="809"/>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jc w:val="center"/>
        </w:trPr>
        <w:tc>
          <w:tcPr>
            <w:tcBorders>
              <w:top w:val="single" w:color="auto" w:sz="12" w:space="0"/>
              <w:bottom w:val="single" w:color="auto" w:sz="6" w:space="0"/>
            </w:tcBorders>
            <w:tcW w:w="1162"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Borders>
              <w:top w:val="single" w:color="auto" w:sz="12" w:space="0"/>
              <w:bottom w:val="single" w:color="auto" w:sz="6" w:space="0"/>
            </w:tcBorders>
            <w:tcW w:w="1418"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机械或设备名称</w:t>
            </w:r>
            <w:r/>
          </w:p>
        </w:tc>
        <w:tc>
          <w:tcPr>
            <w:tcBorders>
              <w:top w:val="single" w:color="auto" w:sz="12" w:space="0"/>
              <w:bottom w:val="single" w:color="auto" w:sz="6" w:space="0"/>
            </w:tcBorders>
            <w:tcW w:w="850"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规格型号</w:t>
            </w:r>
            <w:r/>
          </w:p>
        </w:tc>
        <w:tc>
          <w:tcPr>
            <w:tcBorders>
              <w:top w:val="single" w:color="auto" w:sz="12" w:space="0"/>
              <w:bottom w:val="single" w:color="auto" w:sz="6" w:space="0"/>
            </w:tcBorders>
            <w:tcW w:w="1058"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数量</w:t>
            </w:r>
            <w:r/>
          </w:p>
        </w:tc>
        <w:tc>
          <w:tcPr>
            <w:tcBorders>
              <w:top w:val="single" w:color="auto" w:sz="12" w:space="0"/>
              <w:bottom w:val="single" w:color="auto" w:sz="6" w:space="0"/>
            </w:tcBorders>
            <w:tcW w:w="880"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产地</w:t>
            </w:r>
            <w:r/>
          </w:p>
        </w:tc>
        <w:tc>
          <w:tcPr>
            <w:tcBorders>
              <w:top w:val="single" w:color="auto" w:sz="12" w:space="0"/>
              <w:bottom w:val="single" w:color="auto" w:sz="6" w:space="0"/>
            </w:tcBorders>
            <w:tcW w:w="1020"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制造年份</w:t>
            </w:r>
            <w:r/>
          </w:p>
        </w:tc>
        <w:tc>
          <w:tcPr>
            <w:tcBorders>
              <w:top w:val="single" w:color="auto" w:sz="12" w:space="0"/>
              <w:bottom w:val="single" w:color="auto" w:sz="6" w:space="0"/>
            </w:tcBorders>
            <w:tcW w:w="1480"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额定功率(kW)</w:t>
            </w:r>
            <w:r/>
          </w:p>
        </w:tc>
        <w:tc>
          <w:tcPr>
            <w:tcBorders>
              <w:top w:val="single" w:color="auto" w:sz="12" w:space="0"/>
              <w:bottom w:val="single" w:color="auto" w:sz="6" w:space="0"/>
            </w:tcBorders>
            <w:tcW w:w="1020"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生产能力</w:t>
            </w:r>
            <w:r/>
          </w:p>
        </w:tc>
        <w:tc>
          <w:tcPr>
            <w:tcBorders>
              <w:top w:val="single" w:color="auto" w:sz="12" w:space="0"/>
              <w:bottom w:val="single" w:color="auto" w:sz="6" w:space="0"/>
            </w:tcBorders>
            <w:tcW w:w="921"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jc w:val="center"/>
          <w:trHeight w:val="567"/>
        </w:trPr>
        <w:tc>
          <w:tcPr>
            <w:tcBorders>
              <w:top w:val="single" w:color="auto" w:sz="6" w:space="0"/>
              <w:bottom w:val="single" w:color="auto" w:sz="6" w:space="0"/>
            </w:tcBorders>
            <w:tcW w:w="1162"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bottom w:val="single" w:color="auto" w:sz="6" w:space="0"/>
            </w:tcBorders>
            <w:tcW w:w="1418"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bottom w:val="single" w:color="auto" w:sz="6" w:space="0"/>
            </w:tcBorders>
            <w:tcW w:w="850"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bottom w:val="single" w:color="auto" w:sz="6" w:space="0"/>
            </w:tcBorders>
            <w:tcW w:w="1058"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bottom w:val="single" w:color="auto" w:sz="6" w:space="0"/>
            </w:tcBorders>
            <w:tcW w:w="880"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bottom w:val="single" w:color="auto" w:sz="6" w:space="0"/>
            </w:tcBorders>
            <w:tcW w:w="1020"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bottom w:val="single" w:color="auto" w:sz="6" w:space="0"/>
            </w:tcBorders>
            <w:tcW w:w="1480"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bottom w:val="single" w:color="auto" w:sz="6" w:space="0"/>
            </w:tcBorders>
            <w:tcW w:w="1020"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bottom w:val="single" w:color="auto" w:sz="6" w:space="0"/>
            </w:tcBorders>
            <w:tcW w:w="921"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67"/>
        </w:trPr>
        <w:tc>
          <w:tcPr>
            <w:tcBorders>
              <w:top w:val="none" w:color="000000" w:sz="4" w:space="0"/>
            </w:tcBorders>
            <w:tcW w:w="1162"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tcBorders>
            <w:tcW w:w="1418"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tcBorders>
            <w:tcW w:w="850"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tcBorders>
            <w:tcW w:w="1058"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tcBorders>
            <w:tcW w:w="880"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tcBorders>
            <w:tcW w:w="1020"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tcBorders>
            <w:tcW w:w="1480"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tcBorders>
            <w:tcW w:w="1020"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tcBorders>
            <w:tcW w:w="921"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67"/>
        </w:trPr>
        <w:tc>
          <w:tcPr>
            <w:tcW w:w="1162"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18"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50"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058"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80"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020"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80"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020"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21"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67"/>
        </w:trPr>
        <w:tc>
          <w:tcPr>
            <w:tcW w:w="1162"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18"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50"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058"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80"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020"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80"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020"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21"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67"/>
        </w:trPr>
        <w:tc>
          <w:tcPr>
            <w:tcW w:w="1162"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18"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50"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058"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80"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020"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80"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020"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21"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67"/>
        </w:trPr>
        <w:tc>
          <w:tcPr>
            <w:tcW w:w="1162"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18"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50"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058"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80"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020"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80"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020"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21"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67"/>
        </w:trPr>
        <w:tc>
          <w:tcPr>
            <w:tcW w:w="1162"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18"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50"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058"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80"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020"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80"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020"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21"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67"/>
        </w:trPr>
        <w:tc>
          <w:tcPr>
            <w:tcW w:w="1162"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18"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50"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058"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80"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020"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80"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020"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21"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67"/>
        </w:trPr>
        <w:tc>
          <w:tcPr>
            <w:tcW w:w="1162"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18"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50"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058"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80"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020"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80"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020"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21"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67"/>
        </w:trPr>
        <w:tc>
          <w:tcPr>
            <w:tcW w:w="1162"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18"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50"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058"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80"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020"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80"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020"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21"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67"/>
        </w:trPr>
        <w:tc>
          <w:tcPr>
            <w:tcW w:w="1162"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18"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50"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058"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80"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020"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80"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020"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21"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67"/>
        </w:trPr>
        <w:tc>
          <w:tcPr>
            <w:tcW w:w="1162"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18"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50"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058"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80"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020"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80"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020"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21"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67"/>
        </w:trPr>
        <w:tc>
          <w:tcPr>
            <w:tcW w:w="1162"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18"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50"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058"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80"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020"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80"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020"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21"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67"/>
        </w:trPr>
        <w:tc>
          <w:tcPr>
            <w:tcW w:w="1162"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18"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50"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058"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80"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020"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80"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020"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21" w:type="dxa"/>
            <w:vAlign w:val="center"/>
            <w:textDirection w:val="lrTb"/>
            <w:noWrap w:val="false"/>
          </w:tcPr>
          <w:p>
            <w:pPr>
              <w:ind w:right="72"/>
              <w:jc w:val="left"/>
              <w:keepNext/>
              <w:spacing w:after="12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256" w:right="6" w:firstLine="56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clear="all"/>
      </w:r>
      <w:r/>
    </w:p>
    <w:p>
      <w:pPr>
        <w:pStyle w:val="801"/>
        <w:rPr>
          <w:rFonts w:hint="eastAsia"/>
          <w:color w:val="auto"/>
          <w:highlight w:val="none"/>
        </w:rPr>
      </w:pPr>
      <w:r>
        <w:rPr>
          <w:rFonts w:hint="eastAsia"/>
          <w:color w:val="auto"/>
          <w:highlight w:val="none"/>
        </w:rPr>
        <w:t xml:space="preserve">附</w:t>
      </w:r>
      <w:bookmarkStart w:id="140" w:name="_Toc296891268"/>
      <w:r/>
      <w:bookmarkStart w:id="141" w:name="_Toc267261699"/>
      <w:r/>
      <w:bookmarkStart w:id="142" w:name="_Toc296347227"/>
      <w:r/>
      <w:bookmarkStart w:id="143" w:name="_Toc296503228"/>
      <w:r/>
      <w:bookmarkStart w:id="144" w:name="_Toc296891056"/>
      <w:r/>
      <w:bookmarkStart w:id="145" w:name="_Toc296944567"/>
      <w:r/>
      <w:bookmarkStart w:id="146" w:name="_Toc296346729"/>
      <w:r>
        <w:rPr>
          <w:rFonts w:hint="eastAsia"/>
          <w:color w:val="auto"/>
          <w:highlight w:val="none"/>
        </w:rPr>
        <w:t xml:space="preserve">件3：</w:t>
      </w:r>
      <w:bookmarkEnd w:id="140"/>
      <w:r/>
      <w:bookmarkEnd w:id="141"/>
      <w:r/>
      <w:bookmarkEnd w:id="142"/>
      <w:r/>
      <w:bookmarkEnd w:id="143"/>
      <w:r/>
      <w:bookmarkEnd w:id="144"/>
      <w:r/>
      <w:bookmarkEnd w:id="145"/>
      <w:r/>
      <w:bookmarkEnd w:id="146"/>
      <w:r/>
      <w:r/>
    </w:p>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承包人主要施工管理人员表</w:t>
      </w:r>
      <w:r/>
    </w:p>
    <w:tbl>
      <w:tblPr>
        <w:tblStyle w:val="809"/>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Height w:val="567"/>
        </w:trPr>
        <w:tc>
          <w:tcPr>
            <w:tcBorders>
              <w:top w:val="single" w:color="auto" w:sz="12" w:space="0"/>
              <w:bottom w:val="single" w:color="auto" w:sz="6" w:space="0"/>
            </w:tcBorders>
            <w:tcW w:w="1871"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名称</w:t>
            </w:r>
            <w:r/>
          </w:p>
        </w:tc>
        <w:tc>
          <w:tcPr>
            <w:tcBorders>
              <w:top w:val="single" w:color="auto" w:sz="12" w:space="0"/>
              <w:bottom w:val="single" w:color="auto" w:sz="6" w:space="0"/>
            </w:tcBorders>
            <w:tcW w:w="1418"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姓名</w:t>
            </w:r>
            <w:r/>
          </w:p>
        </w:tc>
        <w:tc>
          <w:tcPr>
            <w:tcBorders>
              <w:top w:val="single" w:color="auto" w:sz="12" w:space="0"/>
              <w:bottom w:val="single" w:color="auto" w:sz="6" w:space="0"/>
            </w:tcBorders>
            <w:tcW w:w="1134"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职务</w:t>
            </w:r>
            <w:r/>
          </w:p>
        </w:tc>
        <w:tc>
          <w:tcPr>
            <w:tcBorders>
              <w:top w:val="single" w:color="auto" w:sz="12" w:space="0"/>
              <w:bottom w:val="single" w:color="auto" w:sz="6" w:space="0"/>
            </w:tcBorders>
            <w:tcW w:w="1134"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职称</w:t>
            </w:r>
            <w:r/>
          </w:p>
        </w:tc>
        <w:tc>
          <w:tcPr>
            <w:tcBorders>
              <w:top w:val="single" w:color="auto" w:sz="12" w:space="0"/>
              <w:bottom w:val="single" w:color="auto" w:sz="6" w:space="0"/>
            </w:tcBorders>
            <w:tcW w:w="4252"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主要资历、经验及承担过的项目</w:t>
            </w:r>
            <w:r/>
          </w:p>
        </w:tc>
      </w:tr>
      <w:tr>
        <w:trPr>
          <w:jc w:val="center"/>
          <w:trHeight w:val="567"/>
        </w:trPr>
        <w:tc>
          <w:tcPr>
            <w:gridSpan w:val="5"/>
            <w:tcBorders>
              <w:top w:val="single" w:color="auto" w:sz="6" w:space="0"/>
              <w:bottom w:val="single" w:color="auto" w:sz="6" w:space="0"/>
            </w:tcBorders>
            <w:tcW w:w="9809"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一、总部人员</w:t>
            </w:r>
            <w:r/>
          </w:p>
        </w:tc>
      </w:tr>
      <w:tr>
        <w:trPr>
          <w:jc w:val="center"/>
          <w:trHeight w:val="567"/>
        </w:trPr>
        <w:tc>
          <w:tcPr>
            <w:tcBorders>
              <w:top w:val="none" w:color="000000" w:sz="4" w:space="0"/>
              <w:bottom w:val="none" w:color="000000" w:sz="4" w:space="0"/>
            </w:tcBorders>
            <w:tcW w:w="1871"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项目主管</w:t>
            </w:r>
            <w:r/>
          </w:p>
        </w:tc>
        <w:tc>
          <w:tcPr>
            <w:tcBorders>
              <w:top w:val="none" w:color="000000" w:sz="4" w:space="0"/>
            </w:tcBorders>
            <w:tcW w:w="1418"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tcBorders>
            <w:tcW w:w="1134"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tcBorders>
            <w:tcW w:w="1134"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tcBorders>
            <w:tcW w:w="4252"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67"/>
        </w:trPr>
        <w:tc>
          <w:tcPr>
            <w:tcBorders>
              <w:top w:val="single" w:color="auto" w:sz="6" w:space="0"/>
              <w:bottom w:val="none" w:color="000000" w:sz="4" w:space="0"/>
            </w:tcBorders>
            <w:tcW w:w="1871"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18"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4252"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67"/>
        </w:trPr>
        <w:tc>
          <w:tcPr>
            <w:tcBorders>
              <w:top w:val="none" w:color="000000" w:sz="4" w:space="0"/>
              <w:bottom w:val="none" w:color="000000" w:sz="4" w:space="0"/>
            </w:tcBorders>
            <w:tcW w:w="1871"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其他人员</w:t>
            </w:r>
            <w:r/>
          </w:p>
        </w:tc>
        <w:tc>
          <w:tcPr>
            <w:tcW w:w="1418"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4252"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67"/>
        </w:trPr>
        <w:tc>
          <w:tcPr>
            <w:tcBorders>
              <w:top w:val="none" w:color="000000" w:sz="4" w:space="0"/>
              <w:bottom w:val="none" w:color="000000" w:sz="4" w:space="0"/>
            </w:tcBorders>
            <w:tcW w:w="1871"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18"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4252"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67"/>
        </w:trPr>
        <w:tc>
          <w:tcPr>
            <w:gridSpan w:val="5"/>
            <w:tcBorders>
              <w:top w:val="single" w:color="auto" w:sz="6" w:space="0"/>
              <w:bottom w:val="single" w:color="auto" w:sz="6" w:space="0"/>
            </w:tcBorders>
            <w:tcW w:w="9809"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二、现场人员</w:t>
            </w:r>
            <w:r/>
          </w:p>
        </w:tc>
      </w:tr>
      <w:tr>
        <w:trPr>
          <w:jc w:val="center"/>
          <w:trHeight w:val="567"/>
        </w:trPr>
        <w:tc>
          <w:tcPr>
            <w:tcBorders>
              <w:top w:val="single" w:color="auto" w:sz="6" w:space="0"/>
              <w:bottom w:val="single" w:color="auto" w:sz="6" w:space="0"/>
            </w:tcBorders>
            <w:tcW w:w="1871"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项目经理</w:t>
            </w:r>
            <w:r/>
          </w:p>
        </w:tc>
        <w:tc>
          <w:tcPr>
            <w:tcW w:w="1418"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4252"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67"/>
        </w:trPr>
        <w:tc>
          <w:tcPr>
            <w:tcBorders>
              <w:top w:val="single" w:color="auto" w:sz="6" w:space="0"/>
              <w:bottom w:val="single" w:color="auto" w:sz="6" w:space="0"/>
            </w:tcBorders>
            <w:tcW w:w="1871"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项目副经理</w:t>
            </w:r>
            <w:r/>
          </w:p>
        </w:tc>
        <w:tc>
          <w:tcPr>
            <w:tcW w:w="1418"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4252"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67"/>
        </w:trPr>
        <w:tc>
          <w:tcPr>
            <w:tcBorders>
              <w:top w:val="single" w:color="auto" w:sz="6" w:space="0"/>
              <w:bottom w:val="single" w:color="auto" w:sz="6" w:space="0"/>
            </w:tcBorders>
            <w:tcW w:w="1871"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技术负责人</w:t>
            </w:r>
            <w:r/>
          </w:p>
        </w:tc>
        <w:tc>
          <w:tcPr>
            <w:tcW w:w="1418"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4252"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67"/>
        </w:trPr>
        <w:tc>
          <w:tcPr>
            <w:tcBorders>
              <w:top w:val="single" w:color="auto" w:sz="6" w:space="0"/>
              <w:bottom w:val="single" w:color="auto" w:sz="6" w:space="0"/>
            </w:tcBorders>
            <w:tcW w:w="1871"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造价管理</w:t>
            </w:r>
            <w:r/>
          </w:p>
        </w:tc>
        <w:tc>
          <w:tcPr>
            <w:tcW w:w="1418"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4252"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67"/>
        </w:trPr>
        <w:tc>
          <w:tcPr>
            <w:tcBorders>
              <w:top w:val="single" w:color="auto" w:sz="6" w:space="0"/>
              <w:bottom w:val="single" w:color="auto" w:sz="6" w:space="0"/>
            </w:tcBorders>
            <w:tcW w:w="1871"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质量管理</w:t>
            </w:r>
            <w:r/>
          </w:p>
        </w:tc>
        <w:tc>
          <w:tcPr>
            <w:tcW w:w="1418"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4252"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67"/>
        </w:trPr>
        <w:tc>
          <w:tcPr>
            <w:tcBorders>
              <w:top w:val="single" w:color="auto" w:sz="6" w:space="0"/>
              <w:bottom w:val="single" w:color="auto" w:sz="6" w:space="0"/>
            </w:tcBorders>
            <w:tcW w:w="1871"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材料管理</w:t>
            </w:r>
            <w:r/>
          </w:p>
        </w:tc>
        <w:tc>
          <w:tcPr>
            <w:tcW w:w="1418"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4252"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67"/>
        </w:trPr>
        <w:tc>
          <w:tcPr>
            <w:tcBorders>
              <w:top w:val="single" w:color="auto" w:sz="6" w:space="0"/>
              <w:bottom w:val="single" w:color="auto" w:sz="6" w:space="0"/>
            </w:tcBorders>
            <w:tcW w:w="1871"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计划管理</w:t>
            </w:r>
            <w:r/>
          </w:p>
        </w:tc>
        <w:tc>
          <w:tcPr>
            <w:tcW w:w="1418"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4252"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67"/>
        </w:trPr>
        <w:tc>
          <w:tcPr>
            <w:tcBorders>
              <w:top w:val="single" w:color="auto" w:sz="6" w:space="0"/>
              <w:bottom w:val="single" w:color="auto" w:sz="6" w:space="0"/>
            </w:tcBorders>
            <w:tcW w:w="1871"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安全管理</w:t>
            </w:r>
            <w:r/>
          </w:p>
        </w:tc>
        <w:tc>
          <w:tcPr>
            <w:tcW w:w="1418"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4252"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67"/>
        </w:trPr>
        <w:tc>
          <w:tcPr>
            <w:tcBorders>
              <w:top w:val="single" w:color="auto" w:sz="6" w:space="0"/>
            </w:tcBorders>
            <w:tcW w:w="1871" w:type="dxa"/>
            <w:vAlign w:val="center"/>
            <w:vMerge w:val="restart"/>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其他人员</w:t>
            </w:r>
            <w:r/>
          </w:p>
        </w:tc>
        <w:tc>
          <w:tcPr>
            <w:tcW w:w="1418"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4252"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67"/>
        </w:trPr>
        <w:tc>
          <w:tcPr>
            <w:tcW w:w="1871" w:type="dxa"/>
            <w:vAlign w:val="center"/>
            <w:vMerge w:val="continue"/>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bottom w:val="none" w:color="000000" w:sz="4" w:space="0"/>
            </w:tcBorders>
            <w:tcW w:w="1418"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bottom w:val="none" w:color="000000" w:sz="4" w:space="0"/>
            </w:tcBorders>
            <w:tcW w:w="1134"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bottom w:val="none" w:color="000000" w:sz="4" w:space="0"/>
            </w:tcBorders>
            <w:tcW w:w="1134"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bottom w:val="none" w:color="000000" w:sz="4" w:space="0"/>
            </w:tcBorders>
            <w:tcW w:w="4252"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67"/>
        </w:trPr>
        <w:tc>
          <w:tcPr>
            <w:tcW w:w="1871" w:type="dxa"/>
            <w:vAlign w:val="center"/>
            <w:vMerge w:val="continue"/>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18"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34"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4252"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67"/>
        </w:trPr>
        <w:tc>
          <w:tcPr>
            <w:tcBorders>
              <w:bottom w:val="single" w:color="auto" w:sz="12" w:space="0"/>
            </w:tcBorders>
            <w:tcW w:w="1871" w:type="dxa"/>
            <w:vAlign w:val="center"/>
            <w:vMerge w:val="continue"/>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bottom w:val="single" w:color="auto" w:sz="12" w:space="0"/>
            </w:tcBorders>
            <w:tcW w:w="1418"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bottom w:val="single" w:color="auto" w:sz="12" w:space="0"/>
            </w:tcBorders>
            <w:tcW w:w="1134"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bottom w:val="single" w:color="auto" w:sz="12" w:space="0"/>
            </w:tcBorders>
            <w:tcW w:w="1134"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bottom w:val="single" w:color="auto" w:sz="12" w:space="0"/>
            </w:tcBorders>
            <w:tcW w:w="4252" w:type="dxa"/>
            <w:vAlign w:val="center"/>
            <w:textDirection w:val="lrTb"/>
            <w:noWrap w:val="false"/>
          </w:tcPr>
          <w:p>
            <w:pPr>
              <w:ind w:right="72"/>
              <w:jc w:val="left"/>
              <w:keepNext/>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bookmarkEnd w:id="93"/>
            <w:bookmarkEnd w:id="100"/>
            <w:r/>
          </w:p>
        </w:tc>
      </w:tr>
    </w:tbl>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360" w:lineRule="auto"/>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r>
      <w:r/>
    </w:p>
    <w:sectPr>
      <w:headerReference w:type="default" r:id="rId11"/>
      <w:footerReference w:type="default" r:id="rId15"/>
      <w:footerReference w:type="first" r:id="rId16"/>
      <w:footnotePr/>
      <w:endnotePr/>
      <w:type w:val="nextPage"/>
      <w:pgSz w:w="11906" w:h="16838" w:orient="portrait"/>
      <w:pgMar w:top="1440" w:right="1080" w:bottom="1440" w:left="108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隶书">
    <w:panose1 w:val="02010509060101010101"/>
  </w:font>
  <w:font w:name="Wingdings">
    <w:panose1 w:val="05000000000000000000"/>
  </w:font>
  <w:font w:name="Symbol">
    <w:panose1 w:val="05050102010706020507"/>
  </w:font>
  <w:font w:name="新宋体">
    <w:panose1 w:val="02010609030101010101"/>
  </w:font>
  <w:font w:name="方正仿宋简体">
    <w:panose1 w:val="020B0503020202020204"/>
  </w:font>
  <w:font w:name="Calibri Light">
    <w:panose1 w:val="020F0302020204030204"/>
  </w:font>
  <w:font w:name="Cambria">
    <w:panose1 w:val="02040503050406030204"/>
  </w:font>
  <w:font w:name="Courier New">
    <w:panose1 w:val="02070309020205020404"/>
  </w:font>
  <w:font w:name="仿宋_GB2312">
    <w:panose1 w:val="02010609060101010101"/>
  </w:font>
  <w:font w:name="黑体">
    <w:panose1 w:val="02010609060101010101"/>
  </w:font>
  <w:font w:name="仿宋">
    <w:panose1 w:val="02010609060101010101"/>
  </w:font>
  <w:font w:name="等线 Light">
    <w:panose1 w:val="02010600030101010101"/>
  </w:font>
  <w:font w:name="文鼎粗黑">
    <w:panose1 w:val="020B0503020202020204"/>
  </w:font>
  <w:font w:name="长城仿宋">
    <w:panose1 w:val="020B0503020202020204"/>
  </w:font>
  <w:font w:name="Arial">
    <w:panose1 w:val="020B0604020202020204"/>
  </w:font>
  <w:font w:name="Calibri">
    <w:panose1 w:val="020F0502020204030204"/>
  </w:font>
  <w:font w:name="宋体">
    <w:panose1 w:val="02010600030101010101"/>
  </w:font>
  <w:font w:name="Times New Roman">
    <w:panose1 w:val="02020603050405020304"/>
  </w:font>
  <w:font w:name="Malgun Gothic">
    <w:panose1 w:val="020B05030200000200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ind w:firstLine="5760"/>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43"/>
                          </w:pPr>
                          <w:r>
                            <w:fldChar w:fldCharType="begin"/>
                          </w:r>
                          <w:r>
                            <w:instrText xml:space="preserve"> PAGE  \* MERGEFORMAT </w:instrText>
                          </w:r>
                          <w:r>
                            <w:fldChar w:fldCharType="separate"/>
                          </w:r>
                          <w:r>
                            <w:t xml:space="preserve">15</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3"/>
                    </w:pPr>
                    <w:r>
                      <w:fldChar w:fldCharType="begin"/>
                    </w:r>
                    <w:r>
                      <w:instrText xml:space="preserve"> PAGE  \* MERGEFORMAT </w:instrText>
                    </w:r>
                    <w:r>
                      <w:fldChar w:fldCharType="separate"/>
                    </w:r>
                    <w:r>
                      <w:t xml:space="preserve">15</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tabs>
        <w:tab w:val="center" w:pos="4153" w:leader="none"/>
        <w:tab w:val="right" w:pos="8306" w:leader="none"/>
      </w:tabs>
      <w:rPr>
        <w:rStyle w:val="1093"/>
      </w:rPr>
      <w:framePr w:wrap="around" w:vAnchor="text" w:hAnchor="margin" w:xAlign="right" w:y="1"/>
    </w:pPr>
    <w:r>
      <w:fldChar w:fldCharType="begin"/>
    </w:r>
    <w:r>
      <w:rPr>
        <w:rStyle w:val="1093"/>
      </w:rPr>
      <w:instrText xml:space="preserve">PAGE  </w:instrText>
    </w:r>
    <w:r>
      <w:fldChar w:fldCharType="separate"/>
    </w:r>
    <w:r>
      <w:rPr>
        <w:rStyle w:val="1093"/>
      </w:rPr>
      <w:t xml:space="preserve">19</w:t>
    </w:r>
    <w:r>
      <w:fldChar w:fldCharType="end"/>
    </w:r>
    <w:r/>
  </w:p>
  <w:p>
    <w:pPr>
      <w:pStyle w:val="892"/>
      <w:ind w:right="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ind w:right="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43"/>
                          </w:pPr>
                          <w:r>
                            <w:fldChar w:fldCharType="begin"/>
                          </w:r>
                          <w:r>
                            <w:instrText xml:space="preserve"> PAGE  \* MERGEFORMAT </w:instrText>
                          </w:r>
                          <w:r>
                            <w:fldChar w:fldCharType="separate"/>
                          </w:r>
                          <w:r>
                            <w:t xml:space="preserve">27</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3"/>
                    </w:pPr>
                    <w:r>
                      <w:fldChar w:fldCharType="begin"/>
                    </w:r>
                    <w:r>
                      <w:instrText xml:space="preserve"> PAGE  \* MERGEFORMAT </w:instrText>
                    </w:r>
                    <w:r>
                      <w:fldChar w:fldCharType="separate"/>
                    </w:r>
                    <w:r>
                      <w:t xml:space="preserve">27</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jc w:val="right"/>
      <w:tabs>
        <w:tab w:val="right" w:pos="4153" w:leader="none"/>
        <w:tab w:val="left" w:pos="8306" w:leader="underscore"/>
      </w:tabs>
      <w:rPr>
        <w:rStyle w:val="1097"/>
        <w:rFonts w:ascii="隶书" w:eastAsia="隶书"/>
        <w:b/>
        <w:i/>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288290" cy="191135"/>
              <wp:effectExtent l="0" t="0" r="0" b="0"/>
              <wp:wrapNone/>
              <wp:docPr id="3" name="文本框 8"/>
              <wp:cNvGraphicFramePr/>
              <a:graphic xmlns:a="http://schemas.openxmlformats.org/drawingml/2006/main">
                <a:graphicData uri="http://schemas.microsoft.com/office/word/2010/wordprocessingShape">
                  <wps:wsp>
                    <wps:cNvPr id="0" name=""/>
                    <wps:cNvSpPr txBox="1"/>
                    <wps:spPr bwMode="auto">
                      <a:xfrm>
                        <a:off x="0" y="0"/>
                        <a:ext cx="288290" cy="191135"/>
                      </a:xfrm>
                      <a:prstGeom prst="rect">
                        <a:avLst/>
                      </a:prstGeom>
                      <a:noFill/>
                      <a:ln>
                        <a:noFill/>
                        <a:miter/>
                      </a:ln>
                    </wps:spPr>
                    <wps:txbx>
                      <w:txbxContent>
                        <w:p>
                          <w:pPr>
                            <w:pStyle w:val="843"/>
                          </w:pPr>
                          <w:r>
                            <w:fldChar w:fldCharType="begin"/>
                          </w:r>
                          <w:r>
                            <w:instrText xml:space="preserve"> PAGE  \* MERGEFORMAT </w:instrText>
                          </w:r>
                          <w:r>
                            <w:fldChar w:fldCharType="separate"/>
                          </w:r>
                          <w:r>
                            <w:t xml:space="preserve">56</w:t>
                          </w:r>
                          <w:r>
                            <w:fldChar w:fldCharType="end"/>
                          </w:r>
                          <w:r/>
                        </w:p>
                      </w:txbxContent>
                    </wps:txbx>
                    <wps:bodyPr wrap="square" lIns="0" tIns="0" rIns="0" bIns="0" upright="1">
                      <a:no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22.7pt;height:15.0pt;mso-wrap-distance-left:9.0pt;mso-wrap-distance-top:0.0pt;mso-wrap-distance-right:9.0pt;mso-wrap-distance-bottom:0.0pt;visibility:visible;" filled="f" stroked="f">
              <v:textbox inset="0,0,0,0">
                <w:txbxContent>
                  <w:p>
                    <w:pPr>
                      <w:pStyle w:val="843"/>
                    </w:pPr>
                    <w:r>
                      <w:fldChar w:fldCharType="begin"/>
                    </w:r>
                    <w:r>
                      <w:instrText xml:space="preserve"> PAGE  \* MERGEFORMAT </w:instrText>
                    </w:r>
                    <w:r>
                      <w:fldChar w:fldCharType="separate"/>
                    </w:r>
                    <w:r>
                      <w:t xml:space="preserve">56</w:t>
                    </w:r>
                    <w:r>
                      <w:fldChar w:fldCharType="end"/>
                    </w:r>
                    <w:r/>
                  </w:p>
                </w:txbxContent>
              </v:textbox>
            </v:shape>
          </w:pict>
        </mc:Fallback>
      </mc:AlternateContent>
    </w:r>
    <w:r/>
  </w:p>
  <w:p>
    <w:pPr>
      <w:pStyle w:val="822"/>
      <w:rPr>
        <w:rStyle w:val="1097"/>
        <w:rFonts w:ascii="隶书" w:eastAsia="隶书"/>
        <w:b/>
        <w:i/>
        <w:sz w:val="18"/>
      </w:rPr>
    </w:pPr>
    <w:r>
      <w:rPr>
        <w:rFonts w:ascii="隶书" w:eastAsia="隶书"/>
        <w:b/>
        <w:i/>
        <w:sz w:val="18"/>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43"/>
                          </w:pPr>
                          <w:r>
                            <w:fldChar w:fldCharType="begin"/>
                          </w:r>
                          <w:r>
                            <w:instrText xml:space="preserve"> PAGE  \* MERGEFORMAT </w:instrText>
                          </w:r>
                          <w:r>
                            <w:fldChar w:fldCharType="separate"/>
                          </w:r>
                          <w:r>
                            <w:t xml:space="preserve">50</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3"/>
                    </w:pPr>
                    <w:r>
                      <w:fldChar w:fldCharType="begin"/>
                    </w:r>
                    <w:r>
                      <w:instrText xml:space="preserve"> PAGE  \* MERGEFORMAT </w:instrText>
                    </w:r>
                    <w:r>
                      <w:fldChar w:fldCharType="separate"/>
                    </w:r>
                    <w:r>
                      <w:t xml:space="preserve">50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203"/>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0"/>
      </w:pPr>
      <w:rPr>
        <w:rFonts w:hint="default" w:ascii="仿宋" w:hAnsi="仿宋" w:eastAsia="仿宋" w:cs="仿宋"/>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891"/>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0"/>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1"/>
  </w:num>
  <w:num w:numId="4">
    <w:abstractNumId w:val="2"/>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8" w:default="1">
    <w:name w:val="Normal"/>
    <w:uiPriority w:val="0"/>
    <w:qFormat/>
    <w:pPr>
      <w:jc w:val="both"/>
    </w:pPr>
    <w:rPr>
      <w:rFonts w:hint="default" w:ascii="Calibri" w:hAnsi="Calibri" w:eastAsia="宋体" w:cs="Times New Roman"/>
      <w:sz w:val="21"/>
      <w:szCs w:val="21"/>
      <w:lang w:val="en-US" w:eastAsia="zh-CN" w:bidi="ar-SA"/>
    </w:rPr>
  </w:style>
  <w:style w:type="paragraph" w:styleId="799">
    <w:name w:val="Heading 1"/>
    <w:basedOn w:val="798"/>
    <w:next w:val="798"/>
    <w:link w:val="938"/>
    <w:uiPriority w:val="9"/>
    <w:qFormat/>
    <w:pPr>
      <w:jc w:val="center"/>
      <w:keepLines/>
      <w:keepNext/>
      <w:spacing w:line="360" w:lineRule="auto"/>
      <w:outlineLvl w:val="0"/>
    </w:pPr>
    <w:rPr>
      <w:rFonts w:ascii="Arial" w:hAnsi="Arial" w:eastAsia="仿宋" w:cs="Arial"/>
      <w:b/>
      <w:sz w:val="24"/>
      <w:szCs w:val="40"/>
    </w:rPr>
  </w:style>
  <w:style w:type="paragraph" w:styleId="800">
    <w:name w:val="Heading 2"/>
    <w:basedOn w:val="798"/>
    <w:next w:val="798"/>
    <w:link w:val="939"/>
    <w:uiPriority w:val="9"/>
    <w:unhideWhenUsed/>
    <w:qFormat/>
    <w:pPr>
      <w:jc w:val="left"/>
      <w:keepLines/>
      <w:keepNext/>
      <w:spacing w:line="360" w:lineRule="auto"/>
      <w:outlineLvl w:val="1"/>
    </w:pPr>
    <w:rPr>
      <w:rFonts w:ascii="仿宋" w:hAnsi="仿宋" w:eastAsia="仿宋" w:cs="Arial"/>
      <w:b/>
      <w:sz w:val="24"/>
    </w:rPr>
  </w:style>
  <w:style w:type="paragraph" w:styleId="801">
    <w:name w:val="Heading 3"/>
    <w:basedOn w:val="798"/>
    <w:next w:val="798"/>
    <w:link w:val="940"/>
    <w:uiPriority w:val="9"/>
    <w:unhideWhenUsed/>
    <w:qFormat/>
    <w:pPr>
      <w:keepLines/>
      <w:keepNext/>
      <w:spacing w:line="360" w:lineRule="auto"/>
      <w:outlineLvl w:val="2"/>
    </w:pPr>
    <w:rPr>
      <w:rFonts w:ascii="仿宋" w:hAnsi="仿宋" w:eastAsia="仿宋" w:cs="Arial"/>
      <w:b/>
      <w:sz w:val="24"/>
      <w:szCs w:val="30"/>
    </w:rPr>
  </w:style>
  <w:style w:type="paragraph" w:styleId="802">
    <w:name w:val="Heading 4"/>
    <w:basedOn w:val="798"/>
    <w:next w:val="798"/>
    <w:link w:val="941"/>
    <w:uiPriority w:val="9"/>
    <w:unhideWhenUsed/>
    <w:qFormat/>
    <w:pPr>
      <w:ind w:firstLine="420"/>
      <w:keepLines/>
      <w:keepNext/>
      <w:spacing w:line="360" w:lineRule="auto"/>
      <w:outlineLvl w:val="3"/>
    </w:pPr>
    <w:rPr>
      <w:rFonts w:ascii="仿宋" w:hAnsi="仿宋" w:eastAsia="仿宋" w:cs="Arial"/>
      <w:b/>
      <w:bCs/>
      <w:sz w:val="24"/>
      <w:szCs w:val="26"/>
    </w:rPr>
  </w:style>
  <w:style w:type="paragraph" w:styleId="803">
    <w:name w:val="Heading 5"/>
    <w:basedOn w:val="798"/>
    <w:next w:val="798"/>
    <w:link w:val="942"/>
    <w:uiPriority w:val="9"/>
    <w:unhideWhenUsed/>
    <w:qFormat/>
    <w:pPr>
      <w:keepLines/>
      <w:keepNext/>
      <w:spacing w:before="320" w:after="200"/>
      <w:outlineLvl w:val="4"/>
    </w:pPr>
    <w:rPr>
      <w:rFonts w:ascii="Arial" w:hAnsi="Arial" w:eastAsia="Arial" w:cs="Arial"/>
      <w:b/>
      <w:bCs/>
      <w:sz w:val="24"/>
      <w:szCs w:val="24"/>
    </w:rPr>
  </w:style>
  <w:style w:type="paragraph" w:styleId="804">
    <w:name w:val="Heading 6"/>
    <w:basedOn w:val="798"/>
    <w:next w:val="798"/>
    <w:link w:val="943"/>
    <w:uiPriority w:val="9"/>
    <w:unhideWhenUsed/>
    <w:qFormat/>
    <w:pPr>
      <w:keepLines/>
      <w:keepNext/>
      <w:spacing w:before="320" w:after="200"/>
      <w:outlineLvl w:val="5"/>
    </w:pPr>
    <w:rPr>
      <w:rFonts w:ascii="Arial" w:hAnsi="Arial" w:eastAsia="Arial" w:cs="Arial"/>
      <w:b/>
      <w:bCs/>
      <w:sz w:val="22"/>
      <w:szCs w:val="22"/>
    </w:rPr>
  </w:style>
  <w:style w:type="paragraph" w:styleId="805">
    <w:name w:val="Heading 7"/>
    <w:basedOn w:val="798"/>
    <w:next w:val="798"/>
    <w:link w:val="944"/>
    <w:uiPriority w:val="9"/>
    <w:unhideWhenUsed/>
    <w:qFormat/>
    <w:pPr>
      <w:keepLines/>
      <w:keepNext/>
      <w:spacing w:before="320" w:after="200"/>
      <w:outlineLvl w:val="6"/>
    </w:pPr>
    <w:rPr>
      <w:rFonts w:ascii="Arial" w:hAnsi="Arial" w:eastAsia="Arial" w:cs="Arial"/>
      <w:b/>
      <w:bCs/>
      <w:i/>
      <w:iCs/>
      <w:sz w:val="22"/>
      <w:szCs w:val="22"/>
    </w:rPr>
  </w:style>
  <w:style w:type="paragraph" w:styleId="806">
    <w:name w:val="Heading 8"/>
    <w:basedOn w:val="798"/>
    <w:next w:val="798"/>
    <w:link w:val="945"/>
    <w:uiPriority w:val="9"/>
    <w:unhideWhenUsed/>
    <w:qFormat/>
    <w:pPr>
      <w:keepLines/>
      <w:keepNext/>
      <w:spacing w:before="320" w:after="200"/>
      <w:outlineLvl w:val="7"/>
    </w:pPr>
    <w:rPr>
      <w:rFonts w:ascii="Arial" w:hAnsi="Arial" w:eastAsia="Arial" w:cs="Arial"/>
      <w:i/>
      <w:iCs/>
      <w:sz w:val="22"/>
      <w:szCs w:val="22"/>
    </w:rPr>
  </w:style>
  <w:style w:type="paragraph" w:styleId="807">
    <w:name w:val="Heading 9"/>
    <w:basedOn w:val="798"/>
    <w:next w:val="798"/>
    <w:link w:val="946"/>
    <w:uiPriority w:val="9"/>
    <w:unhideWhenUsed/>
    <w:qFormat/>
    <w:pPr>
      <w:keepLines/>
      <w:keepNext/>
      <w:spacing w:before="320" w:after="200"/>
      <w:outlineLvl w:val="8"/>
    </w:pPr>
    <w:rPr>
      <w:rFonts w:ascii="Arial" w:hAnsi="Arial" w:eastAsia="Arial" w:cs="Arial"/>
      <w:i/>
      <w:iCs/>
    </w:rPr>
  </w:style>
  <w:style w:type="character" w:styleId="808" w:default="1">
    <w:name w:val="Default Paragraph Font"/>
    <w:uiPriority w:val="1"/>
    <w:unhideWhenUsed/>
    <w:qFormat/>
  </w:style>
  <w:style w:type="table" w:styleId="809" w:default="1">
    <w:name w:val="Normal Table"/>
    <w:uiPriority w:val="99"/>
    <w:semiHidden/>
    <w:unhideWhenUsed/>
    <w:qFormat/>
    <w:tblPr>
      <w:tblCellMar>
        <w:left w:w="108" w:type="dxa"/>
        <w:top w:w="0" w:type="dxa"/>
        <w:right w:w="108" w:type="dxa"/>
        <w:bottom w:w="0" w:type="dxa"/>
      </w:tblCellMar>
    </w:tblPr>
  </w:style>
  <w:style w:type="paragraph" w:styleId="810">
    <w:name w:val="toc 7"/>
    <w:basedOn w:val="798"/>
    <w:next w:val="798"/>
    <w:uiPriority w:val="39"/>
    <w:unhideWhenUsed/>
    <w:qFormat/>
    <w:pPr>
      <w:ind w:left="1701"/>
      <w:spacing w:after="57"/>
    </w:pPr>
  </w:style>
  <w:style w:type="paragraph" w:styleId="811">
    <w:name w:val="Caption"/>
    <w:basedOn w:val="798"/>
    <w:next w:val="798"/>
    <w:uiPriority w:val="35"/>
    <w:semiHidden/>
    <w:unhideWhenUsed/>
    <w:qFormat/>
    <w:pPr>
      <w:spacing w:line="276" w:lineRule="auto"/>
    </w:pPr>
    <w:rPr>
      <w:b/>
      <w:bCs/>
      <w:color w:val="4f81bd"/>
      <w:sz w:val="18"/>
      <w:szCs w:val="18"/>
    </w:rPr>
  </w:style>
  <w:style w:type="paragraph" w:styleId="812">
    <w:name w:val="annotation text"/>
    <w:basedOn w:val="798"/>
    <w:link w:val="1199"/>
    <w:uiPriority w:val="99"/>
    <w:unhideWhenUsed/>
    <w:qFormat/>
    <w:pPr>
      <w:jc w:val="left"/>
    </w:pPr>
  </w:style>
  <w:style w:type="paragraph" w:styleId="813">
    <w:name w:val="Body Text"/>
    <w:basedOn w:val="798"/>
    <w:next w:val="814"/>
    <w:link w:val="1201"/>
    <w:uiPriority w:val="0"/>
    <w:qFormat/>
    <w:pPr>
      <w:jc w:val="left"/>
      <w:spacing w:after="120"/>
    </w:pPr>
    <w:rPr>
      <w:rFonts w:ascii="Times New Roman" w:hAnsi="Times New Roman"/>
      <w:sz w:val="20"/>
      <w:szCs w:val="20"/>
    </w:rPr>
  </w:style>
  <w:style w:type="paragraph" w:styleId="814" w:customStyle="1">
    <w:name w:val="一级条标题"/>
    <w:basedOn w:val="815"/>
    <w:next w:val="81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15" w:customStyle="1">
    <w:name w:val="章标题"/>
    <w:next w:val="798"/>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16" w:customStyle="1">
    <w:name w:val="段"/>
    <w:basedOn w:val="817"/>
    <w:next w:val="798"/>
    <w:uiPriority w:val="0"/>
    <w:qFormat/>
    <w:pPr>
      <w:ind w:firstLine="200"/>
    </w:pPr>
  </w:style>
  <w:style w:type="paragraph" w:styleId="817" w:customStyle="1">
    <w:name w:val="正文13"/>
    <w:next w:val="81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8" w:customStyle="1">
    <w:name w:val="目录 111"/>
    <w:basedOn w:val="817"/>
    <w:next w:val="819"/>
    <w:uiPriority w:val="0"/>
    <w:qFormat/>
    <w:pPr>
      <w:spacing w:after="57"/>
    </w:pPr>
  </w:style>
  <w:style w:type="paragraph" w:styleId="819" w:customStyle="1">
    <w:name w:val="正文12"/>
    <w:next w:val="820"/>
    <w:uiPriority w:val="0"/>
    <w:qFormat/>
    <w:pPr>
      <w:jc w:val="both"/>
      <w:widowControl w:val="off"/>
    </w:pPr>
    <w:rPr>
      <w:rFonts w:hint="default" w:ascii="Calibri" w:hAnsi="Calibri" w:eastAsia="Calibri" w:cs="Times New Roman"/>
      <w:sz w:val="21"/>
      <w:szCs w:val="24"/>
      <w:lang w:val="en-US" w:eastAsia="zh-CN" w:bidi="ar-SA"/>
    </w:rPr>
  </w:style>
  <w:style w:type="paragraph" w:styleId="820" w:customStyle="1">
    <w:name w:val="脚注文本1"/>
    <w:basedOn w:val="821"/>
    <w:next w:val="833"/>
    <w:uiPriority w:val="0"/>
    <w:qFormat/>
    <w:rPr>
      <w:rFonts w:eastAsia="Times New Roman"/>
      <w:sz w:val="18"/>
      <w:szCs w:val="18"/>
    </w:rPr>
  </w:style>
  <w:style w:type="paragraph" w:styleId="821" w:customStyle="1">
    <w:name w:val="正文1"/>
    <w:basedOn w:val="822"/>
    <w:next w:val="826"/>
    <w:link w:val="1097"/>
    <w:uiPriority w:val="0"/>
    <w:qFormat/>
    <w:pPr>
      <w:jc w:val="left"/>
      <w:spacing w:line="360" w:lineRule="atLeast"/>
    </w:pPr>
    <w:rPr>
      <w:rFonts w:ascii="宋体"/>
      <w:sz w:val="24"/>
    </w:rPr>
  </w:style>
  <w:style w:type="paragraph" w:styleId="822" w:customStyle="1">
    <w:name w:val="正文11"/>
    <w:next w:val="823"/>
    <w:link w:val="1180"/>
    <w:uiPriority w:val="0"/>
    <w:qFormat/>
    <w:pPr>
      <w:jc w:val="both"/>
    </w:pPr>
    <w:rPr>
      <w:rFonts w:hint="default" w:ascii="Times New Roman" w:hAnsi="Times New Roman" w:eastAsia="宋体" w:cs="Times New Roman"/>
      <w:lang w:val="en-US" w:eastAsia="zh-CN" w:bidi="ar-SA"/>
    </w:rPr>
  </w:style>
  <w:style w:type="paragraph" w:styleId="823" w:customStyle="1">
    <w:name w:val="文本块1"/>
    <w:basedOn w:val="824"/>
    <w:next w:val="825"/>
    <w:uiPriority w:val="0"/>
    <w:qFormat/>
    <w:pPr>
      <w:ind w:left="256" w:right="6" w:firstLine="624"/>
    </w:pPr>
    <w:rPr>
      <w:rFonts w:eastAsia="仿宋_GB2312"/>
      <w:sz w:val="28"/>
    </w:rPr>
  </w:style>
  <w:style w:type="paragraph" w:styleId="824" w:customStyle="1">
    <w:name w:val="正文111"/>
    <w:next w:val="798"/>
    <w:uiPriority w:val="0"/>
    <w:qFormat/>
    <w:pPr>
      <w:jc w:val="both"/>
      <w:widowControl w:val="off"/>
    </w:pPr>
    <w:rPr>
      <w:rFonts w:hint="default" w:ascii="Calibri" w:hAnsi="Calibri" w:eastAsia="宋体" w:cs="Calibri"/>
      <w:color w:val="000000"/>
      <w:sz w:val="22"/>
      <w:szCs w:val="22"/>
      <w:lang w:val="en-US" w:eastAsia="zh-CN" w:bidi="ar-SA"/>
    </w:rPr>
  </w:style>
  <w:style w:type="paragraph" w:styleId="825" w:customStyle="1">
    <w:name w:val="标题 41"/>
    <w:basedOn w:val="819"/>
    <w:next w:val="822"/>
    <w:uiPriority w:val="0"/>
    <w:qFormat/>
    <w:pPr>
      <w:keepLines/>
      <w:keepNext/>
      <w:spacing w:line="360" w:lineRule="auto"/>
      <w:outlineLvl w:val="3"/>
    </w:pPr>
    <w:rPr>
      <w:rFonts w:ascii="Arial" w:hAnsi="Arial"/>
      <w:b/>
      <w:bCs/>
      <w:szCs w:val="28"/>
    </w:rPr>
  </w:style>
  <w:style w:type="paragraph" w:styleId="826" w:customStyle="1">
    <w:name w:val="目录 11"/>
    <w:basedOn w:val="827"/>
    <w:next w:val="819"/>
    <w:uiPriority w:val="0"/>
    <w:qFormat/>
  </w:style>
  <w:style w:type="paragraph" w:styleId="827" w:customStyle="1">
    <w:name w:val="正文112"/>
    <w:next w:val="82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28" w:customStyle="1">
    <w:name w:val="正文首行缩进1"/>
    <w:basedOn w:val="829"/>
    <w:next w:val="830"/>
    <w:link w:val="1089"/>
    <w:uiPriority w:val="0"/>
    <w:qFormat/>
    <w:pPr>
      <w:ind w:firstLine="420"/>
      <w:widowControl w:val="off"/>
    </w:pPr>
    <w:rPr>
      <w:sz w:val="21"/>
    </w:rPr>
  </w:style>
  <w:style w:type="paragraph" w:styleId="829" w:customStyle="1">
    <w:name w:val="正文文本11"/>
    <w:basedOn w:val="822"/>
    <w:next w:val="824"/>
    <w:link w:val="1076"/>
    <w:uiPriority w:val="0"/>
    <w:qFormat/>
    <w:pPr>
      <w:spacing w:after="120"/>
    </w:pPr>
  </w:style>
  <w:style w:type="paragraph" w:styleId="830" w:customStyle="1">
    <w:name w:val="正文首行缩进 211"/>
    <w:basedOn w:val="831"/>
    <w:next w:val="827"/>
    <w:uiPriority w:val="99"/>
    <w:qFormat/>
    <w:pPr>
      <w:ind w:left="0" w:firstLine="420"/>
      <w:spacing w:after="0" w:line="360" w:lineRule="auto"/>
    </w:pPr>
    <w:rPr>
      <w:rFonts w:ascii="宋体" w:hAnsi="宋体"/>
    </w:rPr>
  </w:style>
  <w:style w:type="paragraph" w:styleId="831" w:customStyle="1">
    <w:name w:val="正文文本缩进11"/>
    <w:basedOn w:val="824"/>
    <w:next w:val="832"/>
    <w:uiPriority w:val="0"/>
    <w:qFormat/>
    <w:pPr>
      <w:ind w:left="420"/>
      <w:spacing w:after="120"/>
    </w:pPr>
  </w:style>
  <w:style w:type="paragraph" w:styleId="832" w:customStyle="1">
    <w:name w:val="寄信人地址11"/>
    <w:basedOn w:val="798"/>
    <w:uiPriority w:val="0"/>
    <w:qFormat/>
    <w:rPr>
      <w:rFonts w:ascii="Arial" w:hAnsi="Arial"/>
    </w:rPr>
  </w:style>
  <w:style w:type="paragraph" w:styleId="833" w:customStyle="1">
    <w:name w:val="索引 51"/>
    <w:basedOn w:val="821"/>
    <w:next w:val="821"/>
    <w:uiPriority w:val="0"/>
    <w:qFormat/>
    <w:pPr>
      <w:ind w:left="798"/>
    </w:pPr>
    <w:rPr>
      <w:rFonts w:ascii="Calibri" w:hAnsi="Calibri"/>
    </w:rPr>
  </w:style>
  <w:style w:type="paragraph" w:styleId="834">
    <w:name w:val="Body Text Indent"/>
    <w:basedOn w:val="798"/>
    <w:next w:val="835"/>
    <w:link w:val="1204"/>
    <w:uiPriority w:val="0"/>
    <w:qFormat/>
    <w:pPr>
      <w:ind w:left="420"/>
      <w:spacing w:after="120"/>
    </w:pPr>
  </w:style>
  <w:style w:type="paragraph" w:styleId="835">
    <w:name w:val="envelope return"/>
    <w:basedOn w:val="798"/>
    <w:uiPriority w:val="0"/>
    <w:qFormat/>
    <w:rPr>
      <w:rFonts w:ascii="Arial" w:hAnsi="Arial"/>
    </w:rPr>
  </w:style>
  <w:style w:type="paragraph" w:styleId="836">
    <w:name w:val="Block Text"/>
    <w:basedOn w:val="798"/>
    <w:uiPriority w:val="0"/>
    <w:qFormat/>
    <w:pPr>
      <w:ind w:left="256" w:right="6" w:firstLine="624"/>
    </w:pPr>
    <w:rPr>
      <w:rFonts w:eastAsia="仿宋_GB2312"/>
      <w:sz w:val="28"/>
      <w:szCs w:val="20"/>
    </w:rPr>
  </w:style>
  <w:style w:type="paragraph" w:styleId="837">
    <w:name w:val="toc 5"/>
    <w:basedOn w:val="798"/>
    <w:next w:val="798"/>
    <w:uiPriority w:val="39"/>
    <w:unhideWhenUsed/>
    <w:qFormat/>
    <w:pPr>
      <w:ind w:left="1134"/>
      <w:spacing w:after="57"/>
    </w:pPr>
  </w:style>
  <w:style w:type="paragraph" w:styleId="838">
    <w:name w:val="toc 3"/>
    <w:basedOn w:val="798"/>
    <w:next w:val="798"/>
    <w:uiPriority w:val="39"/>
    <w:unhideWhenUsed/>
    <w:qFormat/>
    <w:pPr>
      <w:ind w:left="567"/>
      <w:spacing w:after="57"/>
    </w:pPr>
  </w:style>
  <w:style w:type="paragraph" w:styleId="839">
    <w:name w:val="Plain Text"/>
    <w:basedOn w:val="798"/>
    <w:uiPriority w:val="0"/>
    <w:qFormat/>
    <w:rPr>
      <w:rFonts w:ascii="宋体" w:hAnsi="Courier New"/>
    </w:rPr>
  </w:style>
  <w:style w:type="paragraph" w:styleId="840">
    <w:name w:val="toc 8"/>
    <w:basedOn w:val="798"/>
    <w:next w:val="798"/>
    <w:uiPriority w:val="39"/>
    <w:unhideWhenUsed/>
    <w:qFormat/>
    <w:pPr>
      <w:ind w:left="1984"/>
      <w:spacing w:after="57"/>
    </w:pPr>
  </w:style>
  <w:style w:type="paragraph" w:styleId="841">
    <w:name w:val="endnote text"/>
    <w:basedOn w:val="798"/>
    <w:link w:val="1064"/>
    <w:uiPriority w:val="99"/>
    <w:semiHidden/>
    <w:unhideWhenUsed/>
    <w:qFormat/>
    <w:rPr>
      <w:sz w:val="20"/>
    </w:rPr>
  </w:style>
  <w:style w:type="paragraph" w:styleId="842">
    <w:name w:val="Balloon Text"/>
    <w:basedOn w:val="798"/>
    <w:link w:val="1202"/>
    <w:uiPriority w:val="99"/>
    <w:semiHidden/>
    <w:unhideWhenUsed/>
    <w:qFormat/>
    <w:rPr>
      <w:sz w:val="18"/>
      <w:szCs w:val="18"/>
    </w:rPr>
  </w:style>
  <w:style w:type="paragraph" w:styleId="843">
    <w:name w:val="Footer"/>
    <w:basedOn w:val="798"/>
    <w:link w:val="956"/>
    <w:uiPriority w:val="99"/>
    <w:unhideWhenUsed/>
    <w:qFormat/>
    <w:pPr>
      <w:tabs>
        <w:tab w:val="center" w:pos="7143" w:leader="none"/>
        <w:tab w:val="right" w:pos="14287" w:leader="none"/>
      </w:tabs>
    </w:pPr>
  </w:style>
  <w:style w:type="paragraph" w:styleId="844">
    <w:name w:val="Header"/>
    <w:basedOn w:val="798"/>
    <w:link w:val="954"/>
    <w:uiPriority w:val="99"/>
    <w:unhideWhenUsed/>
    <w:qFormat/>
    <w:pPr>
      <w:tabs>
        <w:tab w:val="center" w:pos="7143" w:leader="none"/>
        <w:tab w:val="right" w:pos="14287" w:leader="none"/>
      </w:tabs>
    </w:pPr>
  </w:style>
  <w:style w:type="paragraph" w:styleId="845">
    <w:name w:val="toc 1"/>
    <w:basedOn w:val="798"/>
    <w:next w:val="798"/>
    <w:uiPriority w:val="39"/>
    <w:unhideWhenUsed/>
    <w:qFormat/>
    <w:pPr>
      <w:spacing w:after="57"/>
    </w:pPr>
  </w:style>
  <w:style w:type="paragraph" w:styleId="846">
    <w:name w:val="toc 4"/>
    <w:basedOn w:val="798"/>
    <w:next w:val="798"/>
    <w:uiPriority w:val="39"/>
    <w:unhideWhenUsed/>
    <w:qFormat/>
    <w:pPr>
      <w:ind w:left="850"/>
      <w:spacing w:after="57"/>
    </w:pPr>
  </w:style>
  <w:style w:type="paragraph" w:styleId="847">
    <w:name w:val="Subtitle"/>
    <w:basedOn w:val="798"/>
    <w:next w:val="798"/>
    <w:link w:val="949"/>
    <w:uiPriority w:val="11"/>
    <w:qFormat/>
    <w:pPr>
      <w:spacing w:before="200" w:after="200"/>
    </w:pPr>
    <w:rPr>
      <w:sz w:val="24"/>
      <w:szCs w:val="24"/>
    </w:rPr>
  </w:style>
  <w:style w:type="paragraph" w:styleId="848">
    <w:name w:val="footnote text"/>
    <w:basedOn w:val="798"/>
    <w:link w:val="1063"/>
    <w:uiPriority w:val="99"/>
    <w:semiHidden/>
    <w:unhideWhenUsed/>
    <w:qFormat/>
    <w:pPr>
      <w:spacing w:after="40"/>
    </w:pPr>
    <w:rPr>
      <w:sz w:val="18"/>
    </w:rPr>
  </w:style>
  <w:style w:type="paragraph" w:styleId="849">
    <w:name w:val="toc 6"/>
    <w:basedOn w:val="798"/>
    <w:next w:val="798"/>
    <w:uiPriority w:val="39"/>
    <w:unhideWhenUsed/>
    <w:qFormat/>
    <w:pPr>
      <w:ind w:left="1417"/>
      <w:spacing w:after="57"/>
    </w:pPr>
  </w:style>
  <w:style w:type="paragraph" w:styleId="850">
    <w:name w:val="table of figures"/>
    <w:basedOn w:val="798"/>
    <w:next w:val="798"/>
    <w:uiPriority w:val="99"/>
    <w:unhideWhenUsed/>
    <w:qFormat/>
  </w:style>
  <w:style w:type="paragraph" w:styleId="851">
    <w:name w:val="toc 2"/>
    <w:basedOn w:val="798"/>
    <w:next w:val="798"/>
    <w:uiPriority w:val="39"/>
    <w:unhideWhenUsed/>
    <w:qFormat/>
    <w:pPr>
      <w:ind w:left="283"/>
      <w:spacing w:after="57"/>
    </w:pPr>
  </w:style>
  <w:style w:type="paragraph" w:styleId="852">
    <w:name w:val="toc 9"/>
    <w:basedOn w:val="798"/>
    <w:next w:val="798"/>
    <w:uiPriority w:val="39"/>
    <w:unhideWhenUsed/>
    <w:qFormat/>
    <w:pPr>
      <w:ind w:left="2268"/>
      <w:spacing w:after="57"/>
    </w:pPr>
  </w:style>
  <w:style w:type="paragraph" w:styleId="853">
    <w:name w:val="HTML Preformatted"/>
    <w:basedOn w:val="798"/>
    <w:uiPriority w:val="0"/>
    <w:qFormat/>
    <w:rPr>
      <w:rFonts w:ascii="Courier New" w:hAnsi="Courier New"/>
      <w:sz w:val="20"/>
    </w:rPr>
  </w:style>
  <w:style w:type="paragraph" w:styleId="854">
    <w:name w:val="Normal (Web)"/>
    <w:basedOn w:val="798"/>
    <w:uiPriority w:val="99"/>
    <w:semiHidden/>
    <w:unhideWhenUsed/>
    <w:qFormat/>
    <w:rPr>
      <w:rFonts w:ascii="Times New Roman" w:hAnsi="Times New Roman"/>
      <w:sz w:val="24"/>
      <w:szCs w:val="24"/>
    </w:rPr>
  </w:style>
  <w:style w:type="paragraph" w:styleId="855">
    <w:name w:val="Title"/>
    <w:basedOn w:val="798"/>
    <w:next w:val="798"/>
    <w:link w:val="948"/>
    <w:uiPriority w:val="10"/>
    <w:qFormat/>
    <w:pPr>
      <w:contextualSpacing/>
      <w:spacing w:before="300" w:after="200"/>
    </w:pPr>
    <w:rPr>
      <w:sz w:val="48"/>
      <w:szCs w:val="48"/>
    </w:rPr>
  </w:style>
  <w:style w:type="paragraph" w:styleId="856">
    <w:name w:val="annotation subject"/>
    <w:basedOn w:val="812"/>
    <w:next w:val="812"/>
    <w:link w:val="1198"/>
    <w:uiPriority w:val="0"/>
    <w:qFormat/>
    <w:rPr>
      <w:rFonts w:ascii="Times New Roman" w:hAnsi="Times New Roman"/>
      <w:b/>
      <w:bCs/>
      <w:sz w:val="24"/>
      <w:szCs w:val="24"/>
    </w:rPr>
  </w:style>
  <w:style w:type="table" w:styleId="857">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858">
    <w:name w:val="Strong"/>
    <w:basedOn w:val="808"/>
    <w:uiPriority w:val="0"/>
    <w:qFormat/>
    <w:rPr>
      <w:b/>
    </w:rPr>
  </w:style>
  <w:style w:type="character" w:styleId="859">
    <w:name w:val="endnote reference"/>
    <w:uiPriority w:val="99"/>
    <w:semiHidden/>
    <w:unhideWhenUsed/>
    <w:qFormat/>
    <w:rPr>
      <w:vertAlign w:val="superscript"/>
    </w:rPr>
  </w:style>
  <w:style w:type="character" w:styleId="860">
    <w:name w:val="FollowedHyperlink"/>
    <w:basedOn w:val="808"/>
    <w:uiPriority w:val="99"/>
    <w:semiHidden/>
    <w:unhideWhenUsed/>
    <w:qFormat/>
    <w:rPr>
      <w:color w:val="800080" w:themeColor="followedHyperlink"/>
      <w:u w:val="single"/>
      <w14:textFill>
        <w14:solidFill>
          <w14:schemeClr w14:val="folHlink"/>
        </w14:solidFill>
      </w14:textFill>
    </w:rPr>
  </w:style>
  <w:style w:type="character" w:styleId="861">
    <w:name w:val="Emphasis"/>
    <w:basedOn w:val="808"/>
    <w:uiPriority w:val="20"/>
    <w:qFormat/>
    <w:rPr>
      <w:i/>
    </w:rPr>
  </w:style>
  <w:style w:type="character" w:styleId="862">
    <w:name w:val="Hyperlink"/>
    <w:uiPriority w:val="99"/>
    <w:unhideWhenUsed/>
    <w:qFormat/>
    <w:rPr>
      <w:color w:val="0000ff"/>
      <w:u w:val="single"/>
    </w:rPr>
  </w:style>
  <w:style w:type="character" w:styleId="863">
    <w:name w:val="annotation reference"/>
    <w:basedOn w:val="808"/>
    <w:uiPriority w:val="99"/>
    <w:semiHidden/>
    <w:unhideWhenUsed/>
    <w:qFormat/>
    <w:rPr>
      <w:sz w:val="21"/>
      <w:szCs w:val="21"/>
    </w:rPr>
  </w:style>
  <w:style w:type="character" w:styleId="864">
    <w:name w:val="footnote reference"/>
    <w:uiPriority w:val="99"/>
    <w:unhideWhenUsed/>
    <w:qFormat/>
    <w:rPr>
      <w:vertAlign w:val="superscript"/>
    </w:rPr>
  </w:style>
  <w:style w:type="paragraph" w:styleId="865" w:customStyle="1">
    <w:name w:val="文本块12"/>
    <w:uiPriority w:val="6"/>
    <w:qFormat/>
    <w:pPr>
      <w:ind w:left="256" w:right="6" w:firstLine="624"/>
      <w:jc w:val="both"/>
      <w:widowControl w:val="off"/>
    </w:pPr>
    <w:rPr>
      <w:rFonts w:hint="default" w:ascii="Times New Roman" w:hAnsi="Times New Roman" w:eastAsia="仿宋" w:cs="Times New Roman"/>
      <w:sz w:val="28"/>
      <w:szCs w:val="20"/>
      <w:lang w:val="en-US" w:eastAsia="zh-CN" w:bidi="ar-SA"/>
    </w:rPr>
  </w:style>
  <w:style w:type="paragraph" w:styleId="866" w:customStyle="1">
    <w:name w:val="正文文本缩进1"/>
    <w:basedOn w:val="821"/>
    <w:next w:val="867"/>
    <w:uiPriority w:val="0"/>
    <w:qFormat/>
    <w:pPr>
      <w:ind w:left="420"/>
      <w:spacing w:after="120"/>
    </w:pPr>
  </w:style>
  <w:style w:type="paragraph" w:styleId="867" w:customStyle="1">
    <w:name w:val="寄信人地址1"/>
    <w:basedOn w:val="821"/>
    <w:uiPriority w:val="0"/>
    <w:qFormat/>
    <w:rPr>
      <w:rFonts w:ascii="Arial" w:hAnsi="Arial"/>
    </w:rPr>
  </w:style>
  <w:style w:type="table" w:styleId="868" w:customStyle="1">
    <w:name w:val="Plain Table 1"/>
    <w:basedOn w:val="80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9" w:customStyle="1">
    <w:name w:val="Plain Table 2"/>
    <w:basedOn w:val="80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0" w:customStyle="1">
    <w:name w:val="Plain Table 3"/>
    <w:basedOn w:val="80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1" w:customStyle="1">
    <w:name w:val="Plain Table 4"/>
    <w:basedOn w:val="80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2" w:customStyle="1">
    <w:name w:val="Plain Table 5"/>
    <w:basedOn w:val="80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3" w:customStyle="1">
    <w:name w:val="Grid Table 1 Light"/>
    <w:basedOn w:val="80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4" w:customStyle="1">
    <w:name w:val="Grid Table 2"/>
    <w:basedOn w:val="80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5" w:customStyle="1">
    <w:name w:val="Grid Table 3"/>
    <w:basedOn w:val="80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4"/>
    <w:basedOn w:val="80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7" w:customStyle="1">
    <w:name w:val="Grid Table 5 Dark"/>
    <w:basedOn w:val="80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8" w:customStyle="1">
    <w:name w:val="Grid Table 6 Colorful"/>
    <w:basedOn w:val="80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9" w:customStyle="1">
    <w:name w:val="Grid Table 7 Colorful"/>
    <w:basedOn w:val="80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0" w:customStyle="1">
    <w:name w:val="List Table 1 Light"/>
    <w:basedOn w:val="80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1" w:customStyle="1">
    <w:name w:val="List Table 2"/>
    <w:basedOn w:val="80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2" w:customStyle="1">
    <w:name w:val="List Table 3"/>
    <w:basedOn w:val="80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3" w:customStyle="1">
    <w:name w:val="List Table 4"/>
    <w:basedOn w:val="80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4" w:customStyle="1">
    <w:name w:val="List Table 5 Dark"/>
    <w:basedOn w:val="80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6 Colorful"/>
    <w:basedOn w:val="80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6" w:customStyle="1">
    <w:name w:val="List Table 7 Colorful"/>
    <w:basedOn w:val="80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87" w:customStyle="1">
    <w:name w:val="TOC Heading"/>
    <w:uiPriority w:val="39"/>
    <w:unhideWhenUsed/>
    <w:qFormat/>
    <w:rPr>
      <w:rFonts w:hint="default" w:ascii="Times New Roman" w:hAnsi="Times New Roman" w:eastAsia="宋体" w:cs="Times New Roman"/>
    </w:rPr>
  </w:style>
  <w:style w:type="paragraph" w:styleId="888" w:customStyle="1">
    <w:name w:val="标题 2112"/>
    <w:basedOn w:val="798"/>
    <w:next w:val="798"/>
    <w:uiPriority w:val="9"/>
    <w:unhideWhenUsed/>
    <w:qFormat/>
    <w:pPr>
      <w:keepLines/>
      <w:keepNext/>
      <w:spacing w:before="360" w:after="200"/>
      <w:outlineLvl w:val="1"/>
    </w:pPr>
    <w:rPr>
      <w:rFonts w:ascii="Arial" w:hAnsi="Arial" w:eastAsia="Arial" w:cs="Arial"/>
      <w:sz w:val="34"/>
    </w:rPr>
  </w:style>
  <w:style w:type="character" w:styleId="889" w:customStyle="1">
    <w:name w:val="Heading 1 Char"/>
    <w:uiPriority w:val="9"/>
    <w:qFormat/>
    <w:rPr>
      <w:rFonts w:ascii="Arial" w:hAnsi="Arial" w:eastAsia="Arial" w:cs="Arial"/>
      <w:sz w:val="40"/>
      <w:szCs w:val="40"/>
    </w:rPr>
  </w:style>
  <w:style w:type="character" w:styleId="890" w:customStyle="1">
    <w:name w:val="Heading 2 Char"/>
    <w:uiPriority w:val="9"/>
    <w:qFormat/>
    <w:rPr>
      <w:rFonts w:ascii="Arial" w:hAnsi="Arial" w:eastAsia="Arial" w:cs="Arial"/>
      <w:sz w:val="34"/>
    </w:rPr>
  </w:style>
  <w:style w:type="paragraph" w:styleId="891" w:customStyle="1">
    <w:name w:val="标题 21"/>
    <w:basedOn w:val="827"/>
    <w:next w:val="822"/>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892" w:customStyle="1">
    <w:name w:val="页脚1"/>
    <w:basedOn w:val="893"/>
    <w:link w:val="1081"/>
    <w:uiPriority w:val="0"/>
    <w:qFormat/>
    <w:pPr>
      <w:jc w:val="left"/>
      <w:tabs>
        <w:tab w:val="right" w:pos="4153" w:leader="none"/>
        <w:tab w:val="left" w:pos="8306" w:leader="underscore"/>
      </w:tabs>
    </w:pPr>
    <w:rPr>
      <w:sz w:val="18"/>
    </w:rPr>
  </w:style>
  <w:style w:type="paragraph" w:styleId="893" w:customStyle="1">
    <w:name w:val="正文113"/>
    <w:next w:val="89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94" w:customStyle="1">
    <w:name w:val="BodyText1I21"/>
    <w:basedOn w:val="831"/>
    <w:uiPriority w:val="0"/>
    <w:qFormat/>
    <w:pPr>
      <w:ind w:firstLine="420"/>
    </w:pPr>
    <w:rPr>
      <w:sz w:val="21"/>
    </w:rPr>
  </w:style>
  <w:style w:type="paragraph" w:styleId="895" w:customStyle="1">
    <w:name w:val="无间隔1"/>
    <w:uiPriority w:val="0"/>
    <w:qFormat/>
    <w:rPr>
      <w:rFonts w:hint="default" w:ascii="Calibri" w:hAnsi="Calibri" w:eastAsia="宋体" w:cs="Times New Roman"/>
      <w:sz w:val="22"/>
      <w:lang w:val="en-US" w:eastAsia="zh-CN" w:bidi="ar-SA"/>
    </w:rPr>
  </w:style>
  <w:style w:type="paragraph" w:styleId="896" w:customStyle="1">
    <w:name w:val="目录 112"/>
    <w:basedOn w:val="798"/>
    <w:next w:val="798"/>
    <w:uiPriority w:val="39"/>
    <w:unhideWhenUsed/>
    <w:qFormat/>
    <w:pPr>
      <w:spacing w:after="57"/>
    </w:pPr>
  </w:style>
  <w:style w:type="paragraph" w:styleId="897" w:customStyle="1">
    <w:name w:val="正文文本1"/>
    <w:basedOn w:val="821"/>
    <w:next w:val="814"/>
    <w:uiPriority w:val="0"/>
    <w:qFormat/>
    <w:rPr>
      <w:rFonts w:eastAsia="黑体"/>
      <w:b/>
      <w:bCs/>
      <w:spacing w:val="20"/>
      <w:sz w:val="56"/>
    </w:rPr>
  </w:style>
  <w:style w:type="paragraph" w:styleId="898" w:customStyle="1">
    <w:name w:val="标题1"/>
    <w:basedOn w:val="819"/>
    <w:next w:val="899"/>
    <w:uiPriority w:val="10"/>
    <w:qFormat/>
    <w:pPr>
      <w:contextualSpacing/>
      <w:spacing w:before="300" w:after="200"/>
    </w:pPr>
    <w:rPr>
      <w:sz w:val="48"/>
      <w:szCs w:val="48"/>
    </w:rPr>
  </w:style>
  <w:style w:type="paragraph" w:styleId="899" w:customStyle="1">
    <w:name w:val="纯文本1"/>
    <w:basedOn w:val="819"/>
    <w:uiPriority w:val="0"/>
    <w:qFormat/>
    <w:rPr>
      <w:rFonts w:ascii="宋体" w:hAnsi="Courier New"/>
      <w:szCs w:val="20"/>
    </w:rPr>
  </w:style>
  <w:style w:type="table" w:styleId="900" w:customStyle="1">
    <w:name w:val="无格式表格 11"/>
    <w:basedOn w:val="809"/>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1" w:customStyle="1">
    <w:name w:val="无格式表格 21"/>
    <w:basedOn w:val="809"/>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2" w:customStyle="1">
    <w:name w:val="无格式表格 31"/>
    <w:basedOn w:val="809"/>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3" w:customStyle="1">
    <w:name w:val="无格式表格 41"/>
    <w:basedOn w:val="809"/>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4" w:customStyle="1">
    <w:name w:val="无格式表格 51"/>
    <w:basedOn w:val="809"/>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5" w:customStyle="1">
    <w:name w:val="网格表 1 浅色1"/>
    <w:basedOn w:val="809"/>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906" w:customStyle="1">
    <w:name w:val="网格表 21"/>
    <w:basedOn w:val="809"/>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907" w:customStyle="1">
    <w:name w:val="网格表 31"/>
    <w:basedOn w:val="809"/>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8" w:customStyle="1">
    <w:name w:val="网格表 41"/>
    <w:basedOn w:val="809"/>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909" w:customStyle="1">
    <w:name w:val="网格表 5 深色1"/>
    <w:basedOn w:val="809"/>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910" w:customStyle="1">
    <w:name w:val="网格表 6 彩色1"/>
    <w:basedOn w:val="809"/>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911" w:customStyle="1">
    <w:name w:val="网格表 7 彩色1"/>
    <w:basedOn w:val="809"/>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912" w:customStyle="1">
    <w:name w:val="清单表 1 浅色1"/>
    <w:basedOn w:val="809"/>
    <w:uiPriority w:val="99"/>
    <w:qFormat/>
    <w:tblPr>
      <w:tblCellMar>
        <w:left w:w="0" w:type="dxa"/>
        <w:right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13" w:customStyle="1">
    <w:name w:val="清单表 21"/>
    <w:basedOn w:val="809"/>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914" w:customStyle="1">
    <w:name w:val="清单表 31"/>
    <w:basedOn w:val="809"/>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15" w:customStyle="1">
    <w:name w:val="清单表 41"/>
    <w:basedOn w:val="809"/>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16" w:customStyle="1">
    <w:name w:val="清单表 5 深色1"/>
    <w:basedOn w:val="809"/>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917" w:customStyle="1">
    <w:name w:val="清单表 6 彩色1"/>
    <w:basedOn w:val="809"/>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918" w:customStyle="1">
    <w:name w:val="清单表 7 彩色1"/>
    <w:basedOn w:val="809"/>
    <w:uiPriority w:val="99"/>
    <w:qFormat/>
    <w:tblPr>
      <w:tblBorders>
        <w:right w:val="single" w:color="7F7F7F" w:sz="4" w:space="0"/>
      </w:tblBorders>
      <w:tblCellMar>
        <w:left w:w="0" w:type="dxa"/>
        <w:right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paragraph" w:styleId="919" w:customStyle="1">
    <w:name w:val="TOC 标题1"/>
    <w:uiPriority w:val="39"/>
    <w:unhideWhenUsed/>
    <w:qFormat/>
    <w:rPr>
      <w:rFonts w:hint="default" w:ascii="Times New Roman" w:hAnsi="Times New Roman" w:eastAsia="宋体" w:cs="Times New Roman"/>
      <w:lang w:val="en-US" w:eastAsia="zh-CN" w:bidi="ar-SA"/>
    </w:rPr>
  </w:style>
  <w:style w:type="paragraph" w:styleId="920" w:customStyle="1">
    <w:name w:val="Default"/>
    <w:uiPriority w:val="0"/>
    <w:qFormat/>
    <w:pPr>
      <w:widowControl w:val="off"/>
    </w:pPr>
    <w:rPr>
      <w:rFonts w:hint="default" w:ascii="宋体" w:hAnsi="宋体" w:eastAsia="Malgun Gothic" w:cs="Times New Roman"/>
      <w:color w:val="000000"/>
      <w:sz w:val="24"/>
      <w:szCs w:val="24"/>
      <w:lang w:val="en-US" w:eastAsia="zh-CN" w:bidi="ar-SA"/>
    </w:rPr>
  </w:style>
  <w:style w:type="paragraph" w:styleId="921" w:customStyle="1">
    <w:name w:val="索引 41"/>
    <w:basedOn w:val="821"/>
    <w:next w:val="821"/>
    <w:uiPriority w:val="0"/>
    <w:unhideWhenUsed/>
    <w:qFormat/>
    <w:pPr>
      <w:ind w:left="600"/>
      <w:jc w:val="both"/>
    </w:pPr>
    <w:rPr>
      <w:rFonts w:ascii="Calibri"/>
      <w:sz w:val="22"/>
    </w:rPr>
  </w:style>
  <w:style w:type="character" w:styleId="922" w:customStyle="1">
    <w:name w:val="Heading 3 Char"/>
    <w:uiPriority w:val="9"/>
    <w:qFormat/>
    <w:rPr>
      <w:rFonts w:ascii="Arial" w:hAnsi="Arial" w:eastAsia="Arial" w:cs="Arial"/>
      <w:sz w:val="30"/>
      <w:szCs w:val="30"/>
    </w:rPr>
  </w:style>
  <w:style w:type="character" w:styleId="923" w:customStyle="1">
    <w:name w:val="Heading 4 Char"/>
    <w:uiPriority w:val="9"/>
    <w:qFormat/>
    <w:rPr>
      <w:rFonts w:ascii="Arial" w:hAnsi="Arial" w:eastAsia="Arial" w:cs="Arial"/>
      <w:b/>
      <w:bCs/>
      <w:sz w:val="26"/>
      <w:szCs w:val="26"/>
    </w:rPr>
  </w:style>
  <w:style w:type="character" w:styleId="924" w:customStyle="1">
    <w:name w:val="Heading 5 Char"/>
    <w:uiPriority w:val="9"/>
    <w:qFormat/>
    <w:rPr>
      <w:rFonts w:ascii="Arial" w:hAnsi="Arial" w:eastAsia="Arial" w:cs="Arial"/>
      <w:b/>
      <w:bCs/>
      <w:sz w:val="24"/>
      <w:szCs w:val="24"/>
    </w:rPr>
  </w:style>
  <w:style w:type="character" w:styleId="925" w:customStyle="1">
    <w:name w:val="Heading 6 Char"/>
    <w:uiPriority w:val="9"/>
    <w:qFormat/>
    <w:rPr>
      <w:rFonts w:ascii="Arial" w:hAnsi="Arial" w:eastAsia="Arial" w:cs="Arial"/>
      <w:b/>
      <w:bCs/>
      <w:sz w:val="22"/>
      <w:szCs w:val="22"/>
    </w:rPr>
  </w:style>
  <w:style w:type="character" w:styleId="926" w:customStyle="1">
    <w:name w:val="Heading 7 Char"/>
    <w:uiPriority w:val="9"/>
    <w:qFormat/>
    <w:rPr>
      <w:rFonts w:ascii="Arial" w:hAnsi="Arial" w:eastAsia="Arial" w:cs="Arial"/>
      <w:b/>
      <w:bCs/>
      <w:i/>
      <w:iCs/>
      <w:sz w:val="22"/>
      <w:szCs w:val="22"/>
    </w:rPr>
  </w:style>
  <w:style w:type="character" w:styleId="927" w:customStyle="1">
    <w:name w:val="Heading 8 Char"/>
    <w:uiPriority w:val="9"/>
    <w:qFormat/>
    <w:rPr>
      <w:rFonts w:ascii="Arial" w:hAnsi="Arial" w:eastAsia="Arial" w:cs="Arial"/>
      <w:i/>
      <w:iCs/>
      <w:sz w:val="22"/>
      <w:szCs w:val="22"/>
    </w:rPr>
  </w:style>
  <w:style w:type="character" w:styleId="928" w:customStyle="1">
    <w:name w:val="Heading 9 Char"/>
    <w:uiPriority w:val="9"/>
    <w:qFormat/>
    <w:rPr>
      <w:rFonts w:ascii="Arial" w:hAnsi="Arial" w:eastAsia="Arial" w:cs="Arial"/>
      <w:i/>
      <w:iCs/>
      <w:sz w:val="21"/>
      <w:szCs w:val="21"/>
    </w:rPr>
  </w:style>
  <w:style w:type="character" w:styleId="929" w:customStyle="1">
    <w:name w:val="Title Char"/>
    <w:uiPriority w:val="10"/>
    <w:qFormat/>
    <w:rPr>
      <w:sz w:val="48"/>
      <w:szCs w:val="48"/>
    </w:rPr>
  </w:style>
  <w:style w:type="character" w:styleId="930" w:customStyle="1">
    <w:name w:val="Subtitle Char"/>
    <w:uiPriority w:val="11"/>
    <w:qFormat/>
    <w:rPr>
      <w:sz w:val="24"/>
      <w:szCs w:val="24"/>
    </w:rPr>
  </w:style>
  <w:style w:type="character" w:styleId="931" w:customStyle="1">
    <w:name w:val="Quote Char"/>
    <w:uiPriority w:val="29"/>
    <w:qFormat/>
    <w:rPr>
      <w:i/>
    </w:rPr>
  </w:style>
  <w:style w:type="character" w:styleId="932" w:customStyle="1">
    <w:name w:val="Intense Quote Char"/>
    <w:uiPriority w:val="30"/>
    <w:qFormat/>
    <w:rPr>
      <w:i/>
    </w:rPr>
  </w:style>
  <w:style w:type="character" w:styleId="933" w:customStyle="1">
    <w:name w:val="Header Char"/>
    <w:basedOn w:val="808"/>
    <w:uiPriority w:val="99"/>
    <w:qFormat/>
  </w:style>
  <w:style w:type="character" w:styleId="934" w:customStyle="1">
    <w:name w:val="Caption Char"/>
    <w:uiPriority w:val="99"/>
    <w:qFormat/>
  </w:style>
  <w:style w:type="character" w:styleId="935" w:customStyle="1">
    <w:name w:val="Footnote Text Char"/>
    <w:uiPriority w:val="99"/>
    <w:qFormat/>
    <w:rPr>
      <w:sz w:val="18"/>
    </w:rPr>
  </w:style>
  <w:style w:type="character" w:styleId="936" w:customStyle="1">
    <w:name w:val="Endnote Text Char"/>
    <w:uiPriority w:val="99"/>
    <w:qFormat/>
    <w:rPr>
      <w:sz w:val="20"/>
    </w:rPr>
  </w:style>
  <w:style w:type="paragraph" w:styleId="937" w:customStyle="1">
    <w:name w:val="TOC 标题111"/>
    <w:uiPriority w:val="39"/>
    <w:unhideWhenUsed/>
    <w:qFormat/>
    <w:rPr>
      <w:rFonts w:hint="default" w:ascii="Times New Roman" w:hAnsi="Times New Roman" w:eastAsia="宋体" w:cs="Times New Roman"/>
      <w:lang w:val="en-US" w:eastAsia="zh-CN" w:bidi="ar-SA"/>
    </w:rPr>
  </w:style>
  <w:style w:type="character" w:styleId="938" w:customStyle="1">
    <w:name w:val="标题 1 字符"/>
    <w:link w:val="799"/>
    <w:uiPriority w:val="9"/>
    <w:qFormat/>
    <w:rPr>
      <w:rFonts w:ascii="Arial" w:hAnsi="Arial" w:eastAsia="仿宋" w:cs="Arial"/>
      <w:b/>
      <w:sz w:val="24"/>
      <w:szCs w:val="40"/>
    </w:rPr>
  </w:style>
  <w:style w:type="character" w:styleId="939" w:customStyle="1">
    <w:name w:val="标题 2 字符"/>
    <w:link w:val="800"/>
    <w:uiPriority w:val="9"/>
    <w:qFormat/>
    <w:rPr>
      <w:rFonts w:ascii="仿宋" w:hAnsi="仿宋" w:eastAsia="仿宋" w:cs="Arial"/>
      <w:b/>
      <w:sz w:val="24"/>
    </w:rPr>
  </w:style>
  <w:style w:type="character" w:styleId="940" w:customStyle="1">
    <w:name w:val="标题 3 字符"/>
    <w:link w:val="801"/>
    <w:uiPriority w:val="9"/>
    <w:qFormat/>
    <w:rPr>
      <w:rFonts w:ascii="仿宋" w:hAnsi="仿宋" w:eastAsia="仿宋" w:cs="Arial"/>
      <w:b/>
      <w:sz w:val="24"/>
      <w:szCs w:val="30"/>
    </w:rPr>
  </w:style>
  <w:style w:type="character" w:styleId="941" w:customStyle="1">
    <w:name w:val="标题 4 字符"/>
    <w:link w:val="802"/>
    <w:uiPriority w:val="9"/>
    <w:qFormat/>
    <w:rPr>
      <w:rFonts w:ascii="仿宋" w:hAnsi="仿宋" w:eastAsia="仿宋" w:cs="Arial"/>
      <w:b/>
      <w:bCs/>
      <w:sz w:val="24"/>
      <w:szCs w:val="26"/>
    </w:rPr>
  </w:style>
  <w:style w:type="character" w:styleId="942" w:customStyle="1">
    <w:name w:val="标题 5 字符"/>
    <w:link w:val="803"/>
    <w:uiPriority w:val="9"/>
    <w:qFormat/>
    <w:rPr>
      <w:rFonts w:ascii="Arial" w:hAnsi="Arial" w:eastAsia="Arial" w:cs="Arial"/>
      <w:b/>
      <w:bCs/>
      <w:sz w:val="24"/>
      <w:szCs w:val="24"/>
    </w:rPr>
  </w:style>
  <w:style w:type="character" w:styleId="943" w:customStyle="1">
    <w:name w:val="标题 6 字符"/>
    <w:link w:val="804"/>
    <w:uiPriority w:val="9"/>
    <w:qFormat/>
    <w:rPr>
      <w:rFonts w:ascii="Arial" w:hAnsi="Arial" w:eastAsia="Arial" w:cs="Arial"/>
      <w:b/>
      <w:bCs/>
      <w:sz w:val="22"/>
      <w:szCs w:val="22"/>
    </w:rPr>
  </w:style>
  <w:style w:type="character" w:styleId="944" w:customStyle="1">
    <w:name w:val="标题 7 字符"/>
    <w:link w:val="805"/>
    <w:uiPriority w:val="9"/>
    <w:qFormat/>
    <w:rPr>
      <w:rFonts w:ascii="Arial" w:hAnsi="Arial" w:eastAsia="Arial" w:cs="Arial"/>
      <w:b/>
      <w:bCs/>
      <w:i/>
      <w:iCs/>
      <w:sz w:val="22"/>
      <w:szCs w:val="22"/>
    </w:rPr>
  </w:style>
  <w:style w:type="character" w:styleId="945" w:customStyle="1">
    <w:name w:val="标题 8 字符"/>
    <w:link w:val="806"/>
    <w:uiPriority w:val="9"/>
    <w:qFormat/>
    <w:rPr>
      <w:rFonts w:ascii="Arial" w:hAnsi="Arial" w:eastAsia="Arial" w:cs="Arial"/>
      <w:i/>
      <w:iCs/>
      <w:sz w:val="22"/>
      <w:szCs w:val="22"/>
    </w:rPr>
  </w:style>
  <w:style w:type="character" w:styleId="946" w:customStyle="1">
    <w:name w:val="标题 9 字符"/>
    <w:link w:val="807"/>
    <w:uiPriority w:val="9"/>
    <w:qFormat/>
    <w:rPr>
      <w:rFonts w:ascii="Arial" w:hAnsi="Arial" w:eastAsia="Arial" w:cs="Arial"/>
      <w:i/>
      <w:iCs/>
      <w:sz w:val="21"/>
      <w:szCs w:val="21"/>
    </w:rPr>
  </w:style>
  <w:style w:type="paragraph" w:styleId="947">
    <w:name w:val="No Spacing"/>
    <w:uiPriority w:val="1"/>
    <w:qFormat/>
    <w:rPr>
      <w:rFonts w:hint="default" w:ascii="Times New Roman" w:hAnsi="Times New Roman" w:eastAsia="宋体" w:cs="Times New Roman"/>
      <w:lang w:val="en-US" w:eastAsia="zh-CN" w:bidi="ar-SA"/>
    </w:rPr>
  </w:style>
  <w:style w:type="character" w:styleId="948" w:customStyle="1">
    <w:name w:val="标题 字符"/>
    <w:link w:val="855"/>
    <w:uiPriority w:val="10"/>
    <w:qFormat/>
    <w:rPr>
      <w:sz w:val="48"/>
      <w:szCs w:val="48"/>
    </w:rPr>
  </w:style>
  <w:style w:type="character" w:styleId="949" w:customStyle="1">
    <w:name w:val="副标题 字符"/>
    <w:link w:val="847"/>
    <w:uiPriority w:val="11"/>
    <w:qFormat/>
    <w:rPr>
      <w:sz w:val="24"/>
      <w:szCs w:val="24"/>
    </w:rPr>
  </w:style>
  <w:style w:type="paragraph" w:styleId="950">
    <w:name w:val="Quote"/>
    <w:basedOn w:val="798"/>
    <w:next w:val="798"/>
    <w:link w:val="951"/>
    <w:uiPriority w:val="29"/>
    <w:qFormat/>
    <w:pPr>
      <w:ind w:left="720" w:right="720"/>
    </w:pPr>
    <w:rPr>
      <w:i/>
    </w:rPr>
  </w:style>
  <w:style w:type="character" w:styleId="951" w:customStyle="1">
    <w:name w:val="引用 字符"/>
    <w:link w:val="950"/>
    <w:uiPriority w:val="29"/>
    <w:qFormat/>
    <w:rPr>
      <w:i/>
    </w:rPr>
  </w:style>
  <w:style w:type="paragraph" w:styleId="952">
    <w:name w:val="Intense Quote"/>
    <w:basedOn w:val="798"/>
    <w:next w:val="798"/>
    <w:link w:val="95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3" w:customStyle="1">
    <w:name w:val="明显引用 字符"/>
    <w:link w:val="952"/>
    <w:uiPriority w:val="30"/>
    <w:qFormat/>
    <w:rPr>
      <w:i/>
    </w:rPr>
  </w:style>
  <w:style w:type="character" w:styleId="954" w:customStyle="1">
    <w:name w:val="页眉 字符"/>
    <w:link w:val="844"/>
    <w:uiPriority w:val="99"/>
    <w:qFormat/>
  </w:style>
  <w:style w:type="character" w:styleId="955" w:customStyle="1">
    <w:name w:val="Footer Char"/>
    <w:uiPriority w:val="99"/>
    <w:qFormat/>
  </w:style>
  <w:style w:type="character" w:styleId="956" w:customStyle="1">
    <w:name w:val="页脚 字符"/>
    <w:link w:val="843"/>
    <w:uiPriority w:val="99"/>
    <w:qFormat/>
  </w:style>
  <w:style w:type="table" w:styleId="957"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58"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59"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60"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61"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62"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63"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64"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65"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66"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67"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68"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69"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70"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71"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72"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73"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74"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75"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76"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77"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78"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79"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80"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81"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82"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83"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84"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85"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86"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87"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88"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89"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90"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91"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92"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93"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94"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95"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96"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97"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98"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99"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000" w:customStyle="1">
    <w:name w:val="List Table 1 Light - Accent 1"/>
    <w:uiPriority w:val="99"/>
    <w:qFormat/>
    <w:tblPr>
      <w:tblCellMar>
        <w:left w:w="0" w:type="dxa"/>
        <w:top w:w="0" w:type="dxa"/>
        <w:right w:w="0" w:type="dxa"/>
        <w:bottom w:w="0" w:type="dxa"/>
      </w:tblCellMar>
    </w:tblPr>
  </w:style>
  <w:style w:type="table" w:styleId="1001" w:customStyle="1">
    <w:name w:val="List Table 1 Light - Accent 2"/>
    <w:uiPriority w:val="99"/>
    <w:qFormat/>
    <w:tblPr>
      <w:tblCellMar>
        <w:left w:w="0" w:type="dxa"/>
        <w:top w:w="0" w:type="dxa"/>
        <w:right w:w="0" w:type="dxa"/>
        <w:bottom w:w="0" w:type="dxa"/>
      </w:tblCellMar>
    </w:tblPr>
  </w:style>
  <w:style w:type="table" w:styleId="1002" w:customStyle="1">
    <w:name w:val="List Table 1 Light - Accent 3"/>
    <w:uiPriority w:val="99"/>
    <w:qFormat/>
    <w:tblPr>
      <w:tblCellMar>
        <w:left w:w="0" w:type="dxa"/>
        <w:top w:w="0" w:type="dxa"/>
        <w:right w:w="0" w:type="dxa"/>
        <w:bottom w:w="0" w:type="dxa"/>
      </w:tblCellMar>
    </w:tblPr>
  </w:style>
  <w:style w:type="table" w:styleId="1003" w:customStyle="1">
    <w:name w:val="List Table 1 Light - Accent 4"/>
    <w:uiPriority w:val="99"/>
    <w:qFormat/>
    <w:tblPr>
      <w:tblCellMar>
        <w:left w:w="0" w:type="dxa"/>
        <w:top w:w="0" w:type="dxa"/>
        <w:right w:w="0" w:type="dxa"/>
        <w:bottom w:w="0" w:type="dxa"/>
      </w:tblCellMar>
    </w:tblPr>
  </w:style>
  <w:style w:type="table" w:styleId="1004" w:customStyle="1">
    <w:name w:val="List Table 1 Light - Accent 5"/>
    <w:uiPriority w:val="99"/>
    <w:qFormat/>
    <w:tblPr>
      <w:tblCellMar>
        <w:left w:w="0" w:type="dxa"/>
        <w:top w:w="0" w:type="dxa"/>
        <w:right w:w="0" w:type="dxa"/>
        <w:bottom w:w="0" w:type="dxa"/>
      </w:tblCellMar>
    </w:tblPr>
  </w:style>
  <w:style w:type="table" w:styleId="1005" w:customStyle="1">
    <w:name w:val="List Table 1 Light - Accent 6"/>
    <w:uiPriority w:val="99"/>
    <w:qFormat/>
    <w:tblPr>
      <w:tblCellMar>
        <w:left w:w="0" w:type="dxa"/>
        <w:top w:w="0" w:type="dxa"/>
        <w:right w:w="0" w:type="dxa"/>
        <w:bottom w:w="0" w:type="dxa"/>
      </w:tblCellMar>
    </w:tblPr>
  </w:style>
  <w:style w:type="table" w:styleId="1006"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007"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008"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009"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010"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011"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012"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013"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014"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015"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016"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017"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018"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019"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020"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021"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022"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023"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024"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025"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026"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027"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028"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029"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030"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031"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032"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033"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034"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035"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036"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037"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038"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039"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040"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041"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042" w:customStyle="1">
    <w:name w:val="Lined - Accent"/>
    <w:uiPriority w:val="99"/>
    <w:qFormat/>
    <w:rPr>
      <w:color w:val="404040"/>
    </w:rPr>
    <w:tblPr>
      <w:tblCellMar>
        <w:left w:w="0" w:type="dxa"/>
        <w:top w:w="0" w:type="dxa"/>
        <w:right w:w="0" w:type="dxa"/>
        <w:bottom w:w="0" w:type="dxa"/>
      </w:tblCellMar>
    </w:tblPr>
  </w:style>
  <w:style w:type="table" w:styleId="1043" w:customStyle="1">
    <w:name w:val="Lined - Accent 1"/>
    <w:uiPriority w:val="99"/>
    <w:qFormat/>
    <w:rPr>
      <w:color w:val="404040"/>
    </w:rPr>
    <w:tblPr>
      <w:tblCellMar>
        <w:left w:w="0" w:type="dxa"/>
        <w:top w:w="0" w:type="dxa"/>
        <w:right w:w="0" w:type="dxa"/>
        <w:bottom w:w="0" w:type="dxa"/>
      </w:tblCellMar>
    </w:tblPr>
  </w:style>
  <w:style w:type="table" w:styleId="1044" w:customStyle="1">
    <w:name w:val="Lined - Accent 2"/>
    <w:uiPriority w:val="99"/>
    <w:qFormat/>
    <w:rPr>
      <w:color w:val="404040"/>
    </w:rPr>
    <w:tblPr>
      <w:tblCellMar>
        <w:left w:w="0" w:type="dxa"/>
        <w:top w:w="0" w:type="dxa"/>
        <w:right w:w="0" w:type="dxa"/>
        <w:bottom w:w="0" w:type="dxa"/>
      </w:tblCellMar>
    </w:tblPr>
  </w:style>
  <w:style w:type="table" w:styleId="1045" w:customStyle="1">
    <w:name w:val="Lined - Accent 3"/>
    <w:uiPriority w:val="99"/>
    <w:qFormat/>
    <w:rPr>
      <w:color w:val="404040"/>
    </w:rPr>
    <w:tblPr>
      <w:tblCellMar>
        <w:left w:w="0" w:type="dxa"/>
        <w:top w:w="0" w:type="dxa"/>
        <w:right w:w="0" w:type="dxa"/>
        <w:bottom w:w="0" w:type="dxa"/>
      </w:tblCellMar>
    </w:tblPr>
  </w:style>
  <w:style w:type="table" w:styleId="1046" w:customStyle="1">
    <w:name w:val="Lined - Accent 4"/>
    <w:uiPriority w:val="99"/>
    <w:qFormat/>
    <w:rPr>
      <w:color w:val="404040"/>
    </w:rPr>
    <w:tblPr>
      <w:tblCellMar>
        <w:left w:w="0" w:type="dxa"/>
        <w:top w:w="0" w:type="dxa"/>
        <w:right w:w="0" w:type="dxa"/>
        <w:bottom w:w="0" w:type="dxa"/>
      </w:tblCellMar>
    </w:tblPr>
  </w:style>
  <w:style w:type="table" w:styleId="1047" w:customStyle="1">
    <w:name w:val="Lined - Accent 5"/>
    <w:uiPriority w:val="99"/>
    <w:qFormat/>
    <w:rPr>
      <w:color w:val="404040"/>
    </w:rPr>
    <w:tblPr>
      <w:tblCellMar>
        <w:left w:w="0" w:type="dxa"/>
        <w:top w:w="0" w:type="dxa"/>
        <w:right w:w="0" w:type="dxa"/>
        <w:bottom w:w="0" w:type="dxa"/>
      </w:tblCellMar>
    </w:tblPr>
  </w:style>
  <w:style w:type="table" w:styleId="1048" w:customStyle="1">
    <w:name w:val="Lined - Accent 6"/>
    <w:uiPriority w:val="99"/>
    <w:qFormat/>
    <w:rPr>
      <w:color w:val="404040"/>
    </w:rPr>
    <w:tblPr>
      <w:tblCellMar>
        <w:left w:w="0" w:type="dxa"/>
        <w:top w:w="0" w:type="dxa"/>
        <w:right w:w="0" w:type="dxa"/>
        <w:bottom w:w="0" w:type="dxa"/>
      </w:tblCellMar>
    </w:tblPr>
  </w:style>
  <w:style w:type="table" w:styleId="1049"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50" w:customStyle="1">
    <w:name w:val="Bordered &amp; Lined - Accent 1"/>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51"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52"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53"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54"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55"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56"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57"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58"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59"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60"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61"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62"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63" w:customStyle="1">
    <w:name w:val="脚注文本 字符"/>
    <w:link w:val="848"/>
    <w:uiPriority w:val="99"/>
    <w:qFormat/>
    <w:rPr>
      <w:sz w:val="18"/>
    </w:rPr>
  </w:style>
  <w:style w:type="character" w:styleId="1064" w:customStyle="1">
    <w:name w:val="尾注文本 字符"/>
    <w:link w:val="841"/>
    <w:uiPriority w:val="99"/>
    <w:qFormat/>
    <w:rPr>
      <w:sz w:val="20"/>
    </w:rPr>
  </w:style>
  <w:style w:type="paragraph" w:styleId="1065" w:customStyle="1">
    <w:name w:val="TOC 标题11"/>
    <w:uiPriority w:val="39"/>
    <w:unhideWhenUsed/>
    <w:qFormat/>
    <w:rPr>
      <w:rFonts w:hint="default" w:ascii="Times New Roman" w:hAnsi="Times New Roman" w:eastAsia="宋体" w:cs="Times New Roman"/>
      <w:lang w:val="en-US" w:eastAsia="zh-CN" w:bidi="ar-SA"/>
    </w:rPr>
  </w:style>
  <w:style w:type="paragraph" w:styleId="1066" w:customStyle="1">
    <w:name w:val="标题 11"/>
    <w:basedOn w:val="822"/>
    <w:next w:val="822"/>
    <w:link w:val="1071"/>
    <w:uiPriority w:val="0"/>
    <w:qFormat/>
    <w:pPr>
      <w:keepLines/>
      <w:keepNext/>
      <w:spacing w:before="340" w:after="330" w:line="578" w:lineRule="auto"/>
      <w:outlineLvl w:val="0"/>
    </w:pPr>
    <w:rPr>
      <w:b/>
      <w:bCs/>
      <w:sz w:val="44"/>
      <w:szCs w:val="44"/>
    </w:rPr>
  </w:style>
  <w:style w:type="paragraph" w:styleId="1067" w:customStyle="1">
    <w:name w:val="标题 211"/>
    <w:basedOn w:val="822"/>
    <w:next w:val="822"/>
    <w:link w:val="1072"/>
    <w:uiPriority w:val="0"/>
    <w:qFormat/>
    <w:pPr>
      <w:keepLines/>
      <w:keepNext/>
      <w:spacing w:before="260" w:after="260" w:line="416" w:lineRule="auto"/>
      <w:outlineLvl w:val="1"/>
    </w:pPr>
    <w:rPr>
      <w:rFonts w:ascii="Calibri Light" w:hAnsi="Calibri Light"/>
      <w:b/>
      <w:bCs/>
      <w:sz w:val="32"/>
      <w:szCs w:val="32"/>
    </w:rPr>
  </w:style>
  <w:style w:type="paragraph" w:styleId="1068" w:customStyle="1">
    <w:name w:val="标题 31"/>
    <w:basedOn w:val="822"/>
    <w:next w:val="822"/>
    <w:uiPriority w:val="0"/>
    <w:qFormat/>
    <w:pPr>
      <w:keepLines/>
      <w:keepNext/>
      <w:spacing w:line="360" w:lineRule="auto"/>
      <w:outlineLvl w:val="2"/>
    </w:pPr>
    <w:rPr>
      <w:rFonts w:eastAsia="黑体"/>
      <w:b/>
      <w:bCs/>
      <w:sz w:val="21"/>
      <w:szCs w:val="32"/>
    </w:rPr>
  </w:style>
  <w:style w:type="character" w:styleId="1069" w:customStyle="1">
    <w:name w:val="默认段落字体1"/>
    <w:uiPriority w:val="0"/>
    <w:qFormat/>
  </w:style>
  <w:style w:type="table" w:styleId="1070" w:customStyle="1">
    <w:name w:val="普通表格1"/>
    <w:uiPriority w:val="0"/>
    <w:qFormat/>
    <w:tblPr>
      <w:tblCellMar>
        <w:left w:w="0" w:type="dxa"/>
        <w:top w:w="0" w:type="dxa"/>
        <w:right w:w="0" w:type="dxa"/>
        <w:bottom w:w="0" w:type="dxa"/>
      </w:tblCellMar>
    </w:tblPr>
  </w:style>
  <w:style w:type="character" w:styleId="1071" w:customStyle="1">
    <w:name w:val="标题 1 Char"/>
    <w:link w:val="1066"/>
    <w:uiPriority w:val="0"/>
    <w:qFormat/>
    <w:rPr>
      <w:b/>
      <w:bCs/>
      <w:sz w:val="44"/>
      <w:szCs w:val="44"/>
    </w:rPr>
  </w:style>
  <w:style w:type="character" w:styleId="1072" w:customStyle="1">
    <w:name w:val="标题 2 Char"/>
    <w:link w:val="1067"/>
    <w:uiPriority w:val="0"/>
    <w:qFormat/>
    <w:rPr>
      <w:rFonts w:ascii="Calibri Light" w:hAnsi="Calibri Light" w:eastAsia="宋体"/>
      <w:b/>
      <w:bCs/>
      <w:sz w:val="32"/>
      <w:szCs w:val="32"/>
    </w:rPr>
  </w:style>
  <w:style w:type="paragraph" w:styleId="1073" w:customStyle="1">
    <w:name w:val="正文缩进1"/>
    <w:basedOn w:val="822"/>
    <w:uiPriority w:val="0"/>
    <w:qFormat/>
    <w:pPr>
      <w:ind w:firstLine="420"/>
    </w:pPr>
    <w:rPr>
      <w:sz w:val="21"/>
      <w:szCs w:val="21"/>
    </w:rPr>
  </w:style>
  <w:style w:type="paragraph" w:styleId="1074" w:customStyle="1">
    <w:name w:val="批注文字1"/>
    <w:basedOn w:val="822"/>
    <w:link w:val="1075"/>
    <w:uiPriority w:val="0"/>
    <w:semiHidden/>
    <w:qFormat/>
    <w:pPr>
      <w:jc w:val="left"/>
    </w:pPr>
    <w:rPr>
      <w:sz w:val="21"/>
    </w:rPr>
  </w:style>
  <w:style w:type="character" w:styleId="1075" w:customStyle="1">
    <w:name w:val="批注文字 Char"/>
    <w:link w:val="1074"/>
    <w:uiPriority w:val="0"/>
    <w:semiHidden/>
    <w:qFormat/>
    <w:rPr>
      <w:sz w:val="21"/>
    </w:rPr>
  </w:style>
  <w:style w:type="character" w:styleId="1076" w:customStyle="1">
    <w:name w:val="正文文本 Char"/>
    <w:link w:val="829"/>
    <w:uiPriority w:val="0"/>
    <w:qFormat/>
  </w:style>
  <w:style w:type="paragraph" w:styleId="1077" w:customStyle="1">
    <w:name w:val="日期1"/>
    <w:basedOn w:val="822"/>
    <w:next w:val="822"/>
    <w:link w:val="1078"/>
    <w:uiPriority w:val="0"/>
    <w:qFormat/>
    <w:pPr>
      <w:ind w:left="100"/>
    </w:pPr>
  </w:style>
  <w:style w:type="character" w:styleId="1078" w:customStyle="1">
    <w:name w:val="日期 Char"/>
    <w:link w:val="1077"/>
    <w:uiPriority w:val="0"/>
    <w:semiHidden/>
    <w:qFormat/>
    <w:rPr>
      <w:sz w:val="20"/>
    </w:rPr>
  </w:style>
  <w:style w:type="paragraph" w:styleId="1079" w:customStyle="1">
    <w:name w:val="批注框文本1"/>
    <w:basedOn w:val="822"/>
    <w:link w:val="1080"/>
    <w:uiPriority w:val="0"/>
    <w:qFormat/>
    <w:rPr>
      <w:sz w:val="18"/>
      <w:szCs w:val="18"/>
    </w:rPr>
  </w:style>
  <w:style w:type="character" w:styleId="1080" w:customStyle="1">
    <w:name w:val="批注框文本 Char"/>
    <w:link w:val="1079"/>
    <w:uiPriority w:val="0"/>
    <w:semiHidden/>
    <w:qFormat/>
    <w:rPr>
      <w:sz w:val="18"/>
      <w:szCs w:val="18"/>
    </w:rPr>
  </w:style>
  <w:style w:type="character" w:styleId="1081" w:customStyle="1">
    <w:name w:val="页脚 Char"/>
    <w:link w:val="892"/>
    <w:uiPriority w:val="0"/>
    <w:qFormat/>
    <w:rPr>
      <w:sz w:val="18"/>
    </w:rPr>
  </w:style>
  <w:style w:type="paragraph" w:styleId="1082" w:customStyle="1">
    <w:name w:val="页眉1"/>
    <w:basedOn w:val="822"/>
    <w:link w:val="1083"/>
    <w:uiPriority w:val="0"/>
    <w:qFormat/>
    <w:pPr>
      <w:jc w:val="center"/>
      <w:tabs>
        <w:tab w:val="right" w:pos="4153" w:leader="none"/>
        <w:tab w:val="left" w:pos="8306" w:leader="underscore"/>
      </w:tabs>
      <w:pBdr>
        <w:bottom w:val="single" w:color="000000" w:sz="6" w:space="1"/>
      </w:pBdr>
    </w:pPr>
    <w:rPr>
      <w:sz w:val="18"/>
      <w:szCs w:val="18"/>
    </w:rPr>
  </w:style>
  <w:style w:type="character" w:styleId="1083" w:customStyle="1">
    <w:name w:val="页眉 Char"/>
    <w:link w:val="1082"/>
    <w:uiPriority w:val="0"/>
    <w:qFormat/>
    <w:rPr>
      <w:sz w:val="18"/>
      <w:szCs w:val="18"/>
    </w:rPr>
  </w:style>
  <w:style w:type="paragraph" w:styleId="1084" w:customStyle="1">
    <w:name w:val="副标题1"/>
    <w:basedOn w:val="822"/>
    <w:next w:val="822"/>
    <w:uiPriority w:val="0"/>
    <w:qFormat/>
    <w:pPr>
      <w:ind w:left="100" w:right="100" w:firstLine="200"/>
      <w:jc w:val="center"/>
      <w:spacing w:before="240" w:after="120" w:line="312" w:lineRule="auto"/>
      <w:outlineLvl w:val="1"/>
    </w:pPr>
    <w:rPr>
      <w:rFonts w:ascii="Cambria" w:hAnsi="Cambria" w:eastAsia="仿宋_GB2312"/>
      <w:b/>
      <w:bCs/>
      <w:sz w:val="32"/>
      <w:szCs w:val="32"/>
    </w:rPr>
  </w:style>
  <w:style w:type="paragraph" w:styleId="1085" w:customStyle="1">
    <w:name w:val="目录 21"/>
    <w:basedOn w:val="822"/>
    <w:next w:val="822"/>
    <w:uiPriority w:val="0"/>
    <w:qFormat/>
    <w:pPr>
      <w:ind w:left="420"/>
    </w:pPr>
  </w:style>
  <w:style w:type="paragraph" w:styleId="1086" w:customStyle="1">
    <w:name w:val="普通(网站)1"/>
    <w:basedOn w:val="822"/>
    <w:uiPriority w:val="0"/>
    <w:qFormat/>
    <w:pPr>
      <w:jc w:val="left"/>
      <w:spacing w:before="100" w:beforeAutospacing="1" w:after="100" w:afterAutospacing="1"/>
    </w:pPr>
    <w:rPr>
      <w:rFonts w:ascii="宋体" w:hAnsi="宋体"/>
      <w:sz w:val="24"/>
      <w:szCs w:val="24"/>
    </w:rPr>
  </w:style>
  <w:style w:type="paragraph" w:styleId="1087" w:customStyle="1">
    <w:name w:val="批注主题1"/>
    <w:basedOn w:val="1074"/>
    <w:next w:val="1074"/>
    <w:link w:val="1088"/>
    <w:uiPriority w:val="0"/>
    <w:qFormat/>
    <w:rPr>
      <w:b/>
      <w:bCs/>
    </w:rPr>
  </w:style>
  <w:style w:type="character" w:styleId="1088" w:customStyle="1">
    <w:name w:val="批注主题 Char"/>
    <w:link w:val="1087"/>
    <w:uiPriority w:val="0"/>
    <w:semiHidden/>
    <w:qFormat/>
    <w:rPr>
      <w:b/>
      <w:bCs/>
      <w:sz w:val="21"/>
    </w:rPr>
  </w:style>
  <w:style w:type="character" w:styleId="1089" w:customStyle="1">
    <w:name w:val="正文首行缩进 Char"/>
    <w:link w:val="828"/>
    <w:uiPriority w:val="0"/>
    <w:qFormat/>
    <w:rPr>
      <w:sz w:val="21"/>
    </w:rPr>
  </w:style>
  <w:style w:type="paragraph" w:styleId="1090" w:customStyle="1">
    <w:name w:val="正文首行缩进 21"/>
    <w:basedOn w:val="866"/>
    <w:uiPriority w:val="0"/>
    <w:qFormat/>
    <w:pPr>
      <w:ind w:firstLine="420"/>
    </w:pPr>
    <w:rPr>
      <w:rFonts w:ascii="仿宋_GB2312" w:eastAsia="仿宋_GB2312"/>
      <w:color w:val="ff6600"/>
      <w:sz w:val="21"/>
    </w:rPr>
  </w:style>
  <w:style w:type="table" w:styleId="1091" w:customStyle="1">
    <w:name w:val="网格型1"/>
    <w:basedOn w:val="1070"/>
    <w:uiPriority w:val="0"/>
    <w:qFormat/>
    <w:pPr>
      <w:jc w:val="both"/>
      <w:widowControl w:val="off"/>
    </w:pPr>
    <w:tblPr/>
  </w:style>
  <w:style w:type="character" w:styleId="1092" w:customStyle="1">
    <w:name w:val="要点1"/>
    <w:uiPriority w:val="0"/>
    <w:qFormat/>
    <w:rPr>
      <w:b/>
      <w:sz w:val="21"/>
    </w:rPr>
  </w:style>
  <w:style w:type="character" w:styleId="1093" w:customStyle="1">
    <w:name w:val="页码1"/>
    <w:basedOn w:val="1069"/>
    <w:uiPriority w:val="0"/>
    <w:qFormat/>
    <w:rPr>
      <w:rFonts w:ascii="Calibri" w:hAnsi="Calibri" w:eastAsia="宋体" w:cs="Times New Roman"/>
      <w:sz w:val="21"/>
      <w:szCs w:val="21"/>
      <w:lang w:val="en-US" w:eastAsia="zh-CN" w:bidi="ar-SA"/>
    </w:rPr>
  </w:style>
  <w:style w:type="character" w:styleId="1094" w:customStyle="1">
    <w:name w:val="强调1"/>
    <w:uiPriority w:val="0"/>
    <w:qFormat/>
    <w:rPr>
      <w:i/>
      <w:sz w:val="20"/>
    </w:rPr>
  </w:style>
  <w:style w:type="character" w:styleId="1095" w:customStyle="1">
    <w:name w:val="超链接1"/>
    <w:uiPriority w:val="0"/>
    <w:qFormat/>
    <w:rPr>
      <w:color w:val="0000ff"/>
      <w:sz w:val="20"/>
      <w:u w:val="single"/>
    </w:rPr>
  </w:style>
  <w:style w:type="character" w:styleId="1096" w:customStyle="1">
    <w:name w:val="批注引用1"/>
    <w:uiPriority w:val="0"/>
    <w:qFormat/>
    <w:rPr>
      <w:sz w:val="21"/>
      <w:szCs w:val="21"/>
    </w:rPr>
  </w:style>
  <w:style w:type="character" w:styleId="1097" w:customStyle="1">
    <w:name w:val="NormalCharacter"/>
    <w:link w:val="821"/>
    <w:uiPriority w:val="0"/>
    <w:semiHidden/>
    <w:qFormat/>
    <w:rPr>
      <w:rFonts w:ascii="宋体"/>
      <w:sz w:val="24"/>
    </w:rPr>
  </w:style>
  <w:style w:type="character" w:styleId="1098" w:customStyle="1">
    <w:name w:val="UserStyle_19"/>
    <w:uiPriority w:val="0"/>
    <w:qFormat/>
    <w:rPr>
      <w:b/>
      <w:sz w:val="20"/>
    </w:rPr>
  </w:style>
  <w:style w:type="character" w:styleId="1099" w:customStyle="1">
    <w:name w:val="263"/>
    <w:uiPriority w:val="0"/>
    <w:qFormat/>
    <w:rPr>
      <w:b/>
      <w:color w:val="c0504d"/>
      <w:sz w:val="20"/>
      <w:u w:val="single"/>
    </w:rPr>
  </w:style>
  <w:style w:type="character" w:styleId="1100" w:customStyle="1">
    <w:name w:val="UserStyle_47"/>
    <w:uiPriority w:val="0"/>
    <w:qFormat/>
    <w:rPr>
      <w:sz w:val="20"/>
    </w:rPr>
  </w:style>
  <w:style w:type="character" w:styleId="1101" w:customStyle="1">
    <w:name w:val="UserStyle_43"/>
    <w:uiPriority w:val="0"/>
    <w:qFormat/>
    <w:rPr>
      <w:sz w:val="20"/>
    </w:rPr>
  </w:style>
  <w:style w:type="character" w:styleId="1102" w:customStyle="1">
    <w:name w:val="UserStyle_37"/>
    <w:uiPriority w:val="0"/>
    <w:qFormat/>
    <w:rPr>
      <w:b/>
      <w:sz w:val="20"/>
    </w:rPr>
  </w:style>
  <w:style w:type="character" w:styleId="1103" w:customStyle="1">
    <w:name w:val="UserStyle_70"/>
    <w:uiPriority w:val="0"/>
    <w:qFormat/>
    <w:rPr>
      <w:sz w:val="20"/>
    </w:rPr>
  </w:style>
  <w:style w:type="character" w:styleId="1104" w:customStyle="1">
    <w:name w:val="UserStyle_55"/>
    <w:uiPriority w:val="0"/>
    <w:qFormat/>
    <w:rPr>
      <w:sz w:val="20"/>
    </w:rPr>
  </w:style>
  <w:style w:type="character" w:styleId="1105" w:customStyle="1">
    <w:name w:val="UserStyle_0"/>
    <w:link w:val="1106"/>
    <w:uiPriority w:val="0"/>
    <w:semiHidden/>
    <w:qFormat/>
    <w:rPr>
      <w:rFonts w:ascii="Courier New" w:hAnsi="Courier New"/>
      <w:sz w:val="20"/>
    </w:rPr>
  </w:style>
  <w:style w:type="paragraph" w:styleId="1106" w:customStyle="1">
    <w:name w:val="HtmlPre"/>
    <w:basedOn w:val="822"/>
    <w:link w:val="1105"/>
    <w:uiPriority w:val="0"/>
    <w:qFormat/>
    <w:rPr>
      <w:rFonts w:ascii="Courier New" w:hAnsi="Courier New"/>
    </w:rPr>
  </w:style>
  <w:style w:type="character" w:styleId="1107" w:customStyle="1">
    <w:name w:val="UserStyle_18"/>
    <w:uiPriority w:val="0"/>
    <w:semiHidden/>
    <w:qFormat/>
    <w:rPr>
      <w:sz w:val="20"/>
    </w:rPr>
  </w:style>
  <w:style w:type="character" w:styleId="1108" w:customStyle="1">
    <w:name w:val="UserStyle_56"/>
    <w:uiPriority w:val="0"/>
    <w:qFormat/>
    <w:rPr>
      <w:sz w:val="20"/>
    </w:rPr>
  </w:style>
  <w:style w:type="character" w:styleId="1109" w:customStyle="1">
    <w:name w:val="262"/>
    <w:uiPriority w:val="0"/>
    <w:qFormat/>
    <w:rPr>
      <w:color w:val="c0504d"/>
      <w:sz w:val="20"/>
      <w:u w:val="single"/>
    </w:rPr>
  </w:style>
  <w:style w:type="character" w:styleId="1110" w:customStyle="1">
    <w:name w:val="UserStyle_46"/>
    <w:uiPriority w:val="0"/>
    <w:qFormat/>
    <w:rPr>
      <w:sz w:val="20"/>
    </w:rPr>
  </w:style>
  <w:style w:type="character" w:styleId="1111" w:customStyle="1">
    <w:name w:val="UserStyle_74"/>
    <w:uiPriority w:val="0"/>
    <w:qFormat/>
    <w:rPr>
      <w:b/>
      <w:sz w:val="20"/>
    </w:rPr>
  </w:style>
  <w:style w:type="character" w:styleId="1112" w:customStyle="1">
    <w:name w:val="UserStyle_71"/>
    <w:uiPriority w:val="0"/>
    <w:qFormat/>
    <w:rPr>
      <w:sz w:val="20"/>
    </w:rPr>
  </w:style>
  <w:style w:type="character" w:styleId="1113" w:customStyle="1">
    <w:name w:val="UserStyle_72"/>
    <w:uiPriority w:val="0"/>
    <w:qFormat/>
    <w:rPr>
      <w:sz w:val="20"/>
    </w:rPr>
  </w:style>
  <w:style w:type="character" w:styleId="1114" w:customStyle="1">
    <w:name w:val="UserStyle_7"/>
    <w:uiPriority w:val="0"/>
    <w:qFormat/>
    <w:rPr>
      <w:i/>
      <w:sz w:val="20"/>
    </w:rPr>
  </w:style>
  <w:style w:type="character" w:styleId="1115" w:customStyle="1">
    <w:name w:val="UserStyle_68"/>
    <w:uiPriority w:val="0"/>
    <w:qFormat/>
    <w:rPr>
      <w:sz w:val="20"/>
    </w:rPr>
  </w:style>
  <w:style w:type="character" w:styleId="1116" w:customStyle="1">
    <w:name w:val="UserStyle_25"/>
    <w:uiPriority w:val="0"/>
    <w:qFormat/>
    <w:rPr>
      <w:sz w:val="20"/>
    </w:rPr>
  </w:style>
  <w:style w:type="character" w:styleId="1117" w:customStyle="1">
    <w:name w:val="UserStyle_66"/>
    <w:uiPriority w:val="0"/>
    <w:qFormat/>
    <w:rPr>
      <w:sz w:val="20"/>
    </w:rPr>
  </w:style>
  <w:style w:type="character" w:styleId="1118" w:customStyle="1">
    <w:name w:val="UserStyle_38"/>
    <w:uiPriority w:val="0"/>
    <w:qFormat/>
    <w:rPr>
      <w:sz w:val="20"/>
    </w:rPr>
  </w:style>
  <w:style w:type="character" w:styleId="1119" w:customStyle="1">
    <w:name w:val="UserStyle_17"/>
    <w:uiPriority w:val="0"/>
    <w:qFormat/>
    <w:rPr>
      <w:sz w:val="20"/>
    </w:rPr>
  </w:style>
  <w:style w:type="character" w:styleId="1120" w:customStyle="1">
    <w:name w:val="UserStyle_33"/>
    <w:uiPriority w:val="0"/>
    <w:qFormat/>
    <w:rPr>
      <w:sz w:val="20"/>
    </w:rPr>
  </w:style>
  <w:style w:type="character" w:styleId="1121" w:customStyle="1">
    <w:name w:val="UserStyle_45"/>
    <w:uiPriority w:val="0"/>
    <w:qFormat/>
    <w:rPr>
      <w:b/>
      <w:sz w:val="20"/>
    </w:rPr>
  </w:style>
  <w:style w:type="character" w:styleId="1122" w:customStyle="1">
    <w:name w:val="UserStyle_57"/>
    <w:uiPriority w:val="0"/>
    <w:qFormat/>
    <w:rPr>
      <w:sz w:val="20"/>
    </w:rPr>
  </w:style>
  <w:style w:type="character" w:styleId="1123" w:customStyle="1">
    <w:name w:val="UserStyle_63"/>
    <w:uiPriority w:val="0"/>
    <w:qFormat/>
    <w:rPr>
      <w:sz w:val="20"/>
    </w:rPr>
  </w:style>
  <w:style w:type="character" w:styleId="1124" w:customStyle="1">
    <w:name w:val="UserStyle_75"/>
    <w:uiPriority w:val="0"/>
    <w:qFormat/>
    <w:rPr>
      <w:sz w:val="20"/>
    </w:rPr>
  </w:style>
  <w:style w:type="character" w:styleId="1125" w:customStyle="1">
    <w:name w:val="UserStyle_23"/>
    <w:uiPriority w:val="0"/>
    <w:qFormat/>
    <w:rPr>
      <w:color w:val="000000"/>
      <w:sz w:val="20"/>
    </w:rPr>
  </w:style>
  <w:style w:type="character" w:styleId="1126" w:customStyle="1">
    <w:name w:val="UserStyle_65"/>
    <w:uiPriority w:val="0"/>
    <w:qFormat/>
    <w:rPr>
      <w:sz w:val="20"/>
    </w:rPr>
  </w:style>
  <w:style w:type="character" w:styleId="1127" w:customStyle="1">
    <w:name w:val="UserStyle_24"/>
    <w:uiPriority w:val="0"/>
    <w:qFormat/>
    <w:rPr>
      <w:sz w:val="20"/>
    </w:rPr>
  </w:style>
  <w:style w:type="character" w:styleId="1128" w:customStyle="1">
    <w:name w:val="UserStyle_50"/>
    <w:uiPriority w:val="0"/>
    <w:qFormat/>
    <w:rPr>
      <w:sz w:val="20"/>
    </w:rPr>
  </w:style>
  <w:style w:type="character" w:styleId="1129" w:customStyle="1">
    <w:name w:val="UserStyle_44"/>
    <w:uiPriority w:val="0"/>
    <w:qFormat/>
    <w:rPr>
      <w:b/>
      <w:sz w:val="20"/>
    </w:rPr>
  </w:style>
  <w:style w:type="character" w:styleId="1130" w:customStyle="1">
    <w:name w:val="UserStyle_51"/>
    <w:uiPriority w:val="0"/>
    <w:qFormat/>
    <w:rPr>
      <w:sz w:val="20"/>
    </w:rPr>
  </w:style>
  <w:style w:type="character" w:styleId="1131" w:customStyle="1">
    <w:name w:val="UserStyle_4"/>
    <w:uiPriority w:val="0"/>
    <w:qFormat/>
    <w:rPr>
      <w:sz w:val="20"/>
    </w:rPr>
  </w:style>
  <w:style w:type="character" w:styleId="1132" w:customStyle="1">
    <w:name w:val="UserStyle_52"/>
    <w:uiPriority w:val="0"/>
    <w:semiHidden/>
    <w:qFormat/>
    <w:rPr>
      <w:sz w:val="20"/>
    </w:rPr>
  </w:style>
  <w:style w:type="character" w:styleId="1133" w:customStyle="1">
    <w:name w:val="UserStyle_3"/>
    <w:uiPriority w:val="0"/>
    <w:qFormat/>
    <w:rPr>
      <w:sz w:val="20"/>
    </w:rPr>
  </w:style>
  <w:style w:type="character" w:styleId="1134" w:customStyle="1">
    <w:name w:val="UserStyle_67"/>
    <w:uiPriority w:val="0"/>
    <w:qFormat/>
    <w:rPr>
      <w:b/>
      <w:sz w:val="20"/>
    </w:rPr>
  </w:style>
  <w:style w:type="character" w:styleId="1135" w:customStyle="1">
    <w:name w:val="UserStyle_61"/>
    <w:uiPriority w:val="0"/>
    <w:qFormat/>
    <w:rPr>
      <w:b/>
      <w:sz w:val="20"/>
    </w:rPr>
  </w:style>
  <w:style w:type="character" w:styleId="1136" w:customStyle="1">
    <w:name w:val="UserStyle_36"/>
    <w:uiPriority w:val="0"/>
    <w:qFormat/>
    <w:rPr>
      <w:b/>
      <w:sz w:val="20"/>
    </w:rPr>
  </w:style>
  <w:style w:type="character" w:styleId="1137" w:customStyle="1">
    <w:name w:val="260"/>
    <w:uiPriority w:val="0"/>
    <w:qFormat/>
    <w:rPr>
      <w:i/>
      <w:color w:val="000000"/>
      <w:sz w:val="21"/>
    </w:rPr>
  </w:style>
  <w:style w:type="character" w:styleId="1138" w:customStyle="1">
    <w:name w:val="PageNumber"/>
    <w:uiPriority w:val="0"/>
    <w:qFormat/>
    <w:rPr>
      <w:sz w:val="20"/>
    </w:rPr>
  </w:style>
  <w:style w:type="character" w:styleId="1139" w:customStyle="1">
    <w:name w:val="UserStyle_1"/>
    <w:uiPriority w:val="0"/>
    <w:qFormat/>
    <w:rPr>
      <w:sz w:val="20"/>
    </w:rPr>
  </w:style>
  <w:style w:type="character" w:styleId="1140" w:customStyle="1">
    <w:name w:val="UserStyle_64"/>
    <w:uiPriority w:val="0"/>
    <w:qFormat/>
    <w:rPr>
      <w:sz w:val="20"/>
    </w:rPr>
  </w:style>
  <w:style w:type="character" w:styleId="1141" w:customStyle="1">
    <w:name w:val="UserStyle_21"/>
    <w:uiPriority w:val="0"/>
    <w:qFormat/>
    <w:rPr>
      <w:sz w:val="20"/>
    </w:rPr>
  </w:style>
  <w:style w:type="character" w:styleId="1142" w:customStyle="1">
    <w:name w:val="UserStyle_9"/>
    <w:uiPriority w:val="0"/>
    <w:qFormat/>
    <w:rPr>
      <w:sz w:val="20"/>
    </w:rPr>
  </w:style>
  <w:style w:type="character" w:styleId="1143" w:customStyle="1">
    <w:name w:val="UserStyle_40"/>
    <w:uiPriority w:val="0"/>
    <w:qFormat/>
    <w:rPr>
      <w:b/>
      <w:sz w:val="20"/>
    </w:rPr>
  </w:style>
  <w:style w:type="character" w:styleId="1144" w:customStyle="1">
    <w:name w:val="UserStyle_73"/>
    <w:uiPriority w:val="0"/>
    <w:qFormat/>
    <w:rPr>
      <w:sz w:val="20"/>
    </w:rPr>
  </w:style>
  <w:style w:type="character" w:styleId="1145" w:customStyle="1">
    <w:name w:val="UserStyle_30"/>
    <w:uiPriority w:val="0"/>
    <w:qFormat/>
    <w:rPr>
      <w:sz w:val="20"/>
    </w:rPr>
  </w:style>
  <w:style w:type="character" w:styleId="1146" w:customStyle="1">
    <w:name w:val="UserStyle_69"/>
    <w:uiPriority w:val="0"/>
    <w:qFormat/>
    <w:rPr>
      <w:b/>
      <w:sz w:val="20"/>
    </w:rPr>
  </w:style>
  <w:style w:type="character" w:styleId="1147" w:customStyle="1">
    <w:name w:val="UserStyle_13"/>
    <w:uiPriority w:val="0"/>
    <w:qFormat/>
    <w:rPr>
      <w:b/>
      <w:sz w:val="20"/>
    </w:rPr>
  </w:style>
  <w:style w:type="character" w:styleId="1148" w:customStyle="1">
    <w:name w:val="UserStyle_14"/>
    <w:uiPriority w:val="0"/>
    <w:semiHidden/>
    <w:qFormat/>
    <w:rPr>
      <w:sz w:val="20"/>
    </w:rPr>
  </w:style>
  <w:style w:type="character" w:styleId="1149" w:customStyle="1">
    <w:name w:val="UserStyle_22"/>
    <w:uiPriority w:val="0"/>
    <w:qFormat/>
    <w:rPr>
      <w:color w:val="0000ff"/>
      <w:sz w:val="20"/>
      <w:u w:val="single"/>
    </w:rPr>
  </w:style>
  <w:style w:type="character" w:styleId="1150" w:customStyle="1">
    <w:name w:val="UserStyle_8"/>
    <w:uiPriority w:val="0"/>
    <w:qFormat/>
    <w:rPr>
      <w:sz w:val="20"/>
    </w:rPr>
  </w:style>
  <w:style w:type="character" w:styleId="1151" w:customStyle="1">
    <w:name w:val="UserStyle_6"/>
    <w:uiPriority w:val="0"/>
    <w:qFormat/>
    <w:rPr>
      <w:b/>
      <w:sz w:val="20"/>
    </w:rPr>
  </w:style>
  <w:style w:type="character" w:styleId="1152" w:customStyle="1">
    <w:name w:val="UserStyle_62"/>
    <w:uiPriority w:val="0"/>
    <w:qFormat/>
    <w:rPr>
      <w:color w:val="ffff00"/>
      <w:sz w:val="20"/>
    </w:rPr>
  </w:style>
  <w:style w:type="character" w:styleId="1153" w:customStyle="1">
    <w:name w:val="UserStyle_48"/>
    <w:uiPriority w:val="0"/>
    <w:qFormat/>
    <w:rPr>
      <w:sz w:val="20"/>
    </w:rPr>
  </w:style>
  <w:style w:type="character" w:styleId="1154" w:customStyle="1">
    <w:name w:val="UserStyle_15"/>
    <w:uiPriority w:val="0"/>
    <w:qFormat/>
    <w:rPr>
      <w:b/>
      <w:sz w:val="20"/>
    </w:rPr>
  </w:style>
  <w:style w:type="character" w:styleId="1155" w:customStyle="1">
    <w:name w:val="UserStyle_49"/>
    <w:uiPriority w:val="0"/>
    <w:qFormat/>
    <w:rPr>
      <w:sz w:val="20"/>
    </w:rPr>
  </w:style>
  <w:style w:type="character" w:styleId="1156" w:customStyle="1">
    <w:name w:val="UserStyle_11"/>
    <w:uiPriority w:val="0"/>
    <w:qFormat/>
    <w:rPr>
      <w:sz w:val="20"/>
    </w:rPr>
  </w:style>
  <w:style w:type="character" w:styleId="1157" w:customStyle="1">
    <w:name w:val="UserStyle_34"/>
    <w:uiPriority w:val="0"/>
    <w:qFormat/>
    <w:rPr>
      <w:b/>
      <w:sz w:val="20"/>
    </w:rPr>
  </w:style>
  <w:style w:type="character" w:styleId="1158" w:customStyle="1">
    <w:name w:val="UserStyle_29"/>
    <w:uiPriority w:val="0"/>
    <w:qFormat/>
    <w:rPr>
      <w:sz w:val="20"/>
    </w:rPr>
  </w:style>
  <w:style w:type="character" w:styleId="1159" w:customStyle="1">
    <w:name w:val="UserStyle_42"/>
    <w:uiPriority w:val="0"/>
    <w:qFormat/>
    <w:rPr>
      <w:sz w:val="20"/>
    </w:rPr>
  </w:style>
  <w:style w:type="character" w:styleId="1160" w:customStyle="1">
    <w:name w:val="UserStyle_39"/>
    <w:uiPriority w:val="0"/>
    <w:qFormat/>
    <w:rPr>
      <w:sz w:val="20"/>
    </w:rPr>
  </w:style>
  <w:style w:type="character" w:styleId="1161" w:customStyle="1">
    <w:name w:val="UserStyle_35"/>
    <w:uiPriority w:val="0"/>
    <w:qFormat/>
    <w:rPr>
      <w:sz w:val="20"/>
    </w:rPr>
  </w:style>
  <w:style w:type="character" w:styleId="1162" w:customStyle="1">
    <w:name w:val="UserStyle_5"/>
    <w:uiPriority w:val="0"/>
    <w:qFormat/>
    <w:rPr>
      <w:sz w:val="20"/>
    </w:rPr>
  </w:style>
  <w:style w:type="character" w:styleId="1163" w:customStyle="1">
    <w:name w:val="UserStyle_26"/>
    <w:uiPriority w:val="0"/>
    <w:qFormat/>
    <w:rPr>
      <w:sz w:val="20"/>
    </w:rPr>
  </w:style>
  <w:style w:type="character" w:styleId="1164" w:customStyle="1">
    <w:name w:val="264"/>
    <w:uiPriority w:val="0"/>
    <w:qFormat/>
    <w:rPr>
      <w:b/>
      <w:i/>
      <w:sz w:val="21"/>
    </w:rPr>
  </w:style>
  <w:style w:type="character" w:styleId="1165" w:customStyle="1">
    <w:name w:val="UserStyle_76"/>
    <w:uiPriority w:val="0"/>
    <w:qFormat/>
    <w:rPr>
      <w:b/>
      <w:sz w:val="20"/>
    </w:rPr>
  </w:style>
  <w:style w:type="character" w:styleId="1166" w:customStyle="1">
    <w:name w:val="UserStyle_10"/>
    <w:uiPriority w:val="0"/>
    <w:qFormat/>
    <w:rPr>
      <w:b/>
      <w:sz w:val="20"/>
    </w:rPr>
  </w:style>
  <w:style w:type="character" w:styleId="1167" w:customStyle="1">
    <w:name w:val="UserStyle_32"/>
    <w:uiPriority w:val="0"/>
    <w:qFormat/>
    <w:rPr>
      <w:i/>
      <w:sz w:val="20"/>
    </w:rPr>
  </w:style>
  <w:style w:type="character" w:styleId="1168" w:customStyle="1">
    <w:name w:val="UserStyle_53"/>
    <w:uiPriority w:val="0"/>
    <w:qFormat/>
    <w:rPr>
      <w:sz w:val="20"/>
    </w:rPr>
  </w:style>
  <w:style w:type="character" w:styleId="1169" w:customStyle="1">
    <w:name w:val="UserStyle_2"/>
    <w:uiPriority w:val="0"/>
    <w:qFormat/>
    <w:rPr>
      <w:sz w:val="20"/>
    </w:rPr>
  </w:style>
  <w:style w:type="character" w:styleId="1170" w:customStyle="1">
    <w:name w:val="UserStyle_58"/>
    <w:uiPriority w:val="0"/>
    <w:qFormat/>
    <w:rPr>
      <w:sz w:val="20"/>
    </w:rPr>
  </w:style>
  <w:style w:type="character" w:styleId="1171" w:customStyle="1">
    <w:name w:val="UserStyle_60"/>
    <w:uiPriority w:val="0"/>
    <w:qFormat/>
    <w:rPr>
      <w:sz w:val="20"/>
    </w:rPr>
  </w:style>
  <w:style w:type="character" w:styleId="1172" w:customStyle="1">
    <w:name w:val="UserStyle_54"/>
    <w:uiPriority w:val="0"/>
    <w:qFormat/>
    <w:rPr>
      <w:b/>
      <w:sz w:val="20"/>
    </w:rPr>
  </w:style>
  <w:style w:type="character" w:styleId="1173" w:customStyle="1">
    <w:name w:val="UserStyle_16"/>
    <w:uiPriority w:val="0"/>
    <w:qFormat/>
    <w:rPr>
      <w:sz w:val="20"/>
    </w:rPr>
  </w:style>
  <w:style w:type="character" w:styleId="1174" w:customStyle="1">
    <w:name w:val="UserStyle_59"/>
    <w:uiPriority w:val="0"/>
    <w:qFormat/>
    <w:rPr>
      <w:b/>
      <w:sz w:val="20"/>
    </w:rPr>
  </w:style>
  <w:style w:type="character" w:styleId="1175" w:customStyle="1">
    <w:name w:val="UserStyle_20"/>
    <w:uiPriority w:val="0"/>
    <w:semiHidden/>
    <w:qFormat/>
    <w:rPr>
      <w:sz w:val="20"/>
    </w:rPr>
  </w:style>
  <w:style w:type="character" w:styleId="1176" w:customStyle="1">
    <w:name w:val="UserStyle_31"/>
    <w:uiPriority w:val="0"/>
    <w:qFormat/>
    <w:rPr>
      <w:b/>
      <w:sz w:val="20"/>
    </w:rPr>
  </w:style>
  <w:style w:type="character" w:styleId="1177" w:customStyle="1">
    <w:name w:val="AnnotationReference"/>
    <w:uiPriority w:val="0"/>
    <w:qFormat/>
    <w:rPr>
      <w:sz w:val="20"/>
    </w:rPr>
  </w:style>
  <w:style w:type="character" w:styleId="1178" w:customStyle="1">
    <w:name w:val="UserStyle_12"/>
    <w:uiPriority w:val="0"/>
    <w:qFormat/>
    <w:rPr>
      <w:sz w:val="20"/>
    </w:rPr>
  </w:style>
  <w:style w:type="character" w:styleId="1179" w:customStyle="1">
    <w:name w:val="261"/>
    <w:uiPriority w:val="0"/>
    <w:qFormat/>
    <w:rPr>
      <w:i/>
      <w:color w:val="000000"/>
      <w:sz w:val="21"/>
    </w:rPr>
  </w:style>
  <w:style w:type="character" w:styleId="1180" w:customStyle="1">
    <w:name w:val="UserStyle_41"/>
    <w:link w:val="822"/>
    <w:uiPriority w:val="0"/>
    <w:qFormat/>
    <w:rPr>
      <w:sz w:val="20"/>
    </w:rPr>
  </w:style>
  <w:style w:type="paragraph" w:styleId="1181">
    <w:name w:val="List Paragraph"/>
    <w:basedOn w:val="798"/>
    <w:uiPriority w:val="0"/>
    <w:qFormat/>
    <w:pPr>
      <w:ind w:left="533" w:firstLine="600"/>
      <w:jc w:val="left"/>
      <w:spacing w:before="136"/>
      <w:widowControl w:val="off"/>
    </w:pPr>
    <w:rPr>
      <w:rFonts w:ascii="仿宋" w:hAnsi="仿宋" w:eastAsia="仿宋"/>
      <w:sz w:val="22"/>
      <w:szCs w:val="22"/>
    </w:rPr>
  </w:style>
  <w:style w:type="paragraph" w:styleId="1182" w:customStyle="1">
    <w:name w:val="179"/>
    <w:basedOn w:val="822"/>
    <w:uiPriority w:val="0"/>
    <w:qFormat/>
    <w:pPr>
      <w:ind w:firstLine="420"/>
    </w:pPr>
    <w:rPr>
      <w:sz w:val="21"/>
      <w:szCs w:val="22"/>
    </w:rPr>
  </w:style>
  <w:style w:type="paragraph" w:styleId="1183" w:customStyle="1">
    <w:name w:val="列出段落1"/>
    <w:basedOn w:val="822"/>
    <w:uiPriority w:val="0"/>
    <w:qFormat/>
    <w:pPr>
      <w:ind w:firstLine="420"/>
      <w:widowControl w:val="off"/>
    </w:pPr>
    <w:rPr>
      <w:sz w:val="21"/>
      <w:szCs w:val="24"/>
    </w:rPr>
  </w:style>
  <w:style w:type="paragraph" w:styleId="1184" w:customStyle="1">
    <w:name w:val="正文 A A"/>
    <w:uiPriority w:val="0"/>
    <w:qFormat/>
    <w:pPr>
      <w:jc w:val="both"/>
      <w:spacing w:line="360" w:lineRule="atLeast"/>
      <w:widowControl w:val="off"/>
      <w:framePr w:wrap="around" w:vAnchor="margin" w:hAnchor="text" w:y="1"/>
    </w:pPr>
    <w:rPr>
      <w:rFonts w:hint="default" w:ascii="Times New Roman" w:hAnsi="Times New Roman" w:eastAsia="宋体" w:cs="Times New Roman"/>
      <w:color w:val="000000"/>
      <w:lang w:val="en-US" w:eastAsia="zh-CN" w:bidi="ar-SA"/>
    </w:rPr>
  </w:style>
  <w:style w:type="paragraph" w:styleId="1185" w:customStyle="1">
    <w:name w:val="UserStyle_77"/>
    <w:basedOn w:val="822"/>
    <w:uiPriority w:val="0"/>
    <w:qFormat/>
    <w:pPr>
      <w:ind w:firstLine="420"/>
      <w:spacing w:line="520" w:lineRule="exact"/>
    </w:pPr>
    <w:rPr>
      <w:color w:val="000000"/>
      <w:sz w:val="24"/>
      <w:szCs w:val="24"/>
    </w:rPr>
  </w:style>
  <w:style w:type="paragraph" w:styleId="1186" w:customStyle="1">
    <w:name w:val="Blockquote"/>
    <w:uiPriority w:val="0"/>
    <w:qFormat/>
    <w:pPr>
      <w:ind w:left="764" w:right="567"/>
      <w:spacing w:before="100" w:after="100"/>
      <w:widowControl w:val="off"/>
    </w:pPr>
    <w:rPr>
      <w:rFonts w:hint="default" w:ascii="Times New Roman" w:hAnsi="Times New Roman" w:eastAsia="Times New Roman" w:cs="Times New Roman"/>
      <w:sz w:val="24"/>
      <w:szCs w:val="22"/>
      <w:lang w:val="en-US" w:eastAsia="zh-CN" w:bidi="ar-SA"/>
    </w:rPr>
  </w:style>
  <w:style w:type="paragraph" w:styleId="1187" w:customStyle="1">
    <w:name w:val="HtmlNormal"/>
    <w:basedOn w:val="822"/>
    <w:uiPriority w:val="0"/>
    <w:qFormat/>
    <w:rPr>
      <w:sz w:val="24"/>
      <w:szCs w:val="24"/>
    </w:rPr>
  </w:style>
  <w:style w:type="paragraph" w:styleId="1188" w:customStyle="1">
    <w:name w:val="Table Paragraph"/>
    <w:basedOn w:val="822"/>
    <w:uiPriority w:val="0"/>
    <w:qFormat/>
    <w:pPr>
      <w:jc w:val="left"/>
      <w:widowControl w:val="off"/>
    </w:pPr>
    <w:rPr>
      <w:rFonts w:ascii="仿宋" w:hAnsi="仿宋" w:eastAsia="仿宋"/>
      <w:sz w:val="22"/>
      <w:szCs w:val="22"/>
    </w:rPr>
  </w:style>
  <w:style w:type="paragraph" w:styleId="1189" w:customStyle="1">
    <w:name w:val="BlockQuote"/>
    <w:basedOn w:val="822"/>
    <w:uiPriority w:val="0"/>
    <w:qFormat/>
    <w:pPr>
      <w:ind w:left="256" w:right="6" w:firstLine="624"/>
    </w:pPr>
    <w:rPr>
      <w:rFonts w:eastAsia="仿宋_GB2312"/>
      <w:sz w:val="28"/>
    </w:rPr>
  </w:style>
  <w:style w:type="table" w:styleId="1190" w:customStyle="1">
    <w:name w:val="TableNormal"/>
    <w:uiPriority w:val="0"/>
    <w:semiHidden/>
    <w:qFormat/>
    <w:tblPr>
      <w:tblCellMar>
        <w:left w:w="0" w:type="dxa"/>
        <w:top w:w="0" w:type="dxa"/>
        <w:right w:w="0" w:type="dxa"/>
        <w:bottom w:w="0" w:type="dxa"/>
      </w:tblCellMar>
    </w:tblPr>
  </w:style>
  <w:style w:type="paragraph" w:styleId="1191" w:customStyle="1">
    <w:name w:val="TOC 标题2"/>
    <w:basedOn w:val="1066"/>
    <w:next w:val="822"/>
    <w:uiPriority w:val="0"/>
    <w:qFormat/>
    <w:pPr>
      <w:jc w:val="left"/>
      <w:spacing w:before="240" w:after="0" w:line="259" w:lineRule="auto"/>
      <w:outlineLvl w:val="9"/>
    </w:pPr>
    <w:rPr>
      <w:rFonts w:ascii="等线 Light" w:hAnsi="等线 Light" w:eastAsia="等线 Light"/>
      <w:b w:val="0"/>
      <w:bCs w:val="0"/>
      <w:color w:val="2f5496"/>
      <w:sz w:val="32"/>
      <w:szCs w:val="32"/>
    </w:rPr>
  </w:style>
  <w:style w:type="paragraph" w:styleId="1192"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93" w:customStyle="1">
    <w:name w:val="小标题 1"/>
    <w:basedOn w:val="822"/>
    <w:uiPriority w:val="0"/>
    <w:qFormat/>
    <w:pPr>
      <w:spacing w:line="360" w:lineRule="atLeast"/>
      <w:widowControl w:val="off"/>
    </w:pPr>
    <w:rPr>
      <w:rFonts w:ascii="文鼎粗黑" w:eastAsia="文鼎粗黑"/>
      <w:sz w:val="22"/>
    </w:rPr>
  </w:style>
  <w:style w:type="paragraph" w:styleId="1194" w:customStyle="1">
    <w:name w:val="文档正文"/>
    <w:basedOn w:val="822"/>
    <w:uiPriority w:val="0"/>
    <w:qFormat/>
    <w:pPr>
      <w:ind w:firstLine="567"/>
      <w:spacing w:line="312" w:lineRule="atLeast"/>
      <w:widowControl w:val="off"/>
    </w:pPr>
    <w:rPr>
      <w:rFonts w:ascii="长城仿宋" w:eastAsia="长城仿宋"/>
      <w:sz w:val="28"/>
    </w:rPr>
  </w:style>
  <w:style w:type="paragraph" w:styleId="1195" w:customStyle="1">
    <w:name w:val="[Normal]"/>
    <w:uiPriority w:val="0"/>
    <w:qFormat/>
    <w:rPr>
      <w:rFonts w:hint="default" w:ascii="方正仿宋简体" w:hAnsi="方正仿宋简体" w:eastAsia="方正仿宋简体" w:cs="Times New Roman"/>
      <w:sz w:val="24"/>
      <w:szCs w:val="22"/>
      <w:lang w:val="zh-CN" w:eastAsia="zh-CN" w:bidi="ar-SA"/>
    </w:rPr>
  </w:style>
  <w:style w:type="paragraph" w:styleId="1196" w:customStyle="1">
    <w:name w:val="Body text|1"/>
    <w:basedOn w:val="822"/>
    <w:uiPriority w:val="0"/>
    <w:qFormat/>
    <w:pPr>
      <w:ind w:firstLine="360"/>
      <w:spacing w:line="425" w:lineRule="auto"/>
      <w:widowControl w:val="off"/>
    </w:pPr>
    <w:rPr>
      <w:rFonts w:ascii="宋体" w:hAnsi="宋体"/>
      <w:sz w:val="18"/>
      <w:szCs w:val="18"/>
      <w:lang w:val="zh-TW" w:eastAsia="zh-TW" w:bidi="zh-TW"/>
    </w:rPr>
  </w:style>
  <w:style w:type="character" w:styleId="1197" w:customStyle="1">
    <w:name w:val="未处理的提及1"/>
    <w:uiPriority w:val="99"/>
    <w:semiHidden/>
    <w:unhideWhenUsed/>
    <w:qFormat/>
    <w:rPr>
      <w:color w:val="605e5c"/>
      <w:shd w:val="clear" w:color="auto" w:fill="e1dfdd"/>
    </w:rPr>
  </w:style>
  <w:style w:type="character" w:styleId="1198" w:customStyle="1">
    <w:name w:val="批注主题 字符"/>
    <w:link w:val="856"/>
    <w:uiPriority w:val="0"/>
    <w:qFormat/>
    <w:rPr>
      <w:b/>
      <w:bCs/>
      <w:sz w:val="21"/>
      <w:szCs w:val="24"/>
    </w:rPr>
  </w:style>
  <w:style w:type="character" w:styleId="1199" w:customStyle="1">
    <w:name w:val="批注文字 字符"/>
    <w:link w:val="812"/>
    <w:uiPriority w:val="99"/>
    <w:qFormat/>
    <w:rPr>
      <w:rFonts w:ascii="Calibri" w:hAnsi="Calibri"/>
      <w:sz w:val="21"/>
      <w:szCs w:val="21"/>
    </w:rPr>
  </w:style>
  <w:style w:type="character" w:styleId="1200" w:customStyle="1">
    <w:name w:val="批注主题 字符1"/>
    <w:uiPriority w:val="99"/>
    <w:semiHidden/>
    <w:qFormat/>
    <w:rPr>
      <w:rFonts w:ascii="Calibri" w:hAnsi="Calibri"/>
      <w:b/>
      <w:bCs/>
      <w:sz w:val="21"/>
      <w:szCs w:val="21"/>
    </w:rPr>
  </w:style>
  <w:style w:type="character" w:styleId="1201" w:customStyle="1">
    <w:name w:val="正文文本 字符"/>
    <w:basedOn w:val="808"/>
    <w:link w:val="813"/>
    <w:uiPriority w:val="0"/>
    <w:qFormat/>
  </w:style>
  <w:style w:type="character" w:styleId="1202" w:customStyle="1">
    <w:name w:val="批注框文本 字符"/>
    <w:link w:val="842"/>
    <w:uiPriority w:val="99"/>
    <w:semiHidden/>
    <w:qFormat/>
    <w:rPr>
      <w:rFonts w:ascii="Calibri" w:hAnsi="Calibri"/>
      <w:sz w:val="18"/>
      <w:szCs w:val="18"/>
    </w:rPr>
  </w:style>
  <w:style w:type="paragraph" w:styleId="1203" w:customStyle="1">
    <w:name w:val="标题 212"/>
    <w:basedOn w:val="821"/>
    <w:next w:val="821"/>
    <w:uiPriority w:val="0"/>
    <w:qFormat/>
    <w:pPr>
      <w:numPr>
        <w:ilvl w:val="0"/>
        <w:numId w:val="2"/>
      </w:numPr>
      <w:keepLines/>
      <w:keepNext/>
      <w:spacing w:before="260" w:after="260" w:line="416" w:lineRule="auto"/>
      <w:outlineLvl w:val="1"/>
    </w:pPr>
    <w:rPr>
      <w:rFonts w:ascii="Cambria" w:hAnsi="Cambria"/>
      <w:bCs/>
      <w:sz w:val="28"/>
      <w:szCs w:val="32"/>
    </w:rPr>
  </w:style>
  <w:style w:type="character" w:styleId="1204" w:customStyle="1">
    <w:name w:val="正文文本缩进 字符"/>
    <w:link w:val="834"/>
    <w:uiPriority w:val="0"/>
    <w:qFormat/>
    <w:rPr>
      <w:rFonts w:ascii="Calibri" w:hAnsi="Calibri"/>
      <w:sz w:val="21"/>
      <w:szCs w:val="21"/>
    </w:rPr>
  </w:style>
  <w:style w:type="table" w:styleId="1205" w:customStyle="1">
    <w:name w:val="网格型2"/>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206" w:customStyle="1">
    <w:name w:val="Table Grid Light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207" w:customStyle="1">
    <w:name w:val="无格式表格 1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208" w:customStyle="1">
    <w:name w:val="无格式表格 21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1209" w:customStyle="1">
    <w:name w:val="无格式表格 311"/>
    <w:uiPriority w:val="99"/>
    <w:qFormat/>
    <w:tblPr>
      <w:tblCellMar>
        <w:left w:w="0" w:type="dxa"/>
        <w:top w:w="0" w:type="dxa"/>
        <w:right w:w="0" w:type="dxa"/>
        <w:bottom w:w="0" w:type="dxa"/>
      </w:tblCellMar>
    </w:tblPr>
  </w:style>
  <w:style w:type="table" w:styleId="1210" w:customStyle="1">
    <w:name w:val="无格式表格 411"/>
    <w:uiPriority w:val="99"/>
    <w:qFormat/>
    <w:tblPr>
      <w:tblCellMar>
        <w:left w:w="0" w:type="dxa"/>
        <w:top w:w="0" w:type="dxa"/>
        <w:right w:w="0" w:type="dxa"/>
        <w:bottom w:w="0" w:type="dxa"/>
      </w:tblCellMar>
    </w:tblPr>
  </w:style>
  <w:style w:type="table" w:styleId="1211" w:customStyle="1">
    <w:name w:val="无格式表格 511"/>
    <w:uiPriority w:val="99"/>
    <w:qFormat/>
    <w:tblPr>
      <w:tblCellMar>
        <w:left w:w="0" w:type="dxa"/>
        <w:top w:w="0" w:type="dxa"/>
        <w:right w:w="0" w:type="dxa"/>
        <w:bottom w:w="0" w:type="dxa"/>
      </w:tblCellMar>
    </w:tblPr>
  </w:style>
  <w:style w:type="table" w:styleId="1212" w:customStyle="1">
    <w:name w:val="网格表 1 浅色1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1213" w:customStyle="1">
    <w:name w:val="Grid Table 1 Light - Accent 1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214" w:customStyle="1">
    <w:name w:val="Grid Table 1 Light - Accent 21"/>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215" w:customStyle="1">
    <w:name w:val="Grid Table 1 Light - Accent 31"/>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216" w:customStyle="1">
    <w:name w:val="Grid Table 1 Light - Accent 41"/>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217" w:customStyle="1">
    <w:name w:val="Grid Table 1 Light - Accent 51"/>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218" w:customStyle="1">
    <w:name w:val="Grid Table 1 Light - Accent 61"/>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219" w:customStyle="1">
    <w:name w:val="网格表 21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220" w:customStyle="1">
    <w:name w:val="Grid Table 2 - Accent 1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221" w:customStyle="1">
    <w:name w:val="Grid Table 2 - Accent 21"/>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222" w:customStyle="1">
    <w:name w:val="Grid Table 2 - Accent 31"/>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223" w:customStyle="1">
    <w:name w:val="Grid Table 2 - Accent 41"/>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224" w:customStyle="1">
    <w:name w:val="Grid Table 2 - Accent 51"/>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225" w:customStyle="1">
    <w:name w:val="Grid Table 2 - Accent 61"/>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226" w:customStyle="1">
    <w:name w:val="网格表 31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227" w:customStyle="1">
    <w:name w:val="Grid Table 3 - Accent 1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228" w:customStyle="1">
    <w:name w:val="Grid Table 3 - Accent 21"/>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229" w:customStyle="1">
    <w:name w:val="Grid Table 3 - Accent 31"/>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230" w:customStyle="1">
    <w:name w:val="Grid Table 3 - Accent 41"/>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231" w:customStyle="1">
    <w:name w:val="Grid Table 3 - Accent 51"/>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232" w:customStyle="1">
    <w:name w:val="Grid Table 3 - Accent 61"/>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233" w:customStyle="1">
    <w:name w:val="网格表 41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1234" w:customStyle="1">
    <w:name w:val="Grid Table 4 - Accent 1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235" w:customStyle="1">
    <w:name w:val="Grid Table 4 - Accent 21"/>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236" w:customStyle="1">
    <w:name w:val="Grid Table 4 - Accent 31"/>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237" w:customStyle="1">
    <w:name w:val="Grid Table 4 - Accent 41"/>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238" w:customStyle="1">
    <w:name w:val="Grid Table 4 - Accent 51"/>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239" w:customStyle="1">
    <w:name w:val="Grid Table 4 - Accent 61"/>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240" w:customStyle="1">
    <w:name w:val="网格表 5 深色1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241" w:customStyle="1">
    <w:name w:val="Grid Table 5 Dark- Accent 1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242" w:customStyle="1">
    <w:name w:val="Grid Table 5 Dark - Accent 2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243" w:customStyle="1">
    <w:name w:val="Grid Table 5 Dark - Accent 3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244" w:customStyle="1">
    <w:name w:val="Grid Table 5 Dark- Accent 4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245" w:customStyle="1">
    <w:name w:val="Grid Table 5 Dark - Accent 5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246" w:customStyle="1">
    <w:name w:val="Grid Table 5 Dark - Accent 6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247" w:customStyle="1">
    <w:name w:val="网格表 6 彩色1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248" w:customStyle="1">
    <w:name w:val="Grid Table 6 Colorful - Accent 1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249" w:customStyle="1">
    <w:name w:val="Grid Table 6 Colorful - Accent 21"/>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250" w:customStyle="1">
    <w:name w:val="Grid Table 6 Colorful - Accent 31"/>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251" w:customStyle="1">
    <w:name w:val="Grid Table 6 Colorful - Accent 41"/>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252" w:customStyle="1">
    <w:name w:val="Grid Table 6 Colorful - Accent 51"/>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253" w:customStyle="1">
    <w:name w:val="Grid Table 6 Colorful - Accent 61"/>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254" w:customStyle="1">
    <w:name w:val="网格表 7 彩色1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255" w:customStyle="1">
    <w:name w:val="Grid Table 7 Colorful - Accent 1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256" w:customStyle="1">
    <w:name w:val="Grid Table 7 Colorful - Accent 21"/>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257" w:customStyle="1">
    <w:name w:val="Grid Table 7 Colorful - Accent 31"/>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258" w:customStyle="1">
    <w:name w:val="Grid Table 7 Colorful - Accent 41"/>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259" w:customStyle="1">
    <w:name w:val="Grid Table 7 Colorful - Accent 51"/>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260" w:customStyle="1">
    <w:name w:val="Grid Table 7 Colorful - Accent 61"/>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261" w:customStyle="1">
    <w:name w:val="清单表 1 浅色11"/>
    <w:uiPriority w:val="99"/>
    <w:qFormat/>
    <w:tblPr>
      <w:tblCellMar>
        <w:left w:w="0" w:type="dxa"/>
        <w:top w:w="0" w:type="dxa"/>
        <w:right w:w="0" w:type="dxa"/>
        <w:bottom w:w="0" w:type="dxa"/>
      </w:tblCellMar>
    </w:tblPr>
  </w:style>
  <w:style w:type="table" w:styleId="1262" w:customStyle="1">
    <w:name w:val="List Table 1 Light - Accent 11"/>
    <w:uiPriority w:val="99"/>
    <w:qFormat/>
    <w:tblPr>
      <w:tblCellMar>
        <w:left w:w="0" w:type="dxa"/>
        <w:top w:w="0" w:type="dxa"/>
        <w:right w:w="0" w:type="dxa"/>
        <w:bottom w:w="0" w:type="dxa"/>
      </w:tblCellMar>
    </w:tblPr>
  </w:style>
  <w:style w:type="table" w:styleId="1263" w:customStyle="1">
    <w:name w:val="List Table 1 Light - Accent 21"/>
    <w:uiPriority w:val="99"/>
    <w:qFormat/>
    <w:tblPr>
      <w:tblCellMar>
        <w:left w:w="0" w:type="dxa"/>
        <w:top w:w="0" w:type="dxa"/>
        <w:right w:w="0" w:type="dxa"/>
        <w:bottom w:w="0" w:type="dxa"/>
      </w:tblCellMar>
    </w:tblPr>
  </w:style>
  <w:style w:type="table" w:styleId="1264" w:customStyle="1">
    <w:name w:val="List Table 1 Light - Accent 31"/>
    <w:uiPriority w:val="99"/>
    <w:qFormat/>
    <w:tblPr>
      <w:tblCellMar>
        <w:left w:w="0" w:type="dxa"/>
        <w:top w:w="0" w:type="dxa"/>
        <w:right w:w="0" w:type="dxa"/>
        <w:bottom w:w="0" w:type="dxa"/>
      </w:tblCellMar>
    </w:tblPr>
  </w:style>
  <w:style w:type="table" w:styleId="1265" w:customStyle="1">
    <w:name w:val="List Table 1 Light - Accent 41"/>
    <w:uiPriority w:val="99"/>
    <w:qFormat/>
    <w:tblPr>
      <w:tblCellMar>
        <w:left w:w="0" w:type="dxa"/>
        <w:top w:w="0" w:type="dxa"/>
        <w:right w:w="0" w:type="dxa"/>
        <w:bottom w:w="0" w:type="dxa"/>
      </w:tblCellMar>
    </w:tblPr>
  </w:style>
  <w:style w:type="table" w:styleId="1266" w:customStyle="1">
    <w:name w:val="List Table 1 Light - Accent 51"/>
    <w:uiPriority w:val="99"/>
    <w:qFormat/>
    <w:tblPr>
      <w:tblCellMar>
        <w:left w:w="0" w:type="dxa"/>
        <w:top w:w="0" w:type="dxa"/>
        <w:right w:w="0" w:type="dxa"/>
        <w:bottom w:w="0" w:type="dxa"/>
      </w:tblCellMar>
    </w:tblPr>
  </w:style>
  <w:style w:type="table" w:styleId="1267" w:customStyle="1">
    <w:name w:val="List Table 1 Light - Accent 61"/>
    <w:uiPriority w:val="99"/>
    <w:qFormat/>
    <w:tblPr>
      <w:tblCellMar>
        <w:left w:w="0" w:type="dxa"/>
        <w:top w:w="0" w:type="dxa"/>
        <w:right w:w="0" w:type="dxa"/>
        <w:bottom w:w="0" w:type="dxa"/>
      </w:tblCellMar>
    </w:tblPr>
  </w:style>
  <w:style w:type="table" w:styleId="1268" w:customStyle="1">
    <w:name w:val="清单表 21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269" w:customStyle="1">
    <w:name w:val="List Table 2 - Accent 1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270" w:customStyle="1">
    <w:name w:val="List Table 2 - Accent 21"/>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271" w:customStyle="1">
    <w:name w:val="List Table 2 - Accent 31"/>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272" w:customStyle="1">
    <w:name w:val="List Table 2 - Accent 41"/>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273" w:customStyle="1">
    <w:name w:val="List Table 2 - Accent 51"/>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274" w:customStyle="1">
    <w:name w:val="List Table 2 - Accent 61"/>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275" w:customStyle="1">
    <w:name w:val="清单表 31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276" w:customStyle="1">
    <w:name w:val="List Table 3 - Accent 1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277" w:customStyle="1">
    <w:name w:val="List Table 3 - Accent 21"/>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278" w:customStyle="1">
    <w:name w:val="List Table 3 - Accent 31"/>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279" w:customStyle="1">
    <w:name w:val="List Table 3 - Accent 41"/>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280" w:customStyle="1">
    <w:name w:val="List Table 3 - Accent 51"/>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281" w:customStyle="1">
    <w:name w:val="List Table 3 - Accent 61"/>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282" w:customStyle="1">
    <w:name w:val="清单表 41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283" w:customStyle="1">
    <w:name w:val="List Table 4 - Accent 1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284" w:customStyle="1">
    <w:name w:val="List Table 4 - Accent 21"/>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285" w:customStyle="1">
    <w:name w:val="List Table 4 - Accent 31"/>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286" w:customStyle="1">
    <w:name w:val="List Table 4 - Accent 41"/>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287" w:customStyle="1">
    <w:name w:val="List Table 4 - Accent 51"/>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288" w:customStyle="1">
    <w:name w:val="List Table 4 - Accent 61"/>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289" w:customStyle="1">
    <w:name w:val="清单表 5 深色1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290" w:customStyle="1">
    <w:name w:val="List Table 5 Dark - Accent 1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291" w:customStyle="1">
    <w:name w:val="List Table 5 Dark - Accent 21"/>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292" w:customStyle="1">
    <w:name w:val="List Table 5 Dark - Accent 31"/>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293" w:customStyle="1">
    <w:name w:val="List Table 5 Dark - Accent 41"/>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294" w:customStyle="1">
    <w:name w:val="List Table 5 Dark - Accent 51"/>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295" w:customStyle="1">
    <w:name w:val="List Table 5 Dark - Accent 61"/>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296" w:customStyle="1">
    <w:name w:val="清单表 6 彩色1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297" w:customStyle="1">
    <w:name w:val="List Table 6 Colorful - Accent 1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298" w:customStyle="1">
    <w:name w:val="List Table 6 Colorful - Accent 21"/>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299" w:customStyle="1">
    <w:name w:val="List Table 6 Colorful - Accent 31"/>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300" w:customStyle="1">
    <w:name w:val="List Table 6 Colorful - Accent 41"/>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301" w:customStyle="1">
    <w:name w:val="List Table 6 Colorful - Accent 51"/>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302" w:customStyle="1">
    <w:name w:val="List Table 6 Colorful - Accent 61"/>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303" w:customStyle="1">
    <w:name w:val="清单表 7 彩色11"/>
    <w:uiPriority w:val="99"/>
    <w:qFormat/>
    <w:tblPr>
      <w:tblBorders>
        <w:right w:val="single" w:color="7F7F7F" w:sz="4" w:space="0"/>
      </w:tblBorders>
      <w:tblCellMar>
        <w:left w:w="0" w:type="dxa"/>
        <w:top w:w="0" w:type="dxa"/>
        <w:right w:w="0" w:type="dxa"/>
        <w:bottom w:w="0" w:type="dxa"/>
      </w:tblCellMar>
    </w:tblPr>
  </w:style>
  <w:style w:type="table" w:styleId="1304" w:customStyle="1">
    <w:name w:val="List Table 7 Colorful - Accent 11"/>
    <w:uiPriority w:val="99"/>
    <w:qFormat/>
    <w:tblPr>
      <w:tblBorders>
        <w:right w:val="single" w:color="4F81BD" w:sz="4" w:space="0"/>
      </w:tblBorders>
      <w:tblCellMar>
        <w:left w:w="0" w:type="dxa"/>
        <w:top w:w="0" w:type="dxa"/>
        <w:right w:w="0" w:type="dxa"/>
        <w:bottom w:w="0" w:type="dxa"/>
      </w:tblCellMar>
    </w:tblPr>
  </w:style>
  <w:style w:type="table" w:styleId="1305" w:customStyle="1">
    <w:name w:val="List Table 7 Colorful - Accent 21"/>
    <w:uiPriority w:val="99"/>
    <w:qFormat/>
    <w:tblPr>
      <w:tblBorders>
        <w:right w:val="single" w:color="D99695" w:sz="4" w:space="0"/>
      </w:tblBorders>
      <w:tblCellMar>
        <w:left w:w="0" w:type="dxa"/>
        <w:top w:w="0" w:type="dxa"/>
        <w:right w:w="0" w:type="dxa"/>
        <w:bottom w:w="0" w:type="dxa"/>
      </w:tblCellMar>
    </w:tblPr>
  </w:style>
  <w:style w:type="table" w:styleId="1306" w:customStyle="1">
    <w:name w:val="List Table 7 Colorful - Accent 31"/>
    <w:uiPriority w:val="99"/>
    <w:qFormat/>
    <w:tblPr>
      <w:tblBorders>
        <w:right w:val="single" w:color="C3D69B" w:sz="4" w:space="0"/>
      </w:tblBorders>
      <w:tblCellMar>
        <w:left w:w="0" w:type="dxa"/>
        <w:top w:w="0" w:type="dxa"/>
        <w:right w:w="0" w:type="dxa"/>
        <w:bottom w:w="0" w:type="dxa"/>
      </w:tblCellMar>
    </w:tblPr>
  </w:style>
  <w:style w:type="table" w:styleId="1307" w:customStyle="1">
    <w:name w:val="List Table 7 Colorful - Accent 41"/>
    <w:uiPriority w:val="99"/>
    <w:qFormat/>
    <w:tblPr>
      <w:tblBorders>
        <w:right w:val="single" w:color="B2A1C6" w:sz="4" w:space="0"/>
      </w:tblBorders>
      <w:tblCellMar>
        <w:left w:w="0" w:type="dxa"/>
        <w:top w:w="0" w:type="dxa"/>
        <w:right w:w="0" w:type="dxa"/>
        <w:bottom w:w="0" w:type="dxa"/>
      </w:tblCellMar>
    </w:tblPr>
  </w:style>
  <w:style w:type="table" w:styleId="1308" w:customStyle="1">
    <w:name w:val="List Table 7 Colorful - Accent 51"/>
    <w:uiPriority w:val="99"/>
    <w:qFormat/>
    <w:tblPr>
      <w:tblBorders>
        <w:right w:val="single" w:color="92CCDC" w:sz="4" w:space="0"/>
      </w:tblBorders>
      <w:tblCellMar>
        <w:left w:w="0" w:type="dxa"/>
        <w:top w:w="0" w:type="dxa"/>
        <w:right w:w="0" w:type="dxa"/>
        <w:bottom w:w="0" w:type="dxa"/>
      </w:tblCellMar>
    </w:tblPr>
  </w:style>
  <w:style w:type="table" w:styleId="1309" w:customStyle="1">
    <w:name w:val="List Table 7 Colorful - Accent 61"/>
    <w:uiPriority w:val="99"/>
    <w:qFormat/>
    <w:tblPr>
      <w:tblBorders>
        <w:right w:val="single" w:color="FAC090" w:sz="4" w:space="0"/>
      </w:tblBorders>
      <w:tblCellMar>
        <w:left w:w="0" w:type="dxa"/>
        <w:top w:w="0" w:type="dxa"/>
        <w:right w:w="0" w:type="dxa"/>
        <w:bottom w:w="0" w:type="dxa"/>
      </w:tblCellMar>
    </w:tblPr>
  </w:style>
  <w:style w:type="table" w:styleId="1310" w:customStyle="1">
    <w:name w:val="Lined - Accent 11"/>
    <w:uiPriority w:val="99"/>
    <w:qFormat/>
    <w:rPr>
      <w:color w:val="404040"/>
    </w:rPr>
    <w:tblPr>
      <w:tblCellMar>
        <w:left w:w="0" w:type="dxa"/>
        <w:top w:w="0" w:type="dxa"/>
        <w:right w:w="0" w:type="dxa"/>
        <w:bottom w:w="0" w:type="dxa"/>
      </w:tblCellMar>
    </w:tblPr>
  </w:style>
  <w:style w:type="table" w:styleId="1311" w:customStyle="1">
    <w:name w:val="Lined - Accent 21"/>
    <w:uiPriority w:val="99"/>
    <w:qFormat/>
    <w:rPr>
      <w:color w:val="404040"/>
    </w:rPr>
    <w:tblPr>
      <w:tblCellMar>
        <w:left w:w="0" w:type="dxa"/>
        <w:top w:w="0" w:type="dxa"/>
        <w:right w:w="0" w:type="dxa"/>
        <w:bottom w:w="0" w:type="dxa"/>
      </w:tblCellMar>
    </w:tblPr>
  </w:style>
  <w:style w:type="table" w:styleId="1312" w:customStyle="1">
    <w:name w:val="Lined - Accent 31"/>
    <w:uiPriority w:val="99"/>
    <w:qFormat/>
    <w:rPr>
      <w:color w:val="404040"/>
    </w:rPr>
    <w:tblPr>
      <w:tblCellMar>
        <w:left w:w="0" w:type="dxa"/>
        <w:top w:w="0" w:type="dxa"/>
        <w:right w:w="0" w:type="dxa"/>
        <w:bottom w:w="0" w:type="dxa"/>
      </w:tblCellMar>
    </w:tblPr>
  </w:style>
  <w:style w:type="table" w:styleId="1313" w:customStyle="1">
    <w:name w:val="Lined - Accent 41"/>
    <w:uiPriority w:val="99"/>
    <w:qFormat/>
    <w:rPr>
      <w:color w:val="404040"/>
    </w:rPr>
    <w:tblPr>
      <w:tblCellMar>
        <w:left w:w="0" w:type="dxa"/>
        <w:top w:w="0" w:type="dxa"/>
        <w:right w:w="0" w:type="dxa"/>
        <w:bottom w:w="0" w:type="dxa"/>
      </w:tblCellMar>
    </w:tblPr>
  </w:style>
  <w:style w:type="table" w:styleId="1314" w:customStyle="1">
    <w:name w:val="Lined - Accent 51"/>
    <w:uiPriority w:val="99"/>
    <w:qFormat/>
    <w:rPr>
      <w:color w:val="404040"/>
    </w:rPr>
    <w:tblPr>
      <w:tblCellMar>
        <w:left w:w="0" w:type="dxa"/>
        <w:top w:w="0" w:type="dxa"/>
        <w:right w:w="0" w:type="dxa"/>
        <w:bottom w:w="0" w:type="dxa"/>
      </w:tblCellMar>
    </w:tblPr>
  </w:style>
  <w:style w:type="table" w:styleId="1315" w:customStyle="1">
    <w:name w:val="Lined - Accent 61"/>
    <w:uiPriority w:val="99"/>
    <w:qFormat/>
    <w:rPr>
      <w:color w:val="404040"/>
    </w:rPr>
    <w:tblPr>
      <w:tblCellMar>
        <w:left w:w="0" w:type="dxa"/>
        <w:top w:w="0" w:type="dxa"/>
        <w:right w:w="0" w:type="dxa"/>
        <w:bottom w:w="0" w:type="dxa"/>
      </w:tblCellMar>
    </w:tblPr>
  </w:style>
  <w:style w:type="table" w:styleId="1316" w:customStyle="1">
    <w:name w:val="Bordered &amp; Lined - Accent 1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317" w:customStyle="1">
    <w:name w:val="Bordered &amp; Lined - Accent 21"/>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318" w:customStyle="1">
    <w:name w:val="Bordered &amp; Lined - Accent 31"/>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319" w:customStyle="1">
    <w:name w:val="Bordered &amp; Lined - Accent 41"/>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320" w:customStyle="1">
    <w:name w:val="Bordered &amp; Lined - Accent 51"/>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321" w:customStyle="1">
    <w:name w:val="Bordered &amp; Lined - Accent 61"/>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322" w:customStyle="1">
    <w:name w:val="Bordered1"/>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323" w:customStyle="1">
    <w:name w:val="Bordered - Accent 1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324" w:customStyle="1">
    <w:name w:val="Bordered - Accent 21"/>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325" w:customStyle="1">
    <w:name w:val="Bordered - Accent 31"/>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326" w:customStyle="1">
    <w:name w:val="Bordered - Accent 41"/>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327" w:customStyle="1">
    <w:name w:val="Bordered - Accent 51"/>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328" w:customStyle="1">
    <w:name w:val="Bordered - Accent 61"/>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329" w:customStyle="1">
    <w:name w:val="普通表格11"/>
    <w:uiPriority w:val="0"/>
    <w:qFormat/>
    <w:tblPr>
      <w:tblCellMar>
        <w:left w:w="0" w:type="dxa"/>
        <w:top w:w="0" w:type="dxa"/>
        <w:right w:w="0" w:type="dxa"/>
        <w:bottom w:w="0" w:type="dxa"/>
      </w:tblCellMar>
    </w:tblPr>
  </w:style>
  <w:style w:type="table" w:styleId="1330" w:customStyle="1">
    <w:name w:val="网格型11"/>
    <w:basedOn w:val="1070"/>
    <w:uiPriority w:val="0"/>
    <w:qFormat/>
    <w:pPr>
      <w:jc w:val="both"/>
      <w:widowControl w:val="off"/>
    </w:pPr>
    <w:tblPr/>
  </w:style>
  <w:style w:type="paragraph" w:styleId="1331" w:customStyle="1">
    <w:name w:val="列出段落2"/>
    <w:basedOn w:val="822"/>
    <w:uiPriority w:val="0"/>
    <w:qFormat/>
    <w:pPr>
      <w:ind w:firstLine="420"/>
      <w:widowControl w:val="off"/>
    </w:pPr>
    <w:rPr>
      <w:sz w:val="21"/>
      <w:szCs w:val="24"/>
    </w:rPr>
  </w:style>
  <w:style w:type="table" w:styleId="1332" w:customStyle="1">
    <w:name w:val="TableNormal1"/>
    <w:uiPriority w:val="0"/>
    <w:semiHidden/>
    <w:qFormat/>
    <w:tblPr>
      <w:tblCellMar>
        <w:left w:w="0" w:type="dxa"/>
        <w:top w:w="0" w:type="dxa"/>
        <w:right w:w="0" w:type="dxa"/>
        <w:bottom w:w="0" w:type="dxa"/>
      </w:tblCellMar>
    </w:tblPr>
  </w:style>
  <w:style w:type="paragraph" w:styleId="1333" w:customStyle="1">
    <w:name w:val="_Style 9"/>
    <w:basedOn w:val="799"/>
    <w:next w:val="798"/>
    <w:uiPriority w:val="0"/>
    <w:qFormat/>
    <w:pPr>
      <w:spacing w:before="340" w:after="330" w:line="576" w:lineRule="auto"/>
      <w:outlineLvl w:val="9"/>
    </w:pPr>
    <w:rPr>
      <w:rFonts w:ascii="Calibri" w:hAnsi="Calibri"/>
      <w:sz w:val="44"/>
    </w:rPr>
  </w:style>
  <w:style w:type="paragraph" w:styleId="1334" w:customStyle="1">
    <w:name w:val="WPSOffice手动目录 1"/>
    <w:uiPriority w:val="0"/>
    <w:qFormat/>
    <w:rPr>
      <w:rFonts w:hint="default" w:ascii="Times New Roman" w:hAnsi="Times New Roman" w:eastAsia="宋体" w:cs="Times New Roman"/>
      <w:lang w:val="en-US" w:eastAsia="zh-CN" w:bidi="ar-SA"/>
    </w:rPr>
  </w:style>
  <w:style w:type="paragraph" w:styleId="1335" w:customStyle="1">
    <w:name w:val="WPSOffice手动目录 2"/>
    <w:uiPriority w:val="0"/>
    <w:qFormat/>
    <w:pPr>
      <w:ind w:left="200"/>
    </w:pPr>
    <w:rPr>
      <w:rFonts w:hint="default" w:ascii="Times New Roman" w:hAnsi="Times New Roman" w:eastAsia="宋体" w:cs="Times New Roman"/>
      <w:lang w:val="en-US" w:eastAsia="zh-CN" w:bidi="ar-SA"/>
    </w:rPr>
  </w:style>
  <w:style w:type="paragraph" w:styleId="1336" w:customStyle="1">
    <w:name w:val="Fließtext"/>
    <w:uiPriority w:val="0"/>
    <w:qFormat/>
    <w:pPr>
      <w:jc w:val="both"/>
      <w:widowControl w:val="off"/>
    </w:pPr>
    <w:rPr>
      <w:rFonts w:hint="default" w:ascii="Times New Roman" w:hAnsi="Times New Roman" w:eastAsia="宋体" w:cs="Times New Roman"/>
      <w:sz w:val="21"/>
      <w:lang w:val="en-US" w:eastAsia="zh-CN" w:bidi="ar-SA"/>
    </w:rPr>
  </w:style>
  <w:style w:type="paragraph" w:styleId="1337" w:customStyle="1">
    <w:name w:val="彩色列表 - 强调文字颜色 11"/>
    <w:basedOn w:val="798"/>
    <w:uiPriority w:val="34"/>
    <w:qFormat/>
    <w:pPr>
      <w:ind w:firstLine="420"/>
    </w:pPr>
    <w:rPr>
      <w:szCs w:val="22"/>
    </w:rPr>
  </w:style>
  <w:style w:type="paragraph" w:styleId="1338" w:customStyle="1">
    <w:name w:val="标题 111"/>
    <w:basedOn w:val="822"/>
    <w:next w:val="822"/>
    <w:uiPriority w:val="0"/>
    <w:qFormat/>
    <w:pPr>
      <w:jc w:val="center"/>
      <w:keepLines/>
      <w:keepNext/>
      <w:spacing w:line="578" w:lineRule="auto"/>
      <w:outlineLvl w:val="0"/>
    </w:pPr>
    <w:rPr>
      <w:rFonts w:eastAsia="新宋体"/>
      <w:b/>
      <w:bCs/>
      <w:sz w:val="30"/>
      <w:szCs w:val="44"/>
    </w:rPr>
  </w:style>
  <w:style w:type="paragraph" w:styleId="1339" w:customStyle="1">
    <w:name w:val="_Style 11"/>
    <w:uiPriority w:val="1"/>
    <w:qFormat/>
    <w:pPr>
      <w:jc w:val="both"/>
      <w:widowControl w:val="off"/>
    </w:pPr>
    <w:rPr>
      <w:rFonts w:hint="default" w:ascii="宋体" w:hAnsi="宋体" w:eastAsia="宋体" w:cs="宋体"/>
      <w:sz w:val="21"/>
      <w:szCs w:val="22"/>
      <w:lang w:val="en-US" w:eastAsia="zh-CN" w:bidi="ar-SA"/>
    </w:rPr>
  </w:style>
  <w:style w:type="table" w:styleId="1340" w:customStyle="1">
    <w:name w:val="网格型111"/>
    <w:uiPriority w:val="0"/>
    <w:qFormat/>
    <w:tblPr>
      <w:tblCellMar>
        <w:left w:w="0" w:type="dxa"/>
        <w:top w:w="0" w:type="dxa"/>
        <w:right w:w="0" w:type="dxa"/>
        <w:bottom w:w="0" w:type="dxa"/>
      </w:tblCellMar>
    </w:tblPr>
  </w:style>
  <w:style w:type="paragraph" w:styleId="1341" w:customStyle="1">
    <w:name w:val="文本块111"/>
    <w:basedOn w:val="798"/>
    <w:uiPriority w:val="0"/>
    <w:qFormat/>
    <w:pPr>
      <w:ind w:left="256" w:right="6" w:firstLine="624"/>
    </w:pPr>
    <w:rPr>
      <w:rFonts w:eastAsia="仿宋_GB2312"/>
      <w:sz w:val="28"/>
      <w:szCs w:val="20"/>
    </w:rPr>
  </w:style>
  <w:style w:type="character" w:styleId="1342" w:customStyle="1">
    <w:name w:val="NormalCharacter1"/>
    <w:uiPriority w:val="0"/>
    <w:qFormat/>
    <w:rPr>
      <w:lang w:val="en-US" w:eastAsia="zh-CN" w:bidi="ar-SA"/>
    </w:rPr>
  </w:style>
  <w:style w:type="paragraph" w:styleId="1343" w:customStyle="1">
    <w:name w:val="Revision"/>
    <w:hidden/>
    <w:uiPriority w:val="99"/>
    <w:unhideWhenUsed/>
    <w:qFormat/>
    <w:rPr>
      <w:rFonts w:hint="default" w:ascii="Calibri" w:hAnsi="Calibri" w:eastAsia="宋体" w:cs="Times New Roman"/>
      <w:sz w:val="21"/>
      <w:szCs w:val="21"/>
      <w:lang w:val="en-US" w:eastAsia="zh-CN" w:bidi="ar-SA"/>
    </w:rPr>
  </w:style>
  <w:style w:type="paragraph" w:styleId="1344" w:customStyle="1">
    <w:name w:val="列出段落11"/>
    <w:basedOn w:val="824"/>
    <w:uiPriority w:val="0"/>
    <w:qFormat/>
    <w:pPr>
      <w:ind w:firstLine="420"/>
    </w:pPr>
  </w:style>
  <w:style w:type="numbering" w:styleId="1238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customXml" Target="../customXml/item3.xml" /><Relationship Id="rId20" Type="http://schemas.openxmlformats.org/officeDocument/2006/relationships/customXml" Target="../customXml/item4.xml" /><Relationship Id="rId21" Type="http://schemas.openxmlformats.org/officeDocument/2006/relationships/customXml" Target="../customXml/item5.xml" /><Relationship Id="rId22"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_rels/item5.xml.rels><?xml version="1.0" encoding="UTF-8" standalone="yes"?><Relationships xmlns="http://schemas.openxmlformats.org/package/2006/relationships"><Relationship Id="rId1" Type="http://schemas.openxmlformats.org/officeDocument/2006/relationships/customXmlProps" Target="itemProps5.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w:settings xmlns:w="http://schemas.openxmlformats.org/wordprocessingml/2006/main">
  <w:SpecialFormsHighlight w:val="c9c8ff"/>
</w:settings>
</file>

<file path=customXml/item3.xml><?xml version="1.0" encoding="utf-8"?>
<w:settings xmlns:w="http://schemas.openxmlformats.org/wordprocessingml/2006/main">
  <w:SpecialFormsHighlight w:val="c9c8ff"/>
</w:settings>
</file>

<file path=customXml/item4.xml><?xml version="1.0" encoding="utf-8"?>
<w:settings xmlns:w="http://schemas.openxmlformats.org/wordprocessingml/2006/main">
  <w:SpecialFormsHighlight w:val="c9c8ff"/>
</w:settings>
</file>

<file path=customXml/item5.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0006D090-A715-495B-AF4D-F97EFF8541BD}"/>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5D0AEA6B-E499-4EEF-98A3-AFBB261C493E}"/>
</file>

<file path=customXml/itemProps4.xml><?xml version="1.0" encoding="utf-8"?>
<ds:datastoreItem xmlns:ds="http://schemas.openxmlformats.org/officeDocument/2006/customXml" ds:itemID="{5D0AEA6B-E499-4EEF-98A3-AFBB261C493E}"/>
</file>

<file path=customXml/itemProps5.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熊刘明</cp:lastModifiedBy>
  <cp:revision>90</cp:revision>
  <dcterms:created xsi:type="dcterms:W3CDTF">2022-12-08T06:37:00Z</dcterms:created>
  <dcterms:modified xsi:type="dcterms:W3CDTF">2026-09-24T07:56:47Z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A5E92737F0254E9ABEFBC2C321D9B175_13</vt:lpwstr>
  </property>
  <property fmtid="{D5CDD505-2E9C-101B-9397-08002B2CF9AE}" pid="4" name="KSOTemplateDocerSaveRecord">
    <vt:lpwstr>eyJoZGlkIjoiZDMxNDEwZTE2OWU0NjhhNTUxZjJmM2FjNDNmZjYzNjQiLCJ1c2VySWQiOiIxMTUwMDYzNzIyIn0=</vt:lpwstr>
  </property>
</Properties>
</file>