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ind w:firstLine="320"/>
        <w:jc w:val="left"/>
        <w:shd w:val="clear" w:color="auto" w:fill="auto"/>
        <w:rPr>
          <w:rFonts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pStyle w:val="744"/>
        <w:ind w:firstLine="320"/>
        <w:jc w:val="left"/>
        <w:shd w:val="clear" w:color="auto" w:fill="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w:t>
      </w:r>
      <w:r/>
    </w:p>
    <w:p>
      <w:pPr>
        <w:pStyle w:val="788"/>
        <w:shd w:val="clear" w:color="auto" w:fill="auto"/>
        <w:rPr>
          <w:rFonts w:ascii="宋体" w:hAnsi="宋体" w:cs="宋体"/>
          <w:color w:val="000000"/>
          <w:sz w:val="28"/>
          <w:szCs w:val="28"/>
          <w:highlight w:val="none"/>
        </w:rPr>
      </w:pPr>
      <w:r>
        <w:rPr>
          <w:rFonts w:ascii="宋体" w:hAnsi="宋体" w:cs="宋体"/>
          <w:color w:val="000000"/>
          <w:sz w:val="28"/>
          <w:szCs w:val="28"/>
          <w:highlight w:val="none"/>
        </w:rPr>
      </w:r>
      <w:r/>
    </w:p>
    <w:p>
      <w:pPr>
        <w:pStyle w:val="744"/>
        <w:jc w:val="center"/>
        <w:shd w:val="clear" w:color="auto" w:fill="auto"/>
        <w:rPr>
          <w:rFonts w:ascii="宋体" w:hAnsi="宋体" w:cs="宋体"/>
          <w:b/>
          <w:bCs/>
          <w:color w:val="000000"/>
          <w:spacing w:val="76"/>
          <w:sz w:val="72"/>
          <w:szCs w:val="72"/>
          <w:highlight w:val="none"/>
        </w:rPr>
      </w:pPr>
      <w:r>
        <w:rPr>
          <w:rFonts w:ascii="宋体" w:hAnsi="宋体" w:cs="宋体"/>
          <w:b/>
          <w:bCs/>
          <w:color w:val="000000"/>
          <w:spacing w:val="76"/>
          <w:sz w:val="72"/>
          <w:szCs w:val="72"/>
          <w:highlight w:val="none"/>
        </w:rPr>
      </w:r>
      <w:r/>
    </w:p>
    <w:p>
      <w:pPr>
        <w:pStyle w:val="744"/>
        <w:jc w:val="center"/>
        <w:shd w:val="clear" w:color="auto" w:fill="auto"/>
        <w:rPr>
          <w:rFonts w:ascii="宋体" w:hAnsi="宋体" w:cs="宋体"/>
          <w:b/>
          <w:bCs/>
          <w:color w:val="000000"/>
          <w:spacing w:val="76"/>
          <w:sz w:val="144"/>
          <w:szCs w:val="144"/>
          <w:highlight w:val="none"/>
        </w:rPr>
      </w:pPr>
      <w:r>
        <w:rPr>
          <w:rFonts w:hint="eastAsia" w:ascii="宋体" w:hAnsi="宋体" w:cs="宋体"/>
          <w:b/>
          <w:bCs/>
          <w:color w:val="000000"/>
          <w:spacing w:val="76"/>
          <w:sz w:val="144"/>
          <w:szCs w:val="144"/>
          <w:highlight w:val="none"/>
        </w:rPr>
        <w:t xml:space="preserve">招标文件</w:t>
      </w:r>
      <w:r/>
    </w:p>
    <w:p>
      <w:pPr>
        <w:pStyle w:val="744"/>
        <w:ind w:firstLine="2108"/>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744"/>
        <w:ind w:firstLine="2108"/>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788"/>
        <w:shd w:val="clear" w:color="auto" w:fill="auto"/>
        <w:rPr>
          <w:rFonts w:ascii="宋体" w:hAnsi="宋体" w:cs="宋体"/>
          <w:color w:val="000000"/>
          <w:sz w:val="28"/>
          <w:szCs w:val="28"/>
          <w:highlight w:val="none"/>
        </w:rPr>
      </w:pPr>
      <w:r>
        <w:rPr>
          <w:rFonts w:ascii="宋体" w:hAnsi="宋体" w:cs="宋体"/>
          <w:color w:val="000000"/>
          <w:sz w:val="28"/>
          <w:szCs w:val="28"/>
          <w:highlight w:val="none"/>
        </w:rPr>
      </w:r>
      <w:r/>
    </w:p>
    <w:p>
      <w:pPr>
        <w:pStyle w:val="902"/>
        <w:shd w:val="clear" w:color="auto" w:fill="auto"/>
        <w:rPr>
          <w:rFonts w:ascii="宋体" w:hAnsi="宋体" w:cs="宋体"/>
          <w:color w:val="000000"/>
          <w:sz w:val="28"/>
          <w:szCs w:val="28"/>
          <w:highlight w:val="none"/>
        </w:rPr>
      </w:pPr>
      <w:r>
        <w:rPr>
          <w:rFonts w:ascii="宋体" w:hAnsi="宋体" w:cs="宋体"/>
          <w:color w:val="000000"/>
          <w:sz w:val="28"/>
          <w:szCs w:val="28"/>
          <w:highlight w:val="none"/>
        </w:rPr>
      </w:r>
      <w:r/>
    </w:p>
    <w:p>
      <w:pPr>
        <w:pStyle w:val="902"/>
        <w:shd w:val="clear" w:color="auto" w:fill="auto"/>
        <w:rPr>
          <w:rFonts w:ascii="宋体" w:hAnsi="宋体" w:cs="宋体"/>
          <w:color w:val="000000"/>
          <w:sz w:val="28"/>
          <w:szCs w:val="28"/>
          <w:highlight w:val="none"/>
        </w:rPr>
      </w:pPr>
      <w:r>
        <w:rPr>
          <w:rFonts w:ascii="宋体" w:hAnsi="宋体" w:cs="宋体"/>
          <w:color w:val="000000"/>
          <w:sz w:val="28"/>
          <w:szCs w:val="28"/>
          <w:highlight w:val="none"/>
        </w:rPr>
      </w:r>
      <w:r/>
    </w:p>
    <w:p>
      <w:pPr>
        <w:pStyle w:val="744"/>
        <w:shd w:val="clear" w:color="auto" w:fill="auto"/>
        <w:rPr>
          <w:rFonts w:ascii="宋体" w:hAnsi="宋体" w:cs="宋体"/>
          <w:color w:val="000000"/>
          <w:sz w:val="28"/>
          <w:szCs w:val="28"/>
          <w:highlight w:val="none"/>
        </w:rPr>
      </w:pPr>
      <w:r>
        <w:rPr>
          <w:rFonts w:ascii="宋体" w:hAnsi="宋体" w:cs="宋体"/>
          <w:color w:val="000000"/>
          <w:sz w:val="28"/>
          <w:szCs w:val="28"/>
          <w:highlight w:val="none"/>
        </w:rPr>
      </w:r>
      <w:r/>
    </w:p>
    <w:p>
      <w:pPr>
        <w:pStyle w:val="744"/>
        <w:ind w:firstLine="2108"/>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left="0" w:right="0" w:firstLine="964"/>
        <w:jc w:val="both"/>
        <w:spacing w:before="0" w:after="0" w:line="360" w:lineRule="auto"/>
        <w:shd w:val="clear" w:color="auto" w:fill="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项目名称：</w:t>
      </w:r>
      <w:r>
        <w:rPr>
          <w:rFonts w:hint="eastAsia" w:ascii="宋体" w:hAnsi="宋体" w:cs="宋体"/>
          <w:b/>
          <w:bCs/>
          <w:color w:val="000000"/>
          <w:sz w:val="32"/>
          <w:szCs w:val="32"/>
          <w:highlight w:val="none"/>
          <w:lang w:eastAsia="zh-CN"/>
        </w:rPr>
        <w:t xml:space="preserve">交通违法综合管控平台系统升级采购项目</w:t>
      </w:r>
      <w:r>
        <w:rPr>
          <w:rFonts w:hint="eastAsia" w:ascii="宋体" w:hAnsi="宋体" w:cs="宋体"/>
          <w:b/>
          <w:bCs/>
          <w:color w:val="000000"/>
          <w:sz w:val="32"/>
          <w:szCs w:val="32"/>
          <w:highlight w:val="none"/>
        </w:rPr>
        <w:t xml:space="preserve">       </w:t>
      </w:r>
      <w:r/>
    </w:p>
    <w:p>
      <w:pPr>
        <w:ind w:left="0" w:right="0" w:firstLine="964"/>
        <w:jc w:val="both"/>
        <w:spacing w:before="0" w:after="0" w:line="360" w:lineRule="auto"/>
        <w:shd w:val="clear" w:color="auto" w:fill="auto"/>
        <w:rPr>
          <w:rFonts w:hint="eastAsia" w:ascii="宋体" w:hAnsi="宋体" w:cs="宋体"/>
          <w:b/>
          <w:bCs/>
          <w:color w:val="000000"/>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lang w:eastAsia="zh-CN"/>
        </w:rPr>
        <w:t xml:space="preserve">项目编号：JSZC-320312-HZGC-G2026-0007</w:t>
      </w:r>
      <w:r/>
    </w:p>
    <w:p>
      <w:pPr>
        <w:pStyle w:val="744"/>
        <w:ind w:firstLine="964"/>
        <w:spacing w:line="360" w:lineRule="auto"/>
        <w:shd w:val="clear" w:color="auto" w:fill="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采 购 人：</w:t>
      </w:r>
      <w:r>
        <w:rPr>
          <w:rFonts w:hint="eastAsia" w:ascii="宋体" w:hAnsi="宋体" w:cs="宋体"/>
          <w:b/>
          <w:bCs/>
          <w:color w:val="000000"/>
          <w:sz w:val="32"/>
          <w:szCs w:val="32"/>
          <w:highlight w:val="none"/>
          <w:lang w:eastAsia="zh-CN"/>
        </w:rPr>
        <w:t xml:space="preserve">徐州市公安局铜山分局</w:t>
      </w:r>
      <w:r/>
    </w:p>
    <w:p>
      <w:pPr>
        <w:pStyle w:val="744"/>
        <w:ind w:firstLine="1124"/>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44"/>
        <w:ind w:firstLine="1124"/>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44"/>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44"/>
        <w:ind w:firstLine="1124"/>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44"/>
        <w:ind w:firstLine="1124"/>
        <w:spacing w:line="360" w:lineRule="auto"/>
        <w:shd w:val="clear" w:color="auto" w:fill="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采购代理机构：江苏淮中工程管理咨询有限公司</w:t>
      </w:r>
      <w:r/>
    </w:p>
    <w:p>
      <w:pPr>
        <w:pStyle w:val="827"/>
        <w:ind w:firstLine="0"/>
        <w:jc w:val="center"/>
        <w:spacing w:line="360" w:lineRule="auto"/>
        <w:shd w:val="clear" w:color="auto" w:fill="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二〇二</w:t>
      </w:r>
      <w:r>
        <w:rPr>
          <w:rFonts w:hint="eastAsia" w:ascii="宋体" w:hAnsi="宋体" w:cs="宋体"/>
          <w:b/>
          <w:bCs/>
          <w:color w:val="000000"/>
          <w:sz w:val="32"/>
          <w:szCs w:val="32"/>
          <w:highlight w:val="none"/>
          <w:lang w:val="en-US" w:eastAsia="zh-CN"/>
        </w:rPr>
        <w:t xml:space="preserve">六</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九</w:t>
      </w:r>
      <w:r>
        <w:rPr>
          <w:rFonts w:hint="eastAsia" w:ascii="宋体" w:hAnsi="宋体" w:cs="宋体"/>
          <w:b/>
          <w:bCs/>
          <w:color w:val="000000"/>
          <w:sz w:val="32"/>
          <w:szCs w:val="32"/>
          <w:highlight w:val="none"/>
        </w:rPr>
        <w:t xml:space="preserve">月</w:t>
      </w:r>
      <w:r/>
    </w:p>
    <w:p>
      <w:pPr>
        <w:pStyle w:val="744"/>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shd w:val="clear" w:color="auto" w:fill="auto"/>
        <w:rPr>
          <w:rFonts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pStyle w:val="827"/>
        <w:ind w:firstLine="0"/>
        <w:jc w:val="center"/>
        <w:shd w:val="clear" w:color="auto" w:fill="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目 录</w:t>
      </w:r>
      <w:r/>
    </w:p>
    <w:p>
      <w:pPr>
        <w:pStyle w:val="744"/>
        <w:jc w:val="center"/>
        <w:spacing w:line="520" w:lineRule="exact"/>
        <w:shd w:val="clear" w:color="auto" w:fill="auto"/>
        <w:rPr>
          <w:rFonts w:ascii="宋体" w:hAnsi="宋体" w:cs="宋体"/>
          <w:b/>
          <w:color w:val="000000"/>
          <w:sz w:val="28"/>
          <w:szCs w:val="28"/>
          <w:highlight w:val="none"/>
        </w:rPr>
      </w:pPr>
      <w:r/>
      <w:bookmarkStart w:id="0" w:name="_Toc522790130"/>
      <w:r/>
      <w:r/>
    </w:p>
    <w:p>
      <w:pPr>
        <w:pStyle w:val="744"/>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888"/>
        <w:spacing w:line="360" w:lineRule="auto"/>
        <w:shd w:val="clear" w:color="auto" w:fill="auto"/>
        <w:tabs>
          <w:tab w:val="right" w:pos="8820" w:leader="dot"/>
        </w:tabs>
        <w:rPr>
          <w:rFonts w:ascii="宋体" w:hAnsi="宋体" w:cs="宋体"/>
          <w:color w:val="000000"/>
          <w:sz w:val="28"/>
          <w:szCs w:val="28"/>
          <w:highlight w:val="none"/>
        </w:rPr>
      </w:pPr>
      <w:r>
        <w:rPr>
          <w:rFonts w:hint="eastAsia" w:ascii="宋体" w:hAnsi="宋体" w:cs="宋体"/>
          <w:b/>
          <w:color w:val="000000"/>
          <w:sz w:val="28"/>
          <w:szCs w:val="28"/>
          <w:highlight w:val="none"/>
        </w:rPr>
        <w:fldChar w:fldCharType="begin"/>
      </w:r>
      <w:r>
        <w:rPr>
          <w:rFonts w:hint="eastAsia" w:ascii="宋体" w:hAnsi="宋体" w:cs="宋体"/>
          <w:b/>
          <w:color w:val="000000"/>
          <w:sz w:val="28"/>
          <w:szCs w:val="28"/>
          <w:highlight w:val="none"/>
        </w:rPr>
        <w:instrText xml:space="preserve"> TOC \o "1-3" \h \z \u </w:instrText>
      </w:r>
      <w:r>
        <w:rPr>
          <w:rFonts w:hint="eastAsia" w:ascii="宋体" w:hAnsi="宋体" w:cs="宋体"/>
          <w:b/>
          <w:color w:val="000000"/>
          <w:sz w:val="28"/>
          <w:szCs w:val="28"/>
          <w:highlight w:val="none"/>
        </w:rPr>
        <w:fldChar w:fldCharType="separate"/>
      </w:r>
      <w:r>
        <w:rPr>
          <w:color w:val="000000"/>
          <w:highlight w:val="none"/>
        </w:rPr>
        <w:fldChar w:fldCharType="begin"/>
      </w:r>
      <w:r>
        <w:rPr>
          <w:color w:val="000000"/>
          <w:highlight w:val="none"/>
        </w:rPr>
        <w:instrText xml:space="preserve"> HYPERLINK \l "_Toc24120" </w:instrText>
      </w:r>
      <w:r>
        <w:rPr>
          <w:color w:val="000000"/>
          <w:highlight w:val="none"/>
        </w:rPr>
        <w:fldChar w:fldCharType="separate"/>
      </w:r>
      <w:r>
        <w:rPr>
          <w:rFonts w:hint="eastAsia" w:ascii="宋体" w:hAnsi="宋体" w:cs="宋体"/>
          <w:color w:val="000000"/>
          <w:sz w:val="28"/>
          <w:szCs w:val="28"/>
          <w:highlight w:val="none"/>
        </w:rPr>
        <w:t xml:space="preserve">第一章  投标邀请</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_Toc24120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3</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p>
    <w:p>
      <w:pPr>
        <w:pStyle w:val="888"/>
        <w:spacing w:line="360" w:lineRule="auto"/>
        <w:shd w:val="clear" w:color="auto" w:fill="auto"/>
        <w:tabs>
          <w:tab w:val="right" w:pos="8820"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"_Toc22286" </w:instrText>
      </w:r>
      <w:r>
        <w:rPr>
          <w:color w:val="000000"/>
          <w:highlight w:val="none"/>
        </w:rPr>
        <w:fldChar w:fldCharType="separate"/>
      </w:r>
      <w:r>
        <w:rPr>
          <w:rFonts w:hint="eastAsia" w:ascii="宋体" w:hAnsi="宋体" w:cs="宋体"/>
          <w:color w:val="000000"/>
          <w:sz w:val="28"/>
          <w:szCs w:val="28"/>
          <w:highlight w:val="none"/>
        </w:rPr>
        <w:t xml:space="preserve">第二章  投标人须知</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 5</w:t>
      </w:r>
      <w:r>
        <w:rPr>
          <w:rFonts w:hint="eastAsia" w:ascii="宋体" w:hAnsi="宋体" w:cs="宋体"/>
          <w:color w:val="000000"/>
          <w:sz w:val="28"/>
          <w:szCs w:val="28"/>
          <w:highlight w:val="none"/>
        </w:rPr>
        <w:fldChar w:fldCharType="end"/>
      </w:r>
      <w:r/>
    </w:p>
    <w:p>
      <w:pPr>
        <w:pStyle w:val="888"/>
        <w:spacing w:line="360" w:lineRule="auto"/>
        <w:shd w:val="clear" w:color="auto" w:fill="auto"/>
        <w:tabs>
          <w:tab w:val="right" w:pos="8820"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"_Toc17318" </w:instrText>
      </w:r>
      <w:r>
        <w:rPr>
          <w:color w:val="000000"/>
          <w:highlight w:val="none"/>
        </w:rPr>
        <w:fldChar w:fldCharType="separate"/>
      </w:r>
      <w:r>
        <w:rPr>
          <w:rFonts w:hint="eastAsia" w:ascii="宋体" w:hAnsi="宋体" w:cs="宋体"/>
          <w:color w:val="000000"/>
          <w:sz w:val="28"/>
          <w:szCs w:val="28"/>
          <w:highlight w:val="none"/>
        </w:rPr>
        <w:t xml:space="preserve">第三章  投标资料表</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_Toc17318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16</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p>
    <w:p>
      <w:pPr>
        <w:pStyle w:val="888"/>
        <w:spacing w:line="360" w:lineRule="auto"/>
        <w:shd w:val="clear" w:color="auto" w:fill="auto"/>
        <w:tabs>
          <w:tab w:val="right" w:pos="8820" w:leader="dot"/>
        </w:tabs>
        <w:rPr>
          <w:rFonts w:hint="eastAsia" w:ascii="宋体" w:hAnsi="宋体" w:eastAsia="宋体" w:cs="宋体"/>
          <w:color w:val="000000"/>
          <w:sz w:val="28"/>
          <w:szCs w:val="28"/>
          <w:highlight w:val="none"/>
          <w:lang w:val="en-US" w:eastAsia="zh-CN"/>
        </w:rPr>
      </w:pPr>
      <w:r>
        <w:rPr>
          <w:color w:val="000000"/>
          <w:highlight w:val="none"/>
        </w:rPr>
        <w:fldChar w:fldCharType="begin"/>
      </w:r>
      <w:r>
        <w:rPr>
          <w:color w:val="000000"/>
          <w:highlight w:val="none"/>
        </w:rPr>
        <w:instrText xml:space="preserve"> HYPERLINK \l "_Toc9989" </w:instrText>
      </w:r>
      <w:r>
        <w:rPr>
          <w:color w:val="000000"/>
          <w:highlight w:val="none"/>
        </w:rPr>
        <w:fldChar w:fldCharType="separate"/>
      </w:r>
      <w:r>
        <w:rPr>
          <w:rFonts w:hint="eastAsia" w:ascii="宋体" w:hAnsi="宋体" w:cs="宋体"/>
          <w:color w:val="000000"/>
          <w:sz w:val="28"/>
          <w:szCs w:val="28"/>
          <w:highlight w:val="none"/>
        </w:rPr>
        <w:t xml:space="preserve">第四章  评标标准</w:t>
      </w:r>
      <w:r>
        <w:rPr>
          <w:rFonts w:hint="eastAsia" w:ascii="宋体" w:hAnsi="宋体" w:cs="宋体"/>
          <w:color w:val="000000"/>
          <w:sz w:val="28"/>
          <w:szCs w:val="28"/>
          <w:highlight w:val="none"/>
        </w:rPr>
        <w:tab/>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5</w:t>
      </w:r>
      <w:r/>
    </w:p>
    <w:p>
      <w:pPr>
        <w:pStyle w:val="888"/>
        <w:spacing w:line="360" w:lineRule="auto"/>
        <w:shd w:val="clear" w:color="auto" w:fill="auto"/>
        <w:tabs>
          <w:tab w:val="right" w:pos="8820"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"_Toc13862" </w:instrText>
      </w:r>
      <w:r>
        <w:rPr>
          <w:color w:val="000000"/>
          <w:highlight w:val="none"/>
        </w:rPr>
        <w:fldChar w:fldCharType="separate"/>
      </w:r>
      <w:r>
        <w:rPr>
          <w:rFonts w:hint="eastAsia" w:ascii="宋体" w:hAnsi="宋体" w:cs="宋体"/>
          <w:color w:val="000000"/>
          <w:sz w:val="28"/>
          <w:szCs w:val="28"/>
          <w:highlight w:val="none"/>
        </w:rPr>
        <w:t xml:space="preserve">第五章  拟签订的合同文本</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_Toc13862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32</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p>
    <w:p>
      <w:pPr>
        <w:pStyle w:val="888"/>
        <w:spacing w:line="360" w:lineRule="auto"/>
        <w:shd w:val="clear" w:color="auto" w:fill="auto"/>
        <w:tabs>
          <w:tab w:val="right" w:pos="8820"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"_Toc32499" </w:instrText>
      </w:r>
      <w:r>
        <w:rPr>
          <w:color w:val="000000"/>
          <w:highlight w:val="none"/>
        </w:rPr>
        <w:fldChar w:fldCharType="separate"/>
      </w:r>
      <w:r>
        <w:rPr>
          <w:rFonts w:hint="eastAsia" w:ascii="宋体" w:hAnsi="宋体" w:cs="宋体"/>
          <w:color w:val="000000"/>
          <w:sz w:val="28"/>
          <w:szCs w:val="28"/>
          <w:highlight w:val="none"/>
        </w:rPr>
        <w:t xml:space="preserve">第六章  采购需求</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_Toc32499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33</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p>
    <w:p>
      <w:pPr>
        <w:pStyle w:val="888"/>
        <w:spacing w:line="360" w:lineRule="auto"/>
        <w:shd w:val="clear" w:color="auto" w:fill="auto"/>
        <w:tabs>
          <w:tab w:val="right" w:pos="8820"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"_Toc7211" </w:instrText>
      </w:r>
      <w:r>
        <w:rPr>
          <w:color w:val="000000"/>
          <w:highlight w:val="none"/>
        </w:rPr>
        <w:fldChar w:fldCharType="separate"/>
      </w:r>
      <w:r>
        <w:rPr>
          <w:rFonts w:hint="eastAsia" w:ascii="宋体" w:hAnsi="宋体" w:cs="宋体"/>
          <w:color w:val="000000"/>
          <w:sz w:val="28"/>
          <w:szCs w:val="28"/>
          <w:highlight w:val="none"/>
        </w:rPr>
        <w:t xml:space="preserve">第七章  投标文件相关格式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_Toc7211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33</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p>
    <w:p>
      <w:pPr>
        <w:pStyle w:val="744"/>
        <w:jc w:val="center"/>
        <w:spacing w:line="520" w:lineRule="exact"/>
        <w:shd w:val="clear" w:color="auto" w:fill="auto"/>
        <w:rPr>
          <w:rFonts w:ascii="宋体" w:hAnsi="宋体" w:cs="宋体"/>
          <w:b/>
          <w:color w:val="000000"/>
          <w:sz w:val="28"/>
          <w:szCs w:val="28"/>
          <w:highlight w:val="none"/>
        </w:rPr>
      </w:pPr>
      <w:r>
        <w:rPr>
          <w:rFonts w:hint="eastAsia" w:ascii="宋体" w:hAnsi="宋体" w:cs="宋体"/>
          <w:color w:val="000000"/>
          <w:sz w:val="28"/>
          <w:szCs w:val="28"/>
          <w:highlight w:val="none"/>
        </w:rPr>
        <w:fldChar w:fldCharType="end"/>
      </w:r>
      <w:r/>
    </w:p>
    <w:p>
      <w:pPr>
        <w:pStyle w:val="744"/>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4"/>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4"/>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4"/>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4"/>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4"/>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4"/>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4"/>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4"/>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4"/>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4"/>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4"/>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4"/>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4"/>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4"/>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4"/>
        <w:jc w:val="center"/>
        <w:spacing w:line="520" w:lineRule="exact"/>
        <w:shd w:val="clear" w:color="auto" w:fill="auto"/>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lang w:eastAsia="zh-CN"/>
        </w:rPr>
        <w:t xml:space="preserve">交通违法综合管控平台系统升级采购项目</w:t>
      </w:r>
      <w:r/>
    </w:p>
    <w:p>
      <w:pPr>
        <w:pStyle w:val="744"/>
        <w:jc w:val="center"/>
        <w:spacing w:line="52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招标文件</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50"/>
        <w:spacing w:line="520" w:lineRule="exact"/>
        <w:shd w:val="clear" w:color="auto" w:fill="auto"/>
        <w:rPr>
          <w:rFonts w:ascii="宋体" w:hAnsi="宋体" w:eastAsia="宋体" w:cs="宋体"/>
          <w:color w:val="000000"/>
          <w:sz w:val="24"/>
          <w:szCs w:val="24"/>
          <w:highlight w:val="none"/>
        </w:rPr>
      </w:pPr>
      <w:r/>
      <w:bookmarkStart w:id="1" w:name="_Toc24120"/>
      <w:r>
        <w:rPr>
          <w:rFonts w:hint="eastAsia" w:ascii="宋体" w:hAnsi="宋体" w:eastAsia="宋体" w:cs="宋体"/>
          <w:color w:val="000000"/>
          <w:sz w:val="24"/>
          <w:szCs w:val="24"/>
          <w:highlight w:val="none"/>
        </w:rPr>
        <w:t xml:space="preserve">第一章  投标邀请</w:t>
      </w:r>
      <w:bookmarkEnd w:id="1"/>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江苏淮中工程管理咨询有限公司</w:t>
      </w:r>
      <w:r>
        <w:rPr>
          <w:rFonts w:hint="eastAsia" w:ascii="宋体" w:hAnsi="宋体" w:cs="宋体"/>
          <w:color w:val="000000"/>
          <w:sz w:val="24"/>
          <w:highlight w:val="none"/>
        </w:rPr>
        <w:t xml:space="preserve">受</w:t>
      </w:r>
      <w:r>
        <w:rPr>
          <w:rFonts w:hint="eastAsia" w:ascii="宋体" w:hAnsi="宋体" w:cs="宋体"/>
          <w:color w:val="000000"/>
          <w:sz w:val="24"/>
          <w:highlight w:val="none"/>
          <w:u w:val="single"/>
          <w:lang w:eastAsia="zh-CN"/>
        </w:rPr>
        <w:t xml:space="preserve">徐州市公安局铜山分局</w:t>
      </w:r>
      <w:r>
        <w:rPr>
          <w:rFonts w:hint="eastAsia" w:ascii="宋体" w:hAnsi="宋体" w:cs="宋体"/>
          <w:color w:val="000000"/>
          <w:sz w:val="24"/>
          <w:highlight w:val="none"/>
        </w:rPr>
        <w:t xml:space="preserve">委托对“</w:t>
      </w:r>
      <w:r>
        <w:rPr>
          <w:rFonts w:hint="eastAsia" w:ascii="宋体" w:hAnsi="宋体" w:cs="宋体"/>
          <w:color w:val="000000"/>
          <w:sz w:val="24"/>
          <w:highlight w:val="none"/>
          <w:u w:val="single"/>
          <w:lang w:eastAsia="zh-CN"/>
        </w:rPr>
        <w:t xml:space="preserve">交通违法综合管控平台系统升级采购项目</w:t>
      </w:r>
      <w:r>
        <w:rPr>
          <w:rFonts w:hint="eastAsia" w:ascii="宋体" w:hAnsi="宋体" w:cs="宋体"/>
          <w:color w:val="000000"/>
          <w:sz w:val="24"/>
          <w:highlight w:val="none"/>
        </w:rPr>
        <w:t xml:space="preserve">”进行公开招标采购，现邀请符合相关条件的供应商投标。</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一、项目名称和项目编号</w:t>
      </w:r>
      <w:r/>
    </w:p>
    <w:p>
      <w:pPr>
        <w:pStyle w:val="744"/>
        <w:ind w:firstLine="560"/>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(一)项目名称：</w:t>
      </w:r>
      <w:r>
        <w:rPr>
          <w:rFonts w:hint="eastAsia" w:ascii="宋体" w:hAnsi="宋体" w:cs="宋体"/>
          <w:color w:val="000000"/>
          <w:sz w:val="24"/>
          <w:highlight w:val="none"/>
          <w:lang w:eastAsia="zh-CN"/>
        </w:rPr>
        <w:t xml:space="preserve">交通违法综合管控平台系统升级采购项目</w:t>
      </w:r>
      <w:r/>
    </w:p>
    <w:p>
      <w:pPr>
        <w:pStyle w:val="744"/>
        <w:ind w:firstLine="560"/>
        <w:spacing w:line="520" w:lineRule="exact"/>
        <w:shd w:val="clear" w:color="auto" w:fill="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(二)项目编号：JSZC-320312-HZGC-G2026-0007</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二、对投标人的资格要求</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详见本项目公开招标公告。</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三、获取招标文件</w:t>
      </w:r>
      <w:bookmarkEnd w:id="0"/>
      <w:r/>
      <w:r/>
    </w:p>
    <w:p>
      <w:pPr>
        <w:pStyle w:val="744"/>
        <w:ind w:firstLine="560"/>
        <w:spacing w:line="520" w:lineRule="exact"/>
        <w:shd w:val="clear" w:color="auto" w:fill="auto"/>
        <w:rPr>
          <w:rFonts w:ascii="仿宋" w:hAnsi="仿宋" w:eastAsia="仿宋" w:cs="仿宋"/>
          <w:color w:val="000000"/>
          <w:sz w:val="28"/>
        </w:rPr>
      </w:pPr>
      <w:r>
        <w:rPr>
          <w:rFonts w:hint="eastAsia" w:ascii="宋体" w:hAnsi="宋体" w:cs="宋体"/>
          <w:color w:val="000000"/>
          <w:sz w:val="24"/>
          <w:highlight w:val="none"/>
        </w:rPr>
        <w:t xml:space="preserve">（一）</w:t>
      </w:r>
      <w:r>
        <w:rPr>
          <w:rFonts w:ascii="仿宋" w:hAnsi="仿宋" w:eastAsia="仿宋" w:cs="仿宋"/>
          <w:color w:val="000000"/>
          <w:sz w:val="28"/>
        </w:rPr>
        <w:t xml:space="preserve">时间（时间期限）、地点、方式：详见本项目公开招标公告。</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（二）获取方式：</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1.地点：网上注册登记成功后系统内免费下载。</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2.获取方式：本项目采用网上注册登记方式。</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3.潜在投标人访问电子招标投标交易平台的网络地址和方法：</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（1）登录http://jszfcg.jsczt.cn/，或进入徐州政府采购网--业务工作--用户登录，点击“苏采云”进入系统。</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CA数字证书”的获取：供应商需重新办理CA锁，（“苏采云”系统目前仅支持“苏采云”系统下的国信CA，省内各地区办理的“苏采云”系统下的国信CA全省通用）。投标客户端工具及供应商操作手册可访问徐州市政府采购网，选中“业务工作”，“下载专区”进行下载《江苏省政府采购交易系统（苏采云）供应商操作手册及政府采购客户端》</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4.采购代理机构将数据电文形式的招标文件加载至电子招标投标交易平台，供潜在投标人下载或者查阅。</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5.招标文件售价：免费。</w:t>
      </w:r>
      <w:r/>
    </w:p>
    <w:p>
      <w:pPr>
        <w:pStyle w:val="744"/>
        <w:ind w:firstLine="560"/>
        <w:spacing w:line="520" w:lineRule="exact"/>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四、投标有</w:t>
      </w:r>
      <w:r>
        <w:rPr>
          <w:rFonts w:hint="eastAsia" w:ascii="宋体" w:hAnsi="宋体" w:cs="宋体"/>
          <w:color w:val="000000"/>
          <w:sz w:val="24"/>
          <w:highlight w:val="white"/>
        </w:rPr>
        <w:t xml:space="preserve">关信息</w:t>
      </w:r>
      <w:r>
        <w:rPr>
          <w:highlight w:val="white"/>
        </w:rPr>
      </w:r>
      <w:r/>
    </w:p>
    <w:p>
      <w:pPr>
        <w:pStyle w:val="744"/>
        <w:ind w:firstLine="560"/>
        <w:spacing w:line="520" w:lineRule="exact"/>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（一）投标截止时间：</w:t>
      </w:r>
      <w:r>
        <w:rPr>
          <w:rFonts w:hint="eastAsia" w:ascii="宋体" w:hAnsi="宋体" w:cs="宋体"/>
          <w:color w:val="000000"/>
          <w:sz w:val="24"/>
          <w:highlight w:val="white"/>
        </w:rPr>
        <w:t xml:space="preserve">2026</w:t>
      </w:r>
      <w:r>
        <w:rPr>
          <w:rFonts w:hint="eastAsia" w:ascii="宋体" w:hAnsi="宋体" w:cs="宋体"/>
          <w:b/>
          <w:bCs/>
          <w:color w:val="000000"/>
          <w:sz w:val="24"/>
          <w:highlight w:val="white"/>
        </w:rPr>
        <w:t xml:space="preserve">年</w:t>
      </w:r>
      <w:r>
        <w:rPr>
          <w:rFonts w:hint="eastAsia" w:ascii="宋体" w:hAnsi="宋体" w:cs="宋体"/>
          <w:b/>
          <w:bCs/>
          <w:color w:val="000000"/>
          <w:sz w:val="24"/>
          <w:highlight w:val="white"/>
          <w:lang w:val="en-US" w:eastAsia="zh-CN"/>
        </w:rPr>
        <w:t xml:space="preserve">10</w:t>
      </w:r>
      <w:r>
        <w:rPr>
          <w:rFonts w:hint="eastAsia" w:ascii="宋体" w:hAnsi="宋体" w:cs="宋体"/>
          <w:b/>
          <w:bCs/>
          <w:color w:val="000000"/>
          <w:sz w:val="24"/>
          <w:highlight w:val="white"/>
        </w:rPr>
        <w:t xml:space="preserve">月13</w:t>
      </w:r>
      <w:r>
        <w:rPr>
          <w:rFonts w:hint="eastAsia" w:ascii="宋体" w:hAnsi="宋体" w:cs="宋体"/>
          <w:b/>
          <w:bCs/>
          <w:color w:val="000000"/>
          <w:sz w:val="24"/>
          <w:highlight w:val="white"/>
        </w:rPr>
        <w:t xml:space="preserve">日北京时间10：00</w:t>
      </w:r>
      <w:r>
        <w:rPr>
          <w:rFonts w:hint="eastAsia" w:ascii="宋体" w:hAnsi="宋体" w:cs="宋体"/>
          <w:color w:val="000000"/>
          <w:sz w:val="24"/>
          <w:highlight w:val="white"/>
        </w:rPr>
        <w:t xml:space="preserve">。</w:t>
      </w:r>
      <w:r>
        <w:rPr>
          <w:highlight w:val="white"/>
        </w:rPr>
      </w:r>
      <w:r/>
    </w:p>
    <w:p>
      <w:pPr>
        <w:pStyle w:val="744"/>
        <w:ind w:firstLine="560"/>
        <w:spacing w:line="520" w:lineRule="exact"/>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（二）开标时间：</w:t>
      </w:r>
      <w:r>
        <w:rPr>
          <w:rFonts w:hint="eastAsia" w:ascii="宋体" w:hAnsi="宋体" w:cs="宋体"/>
          <w:color w:val="000000"/>
          <w:sz w:val="24"/>
          <w:highlight w:val="white"/>
        </w:rPr>
        <w:t xml:space="preserve">2026</w:t>
      </w:r>
      <w:r>
        <w:rPr>
          <w:rFonts w:hint="eastAsia" w:ascii="宋体" w:hAnsi="宋体" w:cs="宋体"/>
          <w:b/>
          <w:bCs/>
          <w:color w:val="000000"/>
          <w:sz w:val="24"/>
          <w:highlight w:val="white"/>
        </w:rPr>
        <w:t xml:space="preserve">年10</w:t>
      </w:r>
      <w:r>
        <w:rPr>
          <w:rFonts w:hint="eastAsia" w:ascii="宋体" w:hAnsi="宋体" w:cs="宋体"/>
          <w:b/>
          <w:bCs/>
          <w:color w:val="000000"/>
          <w:sz w:val="24"/>
          <w:highlight w:val="white"/>
        </w:rPr>
        <w:t xml:space="preserve">月13</w:t>
      </w:r>
      <w:r>
        <w:rPr>
          <w:rFonts w:hint="eastAsia" w:ascii="宋体" w:hAnsi="宋体" w:cs="宋体"/>
          <w:b/>
          <w:bCs/>
          <w:color w:val="000000"/>
          <w:sz w:val="24"/>
          <w:highlight w:val="white"/>
        </w:rPr>
        <w:t xml:space="preserve">日北京时间10：00</w:t>
      </w:r>
      <w:r>
        <w:rPr>
          <w:rFonts w:hint="eastAsia" w:ascii="宋体" w:hAnsi="宋体" w:cs="宋体"/>
          <w:color w:val="000000"/>
          <w:sz w:val="24"/>
          <w:highlight w:val="white"/>
        </w:rPr>
        <w:t xml:space="preserve">。</w:t>
      </w:r>
      <w:r>
        <w:rPr>
          <w:highlight w:val="white"/>
        </w:rPr>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（三）开标地点：“苏采云”系统（网址：http://jszfcg.jsczt.cn/）“开标大厅”或进入徐州政府采购网（网址：http://czj.xz.gov.cn/Home/HomeIndex）-业务工作 -用户登录，点击“苏采云”进入系统“开标大厅”。 </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五、采购人</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（一）名称：</w:t>
      </w:r>
      <w:r>
        <w:rPr>
          <w:rFonts w:hint="eastAsia" w:ascii="宋体" w:hAnsi="宋体" w:cs="宋体"/>
          <w:color w:val="000000"/>
          <w:sz w:val="24"/>
          <w:highlight w:val="none"/>
          <w:lang w:eastAsia="zh-CN"/>
        </w:rPr>
        <w:t xml:space="preserve">徐州市公安局铜山分局</w:t>
      </w:r>
      <w:r>
        <w:rPr>
          <w:rFonts w:hint="eastAsia" w:ascii="宋体" w:hAnsi="宋体" w:cs="宋体"/>
          <w:color w:val="000000"/>
          <w:sz w:val="24"/>
          <w:highlight w:val="none"/>
        </w:rPr>
        <w:t xml:space="preserve">。</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（二）地址：徐州市铜山区北京南路329号。</w:t>
      </w:r>
      <w:r/>
    </w:p>
    <w:p>
      <w:pPr>
        <w:pStyle w:val="744"/>
        <w:ind w:firstLine="560"/>
        <w:spacing w:line="520" w:lineRule="exact"/>
        <w:shd w:val="clear" w:color="auto" w:fill="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（三）联系方法：</w:t>
      </w:r>
      <w:r>
        <w:rPr>
          <w:rFonts w:hint="eastAsia" w:ascii="宋体" w:hAnsi="宋体" w:cs="宋体"/>
          <w:color w:val="000000"/>
          <w:sz w:val="24"/>
          <w:highlight w:val="none"/>
          <w:lang w:val="en-US" w:eastAsia="zh-CN"/>
        </w:rPr>
        <w:t xml:space="preserve">0516-83340528</w:t>
      </w:r>
      <w:r/>
    </w:p>
    <w:p>
      <w:pPr>
        <w:pStyle w:val="744"/>
        <w:ind w:firstLine="560"/>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（四）采购项目联系人：</w:t>
      </w:r>
      <w:r>
        <w:rPr>
          <w:rFonts w:hint="eastAsia" w:ascii="宋体" w:hAnsi="宋体" w:cs="宋体"/>
          <w:color w:val="000000"/>
          <w:sz w:val="24"/>
          <w:highlight w:val="none"/>
          <w:lang w:eastAsia="zh-CN"/>
        </w:rPr>
        <w:t xml:space="preserve">杨杰</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lang w:eastAsia="zh-CN"/>
        </w:rPr>
        <w:t xml:space="preserve">0516-83340528</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六、采购代理机构</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（一）名称： 江苏淮中工程管理咨询有限公司。</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（二）地址：徐州市铜山区汉府雅园综合楼613室。</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（三）联系方法：0516-83509912</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（四）采购项目联系人：闫星星；联系电话：0516-83509912</w:t>
      </w:r>
      <w:r/>
    </w:p>
    <w:p>
      <w:pPr>
        <w:pStyle w:val="744"/>
        <w:ind w:firstLine="560"/>
        <w:spacing w:line="36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br w:type="page" w:clear="all"/>
      </w:r>
      <w:r/>
    </w:p>
    <w:p>
      <w:pPr>
        <w:pStyle w:val="850"/>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第二章  投标人须知</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一、总则</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（一）采购人。采购人即指依法进行政府采购的国家机关、事业单位和团体组织。</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（二）政府招标采购方式。政府采购货物或服务（以下简称“货物服务”）的招标方式，分为公开招标和邀请招标。</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（三）采购人在采购货物服务的招标投标活动中，应当贯彻落实“节约能源、保护环境、扶持不发达地区和少数民族地区和促进中小企业发展”等政府采购政策。</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（五）采购人委托采购代理机构代理招标的，采购代理机构必须在采购人委托的范围内依法开展采购活动。</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（六）投标人的资格条件：</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投标人是指响应招标、参加投标竞争的法人、其他组织或者自然人。</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2.投标人授权代表系指法定代表人或受法人委托的受托人。</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（七）投标费用：投标人应承担所有与准备和参加投标有关的费用。无论投标的结果如何，采购代理机构对上述费用不承担任何责任和义务。</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二、招标</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（八）招标文件应包括以下内容：</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第一章，投标邀请；</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第二章，投标人须知；</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第三章，投标资料表；</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第四章，评标标准；</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第五章，拟签订的合同文本；</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第六章，采购需求；</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第七章，投标文件相关格式。</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（九）招标文件澄清或者修改：</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2.现场考察以本文件第三章《投标资料表》中的要求为准。</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3.开标前答疑会以本文件第三章《投标资料表》中的要求为准。</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三、投标</w:t>
      </w:r>
      <w:r/>
    </w:p>
    <w:p>
      <w:pPr>
        <w:pStyle w:val="744"/>
        <w:ind w:firstLine="6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（十）投标人应当按照招标文件的要求编制投标文件。投标文件应对招标文件提出的要求和条件作出实质性响应。</w:t>
      </w:r>
      <w:r/>
    </w:p>
    <w:p>
      <w:pPr>
        <w:pStyle w:val="744"/>
        <w:ind w:firstLine="6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（十一）投标文件的语言。投标文件以及投标人与采购代理机构就有关投标的往来函电均应使用本文件第三章《投标资料表》规定的语言书写，否则无效。</w:t>
      </w:r>
      <w:r/>
    </w:p>
    <w:p>
      <w:pPr>
        <w:pStyle w:val="744"/>
        <w:ind w:firstLine="6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（十二）投标文件的构成：</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1.投标文件的构成以本文件第三章《投标资料表》中的要求为准。</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2.投标人应当提交的资格、资信证明文件，以本文件第三章《投标资料表》中的所提要求为准。</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（十三）投标函和价格表、商务条件、交货和提供服务的时间：</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1.投标函和价格表的要求见本章（十二）、（十三），格式见本文件第七章《投标文件相关格式》中《投标函》和《开标一览表》。</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2.商务条件以本文件第三章《投标资料表》中的要求为准。</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3.交货和提供服务的时间，以本文件第三章《投标资料表》中所提要求为准。</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（十四）投标报价要求：</w:t>
      </w:r>
      <w:r/>
    </w:p>
    <w:p>
      <w:pPr>
        <w:pStyle w:val="744"/>
        <w:ind w:right="-638"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1.投标人应按照招标文件的要求报出分项价格和总价。</w:t>
      </w:r>
      <w:r/>
    </w:p>
    <w:p>
      <w:pPr>
        <w:pStyle w:val="744"/>
        <w:ind w:right="-420"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2.投标人应按照招标文件的要求进行报价，如投标人作出偏离，应在《偏离表》中列出。</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3.采购人不支付报价以外的任何费用。</w:t>
      </w:r>
      <w:r/>
    </w:p>
    <w:p>
      <w:pPr>
        <w:pStyle w:val="744"/>
        <w:ind w:right="-420"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4.投标人所报的价格，在合同执行过程中是固定的，不得以任何理由予以变更。投标人提交滑动价格的投标文件，在符合性检查时按照无效投标处理。</w:t>
      </w:r>
      <w:r/>
    </w:p>
    <w:p>
      <w:pPr>
        <w:pStyle w:val="744"/>
        <w:ind w:right="-420"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5.投标人只能提交一个投标价格，投标人提交多个价格的投标文件，在符合性检查时按照无效投标处理。</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（十五）投标货币。以本文件第三章《投标资料表》中所提要求为准。</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（十六）投标有效期：</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1.投标有效期为开标之日后90天。采购人可以要求对投标有效期延长一次，但该延长期最长不得超过30天。</w:t>
      </w:r>
      <w:r/>
    </w:p>
    <w:p>
      <w:pPr>
        <w:pStyle w:val="744"/>
        <w:ind w:right="-420"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3.如果采购人发出要求延长投标有效期的通知，并在投标有效期届满前，没有收到投标人同意的书面通知，则视为该投标人不接受上述延期的要求。</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（十七）投标文件的编制要求和签署要求：</w:t>
      </w:r>
      <w:r/>
    </w:p>
    <w:p>
      <w:pPr>
        <w:pStyle w:val="744"/>
        <w:ind w:right="-420" w:firstLine="562"/>
        <w:spacing w:line="52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1.电子投标文件要求</w:t>
      </w:r>
      <w:r/>
    </w:p>
    <w:p>
      <w:pPr>
        <w:pStyle w:val="744"/>
        <w:ind w:right="-420" w:firstLine="482"/>
        <w:jc w:val="left"/>
        <w:spacing w:line="520" w:lineRule="exact"/>
        <w:shd w:val="clear" w:color="auto" w:fill="auto"/>
        <w:widowControl/>
        <w:tabs>
          <w:tab w:val="left" w:pos="9030" w:leader="none"/>
          <w:tab w:val="left" w:pos="9460" w:leader="none"/>
        </w:tabs>
        <w:rPr>
          <w:rFonts w:ascii="宋体" w:hAnsi="宋体" w:cs="宋体"/>
          <w:color w:val="000000"/>
          <w:sz w:val="24"/>
          <w:highlight w:val="none"/>
        </w:rPr>
      </w:pPr>
      <w:r>
        <w:rPr>
          <w:rFonts w:hint="eastAsia" w:ascii="宋体" w:hAnsi="宋体" w:cs="宋体"/>
          <w:color w:val="000000"/>
          <w:sz w:val="24"/>
          <w:highlight w:val="none"/>
        </w:rPr>
        <w:t xml:space="preserve">（1）电子招标投标交易平台（即“苏采云”系统）相关要求是本招标文件的组成部分。</w:t>
      </w:r>
      <w:r/>
    </w:p>
    <w:p>
      <w:pPr>
        <w:pStyle w:val="744"/>
        <w:ind w:right="-420" w:firstLine="482"/>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（2）投标人应对 CA 证书妥善保管，如被他人盗用投标，因此带来的结果均由投标人自行承担。</w:t>
      </w:r>
      <w:r/>
    </w:p>
    <w:p>
      <w:pPr>
        <w:pStyle w:val="744"/>
        <w:ind w:right="-420" w:firstLine="482"/>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（3）投标人应当对招标文件提出的要求和条件作出实质性响应，并在电子投标系统逐条应答。</w:t>
      </w:r>
      <w:r/>
    </w:p>
    <w:p>
      <w:pPr>
        <w:pStyle w:val="744"/>
        <w:ind w:firstLine="482"/>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（4）投标人应对要求提供的资格证明文件（如资质证书、资格证书）、技术资料（如白皮书、彩页、手册、检测报告等）扫描上传至投标系统。</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（十八）投标文件的</w:t>
      </w:r>
      <w:r>
        <w:rPr>
          <w:rFonts w:hint="eastAsia" w:ascii="宋体" w:hAnsi="宋体" w:cs="宋体"/>
          <w:color w:val="000000"/>
          <w:sz w:val="24"/>
          <w:highlight w:val="none"/>
          <w:lang w:val="en-US" w:eastAsia="zh-CN"/>
        </w:rPr>
        <w:t xml:space="preserve">解密</w:t>
      </w:r>
      <w:r>
        <w:rPr>
          <w:rFonts w:hint="eastAsia" w:ascii="宋体" w:hAnsi="宋体" w:cs="宋体"/>
          <w:color w:val="000000"/>
          <w:sz w:val="24"/>
          <w:highlight w:val="none"/>
        </w:rPr>
        <w:t xml:space="preserve">、盖章要求：</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1.投标人未在规定时间内解密电子投标文件的，所导致的一切后果均由投标人承担。</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2.投标文件的盖章要求，以本文件第三章《投标资料表》中所提要求为准。</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（十九）提交投标文件的注意事项。投标人应在招标文件要求的提交投标文件的截止时间前，将电子投标文件上传“苏采云”系统。</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（二十）凡在招标文件要求提交投标文件的截止时间之后上传的投标文件，均为无效投标文件，“苏采云”系统将自动拒收。在规定时间内各投标人凭CA锁进行网上解密。</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一）投标人在投标截止时间前，可以对所递交的投标文件进行补充、修改或者撤回。其所进行补充、修改的内容，应当按照招标文件要求进行签署、盖章、并在投标截止时间前递交到苏采云系统，然后纳为投标文件的组成部分。</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（二十二）本项目不允许分包。</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（二十三）投标人应当遵循公平竞争的原则，不得恶意串通，不得妨碍其他投标人的竞争行为，不得损害采购人或者其他投标人的合法权益。</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在评标过程中发现投标人有上述情形的，评标委员会应当认定其投标无效，并书面报告本级财政部门。</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（二十四）有下列情形之一的，其投标无效。</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1.不同投标人的投标文件，由同一单位或者个人编制；</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2.不同投标人委托同一单位或者个人办理投标事宜；</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3.不同投标人的投标文件中，所载明的项目管理成员或联系人为同一人；</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4.不同投标人的投标文件，异常一致或者投标报价呈规律性差异；</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5.不同投标人投标文件内容存在非正常一致、项目组成员出现同一人、投标文件中错误（或异常）一致或雷同、电子文档信息一致或雷同的、投标报价呈规律性差异的；</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6.电子投标文件未按规定期限投标的；</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7.电子投标文件未按招标文件要求签章的；</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8.投标人未在规定时间内解密电子投标文件的；</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9.投标文件未按招标文件规定的内容和要求填写的；没有在投标系统指定位置上传对应文件、材料的。</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10.不具备招标文件中规定的资格要求的；</w:t>
      </w:r>
      <w:r/>
    </w:p>
    <w:p>
      <w:pPr>
        <w:pStyle w:val="744"/>
        <w:ind w:firstLine="560"/>
        <w:jc w:val="left"/>
        <w:spacing w:line="52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11.报价超过招标文件中规定的预算金额或者最高限价的；</w:t>
      </w:r>
      <w:r/>
    </w:p>
    <w:p>
      <w:pPr>
        <w:pStyle w:val="744"/>
        <w:ind w:firstLine="560"/>
        <w:jc w:val="left"/>
        <w:spacing w:line="52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不同投标人的投标文件相互混装；</w:t>
      </w:r>
      <w:r/>
    </w:p>
    <w:p>
      <w:pPr>
        <w:pStyle w:val="744"/>
        <w:ind w:firstLine="560"/>
        <w:jc w:val="left"/>
        <w:spacing w:line="52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.投标文件含有采购人不能接受的附加条件的；</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.法律、法规和招标文件规定的其他无效情形。</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四、开标</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（二十五）开标：</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1.开标时间及地点。开标应当在招标文件确定的提交投标文件截止时间的同一时间公开进行；开标地点应当为招标文件中预先确定的地点。</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2.开标由采购代理机构主持，邀请投标人参加。</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3.所有投标单位在到达开标时间时，用CA证书解密各自投标文件，由工作人员操作系统进行开标。投标人不足3家的，不得开标。</w:t>
      </w:r>
      <w:r/>
    </w:p>
    <w:p>
      <w:pPr>
        <w:pStyle w:val="744"/>
        <w:ind w:firstLine="600"/>
        <w:spacing w:line="519" w:lineRule="atLeast"/>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4.因投标人原因造成投标文件未解密的，视为撤销其投标文件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因投标人之外的原因造成投标文件未解密的，视为撤回其投标文件。部分投标文件未解密的，其他投标文件的开标可以继续进行。</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5.投标人代表对开标过程和开标记录有疑义的，或者认为采购人、采购代理机构相关工作人员有需要回避情形的，应当场提出询问或者提出回避申请。</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投标人未参加开标的，视同认可开标结果。</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五、评标</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（二十六）公开招标采购项目开标结束后，采购人依法对投标人的资格进行审查。合格投标人不足3家的，不得评标。</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1.评标工作由采购代理机构负责组织，并履行下列职责：</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（2）宣布评标纪律；</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（3）公布投标人名单，告知评审专家应当回避的情形；</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（4）组织评标委员会推选评标组长（采购人代表不得担任组长）；</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（5）在评标期间采取必要的通讯管理措施，保证评标活动不受外界干扰；</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（6）根据评标委员会的要求介绍政府采购相关政策法规、招标文件；</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（8）核对评标结果，对有《</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"http://www.caigou2003.com/" \t "_blank"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政府采购</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货物和服务招标投标管理办法》第六十四条规定情形的，应要求评标委员会复核或者书面说明理由，评标委员会拒绝的，应予记录并向本级财政部门报告；</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（9）评审工作完成后，按照规定向评审专家支付劳务报酬和异地评审差旅费，不得向评审专家以外的其他人员支付评审劳务报酬； </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（10）处理与评标有关的其他事项。</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2.评标委员会负责具体评标事务，并独立履行下列职责：</w:t>
      </w:r>
      <w:r/>
    </w:p>
    <w:p>
      <w:pPr>
        <w:pStyle w:val="744"/>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（1）审查、评价投标文件是否符合招标文件的商务、技术等实质性要求；</w:t>
      </w:r>
      <w:r/>
    </w:p>
    <w:p>
      <w:pPr>
        <w:pStyle w:val="744"/>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（2）要求投标人对投标文件有关事项作出澄清或者说明；</w:t>
      </w:r>
      <w:r/>
    </w:p>
    <w:p>
      <w:pPr>
        <w:pStyle w:val="744"/>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（3）对投标文件进行比较和评价；</w:t>
      </w:r>
      <w:r/>
    </w:p>
    <w:p>
      <w:pPr>
        <w:pStyle w:val="744"/>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（4）确定中标候选人名单，以及根据采购人委托直接确定中标人；</w:t>
      </w:r>
      <w:r/>
    </w:p>
    <w:p>
      <w:pPr>
        <w:pStyle w:val="744"/>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（5）向采购人、采购代理机构或有关部门报告评标中发现的违法行为。</w:t>
      </w:r>
      <w:r/>
    </w:p>
    <w:p>
      <w:pPr>
        <w:pStyle w:val="744"/>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（二十七）评标方法分为最低评标价法和综合评分法。</w:t>
      </w:r>
      <w:r/>
    </w:p>
    <w:p>
      <w:pPr>
        <w:pStyle w:val="744"/>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（二十八）评标</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1.评标工作程序：</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（1）投标文件初审。</w:t>
      </w:r>
      <w:r/>
    </w:p>
    <w:p>
      <w:pPr>
        <w:pStyle w:val="744"/>
        <w:ind w:firstLine="84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①资格性审查。</w:t>
      </w:r>
      <w:r/>
    </w:p>
    <w:p>
      <w:pPr>
        <w:pStyle w:val="744"/>
        <w:ind w:firstLine="84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②符合性审查。</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（2）澄清有关问题。</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（3）比较与评价。</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（4）推荐中标候选供应商名单。</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（5）编写评审报告（评标报告）。</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2.在评标中，不得改变招标文件中规定的评标标准、方法和中标条件。评标委员会对投标文件响应性的判定，要基于投标文件本身的内容，而不得寻求外部的证据。</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3.采用</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"http://lilun.caigou2003.com/recijiedu/2365668.html" \t "_blank"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最低评标价法</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44"/>
        <w:ind w:firstLine="560"/>
        <w:spacing w:line="52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采用</w:t>
      </w:r>
      <w:r>
        <w:rPr>
          <w:color w:val="000000"/>
          <w:highlight w:val="none"/>
        </w:rPr>
        <w:fldChar w:fldCharType="begin"/>
      </w:r>
      <w:r>
        <w:rPr>
          <w:color w:val="000000"/>
          <w:highlight w:val="none"/>
        </w:rPr>
        <w:instrText xml:space="preserve"> HYPERLINK "http://lilun.caigou2003.com/recijiedu/2365667.html" \t "_blank" </w:instrText>
      </w:r>
      <w:r>
        <w:rPr>
          <w:color w:val="000000"/>
          <w:highlight w:val="none"/>
        </w:rPr>
        <w:fldChar w:fldCharType="separate"/>
      </w:r>
      <w:r>
        <w:rPr>
          <w:rFonts w:hint="eastAsia" w:ascii="宋体" w:hAnsi="宋体" w:cs="宋体"/>
          <w:color w:val="000000"/>
          <w:sz w:val="24"/>
          <w:highlight w:val="none"/>
        </w:rPr>
        <w:t xml:space="preserve">综合评分法</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60" w:lineRule="auto"/>
        <w:widowControl/>
        <w:rPr>
          <w:rFonts w:ascii="宋体" w:hAnsi="宋体" w:cs="宋体"/>
          <w:color w:val="000000"/>
          <w:sz w:val="24"/>
          <w:highlight w:val="none"/>
        </w:rPr>
      </w:pPr>
      <w:r>
        <w:rPr>
          <w:rFonts w:hint="eastAsia" w:ascii="宋体" w:hAnsi="宋体" w:eastAsia="宋体" w:cs="宋体"/>
          <w:color w:val="000000"/>
          <w:sz w:val="24"/>
          <w:szCs w:val="24"/>
          <w:highlight w:val="none"/>
          <w:lang w:bidi="ar-SA"/>
        </w:rPr>
        <w:t xml:space="preserve">非单一产品采购项目，采购人应当根据采购项目技术构成、产品价格比重等合理确定核心产品，并在招标文件中载明。多家投标人提供的核心产品品牌相同的，按前</w:t>
      </w:r>
      <w:r>
        <w:rPr>
          <w:rFonts w:hint="eastAsia" w:ascii="宋体" w:hAnsi="宋体" w:cs="宋体"/>
          <w:color w:val="000000"/>
          <w:sz w:val="24"/>
          <w:highlight w:val="none"/>
        </w:rPr>
        <w:t xml:space="preserve">按前两款</w:t>
      </w:r>
      <w:r>
        <w:rPr>
          <w:rFonts w:hint="eastAsia" w:ascii="宋体" w:hAnsi="宋体" w:cs="宋体"/>
          <w:color w:val="000000"/>
          <w:sz w:val="24"/>
          <w:highlight w:val="none"/>
          <w:lang w:val="en-US" w:eastAsia="zh-CN"/>
        </w:rPr>
        <w:t xml:space="preserve">(28.2.28.3.)</w:t>
      </w:r>
      <w:r>
        <w:rPr>
          <w:rFonts w:hint="eastAsia" w:ascii="宋体" w:hAnsi="宋体" w:cs="宋体"/>
          <w:color w:val="000000"/>
          <w:sz w:val="24"/>
          <w:highlight w:val="none"/>
        </w:rPr>
        <w:t xml:space="preserve">规定处理</w:t>
      </w:r>
      <w:r>
        <w:rPr>
          <w:rFonts w:hint="eastAsia" w:ascii="宋体" w:hAnsi="宋体" w:eastAsia="宋体" w:cs="宋体"/>
          <w:color w:val="000000"/>
          <w:sz w:val="24"/>
          <w:szCs w:val="24"/>
          <w:highlight w:val="none"/>
          <w:lang w:bidi="ar-SA"/>
        </w:rPr>
        <w:t xml:space="preserve">。采购人根据采购项目技术构成、产品价格比重等确定核心产品：见招标文件第三章《投标资料表》。</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（二十九）投标文件报价出现前后不一致的，按照下列规定修正：</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1.投标文件中开标一览表（报价表）内容与投标文件中相应内容不一致的，以开标一览表（报价表）为准；</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4.总价金额与按单价合计金额不一致的，以单价金额计算结果为准。</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评标中需要投标人对投标文件澄清或者说明的，应当通过“苏采云”系统交换数据电文。在评标期间，请投标人保持在线。</w:t>
      </w:r>
      <w:r/>
    </w:p>
    <w:p>
      <w:pPr>
        <w:pStyle w:val="744"/>
        <w:ind w:firstLine="560"/>
        <w:jc w:val="left"/>
        <w:spacing w:line="52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744"/>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（一）评审中出现下列情形之一的，评审（评标）委员会应当启动异常低价投标（响应）审查程序：</w:t>
      </w:r>
      <w:r/>
    </w:p>
    <w:p>
      <w:pPr>
        <w:pStyle w:val="744"/>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p>
    <w:p>
      <w:pPr>
        <w:pStyle w:val="744"/>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p>
    <w:p>
      <w:pPr>
        <w:pStyle w:val="744"/>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3.投标（响应）报价低于采购项目最高限价（未设定最高限价的采购项目，</w:t>
      </w:r>
      <w:r/>
    </w:p>
    <w:p>
      <w:pPr>
        <w:pStyle w:val="744"/>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以采购项目预算金额作为最高限价）45%的，即投标（响应）报价&lt;采购项目最高限价×45%；</w:t>
      </w:r>
      <w:r/>
    </w:p>
    <w:p>
      <w:pPr>
        <w:pStyle w:val="744"/>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4.评审（评标）委员会基于专业判断，认为供应商报价过低，有可能影响产品质量或者不能诚信履约的其他情形。</w:t>
      </w:r>
      <w:r/>
    </w:p>
    <w:p>
      <w:pPr>
        <w:pStyle w:val="744"/>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相关法律法规对供应商报价有规定的，从其规定。</w:t>
      </w:r>
      <w:r/>
    </w:p>
    <w:p>
      <w:pPr>
        <w:pStyle w:val="744"/>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44"/>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44"/>
        <w:ind w:firstLine="560"/>
        <w:jc w:val="left"/>
        <w:spacing w:line="520" w:lineRule="exact"/>
        <w:shd w:val="clear" w:color="auto" w:fill="auto"/>
        <w:widowControl/>
        <w:rPr>
          <w:rFonts w:eastAsia="宋体"/>
          <w:lang w:val="en-US" w:eastAsia="zh-CN"/>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（三十二）废标条款：</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出现下列情形之一的，应予废标。</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1.符合专业条件的供应商或者对招标文件作实质响应的供应商不足三家的；</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3.投标人的报价均超过了采购预算，采购人不能支付的；</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4.因重大变故，采购任务取消的。</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六、定标</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（三十三）采购代理机构应当在评标结束后2个工作日内将评标报告送采购人。</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（三十四）采购人应当自收到评标报告之日起5个工作日内，在评标报告确定的中标候选人名单中按顺序确定中标人。</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七、政府采购合同</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（三十六）签订政府采购合同（合同签订方式）：</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采购人不得向中标人提出任何不合理的要求作为签订合同的条件。</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44"/>
        <w:ind w:firstLine="56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（三十七）采购人与中标人应当根据合同的约定依法履行合同义务。政府采购合同的履行、违约责任和解决争议的方法等，按《中华人民共和国民法典》相关条款执行。</w:t>
      </w:r>
      <w:r/>
    </w:p>
    <w:p>
      <w:pPr>
        <w:pStyle w:val="744"/>
        <w:ind w:firstLine="560"/>
        <w:jc w:val="left"/>
        <w:spacing w:line="360" w:lineRule="auto"/>
        <w:shd w:val="clear" w:color="auto" w:fill="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（三十八）履约保证金：</w:t>
      </w:r>
      <w:r/>
    </w:p>
    <w:p>
      <w:pPr>
        <w:pStyle w:val="826"/>
        <w:ind w:left="0" w:firstLine="72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本项目</w:t>
      </w:r>
      <w:r>
        <w:rPr>
          <w:rFonts w:hint="eastAsia" w:ascii="宋体" w:hAnsi="宋体" w:cs="宋体"/>
          <w:color w:val="auto"/>
          <w:sz w:val="24"/>
          <w:highlight w:val="none"/>
        </w:rPr>
        <w:t xml:space="preserve">履约保证金：</w:t>
      </w:r>
      <w:r>
        <w:rPr>
          <w:rFonts w:hint="eastAsia" w:ascii="宋体" w:hAnsi="宋体" w:eastAsia="宋体" w:cs="宋体"/>
          <w:color w:val="auto"/>
          <w:sz w:val="24"/>
          <w:highlight w:val="none"/>
          <w:lang w:val="en-US" w:eastAsia="zh-CN"/>
        </w:rPr>
        <w:t xml:space="preserve">无。</w:t>
      </w:r>
      <w:r/>
    </w:p>
    <w:p>
      <w:pPr>
        <w:pStyle w:val="744"/>
        <w:ind w:firstLine="560"/>
        <w:jc w:val="left"/>
        <w:spacing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（三十九）腐败和欺诈行为：</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1.采购代理机构、采购人、投标人等参与招投标的各方，均应在招标、采购、合同执行等过程中保持廉洁和最高的道德水准。</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（1）腐败和欺诈行为的含义：</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②“欺诈行为”系指为了影响招标、采购和合同执行等过程，隐瞒事实真象，给买方、卖方、采购代理机构及他人造成损害的行为，其中包括投标人之间的串通行为。</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（2）如果被推荐的中标人有腐败和欺诈行为，将取消其中标资格。</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（3）如果投标人在任何时候，被法院及政府有关管理部门认定为有腐败和欺诈行为，采购代理机构有权拒绝其投标、取消其中标资格和撤消其已签署的合同。</w:t>
      </w:r>
      <w:r/>
    </w:p>
    <w:p>
      <w:pPr>
        <w:pStyle w:val="744"/>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八、询问和质疑</w:t>
      </w:r>
      <w:r/>
    </w:p>
    <w:p>
      <w:pPr>
        <w:pStyle w:val="744"/>
        <w:ind w:firstLine="560"/>
        <w:jc w:val="left"/>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（四十）询问和质疑</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九、电子招标投标交易平台</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（四十一）评标中需要投标人对投标文件澄清或者说明的，应当通过“苏采云”系统交换数据电文。在评标期间，请投标人保持在线。</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（四十二）对于投标文件中含义不明确、同类问题表述不一致或者有明显文字和计算错误的内容，评标委员会通过“苏采云”系统要求投标人作出必要的澄清、说明或者补正，并规定回复时间。</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四十三）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44"/>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pStyle w:val="744"/>
        <w:ind w:firstLine="602"/>
        <w:jc w:val="center"/>
        <w:spacing w:line="360" w:lineRule="exact"/>
        <w:shd w:val="clear" w:color="auto" w:fill="auto"/>
        <w:rPr>
          <w:rFonts w:ascii="宋体" w:hAnsi="宋体" w:cs="宋体"/>
          <w:b/>
          <w:color w:val="000000"/>
          <w:sz w:val="24"/>
          <w:highlight w:val="none"/>
        </w:rPr>
      </w:pPr>
      <w:r>
        <w:rPr>
          <w:rFonts w:ascii="宋体" w:hAnsi="宋体" w:cs="宋体"/>
          <w:b/>
          <w:color w:val="000000"/>
          <w:sz w:val="24"/>
          <w:highlight w:val="none"/>
        </w:rPr>
      </w:r>
      <w:r/>
    </w:p>
    <w:p>
      <w:pPr>
        <w:pStyle w:val="744"/>
        <w:shd w:val="clear" w:color="auto" w:fill="auto"/>
        <w:rPr>
          <w:rFonts w:ascii="宋体" w:hAnsi="宋体" w:cs="宋体"/>
          <w:color w:val="000000"/>
          <w:sz w:val="24"/>
          <w:highlight w:val="none"/>
        </w:rPr>
      </w:pPr>
      <w:r/>
      <w:bookmarkStart w:id="2" w:name="_Toc17318"/>
      <w:r/>
      <w:bookmarkStart w:id="3" w:name="_Toc522790132"/>
      <w:r>
        <w:rPr>
          <w:rFonts w:hint="eastAsia" w:ascii="宋体" w:hAnsi="宋体" w:cs="宋体"/>
          <w:color w:val="000000"/>
          <w:sz w:val="24"/>
          <w:highlight w:val="none"/>
        </w:rPr>
        <w:br w:type="page" w:clear="all"/>
      </w:r>
      <w:r/>
    </w:p>
    <w:p>
      <w:pPr>
        <w:pStyle w:val="850"/>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  投标资料表</w:t>
      </w:r>
      <w:bookmarkEnd w:id="2"/>
      <w:r/>
      <w:bookmarkEnd w:id="3"/>
      <w:r/>
      <w:r/>
    </w:p>
    <w:p>
      <w:pPr>
        <w:pStyle w:val="879"/>
        <w:ind w:firstLine="560"/>
        <w:spacing w:line="520" w:lineRule="exact"/>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pStyle w:val="744"/>
        <w:spacing w:line="240" w:lineRule="exact"/>
        <w:shd w:val="clear" w:color="auto" w:fill="auto"/>
        <w:rPr>
          <w:rFonts w:ascii="宋体" w:hAnsi="宋体" w:cs="宋体"/>
          <w:color w:val="000000"/>
          <w:sz w:val="24"/>
          <w:highlight w:val="none"/>
        </w:rPr>
      </w:pPr>
      <w:r>
        <w:rPr>
          <w:rFonts w:ascii="宋体" w:hAnsi="宋体" w:cs="宋体"/>
          <w:color w:val="000000"/>
          <w:sz w:val="24"/>
          <w:highlight w:val="none"/>
        </w:rPr>
      </w:r>
      <w:r/>
    </w:p>
    <w:tbl>
      <w:tblPr>
        <w:tblStyle w:val="715"/>
        <w:tblW w:w="10408"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7"/>
        <w:gridCol w:w="8771"/>
      </w:tblGrid>
      <w:tr>
        <w:trPr/>
        <w:tc>
          <w:tcPr>
            <w:tcW w:w="1637" w:type="dxa"/>
            <w:vAlign w:val="top"/>
            <w:textDirection w:val="lrTb"/>
            <w:noWrap w:val="false"/>
          </w:tcPr>
          <w:p>
            <w:pPr>
              <w:pStyle w:val="744"/>
              <w:jc w:val="center"/>
              <w:spacing w:line="52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条款项号</w:t>
            </w:r>
            <w:r/>
          </w:p>
        </w:tc>
        <w:tc>
          <w:tcPr>
            <w:tcW w:w="8771" w:type="dxa"/>
            <w:vAlign w:val="top"/>
            <w:textDirection w:val="lrTb"/>
            <w:noWrap w:val="false"/>
          </w:tcPr>
          <w:p>
            <w:pPr>
              <w:pStyle w:val="744"/>
              <w:jc w:val="center"/>
              <w:spacing w:line="52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内    容</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一</w:t>
            </w:r>
            <w:r/>
          </w:p>
        </w:tc>
        <w:tc>
          <w:tcPr>
            <w:tcW w:w="8771" w:type="dxa"/>
            <w:vAlign w:val="top"/>
            <w:textDirection w:val="lrTb"/>
            <w:noWrap w:val="false"/>
          </w:tcPr>
          <w:p>
            <w:pPr>
              <w:pStyle w:val="744"/>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总则</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w:t>
            </w:r>
            <w:r/>
          </w:p>
        </w:tc>
        <w:tc>
          <w:tcPr>
            <w:tcW w:w="8771" w:type="dxa"/>
            <w:vAlign w:val="top"/>
            <w:textDirection w:val="lrTb"/>
            <w:noWrap w:val="false"/>
          </w:tcPr>
          <w:p>
            <w:pPr>
              <w:pStyle w:val="744"/>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本项目采购人：</w:t>
            </w:r>
            <w:r>
              <w:rPr>
                <w:rFonts w:hint="eastAsia" w:ascii="宋体" w:hAnsi="宋体" w:cs="宋体"/>
                <w:color w:val="000000"/>
                <w:sz w:val="24"/>
                <w:highlight w:val="none"/>
                <w:lang w:eastAsia="zh-CN"/>
              </w:rPr>
              <w:t xml:space="preserve">徐州市公安局铜山分局</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w:t>
            </w:r>
            <w:r/>
          </w:p>
        </w:tc>
        <w:tc>
          <w:tcPr>
            <w:tcW w:w="8771" w:type="dxa"/>
            <w:vAlign w:val="top"/>
            <w:textDirection w:val="lrTb"/>
            <w:noWrap w:val="false"/>
          </w:tcPr>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本次采购采用的政府采购方式：公开招标</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(四)</w:t>
            </w:r>
            <w:r/>
          </w:p>
        </w:tc>
        <w:tc>
          <w:tcPr>
            <w:tcW w:w="8771" w:type="dxa"/>
            <w:vAlign w:val="top"/>
            <w:textDirection w:val="lrTb"/>
            <w:noWrap w:val="false"/>
          </w:tcPr>
          <w:p>
            <w:pPr>
              <w:pStyle w:val="744"/>
              <w:spacing w:line="520" w:lineRule="exact"/>
              <w:shd w:val="clear" w:color="auto" w:fil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采购人确定的采购项目属性：</w:t>
            </w:r>
            <w:r>
              <w:rPr>
                <w:rFonts w:hint="eastAsia" w:ascii="宋体" w:hAnsi="宋体" w:cs="宋体"/>
                <w:color w:val="auto"/>
                <w:sz w:val="24"/>
                <w:highlight w:val="none"/>
                <w:lang w:val="en-US" w:eastAsia="zh-CN"/>
              </w:rPr>
              <w:t xml:space="preserve">货物</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(五)</w:t>
            </w:r>
            <w:r/>
          </w:p>
        </w:tc>
        <w:tc>
          <w:tcPr>
            <w:tcW w:w="8771" w:type="dxa"/>
            <w:vAlign w:val="top"/>
            <w:textDirection w:val="lrTb"/>
            <w:noWrap w:val="false"/>
          </w:tcPr>
          <w:p>
            <w:pPr>
              <w:pStyle w:val="744"/>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本项目采购代理机构：江苏淮中工程管理咨询有限公司</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(六)</w:t>
            </w:r>
            <w:r/>
          </w:p>
        </w:tc>
        <w:tc>
          <w:tcPr>
            <w:tcW w:w="8771" w:type="dxa"/>
            <w:vAlign w:val="top"/>
            <w:textDirection w:val="lrTb"/>
            <w:noWrap w:val="false"/>
          </w:tcPr>
          <w:p>
            <w:pPr>
              <w:pStyle w:val="744"/>
              <w:spacing w:line="520" w:lineRule="exact"/>
              <w:shd w:val="clear" w:color="auto" w:fil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投标人的资格条件：</w:t>
            </w:r>
            <w:r>
              <w:rPr>
                <w:rFonts w:hint="eastAsia" w:ascii="宋体" w:hAnsi="宋体" w:cs="宋体"/>
                <w:color w:val="auto"/>
                <w:sz w:val="24"/>
                <w:highlight w:val="none"/>
                <w:lang w:val="en-US" w:eastAsia="zh-CN"/>
              </w:rPr>
              <w:t xml:space="preserve"> </w:t>
            </w:r>
            <w:r/>
          </w:p>
          <w:p>
            <w:pPr>
              <w:pStyle w:val="744"/>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一、符合《中华人民共和国政府采购法》第二十二条的规定；</w:t>
            </w:r>
            <w:r/>
          </w:p>
          <w:p>
            <w:pPr>
              <w:pStyle w:val="744"/>
              <w:spacing w:line="520" w:lineRule="exact"/>
              <w:shd w:val="clear" w:color="auto" w:fill="auto"/>
              <w:rPr>
                <w:rFonts w:ascii="宋体" w:hAnsi="宋体" w:cs="宋体"/>
                <w:b/>
                <w:bCs/>
                <w:color w:val="auto"/>
                <w:sz w:val="24"/>
                <w:highlight w:val="none"/>
              </w:rPr>
            </w:pPr>
            <w:r>
              <w:rPr>
                <w:rFonts w:hint="eastAsia" w:ascii="宋体" w:hAnsi="宋体" w:cs="宋体"/>
                <w:bCs/>
                <w:color w:val="auto"/>
                <w:sz w:val="24"/>
                <w:highlight w:val="none"/>
              </w:rPr>
              <w:t xml:space="preserve">二、</w:t>
            </w:r>
            <w:r>
              <w:rPr>
                <w:rFonts w:hint="eastAsia" w:ascii="宋体" w:hAnsi="宋体" w:cs="宋体"/>
                <w:color w:val="auto"/>
                <w:sz w:val="24"/>
                <w:highlight w:val="none"/>
              </w:rPr>
              <w:t xml:space="preserve">落实政府采购政策需满足的资格要求：</w:t>
            </w:r>
            <w:r>
              <w:rPr>
                <w:rFonts w:hint="eastAsia" w:ascii="宋体" w:hAnsi="宋体" w:cs="宋体"/>
                <w:b/>
                <w:bCs/>
                <w:color w:val="auto"/>
                <w:sz w:val="24"/>
                <w:highlight w:val="none"/>
              </w:rPr>
              <w:t xml:space="preserve">此项目是不属于专门面向中小微企业采购的项目。</w:t>
            </w:r>
            <w:r/>
          </w:p>
          <w:p>
            <w:pPr>
              <w:pStyle w:val="744"/>
              <w:spacing w:line="520" w:lineRule="exact"/>
              <w:shd w:val="clear" w:color="auto" w:fill="auto"/>
              <w:rPr>
                <w:rFonts w:ascii="宋体" w:hAnsi="宋体" w:cs="宋体"/>
                <w:bCs/>
                <w:color w:val="auto"/>
                <w:sz w:val="24"/>
                <w:highlight w:val="none"/>
              </w:rPr>
            </w:pPr>
            <w:r>
              <w:rPr>
                <w:rFonts w:hint="eastAsia" w:ascii="宋体" w:hAnsi="宋体" w:cs="宋体"/>
                <w:bCs/>
                <w:color w:val="auto"/>
                <w:sz w:val="24"/>
                <w:highlight w:val="none"/>
              </w:rPr>
              <w:t xml:space="preserve">三、本项目的特定资格要求：无。</w:t>
            </w:r>
            <w:r/>
          </w:p>
          <w:p>
            <w:pPr>
              <w:pStyle w:val="744"/>
              <w:spacing w:line="520" w:lineRule="exact"/>
              <w:shd w:val="clear" w:color="auto" w:fill="auto"/>
              <w:rPr>
                <w:rFonts w:ascii="宋体" w:hAnsi="宋体" w:cs="宋体"/>
                <w:bCs/>
                <w:color w:val="auto"/>
                <w:sz w:val="24"/>
                <w:highlight w:val="none"/>
              </w:rPr>
            </w:pPr>
            <w:r>
              <w:rPr>
                <w:rFonts w:hint="eastAsia" w:ascii="宋体" w:hAnsi="宋体" w:cs="宋体"/>
                <w:bCs/>
                <w:color w:val="auto"/>
                <w:sz w:val="24"/>
                <w:highlight w:val="none"/>
              </w:rPr>
              <w:t xml:space="preserve">同时明确相关事项如下：</w:t>
            </w:r>
            <w:r/>
          </w:p>
          <w:p>
            <w:pPr>
              <w:pStyle w:val="744"/>
              <w:spacing w:line="520" w:lineRule="exact"/>
              <w:shd w:val="clear" w:color="auto" w:fill="auto"/>
              <w:rPr>
                <w:rFonts w:ascii="宋体" w:hAnsi="宋体" w:cs="宋体"/>
                <w:color w:val="auto"/>
                <w:sz w:val="24"/>
                <w:highlight w:val="none"/>
              </w:rPr>
            </w:pPr>
            <w:r>
              <w:rPr>
                <w:rFonts w:hint="eastAsia" w:ascii="宋体" w:hAnsi="宋体" w:cs="宋体"/>
                <w:bCs/>
                <w:color w:val="auto"/>
                <w:sz w:val="24"/>
                <w:highlight w:val="none"/>
              </w:rPr>
              <w:t xml:space="preserve">一、本项目不接受联合体参与采</w:t>
            </w:r>
            <w:r>
              <w:rPr>
                <w:rFonts w:hint="eastAsia" w:ascii="宋体" w:hAnsi="宋体" w:cs="宋体"/>
                <w:color w:val="auto"/>
                <w:sz w:val="24"/>
                <w:highlight w:val="none"/>
              </w:rPr>
              <w:t xml:space="preserve">购活动，中标后不得转包或者分包。</w:t>
            </w:r>
            <w:r/>
          </w:p>
          <w:p>
            <w:pPr>
              <w:pStyle w:val="744"/>
              <w:ind w:left="560" w:hanging="560"/>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二、单位负责人为同一人或者存在直接控股、管理关系的不同供应商，不得参加同一合同项下的政府采购活动。</w:t>
            </w:r>
            <w:r/>
          </w:p>
          <w:p>
            <w:pPr>
              <w:pStyle w:val="744"/>
              <w:ind w:left="560" w:hanging="560"/>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三、为本采购项目提供整体设计、规范编制或者项目管理、监理、检测等服务的供应商，不得再参加本采购项目的采购活动。</w:t>
            </w:r>
            <w:r/>
          </w:p>
          <w:p>
            <w:pPr>
              <w:pStyle w:val="744"/>
              <w:ind w:left="560" w:hanging="560"/>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四、查询及使用供应商信用记录：</w:t>
            </w:r>
            <w:r/>
          </w:p>
          <w:p>
            <w:pPr>
              <w:pStyle w:val="744"/>
              <w:ind w:firstLine="420"/>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pStyle w:val="744"/>
              <w:ind w:firstLine="420"/>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(二)查询渠道包括：</w:t>
            </w:r>
            <w:r/>
          </w:p>
          <w:p>
            <w:pPr>
              <w:pStyle w:val="744"/>
              <w:ind w:firstLine="700"/>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1.“信用中国”网（</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"http://www.creditchina.gov.cn/"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44"/>
              <w:ind w:firstLine="700"/>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2.中国政府采购网（</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"http://www.ccgp.gov.cn/"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44"/>
              <w:ind w:firstLine="700"/>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3.“诚信江苏”网（www.jiangsu.gov.cn/jsxy/index.htm）</w:t>
            </w:r>
            <w:r/>
          </w:p>
          <w:p>
            <w:pPr>
              <w:pStyle w:val="744"/>
              <w:ind w:firstLine="700"/>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或“信用江苏”网（http://credit.jiangsu.gov.cn/）；</w:t>
            </w:r>
            <w:r/>
          </w:p>
          <w:p>
            <w:pPr>
              <w:pStyle w:val="744"/>
              <w:ind w:firstLine="700"/>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4.“信用中国（江苏徐州）”网</w:t>
            </w:r>
            <w:r/>
          </w:p>
          <w:p>
            <w:pPr>
              <w:pStyle w:val="744"/>
              <w:ind w:firstLine="700"/>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Fonts w:hint="eastAsia" w:ascii="宋体" w:hAnsi="宋体" w:cs="宋体"/>
                <w:color w:val="auto"/>
                <w:sz w:val="24"/>
                <w:highlight w:val="none"/>
              </w:rPr>
              <w:t xml:space="preserve">http://www.xuzhoucredit.gov.cn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44"/>
              <w:ind w:firstLine="420"/>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(三)截止时点（查询环节）：开标后资格审查结束前。</w:t>
            </w:r>
            <w:r/>
          </w:p>
          <w:p>
            <w:pPr>
              <w:pStyle w:val="744"/>
              <w:ind w:left="980" w:hanging="560"/>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(四)信用信息查询记录和证据留存的具体方式：网页截屏打印，与其他采购文件一并保存。</w:t>
            </w:r>
            <w:r/>
          </w:p>
          <w:p>
            <w:pPr>
              <w:pStyle w:val="744"/>
              <w:ind w:firstLine="420"/>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pStyle w:val="744"/>
              <w:ind w:left="899"/>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(七)</w:t>
            </w:r>
            <w:r/>
          </w:p>
        </w:tc>
        <w:tc>
          <w:tcPr>
            <w:tcW w:w="8771" w:type="dxa"/>
            <w:vAlign w:val="top"/>
            <w:textDirection w:val="lrTb"/>
            <w:noWrap w:val="false"/>
          </w:tcPr>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中标单位应在领取成交通知书前，一次性向采购代理机构足额支付招标代理服务费。此项费用含在投标报价中，投标人编制投标文件时考虑到投标报价中，采购人不再另行支付。收费标准见本章附件:《招标代理服务收费标准》。</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二</w:t>
            </w:r>
            <w:r/>
          </w:p>
        </w:tc>
        <w:tc>
          <w:tcPr>
            <w:tcW w:w="8771" w:type="dxa"/>
            <w:vAlign w:val="top"/>
            <w:textDirection w:val="lrTb"/>
            <w:noWrap w:val="false"/>
          </w:tcPr>
          <w:p>
            <w:pPr>
              <w:pStyle w:val="744"/>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招标</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(九)1</w:t>
            </w:r>
            <w:r/>
          </w:p>
        </w:tc>
        <w:tc>
          <w:tcPr>
            <w:tcW w:w="8771" w:type="dxa"/>
            <w:vAlign w:val="top"/>
            <w:textDirection w:val="lrTb"/>
            <w:noWrap w:val="false"/>
          </w:tcPr>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(九)2</w:t>
            </w:r>
            <w:r/>
          </w:p>
        </w:tc>
        <w:tc>
          <w:tcPr>
            <w:tcW w:w="8771" w:type="dxa"/>
            <w:vAlign w:val="top"/>
            <w:textDirection w:val="lrTb"/>
            <w:noWrap w:val="false"/>
          </w:tcPr>
          <w:p>
            <w:pPr>
              <w:pStyle w:val="744"/>
              <w:spacing w:line="520" w:lineRule="exact"/>
              <w:shd w:val="clear" w:color="auto" w:fill="auto"/>
              <w:tabs>
                <w:tab w:val="left" w:pos="5760" w:leader="none"/>
              </w:tabs>
              <w:rPr>
                <w:rFonts w:ascii="宋体" w:hAnsi="宋体" w:cs="宋体"/>
                <w:color w:val="000000"/>
                <w:sz w:val="24"/>
                <w:highlight w:val="none"/>
              </w:rPr>
            </w:pPr>
            <w:r>
              <w:rPr>
                <w:rFonts w:hint="eastAsia" w:ascii="宋体" w:hAnsi="宋体" w:cs="宋体"/>
                <w:color w:val="000000"/>
                <w:sz w:val="24"/>
                <w:highlight w:val="none"/>
              </w:rPr>
              <w:t xml:space="preserve">不安排现场考察。</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(九)3</w:t>
            </w:r>
            <w:r/>
          </w:p>
        </w:tc>
        <w:tc>
          <w:tcPr>
            <w:tcW w:w="8771" w:type="dxa"/>
            <w:vAlign w:val="top"/>
            <w:textDirection w:val="lrTb"/>
            <w:noWrap w:val="false"/>
          </w:tcPr>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不安排开标前答疑会。</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三</w:t>
            </w:r>
            <w:r/>
          </w:p>
        </w:tc>
        <w:tc>
          <w:tcPr>
            <w:tcW w:w="8771" w:type="dxa"/>
            <w:vAlign w:val="top"/>
            <w:textDirection w:val="lrTb"/>
            <w:noWrap w:val="false"/>
          </w:tcPr>
          <w:p>
            <w:pPr>
              <w:pStyle w:val="744"/>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投标</w:t>
            </w:r>
            <w:r/>
          </w:p>
        </w:tc>
      </w:tr>
      <w:tr>
        <w:trPr>
          <w:trHeight w:val="482"/>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(十一)</w:t>
            </w:r>
            <w:r/>
          </w:p>
        </w:tc>
        <w:tc>
          <w:tcPr>
            <w:tcW w:w="8771" w:type="dxa"/>
            <w:vAlign w:val="top"/>
            <w:textDirection w:val="lrTb"/>
            <w:noWrap w:val="false"/>
          </w:tcPr>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投标文件的语言为中文</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(十二)</w:t>
            </w:r>
            <w:r/>
          </w:p>
        </w:tc>
        <w:tc>
          <w:tcPr>
            <w:tcW w:w="8771" w:type="dxa"/>
            <w:vAlign w:val="top"/>
            <w:textDirection w:val="lrTb"/>
            <w:noWrap w:val="false"/>
          </w:tcPr>
          <w:p>
            <w:pPr>
              <w:pStyle w:val="744"/>
              <w:spacing w:line="360" w:lineRule="auto"/>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投标人须用政府采购客户端工具导入“苏采云”系统下载的采购文件（后缀名为“.kedt”）后，离线编制投标文件。采购文件（后缀名为“.kedt”）、供应商操作手册及政府采购客户端工具可通过“苏采云”系统（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"http://jszfcg.jsczt.cn/" \o "http://jszfcg.jsczt.cn/" </w:instrText>
            </w:r>
            <w:r>
              <w:rPr>
                <w:rFonts w:hint="eastAsia" w:ascii="宋体" w:hAnsi="宋体" w:cs="宋体"/>
                <w:color w:val="000000"/>
                <w:sz w:val="24"/>
                <w:highlight w:val="none"/>
              </w:rPr>
              <w:fldChar w:fldCharType="separate"/>
            </w:r>
            <w:r>
              <w:rPr>
                <w:rFonts w:hint="eastAsia" w:ascii="宋体" w:hAnsi="宋体" w:cs="宋体"/>
                <w:bCs/>
                <w:color w:val="000000"/>
                <w:sz w:val="24"/>
                <w:highlight w:val="none"/>
              </w:rPr>
              <w:t xml:space="preserve">http://jszfcg.jsczt.cn/</w:t>
            </w:r>
            <w:r>
              <w:rPr>
                <w:rFonts w:hint="eastAsia" w:ascii="宋体" w:hAnsi="宋体" w:cs="宋体"/>
                <w:bCs/>
                <w:color w:val="000000"/>
                <w:sz w:val="24"/>
                <w:highlight w:val="none"/>
              </w:rPr>
              <w:fldChar w:fldCharType="end"/>
            </w:r>
            <w:r>
              <w:rPr>
                <w:rFonts w:hint="eastAsia" w:ascii="宋体" w:hAnsi="宋体" w:cs="宋体"/>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44"/>
              <w:jc w:val="left"/>
              <w:spacing w:line="520" w:lineRule="exact"/>
              <w:shd w:val="clear" w:color="auto" w:fill="auto"/>
              <w:rPr>
                <w:rFonts w:ascii="宋体" w:hAnsi="宋体" w:cs="宋体"/>
                <w:bCs/>
                <w:color w:val="000000"/>
                <w:sz w:val="24"/>
                <w:highlight w:val="none"/>
              </w:rPr>
            </w:pPr>
            <w:r>
              <w:rPr>
                <w:rFonts w:hint="eastAsia" w:ascii="宋体" w:hAnsi="宋体" w:cs="宋体"/>
                <w:b/>
                <w:bCs/>
                <w:color w:val="000000"/>
                <w:sz w:val="24"/>
                <w:highlight w:val="none"/>
              </w:rPr>
              <w:t xml:space="preserve">特别说明：政府采购客户端工具需要导出加密的投标文件（后缀名为zip）。投标文件不得超过350M！</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(十二)1</w:t>
            </w:r>
            <w:r/>
          </w:p>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(十二)2</w:t>
            </w:r>
            <w:r/>
          </w:p>
        </w:tc>
        <w:tc>
          <w:tcPr>
            <w:tcW w:w="8771" w:type="dxa"/>
            <w:vAlign w:val="top"/>
            <w:textDirection w:val="lrTb"/>
            <w:noWrap w:val="false"/>
          </w:tcPr>
          <w:p>
            <w:pPr>
              <w:pStyle w:val="744"/>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线上投标文件编制要求：</w:t>
            </w:r>
            <w:r/>
          </w:p>
          <w:p>
            <w:pPr>
              <w:pStyle w:val="744"/>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请按照以下要求（包括但不限于以下要求）制作：</w:t>
            </w:r>
            <w:r/>
          </w:p>
          <w:p>
            <w:pPr>
              <w:pStyle w:val="744"/>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一、基本目录</w:t>
            </w:r>
            <w:r/>
          </w:p>
          <w:p>
            <w:pPr>
              <w:pStyle w:val="744"/>
              <w:ind w:firstLine="602"/>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1.《开标一览表》（加盖电子签章，政府采购客户端工具输入报价自动生成）；</w:t>
            </w:r>
            <w:r/>
          </w:p>
          <w:p>
            <w:pPr>
              <w:pStyle w:val="744"/>
              <w:ind w:firstLine="602"/>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2.《授权委托书》（加盖电子签章，格式见招标文件第七章《投标文件相关格式》）；</w:t>
            </w:r>
            <w:r/>
          </w:p>
          <w:p>
            <w:pPr>
              <w:pStyle w:val="744"/>
              <w:ind w:firstLine="602"/>
              <w:spacing w:line="360" w:lineRule="auto"/>
              <w:shd w:val="clear" w:color="auto"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3.所投产品的环境标志产品认证证书原件的扫描件（如有）。</w:t>
            </w:r>
            <w:r/>
          </w:p>
          <w:p>
            <w:pPr>
              <w:pStyle w:val="744"/>
              <w:spacing w:line="360" w:lineRule="auto"/>
              <w:shd w:val="clear" w:color="auto"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w:t>
            </w:r>
            <w:r/>
          </w:p>
          <w:p>
            <w:pPr>
              <w:pStyle w:val="744"/>
              <w:ind w:firstLine="602"/>
              <w:spacing w:line="360" w:lineRule="auto"/>
              <w:shd w:val="clear" w:color="auto"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44"/>
              <w:ind w:firstLine="602"/>
              <w:spacing w:line="360" w:lineRule="auto"/>
              <w:shd w:val="clear" w:color="auto"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（2）环境标志产品认证证书是否符合要求，采购人评标时查询中国政府采购网（www.ccgp.gov.cn）相关内容后确定。</w:t>
            </w:r>
            <w:r/>
          </w:p>
          <w:p>
            <w:pPr>
              <w:pStyle w:val="744"/>
              <w:ind w:firstLine="602"/>
              <w:spacing w:line="360" w:lineRule="auto"/>
              <w:shd w:val="clear" w:color="auto"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4.所投产品的节能产品认证证书原件的扫描件（如有）。</w:t>
            </w:r>
            <w:r/>
          </w:p>
          <w:p>
            <w:pPr>
              <w:pStyle w:val="744"/>
              <w:ind w:firstLine="602"/>
              <w:spacing w:line="360" w:lineRule="auto"/>
              <w:shd w:val="clear" w:color="auto"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w:t>
            </w:r>
            <w:r/>
          </w:p>
          <w:p>
            <w:pPr>
              <w:pStyle w:val="744"/>
              <w:ind w:firstLine="602"/>
              <w:spacing w:line="360" w:lineRule="auto"/>
              <w:shd w:val="clear" w:color="auto"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44"/>
              <w:ind w:firstLine="602"/>
              <w:spacing w:line="360" w:lineRule="auto"/>
              <w:shd w:val="clear" w:color="auto"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（2）节能产品认证证书是否符合要求，采购人评标时查询中国政府采购网（www.ccgp.gov.cn）相关内容后确定。</w:t>
            </w:r>
            <w:r/>
          </w:p>
          <w:p>
            <w:pPr>
              <w:pStyle w:val="744"/>
              <w:spacing w:line="360" w:lineRule="auto"/>
              <w:shd w:val="clear" w:color="auto" w:fill="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二、资格条件（1-</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必须提供，否则投标无效）</w:t>
            </w:r>
            <w:r/>
          </w:p>
          <w:p>
            <w:pPr>
              <w:pStyle w:val="744"/>
              <w:ind w:firstLine="602"/>
              <w:spacing w:line="360" w:lineRule="auto"/>
              <w:shd w:val="clear" w:color="auto" w:fill="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合法有效的法人或者其他组织的营业执照原件扫描件，或事业单位法人证书原件扫描件，或民办非企业单位登记证书原件扫描件。（以分公司投标的供应商，应在响应文件中提供总公司的授权书及总公司或者分公司营业执照等证明材料）</w:t>
            </w:r>
            <w:r/>
          </w:p>
          <w:p>
            <w:pPr>
              <w:pStyle w:val="744"/>
              <w:ind w:firstLine="602"/>
              <w:spacing w:line="360" w:lineRule="auto"/>
              <w:shd w:val="clear" w:color="auto" w:fill="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（2）财务状况报告（即提供投标人的本项目开标时间</w:t>
            </w:r>
            <w:r>
              <w:rPr>
                <w:rFonts w:hint="eastAsia" w:ascii="宋体" w:hAnsi="宋体" w:eastAsia="宋体" w:cs="宋体"/>
                <w:b/>
                <w:bCs/>
                <w:color w:val="000000"/>
                <w:sz w:val="24"/>
                <w:highlight w:val="none"/>
              </w:rPr>
              <w:t xml:space="preserve">（不含开标当月）</w:t>
            </w:r>
            <w:r>
              <w:rPr>
                <w:rFonts w:hint="eastAsia" w:ascii="宋体" w:hAnsi="宋体" w:cs="宋体"/>
                <w:b/>
                <w:bCs/>
                <w:color w:val="000000"/>
                <w:sz w:val="24"/>
                <w:highlight w:val="none"/>
              </w:rPr>
              <w:t xml:space="preserve">前6个月内任何时间的资产负债表、利润表各一份或</w:t>
            </w:r>
            <w:r>
              <w:rPr>
                <w:rFonts w:hint="eastAsia" w:ascii="宋体" w:hAnsi="宋体" w:cs="宋体"/>
                <w:b/>
                <w:color w:val="000000"/>
                <w:sz w:val="24"/>
                <w:highlight w:val="none"/>
              </w:rPr>
              <w:t xml:space="preserve">合法有效的经第三方机构审计的上年度的年度财务审计报告（应包括审计报告正文、资产负债表、现金流量表、利润表）</w:t>
            </w:r>
            <w:r>
              <w:rPr>
                <w:rFonts w:hint="eastAsia" w:ascii="宋体" w:hAnsi="宋体" w:cs="宋体"/>
                <w:b/>
                <w:bCs/>
                <w:color w:val="000000"/>
                <w:sz w:val="24"/>
                <w:highlight w:val="none"/>
              </w:rPr>
              <w:t xml:space="preserve">或投标人的本项目开标时间</w:t>
            </w:r>
            <w:r>
              <w:rPr>
                <w:rFonts w:hint="eastAsia" w:ascii="宋体" w:hAnsi="宋体" w:eastAsia="宋体" w:cs="宋体"/>
                <w:b/>
                <w:bCs/>
                <w:color w:val="000000"/>
                <w:sz w:val="24"/>
                <w:highlight w:val="none"/>
              </w:rPr>
              <w:t xml:space="preserve">（不含开标当月）</w:t>
            </w:r>
            <w:r>
              <w:rPr>
                <w:rFonts w:hint="eastAsia" w:ascii="宋体" w:hAnsi="宋体" w:cs="宋体"/>
                <w:b/>
                <w:bCs/>
                <w:color w:val="000000"/>
                <w:sz w:val="24"/>
                <w:highlight w:val="none"/>
              </w:rPr>
              <w:t xml:space="preserve">前6个月内银行出具的资信证明扫描件）；</w:t>
            </w:r>
            <w:r/>
          </w:p>
          <w:p>
            <w:pPr>
              <w:pStyle w:val="744"/>
              <w:ind w:firstLine="602"/>
              <w:spacing w:line="360" w:lineRule="auto"/>
              <w:shd w:val="clear" w:color="auto" w:fill="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（3）投标人的本项目开标时间</w:t>
            </w:r>
            <w:r>
              <w:rPr>
                <w:rFonts w:hint="eastAsia" w:ascii="宋体" w:hAnsi="宋体" w:eastAsia="宋体" w:cs="宋体"/>
                <w:b/>
                <w:bCs/>
                <w:color w:val="000000"/>
                <w:sz w:val="24"/>
                <w:highlight w:val="none"/>
              </w:rPr>
              <w:t xml:space="preserve">（不含开标当月）</w:t>
            </w:r>
            <w:r>
              <w:rPr>
                <w:rFonts w:hint="eastAsia" w:ascii="宋体" w:hAnsi="宋体" w:cs="宋体"/>
                <w:b/>
                <w:bCs/>
                <w:color w:val="000000"/>
                <w:sz w:val="24"/>
                <w:highlight w:val="none"/>
              </w:rPr>
              <w:t xml:space="preserve">前6个月内任何1个月的依法缴纳税收和社会保障资金的相关材料扫描件（依法免税或不需要缴纳社会保障资金的投标人,提供相应文件证明其依法免税或不需要缴纳社会保障资金)；</w:t>
            </w:r>
            <w:r/>
          </w:p>
          <w:p>
            <w:pPr>
              <w:pStyle w:val="744"/>
              <w:ind w:firstLine="602"/>
              <w:spacing w:line="360" w:lineRule="auto"/>
              <w:shd w:val="clear" w:color="auto" w:fill="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（4）具</w:t>
            </w:r>
            <w:r>
              <w:rPr>
                <w:rFonts w:hint="eastAsia" w:ascii="宋体" w:hAnsi="宋体" w:cs="宋体"/>
                <w:b/>
                <w:bCs/>
                <w:color w:val="auto"/>
                <w:sz w:val="24"/>
                <w:highlight w:val="none"/>
              </w:rPr>
              <w:t xml:space="preserve">备履行合同所必需的设备和专业技术能力的证明材料扫描件（即</w:t>
            </w:r>
            <w:r>
              <w:rPr>
                <w:rFonts w:hint="eastAsia" w:ascii="宋体" w:hAnsi="宋体" w:cs="宋体"/>
                <w:b/>
                <w:bCs/>
                <w:color w:val="auto"/>
                <w:sz w:val="24"/>
                <w:highlight w:val="none"/>
                <w:lang w:val="en-US" w:eastAsia="zh-CN"/>
              </w:rPr>
              <w:t xml:space="preserve">提供</w:t>
            </w:r>
            <w:r>
              <w:rPr>
                <w:rFonts w:hint="eastAsia" w:ascii="仿宋" w:hAnsi="仿宋" w:eastAsia="仿宋" w:cs="仿宋"/>
                <w:color w:val="auto"/>
                <w:sz w:val="24"/>
                <w:highlight w:val="none"/>
              </w:rPr>
              <w:t xml:space="preserve">《</w:t>
            </w:r>
            <w:bookmarkStart w:id="4" w:name="_Toc515551102"/>
            <w:r>
              <w:rPr>
                <w:rFonts w:hint="eastAsia" w:ascii="宋体" w:hAnsi="宋体" w:cs="宋体"/>
                <w:b/>
                <w:bCs/>
                <w:color w:val="auto"/>
                <w:sz w:val="24"/>
                <w:highlight w:val="none"/>
              </w:rPr>
              <w:t xml:space="preserve">具备履行合同所必需的设备和专业技术能力的书面声明</w:t>
            </w:r>
            <w:bookmarkEnd w:id="4"/>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及</w:t>
            </w:r>
            <w:r>
              <w:rPr>
                <w:rFonts w:hint="eastAsia" w:ascii="宋体" w:hAnsi="宋体" w:cs="宋体"/>
                <w:b/>
                <w:bCs/>
                <w:color w:val="auto"/>
                <w:sz w:val="24"/>
                <w:highlight w:val="none"/>
              </w:rPr>
              <w:t xml:space="preserve">投标人至少</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名为本项目服务的技术人员劳务合同及社保部门出具的供应商为其缴纳的</w:t>
            </w:r>
            <w:r>
              <w:rPr>
                <w:rFonts w:hint="eastAsia" w:ascii="宋体" w:hAnsi="宋体" w:cs="宋体"/>
                <w:b/>
                <w:bCs/>
                <w:color w:val="auto"/>
                <w:sz w:val="24"/>
                <w:highlight w:val="none"/>
                <w:lang w:val="en-US" w:eastAsia="zh-CN"/>
              </w:rPr>
              <w:t xml:space="preserve">开标前三个月</w:t>
            </w:r>
            <w:r>
              <w:rPr>
                <w:rFonts w:hint="eastAsia" w:ascii="宋体" w:hAnsi="宋体" w:cs="宋体"/>
                <w:b/>
                <w:bCs/>
                <w:color w:val="auto"/>
                <w:sz w:val="24"/>
                <w:highlight w:val="none"/>
              </w:rPr>
              <w:t xml:space="preserve">社会保险证明扫描件</w:t>
            </w:r>
            <w:r>
              <w:rPr>
                <w:rFonts w:hint="eastAsia" w:ascii="宋体" w:hAnsi="宋体" w:eastAsia="宋体" w:cs="宋体"/>
                <w:b/>
                <w:bCs/>
                <w:color w:val="auto"/>
                <w:sz w:val="24"/>
                <w:highlight w:val="none"/>
              </w:rPr>
              <w:t xml:space="preserve">（不含开标当月）</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加盖电子签章，格式见招标文件第七章《投标文件相关格式》。）</w:t>
            </w:r>
            <w:r/>
          </w:p>
          <w:p>
            <w:pPr>
              <w:pStyle w:val="744"/>
              <w:ind w:firstLine="602"/>
              <w:spacing w:line="360" w:lineRule="auto"/>
              <w:shd w:val="clear" w:color="auto" w:fill="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（5）投标人参加政府采购活动前3年内在经营活动中没有重大违法记录的书面声明(加盖电子签章，格式见《</w:t>
            </w:r>
            <w:r>
              <w:rPr>
                <w:rFonts w:hint="eastAsia" w:ascii="宋体" w:hAnsi="宋体" w:cs="宋体"/>
                <w:b/>
                <w:bCs/>
                <w:color w:val="000000"/>
                <w:sz w:val="24"/>
                <w:highlight w:val="none"/>
              </w:rPr>
              <w:t xml:space="preserve">招标文件》附件)；</w:t>
            </w:r>
            <w:r/>
          </w:p>
          <w:p>
            <w:pPr>
              <w:pStyle w:val="744"/>
              <w:ind w:firstLine="602"/>
              <w:spacing w:line="360" w:lineRule="auto"/>
              <w:shd w:val="clear" w:color="auto" w:fill="auto"/>
              <w:rPr>
                <w:rFonts w:hint="eastAsia" w:ascii="宋体" w:hAnsi="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）投标人信用信息（要求见本章条款项号“(六)”中“四、”内容）</w:t>
            </w:r>
            <w:r>
              <w:rPr>
                <w:rFonts w:hint="eastAsia" w:ascii="宋体" w:hAnsi="宋体" w:cs="宋体"/>
                <w:b/>
                <w:bCs/>
                <w:color w:val="000000"/>
                <w:sz w:val="24"/>
                <w:highlight w:val="none"/>
                <w:lang w:eastAsia="zh-CN"/>
              </w:rPr>
              <w:t xml:space="preserve">。</w:t>
            </w:r>
            <w:r/>
          </w:p>
          <w:p>
            <w:pPr>
              <w:pStyle w:val="744"/>
              <w:spacing w:line="360" w:lineRule="auto"/>
              <w:shd w:val="clear" w:color="auto" w:fill="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三、符合条件（必须提供，否则投标无效）</w:t>
            </w:r>
            <w:r/>
          </w:p>
          <w:p>
            <w:pPr>
              <w:pStyle w:val="744"/>
              <w:spacing w:line="360" w:lineRule="auto"/>
              <w:shd w:val="clear" w:color="auto" w:fill="auto"/>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（一）报价</w:t>
            </w:r>
            <w:r/>
          </w:p>
          <w:p>
            <w:pPr>
              <w:pStyle w:val="744"/>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1.《分项价格表》（加盖电子签章，格式见招标文件第七章《投标文件相关格式》。）</w:t>
            </w:r>
            <w:r/>
          </w:p>
          <w:p>
            <w:pPr>
              <w:pStyle w:val="744"/>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（二）商务资信</w:t>
            </w:r>
            <w:r/>
          </w:p>
          <w:p>
            <w:pPr>
              <w:pStyle w:val="744"/>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1.《投标函》（加盖电子签章，格式见招标文件第七章《投标文件相关格式》。）</w:t>
            </w:r>
            <w:r/>
          </w:p>
          <w:p>
            <w:pPr>
              <w:pStyle w:val="744"/>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2.《授权委托书》（加盖电子签章，格式见招标文件第七章《投标文件相关格式》）；</w:t>
            </w:r>
            <w:r/>
          </w:p>
          <w:p>
            <w:pPr>
              <w:pStyle w:val="744"/>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（三）技术响应</w:t>
            </w:r>
            <w:r/>
          </w:p>
          <w:p>
            <w:pPr>
              <w:pStyle w:val="744"/>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1.《偏离表》（加盖电子签章，格式见招标文件第七章《投标文件相关格式》。）</w:t>
            </w:r>
            <w:r/>
          </w:p>
          <w:p>
            <w:pPr>
              <w:pStyle w:val="744"/>
              <w:spacing w:line="360" w:lineRule="auto"/>
              <w:shd w:val="clear" w:color="auto" w:fill="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四、综合评审评分项</w:t>
            </w:r>
            <w:r/>
          </w:p>
          <w:p>
            <w:pPr>
              <w:pStyle w:val="826"/>
              <w:ind w:left="0" w:right="0"/>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（一）商务部分</w:t>
            </w:r>
            <w:r/>
          </w:p>
          <w:p>
            <w:pPr>
              <w:pStyle w:val="744"/>
              <w:spacing w:line="360" w:lineRule="auto"/>
              <w:shd w:val="clear" w:color="auto"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1.业绩（要求见招标文件第四章《评分标准》中《评分细则》）</w:t>
            </w:r>
            <w:r/>
          </w:p>
          <w:p>
            <w:pPr>
              <w:pStyle w:val="744"/>
              <w:spacing w:line="360" w:lineRule="auto"/>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2.投标人评价（要求见招标文件第四章《评分标准》中《评分细则》）</w:t>
            </w:r>
            <w:r/>
          </w:p>
          <w:p>
            <w:pPr>
              <w:pStyle w:val="744"/>
              <w:spacing w:line="360" w:lineRule="auto"/>
              <w:shd w:val="clear" w:color="auto"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（二）技术部分</w:t>
            </w:r>
            <w:r/>
          </w:p>
          <w:p>
            <w:pPr>
              <w:pStyle w:val="744"/>
              <w:spacing w:line="360" w:lineRule="auto"/>
              <w:shd w:val="clear" w:color="auto"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1、所投产品的具体技术规格（要求见招标文件第六章《采购需求》和第四章《评分标准》中《评分细则》）；</w:t>
            </w:r>
            <w:r/>
          </w:p>
          <w:p>
            <w:pPr>
              <w:pStyle w:val="744"/>
              <w:spacing w:line="360" w:lineRule="auto"/>
              <w:shd w:val="clear" w:color="auto"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2、项目设计方案（要求见招标文件第六章《采购需求》和第四章《评分标准》中《评分细则》）；</w:t>
            </w:r>
            <w:r/>
          </w:p>
          <w:p>
            <w:pPr>
              <w:pStyle w:val="744"/>
              <w:spacing w:line="360" w:lineRule="auto"/>
              <w:shd w:val="clear" w:color="auto"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项目实施方案（要求见招标文件第四章《评分标准》中《评分细则》）</w:t>
            </w:r>
            <w:r/>
          </w:p>
          <w:p>
            <w:pPr>
              <w:pStyle w:val="744"/>
              <w:spacing w:line="360" w:lineRule="auto"/>
              <w:shd w:val="clear" w:color="auto"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.售后服务方案（要求见招标文件第六章《采购需求》和第四章《评分标准》中《评分细则》）；</w:t>
            </w:r>
            <w:r/>
          </w:p>
          <w:p>
            <w:pPr>
              <w:pStyle w:val="744"/>
              <w:spacing w:line="360" w:lineRule="auto"/>
              <w:shd w:val="clear" w:color="auto"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.人员培训方案（要求见招标文件第六章《采购需求》和第四章《评分标准》中《评分细则》）</w:t>
            </w:r>
            <w:r/>
          </w:p>
          <w:p>
            <w:pPr>
              <w:pStyle w:val="744"/>
              <w:spacing w:line="360" w:lineRule="auto"/>
              <w:shd w:val="clear" w:color="auto"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.招标文件中要求提交的和投标人认为需要提供的其它说明和资料。</w:t>
            </w:r>
            <w:r/>
          </w:p>
          <w:p>
            <w:pPr>
              <w:pStyle w:val="744"/>
              <w:spacing w:line="360" w:lineRule="auto"/>
              <w:shd w:val="clear" w:color="auto"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五、其他部分</w:t>
            </w:r>
            <w:r/>
          </w:p>
          <w:p>
            <w:pPr>
              <w:pStyle w:val="744"/>
              <w:spacing w:line="360" w:lineRule="auto"/>
              <w:shd w:val="clear" w:color="auto"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（一）投标人《关于符合本国产品标准的声明函》（填写完整，加盖公章，格式见招标文件第七章《投标文件相关格式》）（请填写完整，如不填写完整或未按要求填写的，视为非本国产品）。</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1、本国产品应当符合以下条件：</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（一）在中国境内生产</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产品应当在中国境内生产，即在中华人民共和国关境内实现从原材料、组件到产品的属性改变。</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属性改变是指经过制造、加工或者组装等工序，产生完全不同于原材料、组件的新产品，并具有新的名称和特征（用途）。属性改变不包括以下细微操作：</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1.为确保产品在运输或者储存期间保持某种状态而进行的操作；</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2.为产品运输或者销售进行的包装或者展示；</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3.在产品或者其包装上粘贴或者印刷品牌、标志、标识以及其他用于区别的标记；</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4.简单的上漆、磨光和分装；</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5.其他不属于属性改变的情形。</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（二）在中国境内生产的组件成本占比达到规定比例</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产品在中国境内生产的组件成本占比应当达到规定比例，计算公式为：</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3467100" cy="523240"/>
                      <wp:effectExtent l="0" t="0" r="0" b="10160"/>
                      <wp:docPr id="1"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3"/>
                              <a:stretch/>
                            </pic:blipFill>
                            <pic:spPr bwMode="auto">
                              <a:xfrm>
                                <a:off x="0" y="0"/>
                                <a:ext cx="3467100" cy="523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3.0pt;height:41.2pt;mso-wrap-distance-left:0.0pt;mso-wrap-distance-top:0.0pt;mso-wrap-distance-right:0.0pt;mso-wrap-distance-bottom:0.0pt;" stroked="f">
                      <v:path textboxrect="0,0,0,0"/>
                      <v:imagedata r:id="rId13" o:title=""/>
                    </v:shape>
                  </w:pict>
                </mc:Fallback>
              </mc:AlternateConten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（三）特定产品的关键组件、关键工序符合相关要求</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2、本国产品标准的适用范围</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3、对本国产品的支持政策</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744"/>
              <w:spacing w:line="360" w:lineRule="auto"/>
              <w:shd w:val="clear" w:color="auto"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44"/>
              <w:spacing w:line="360" w:lineRule="auto"/>
              <w:shd w:val="clear" w:color="auto"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具体以《国务院办公厅关于在政府采购中实施本国产品标准及相关政策的通知》（国办发〔2025〕34号）规定为准。</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注：中国境内生产的组件成本核算基本规则</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一、产品的一级组件是指直接组成产品的组件。产品的二级组件是指直接组成产品一级组件的组件。一级组件不可分解的，视同二级组件。</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二、二级组件在中国境内生产的，其全部成本计入中国境内生产的组件成本；二级组件不在中国境内生产的，其成本不计入中国境内生产的组件成本。</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三、产品总成本和组件成本以相关会计核算数据、采购合同、进货记录等为基础进行计算。</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四、需要对成本核算规则予以进一步明确的其他有关事项，由财政部会同有关部门另行规定。</w:t>
            </w:r>
            <w:r/>
          </w:p>
          <w:p>
            <w:pPr>
              <w:pStyle w:val="744"/>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六</w:t>
            </w:r>
            <w:r>
              <w:rPr>
                <w:rFonts w:hint="eastAsia" w:ascii="宋体" w:hAnsi="宋体" w:cs="宋体"/>
                <w:color w:val="000000"/>
                <w:sz w:val="24"/>
                <w:highlight w:val="none"/>
              </w:rPr>
              <w:t xml:space="preserve">、价格折扣文件格式：</w:t>
            </w:r>
            <w:r/>
          </w:p>
          <w:p>
            <w:pPr>
              <w:pStyle w:val="744"/>
              <w:spacing w:line="360" w:lineRule="auto"/>
              <w:shd w:val="clear" w:color="auto" w:fill="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企业报价折扣证明：</w:t>
            </w:r>
            <w:r/>
          </w:p>
          <w:p>
            <w:pPr>
              <w:pStyle w:val="744"/>
              <w:spacing w:line="360" w:lineRule="auto"/>
              <w:shd w:val="clear" w:color="auto" w:fill="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投标人提供的货物全部由符合政策要求的中小企业制造，提供《中小企业声明函》（加盖电子签章，格式见招标文件第七章《投标文件相关格式》）</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非必须提供，请填写完整</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。（如不填写完整或未按要求填写的，视为无效）《中小企业声明函》查询渠道用微信搜索“中小企业规模类型自测小程序”；</w:t>
            </w:r>
            <w:r/>
          </w:p>
          <w:p>
            <w:pPr>
              <w:pStyle w:val="744"/>
              <w:spacing w:line="360" w:lineRule="auto"/>
              <w:shd w:val="clear" w:color="auto" w:fill="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注：具体以《政府采购促进中小企业发展管理办法》（财库[2020]46号）和《关于印发中小企业划型标准规定的通知》（工信部联企业[2011]300号）的规定为准。</w:t>
            </w:r>
            <w:r/>
          </w:p>
          <w:p>
            <w:pPr>
              <w:pStyle w:val="744"/>
              <w:spacing w:line="360" w:lineRule="auto"/>
              <w:shd w:val="clear" w:color="auto" w:fill="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注：监狱企业和残疾人福利性单位等同于小微企业。</w:t>
            </w:r>
            <w:r/>
          </w:p>
          <w:p>
            <w:pPr>
              <w:pStyle w:val="744"/>
              <w:spacing w:line="360" w:lineRule="auto"/>
              <w:shd w:val="clear" w:color="auto" w:fill="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投标人为监狱企业的，提供省级以上监狱管理局、戒毒管理局（含新疆生产建设兵团）出具的属于监狱企业的证明文件原件的扫描件。</w:t>
            </w:r>
            <w:r/>
          </w:p>
          <w:p>
            <w:pPr>
              <w:pStyle w:val="744"/>
              <w:spacing w:line="360" w:lineRule="auto"/>
              <w:shd w:val="clear" w:color="auto" w:fill="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具体以《财政部 司法部关于政府采购支持监狱企业发展有关问题的通知》（财库〔2014〕68号）的规定为准。</w:t>
            </w:r>
            <w:r/>
          </w:p>
          <w:p>
            <w:pPr>
              <w:pStyle w:val="744"/>
              <w:spacing w:line="360" w:lineRule="auto"/>
              <w:shd w:val="clear" w:color="auto" w:fill="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投标人为享受政府采购支持政策的残疾人福利性单位的，提供《残疾人福利性单位声明函》（加盖电子签章，格式见招标文件第七章《投标文件相关格式》）。</w:t>
            </w:r>
            <w:r/>
          </w:p>
          <w:p>
            <w:pPr>
              <w:pStyle w:val="744"/>
              <w:spacing w:line="360" w:lineRule="auto"/>
              <w:shd w:val="clear" w:color="auto" w:fill="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享受政府采购支持政策的残疾人福利性单位应当同时满足以下条件：</w:t>
            </w:r>
            <w:r/>
          </w:p>
          <w:p>
            <w:pPr>
              <w:pStyle w:val="744"/>
              <w:spacing w:line="360" w:lineRule="auto"/>
              <w:shd w:val="clear" w:color="auto" w:fill="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①安置的残疾人占本单位在职职工人数的比例不低于25%（含25%），并且安置的残疾人人数不少于10人（含10人）；</w:t>
            </w:r>
            <w:r/>
          </w:p>
          <w:p>
            <w:pPr>
              <w:pStyle w:val="744"/>
              <w:spacing w:line="360" w:lineRule="auto"/>
              <w:shd w:val="clear" w:color="auto" w:fill="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②依法与安置的每位残疾人签订了一年以上（含一年）的劳动合同或服务协议；</w:t>
            </w:r>
            <w:r/>
          </w:p>
          <w:p>
            <w:pPr>
              <w:pStyle w:val="744"/>
              <w:spacing w:line="360" w:lineRule="auto"/>
              <w:shd w:val="clear" w:color="auto" w:fill="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③为安置的每位残疾人按月足额缴纳了基本养老保险、基本医疗保险、失业保险、工伤保险和生育保险等社会保险费；</w:t>
            </w:r>
            <w:r/>
          </w:p>
          <w:p>
            <w:pPr>
              <w:pStyle w:val="744"/>
              <w:spacing w:line="360" w:lineRule="auto"/>
              <w:shd w:val="clear" w:color="auto" w:fill="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④通过银行等金融机构向安置的每位残疾人，按月支付了不低于单位所在区县适用的经省级人民政府批准的月最低工资标准的工资；</w:t>
            </w:r>
            <w:r/>
          </w:p>
          <w:p>
            <w:pPr>
              <w:pStyle w:val="744"/>
              <w:spacing w:line="360" w:lineRule="auto"/>
              <w:shd w:val="clear" w:color="auto" w:fill="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⑤提供本单位制造的货物、承担的工程或者服务（以下简称产品），或者提供其他残疾人福利性单位制造的货物（不包括使用非残疾人福利性单位注册商标的货物）。</w:t>
            </w:r>
            <w:r/>
          </w:p>
          <w:p>
            <w:pPr>
              <w:pStyle w:val="744"/>
              <w:spacing w:line="360" w:lineRule="auto"/>
              <w:shd w:val="clear" w:color="auto" w:fill="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44"/>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具体以《三部门联合发布关于促进残疾人就业政府采购政策的通知》（财库〔2017〕141号）规定为准。</w:t>
            </w:r>
            <w:r/>
          </w:p>
          <w:p>
            <w:pPr>
              <w:pStyle w:val="744"/>
              <w:spacing w:line="360" w:lineRule="auto"/>
              <w:shd w:val="clear" w:color="auto" w:fill="auto"/>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 </w:t>
            </w:r>
            <w:r>
              <w:rPr>
                <w:rFonts w:hint="eastAsia" w:ascii="宋体" w:hAnsi="宋体" w:cs="宋体"/>
                <w:b/>
                <w:bCs/>
                <w:color w:val="000000"/>
                <w:sz w:val="24"/>
                <w:szCs w:val="24"/>
                <w:highlight w:val="none"/>
              </w:rPr>
              <w:t xml:space="preserve">注：</w:t>
            </w:r>
            <w:r/>
          </w:p>
          <w:p>
            <w:pPr>
              <w:pStyle w:val="744"/>
              <w:spacing w:line="360" w:lineRule="auto"/>
              <w:shd w:val="clear" w:color="auto" w:fill="auto"/>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1.投标人应对以上文件的合法性、真实性负责。</w:t>
            </w:r>
            <w:r/>
          </w:p>
          <w:p>
            <w:pPr>
              <w:pStyle w:val="744"/>
              <w:spacing w:line="360" w:lineRule="auto"/>
              <w:shd w:val="clear" w:color="auto" w:fill="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hint="eastAsia" w:ascii="宋体" w:hAnsi="宋体" w:cs="宋体"/>
                <w:b/>
                <w:bCs/>
                <w:color w:val="000000"/>
                <w:sz w:val="24"/>
                <w:szCs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(十三)2</w:t>
            </w:r>
            <w:r/>
          </w:p>
        </w:tc>
        <w:tc>
          <w:tcPr>
            <w:tcW w:w="8771" w:type="dxa"/>
            <w:vAlign w:val="top"/>
            <w:textDirection w:val="lrTb"/>
            <w:noWrap w:val="false"/>
          </w:tcPr>
          <w:p>
            <w:pPr>
              <w:pStyle w:val="744"/>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商务条件见：</w:t>
            </w:r>
            <w:r/>
          </w:p>
          <w:p>
            <w:pPr>
              <w:pStyle w:val="744"/>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一、本文件第四章《评标标准》中《评分细则》。</w:t>
            </w:r>
            <w:r/>
          </w:p>
          <w:p>
            <w:pPr>
              <w:pStyle w:val="744"/>
              <w:spacing w:line="520" w:lineRule="exact"/>
              <w:shd w:val="clear" w:color="auto" w:fill="auto"/>
              <w:rPr>
                <w:rFonts w:ascii="宋体" w:hAnsi="宋体" w:cs="宋体"/>
                <w:bCs/>
                <w:color w:val="000000"/>
                <w:sz w:val="24"/>
                <w:highlight w:val="none"/>
              </w:rPr>
            </w:pPr>
            <w:r>
              <w:rPr>
                <w:rFonts w:hint="eastAsia" w:ascii="宋体" w:hAnsi="宋体" w:cs="宋体"/>
                <w:color w:val="000000"/>
                <w:sz w:val="24"/>
                <w:highlight w:val="none"/>
              </w:rPr>
              <w:t xml:space="preserve">二、本文件第三章《投标资料表》中(十二)1和(十二)2。</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(十三)3</w:t>
            </w:r>
            <w:r/>
          </w:p>
        </w:tc>
        <w:tc>
          <w:tcPr>
            <w:tcW w:w="8771" w:type="dxa"/>
            <w:vAlign w:val="top"/>
            <w:textDirection w:val="lrTb"/>
            <w:noWrap w:val="false"/>
          </w:tcPr>
          <w:p>
            <w:pPr>
              <w:pStyle w:val="744"/>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交货和提供服务的时间：见本文件第五章《拟签订的合同文本》及或本文件第六章《采购需求》。</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(十四)3</w:t>
            </w:r>
            <w:r/>
          </w:p>
        </w:tc>
        <w:tc>
          <w:tcPr>
            <w:tcW w:w="8771" w:type="dxa"/>
            <w:vAlign w:val="top"/>
            <w:textDirection w:val="lrTb"/>
            <w:noWrap w:val="false"/>
          </w:tcPr>
          <w:p>
            <w:pPr>
              <w:pStyle w:val="744"/>
              <w:spacing w:line="360" w:lineRule="auto"/>
              <w:shd w:val="clear" w:color="auto" w:fill="auto"/>
              <w:rPr>
                <w:rFonts w:ascii="宋体" w:hAnsi="宋体" w:cs="宋体"/>
                <w:color w:val="000000"/>
                <w:sz w:val="24"/>
                <w:highlight w:val="none"/>
              </w:rPr>
            </w:pPr>
            <w:r>
              <w:rPr>
                <w:rFonts w:hint="eastAsia" w:ascii="宋体" w:hAnsi="宋体" w:eastAsia="宋体" w:cs="宋体"/>
                <w:b/>
                <w:bCs/>
                <w:color w:val="auto"/>
                <w:sz w:val="24"/>
                <w:highlight w:val="none"/>
              </w:rPr>
              <w:t xml:space="preserve">本项目不接受超过</w:t>
            </w:r>
            <w:r>
              <w:rPr>
                <w:rFonts w:hint="eastAsia" w:ascii="宋体" w:hAnsi="宋体" w:cs="宋体"/>
                <w:b/>
                <w:bCs/>
                <w:color w:val="auto"/>
                <w:sz w:val="24"/>
                <w:highlight w:val="none"/>
                <w:lang w:val="en-US" w:eastAsia="zh-CN"/>
              </w:rPr>
              <w:t xml:space="preserve"> </w:t>
            </w:r>
            <w:r>
              <w:rPr>
                <w:rFonts w:hint="eastAsia" w:ascii="宋体" w:hAnsi="宋体" w:eastAsia="宋体" w:cs="宋体"/>
                <w:b/>
                <w:bCs/>
                <w:color w:val="auto"/>
                <w:sz w:val="24"/>
                <w:highlight w:val="none"/>
                <w:u w:val="single"/>
              </w:rPr>
              <w:t xml:space="preserve">151.631917</w:t>
            </w:r>
            <w:r>
              <w:rPr>
                <w:rFonts w:hint="eastAsia" w:ascii="宋体" w:hAnsi="宋体" w:cs="宋体"/>
                <w:b/>
                <w:bCs/>
                <w:color w:val="auto"/>
                <w:sz w:val="24"/>
                <w:highlight w:val="none"/>
                <w:u w:val="single"/>
                <w:lang w:val="en-US" w:eastAsia="zh-CN"/>
              </w:rPr>
              <w:t xml:space="preserve">万</w:t>
            </w:r>
            <w:r>
              <w:rPr>
                <w:rFonts w:hint="eastAsia" w:ascii="宋体" w:hAnsi="宋体" w:eastAsia="宋体" w:cs="宋体"/>
                <w:b/>
                <w:bCs/>
                <w:color w:val="auto"/>
                <w:sz w:val="24"/>
                <w:highlight w:val="none"/>
              </w:rPr>
              <w:t xml:space="preserve">元</w:t>
            </w:r>
            <w:r>
              <w:rPr>
                <w:rFonts w:hint="eastAsia" w:ascii="宋体" w:hAnsi="宋体" w:eastAsia="宋体" w:cs="宋体"/>
                <w:b/>
                <w:bCs/>
                <w:color w:val="auto"/>
                <w:sz w:val="24"/>
                <w:highlight w:val="none"/>
                <w:lang w:val="en-US" w:eastAsia="zh-CN"/>
              </w:rPr>
              <w:t xml:space="preserve">（采购项目预算金额）</w:t>
            </w:r>
            <w:r>
              <w:rPr>
                <w:rFonts w:hint="eastAsia" w:ascii="宋体" w:hAnsi="宋体" w:eastAsia="宋体" w:cs="宋体"/>
                <w:bCs/>
                <w:color w:val="auto"/>
                <w:sz w:val="24"/>
                <w:highlight w:val="none"/>
              </w:rPr>
              <w:t xml:space="preserve">的投标报价。报价包括产品价、税金、运费、安装调试、检验、保险等全部费用。采购人不再支付报价以外的任何费用</w:t>
            </w:r>
            <w:r>
              <w:rPr>
                <w:rFonts w:hint="eastAsia" w:ascii="宋体" w:hAnsi="宋体" w:eastAsia="宋体" w:cs="宋体"/>
                <w:b/>
                <w:color w:val="auto"/>
                <w:sz w:val="24"/>
                <w:highlight w:val="none"/>
              </w:rPr>
              <w:t xml:space="preserve">。</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(十五)</w:t>
            </w:r>
            <w:r/>
          </w:p>
        </w:tc>
        <w:tc>
          <w:tcPr>
            <w:tcW w:w="8771" w:type="dxa"/>
            <w:vAlign w:val="top"/>
            <w:textDirection w:val="lrTb"/>
            <w:noWrap w:val="false"/>
          </w:tcPr>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以人民币报价。</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（十七）1（1）</w:t>
            </w:r>
            <w:r/>
          </w:p>
        </w:tc>
        <w:tc>
          <w:tcPr>
            <w:tcW w:w="8771" w:type="dxa"/>
            <w:vAlign w:val="top"/>
            <w:textDirection w:val="lrTb"/>
            <w:noWrap w:val="false"/>
          </w:tcPr>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要求：</w:t>
            </w:r>
            <w:r/>
          </w:p>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投标人应当通过“苏采云”系统提交数据电文形式的投标文件（即电子投标）。</w:t>
            </w:r>
            <w:r/>
          </w:p>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特别说明：通过“苏采云”系统提交政府采购客户端工具导出加密的投标文件（后缀名为zip）。投标文件不得超过350M！</w:t>
            </w:r>
            <w:r/>
          </w:p>
          <w:p>
            <w:pPr>
              <w:pStyle w:val="744"/>
              <w:spacing w:line="520" w:lineRule="exact"/>
              <w:shd w:val="clear" w:color="auto" w:fill="auto"/>
              <w:rPr>
                <w:rFonts w:ascii="宋体" w:hAnsi="宋体" w:cs="宋体"/>
                <w:b/>
                <w:bCs/>
                <w:color w:val="000000"/>
                <w:sz w:val="24"/>
                <w:highlight w:val="none"/>
              </w:rPr>
            </w:pPr>
            <w:r>
              <w:rPr>
                <w:rFonts w:hint="eastAsia" w:ascii="宋体" w:hAnsi="宋体" w:cs="宋体"/>
                <w:color w:val="000000"/>
                <w:sz w:val="24"/>
                <w:highlight w:val="none"/>
              </w:rPr>
              <w:t xml:space="preserve">说明：供应商投标文件从政府采购客户端工具制作通过“苏采云”系统提交，未提供线上投标文件的，投标无效。 </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(十八)</w:t>
            </w:r>
            <w:r/>
          </w:p>
        </w:tc>
        <w:tc>
          <w:tcPr>
            <w:tcW w:w="8771" w:type="dxa"/>
            <w:vAlign w:val="top"/>
            <w:textDirection w:val="lrTb"/>
            <w:noWrap w:val="false"/>
          </w:tcPr>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投标文件的密封、签署、盖章要求：</w:t>
            </w:r>
            <w:r/>
          </w:p>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一、投标文件的密封（加密）要求：</w:t>
            </w:r>
            <w:r/>
          </w:p>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二、投标文件的签署要求：见招标文件第七章《投标文件相关格式》。</w:t>
            </w:r>
            <w:r/>
          </w:p>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说明：</w:t>
            </w:r>
            <w:r/>
          </w:p>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未进行线上投标并解密(因“苏采云”系统导致解密失败的除外)的，所导致的一切后果均由投标人承担。</w:t>
            </w:r>
            <w:r/>
          </w:p>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投标人未按规定加密的投标文件，“苏采云”系统应当拒收并提示。</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(十九)</w:t>
            </w:r>
            <w:r/>
          </w:p>
        </w:tc>
        <w:tc>
          <w:tcPr>
            <w:tcW w:w="8771" w:type="dxa"/>
            <w:vAlign w:val="top"/>
            <w:textDirection w:val="lrTb"/>
            <w:noWrap w:val="false"/>
          </w:tcPr>
          <w:p>
            <w:pPr>
              <w:pStyle w:val="744"/>
              <w:spacing w:line="520" w:lineRule="exact"/>
              <w:shd w:val="clear" w:color="auto" w:fill="auto"/>
              <w:rPr>
                <w:rFonts w:ascii="宋体" w:hAnsi="宋体" w:cs="宋体"/>
                <w:b/>
                <w:bCs/>
                <w:color w:val="000000" w:themeColor="text1"/>
                <w:sz w:val="24"/>
                <w:highlight w:val="white"/>
              </w:rPr>
            </w:pPr>
            <w:r>
              <w:rPr>
                <w:rFonts w:hint="eastAsia" w:ascii="宋体" w:hAnsi="宋体" w:cs="宋体"/>
                <w:b/>
                <w:bCs/>
                <w:color w:val="000000" w:themeColor="text1"/>
                <w:sz w:val="24"/>
                <w:highlight w:val="none"/>
              </w:rPr>
              <w:t xml:space="preserve">投标文件开始接</w:t>
            </w:r>
            <w:r>
              <w:rPr>
                <w:rFonts w:hint="eastAsia" w:ascii="宋体" w:hAnsi="宋体" w:cs="宋体"/>
                <w:b/>
                <w:bCs/>
                <w:color w:val="000000" w:themeColor="text1"/>
                <w:sz w:val="24"/>
                <w:highlight w:val="white"/>
              </w:rPr>
              <w:t xml:space="preserve">收时间：</w:t>
            </w:r>
            <w:r>
              <w:rPr>
                <w:rFonts w:hint="eastAsia" w:ascii="宋体" w:hAnsi="宋体" w:cs="宋体"/>
                <w:b/>
                <w:bCs/>
                <w:color w:val="000000" w:themeColor="text1"/>
                <w:sz w:val="24"/>
                <w:highlight w:val="white"/>
                <w:lang w:val="en-US" w:eastAsia="zh-CN"/>
              </w:rPr>
              <w:t xml:space="preserve">2026</w:t>
            </w:r>
            <w:r>
              <w:rPr>
                <w:rFonts w:hint="eastAsia" w:ascii="宋体" w:hAnsi="宋体" w:cs="宋体"/>
                <w:b/>
                <w:bCs/>
                <w:color w:val="000000" w:themeColor="text1"/>
                <w:sz w:val="24"/>
                <w:highlight w:val="white"/>
              </w:rPr>
              <w:t xml:space="preserve">年10</w:t>
            </w:r>
            <w:r>
              <w:rPr>
                <w:rFonts w:hint="eastAsia" w:ascii="宋体" w:hAnsi="宋体" w:cs="宋体"/>
                <w:b/>
                <w:bCs/>
                <w:color w:val="000000" w:themeColor="text1"/>
                <w:sz w:val="24"/>
                <w:highlight w:val="white"/>
              </w:rPr>
              <w:t xml:space="preserve">月13</w:t>
            </w:r>
            <w:r>
              <w:rPr>
                <w:rFonts w:hint="eastAsia" w:ascii="宋体" w:hAnsi="宋体" w:cs="宋体"/>
                <w:b/>
                <w:bCs/>
                <w:color w:val="000000" w:themeColor="text1"/>
                <w:sz w:val="24"/>
                <w:highlight w:val="white"/>
              </w:rPr>
              <w:t xml:space="preserve">日</w:t>
            </w:r>
            <w:r>
              <w:rPr>
                <w:rFonts w:hint="eastAsia" w:ascii="宋体" w:hAnsi="宋体" w:cs="宋体"/>
                <w:b/>
                <w:bCs/>
                <w:color w:val="000000" w:themeColor="text1"/>
                <w:sz w:val="24"/>
                <w:highlight w:val="white"/>
                <w:lang w:val="en-US" w:eastAsia="zh-CN"/>
              </w:rPr>
              <w:t xml:space="preserve">10</w:t>
            </w:r>
            <w:r>
              <w:rPr>
                <w:rFonts w:hint="eastAsia" w:ascii="宋体" w:hAnsi="宋体" w:cs="宋体"/>
                <w:b/>
                <w:bCs/>
                <w:color w:val="000000" w:themeColor="text1"/>
                <w:sz w:val="24"/>
                <w:highlight w:val="white"/>
              </w:rPr>
              <w:t xml:space="preserve">时00分（北京时间）前</w:t>
            </w:r>
            <w:r>
              <w:rPr>
                <w:rFonts w:hint="eastAsia" w:ascii="宋体" w:hAnsi="宋体" w:cs="宋体"/>
                <w:b/>
                <w:bCs/>
                <w:color w:val="000000" w:themeColor="text1"/>
                <w:sz w:val="24"/>
                <w:highlight w:val="white"/>
              </w:rPr>
              <w:t xml:space="preserve">。</w:t>
            </w:r>
            <w:r>
              <w:rPr>
                <w:highlight w:val="white"/>
              </w:rPr>
            </w:r>
            <w:r/>
          </w:p>
          <w:p>
            <w:pPr>
              <w:pStyle w:val="744"/>
              <w:spacing w:line="520" w:lineRule="exact"/>
              <w:shd w:val="clear" w:color="auto" w:fill="auto"/>
              <w:rPr>
                <w:rFonts w:ascii="宋体" w:hAnsi="宋体" w:cs="宋体"/>
                <w:b/>
                <w:bCs/>
                <w:color w:val="000000" w:themeColor="text1"/>
                <w:sz w:val="24"/>
                <w:highlight w:val="none"/>
              </w:rPr>
            </w:pPr>
            <w:r>
              <w:rPr>
                <w:rFonts w:hint="eastAsia" w:ascii="宋体" w:hAnsi="宋体" w:cs="宋体"/>
                <w:b/>
                <w:bCs/>
                <w:color w:val="000000" w:themeColor="text1"/>
                <w:sz w:val="24"/>
                <w:highlight w:val="white"/>
              </w:rPr>
              <w:t xml:space="preserve">投标文件接收截止时间：</w:t>
            </w:r>
            <w:r>
              <w:rPr>
                <w:rFonts w:hint="eastAsia" w:ascii="宋体" w:hAnsi="宋体" w:cs="宋体"/>
                <w:b/>
                <w:bCs/>
                <w:color w:val="000000" w:themeColor="text1"/>
                <w:sz w:val="24"/>
                <w:highlight w:val="white"/>
                <w:lang w:val="en-US" w:eastAsia="zh-CN"/>
              </w:rPr>
              <w:t xml:space="preserve">2026</w:t>
            </w:r>
            <w:r>
              <w:rPr>
                <w:rFonts w:hint="eastAsia" w:ascii="宋体" w:hAnsi="宋体" w:cs="宋体"/>
                <w:b/>
                <w:bCs/>
                <w:color w:val="000000" w:themeColor="text1"/>
                <w:sz w:val="24"/>
                <w:highlight w:val="white"/>
              </w:rPr>
              <w:t xml:space="preserve">年10</w:t>
            </w:r>
            <w:r>
              <w:rPr>
                <w:rFonts w:hint="eastAsia" w:ascii="宋体" w:hAnsi="宋体" w:cs="宋体"/>
                <w:b/>
                <w:bCs/>
                <w:color w:val="000000" w:themeColor="text1"/>
                <w:sz w:val="24"/>
                <w:highlight w:val="white"/>
              </w:rPr>
              <w:t xml:space="preserve">月</w:t>
            </w:r>
            <w:r>
              <w:rPr>
                <w:rFonts w:hint="eastAsia" w:ascii="宋体" w:hAnsi="宋体" w:cs="宋体"/>
                <w:b/>
                <w:bCs/>
                <w:color w:val="000000" w:themeColor="text1"/>
                <w:sz w:val="24"/>
                <w:highlight w:val="white"/>
                <w:lang w:val="en-US" w:eastAsia="zh-CN"/>
              </w:rPr>
              <w:t xml:space="preserve">13</w:t>
            </w:r>
            <w:r>
              <w:rPr>
                <w:rFonts w:hint="eastAsia" w:ascii="宋体" w:hAnsi="宋体" w:cs="宋体"/>
                <w:b/>
                <w:bCs/>
                <w:color w:val="000000" w:themeColor="text1"/>
                <w:sz w:val="24"/>
                <w:highlight w:val="white"/>
              </w:rPr>
              <w:t xml:space="preserve">日10时00分（北京时间）</w:t>
            </w:r>
            <w:r>
              <w:rPr>
                <w:rFonts w:hint="eastAsia" w:ascii="宋体" w:hAnsi="宋体" w:cs="宋体"/>
                <w:b/>
                <w:bCs/>
                <w:color w:val="000000" w:themeColor="text1"/>
                <w:sz w:val="24"/>
                <w:highlight w:val="white"/>
              </w:rPr>
              <w:t xml:space="preserve">。</w:t>
            </w:r>
            <w:r>
              <w:rPr>
                <w:color w:val="000000" w:themeColor="text1"/>
              </w:rPr>
            </w:r>
            <w:r/>
          </w:p>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投标文件的接收地点：投标人应当通过“苏采云”系统提交数据电文形式的投标文件（即电子投标），“苏采云”系统自动接收。</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（二十）</w:t>
            </w:r>
            <w:r/>
          </w:p>
        </w:tc>
        <w:tc>
          <w:tcPr>
            <w:tcW w:w="8771" w:type="dxa"/>
            <w:vAlign w:val="top"/>
            <w:textDirection w:val="lrTb"/>
            <w:noWrap w:val="false"/>
          </w:tcPr>
          <w:p>
            <w:pPr>
              <w:pStyle w:val="744"/>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电子投标文件应由其法定代表人或法定代表人授权代表在规定的网上投标时间内，“苏采云”系统（网址： http://jszfcg.jsczt.cn/）“开标大厅”或进入徐州政府采购网（网址：http://czj.xz.gov.cn/Home/HomeIndex）-业务工作-用户登录，点击“苏采云”进入系统“开标大厅”，并在投标截止时间之前上传投标文件。</w:t>
            </w:r>
            <w:r/>
          </w:p>
        </w:tc>
      </w:tr>
      <w:tr>
        <w:trPr/>
        <w:tc>
          <w:tcPr>
            <w:tcW w:w="1637" w:type="dxa"/>
            <w:vAlign w:val="top"/>
            <w:textDirection w:val="lrTb"/>
            <w:noWrap w:val="false"/>
          </w:tcPr>
          <w:p>
            <w:pPr>
              <w:pStyle w:val="744"/>
              <w:jc w:val="center"/>
              <w:spacing w:line="52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p>
        </w:tc>
        <w:tc>
          <w:tcPr>
            <w:tcW w:w="8771" w:type="dxa"/>
            <w:vAlign w:val="top"/>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评审得分相同的，招标文件规定的确定一个投标人获得中标人推荐资格的方式：由采购人确定。</w:t>
            </w:r>
            <w:r>
              <w:rPr>
                <w:rFonts w:hint="eastAsia" w:ascii="宋体" w:hAnsi="宋体" w:eastAsia="宋体" w:cs="宋体"/>
                <w:color w:val="auto"/>
                <w:sz w:val="24"/>
                <w:szCs w:val="24"/>
                <w:highlight w:val="none"/>
                <w:lang w:val="en-US" w:eastAsia="zh-CN" w:bidi="ar-SA"/>
              </w:rPr>
            </w:r>
            <w:r/>
          </w:p>
        </w:tc>
      </w:tr>
      <w:tr>
        <w:trPr/>
        <w:tc>
          <w:tcPr>
            <w:tcW w:w="1637" w:type="dxa"/>
            <w:vAlign w:val="top"/>
            <w:textDirection w:val="lrTb"/>
            <w:noWrap w:val="false"/>
          </w:tcPr>
          <w:p>
            <w:pPr>
              <w:pStyle w:val="744"/>
              <w:jc w:val="center"/>
              <w:spacing w:line="52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p>
        </w:tc>
        <w:tc>
          <w:tcPr>
            <w:tcW w:w="8771" w:type="dxa"/>
            <w:vAlign w:val="top"/>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采购人根据采购项目技术构成、产品价格比重等确定核心产品：AI智能审片系统。</w:t>
            </w:r>
            <w:r/>
          </w:p>
        </w:tc>
      </w:tr>
      <w:tr>
        <w:trPr>
          <w:trHeight w:val="538"/>
        </w:trPr>
        <w:tc>
          <w:tcPr>
            <w:tcW w:w="1637" w:type="dxa"/>
            <w:vAlign w:val="top"/>
            <w:textDirection w:val="lrTb"/>
            <w:noWrap w:val="false"/>
          </w:tcPr>
          <w:p>
            <w:pPr>
              <w:pStyle w:val="744"/>
              <w:jc w:val="center"/>
              <w:spacing w:line="520" w:lineRule="exact"/>
              <w:shd w:val="clear" w:color="auto" w:fill="auto"/>
              <w:rPr>
                <w:rFonts w:ascii="宋体" w:hAnsi="宋体" w:cs="宋体"/>
                <w:b/>
                <w:bCs/>
                <w:color w:val="auto"/>
                <w:sz w:val="24"/>
                <w:highlight w:val="none"/>
              </w:rPr>
            </w:pPr>
            <w:r>
              <w:rPr>
                <w:rFonts w:hint="eastAsia" w:ascii="宋体" w:hAnsi="宋体" w:cs="宋体"/>
                <w:b/>
                <w:bCs/>
                <w:color w:val="auto"/>
                <w:sz w:val="24"/>
                <w:highlight w:val="none"/>
              </w:rPr>
              <w:t xml:space="preserve">四</w:t>
            </w:r>
            <w:r/>
          </w:p>
        </w:tc>
        <w:tc>
          <w:tcPr>
            <w:tcW w:w="8771" w:type="dxa"/>
            <w:vAlign w:val="top"/>
            <w:textDirection w:val="lrTb"/>
            <w:noWrap w:val="false"/>
          </w:tcPr>
          <w:p>
            <w:pPr>
              <w:pStyle w:val="744"/>
              <w:spacing w:line="520" w:lineRule="exact"/>
              <w:shd w:val="clear" w:color="auto" w:fill="auto"/>
              <w:rPr>
                <w:rFonts w:ascii="宋体" w:hAnsi="宋体" w:cs="宋体"/>
                <w:b/>
                <w:bCs/>
                <w:color w:val="auto"/>
                <w:sz w:val="24"/>
                <w:highlight w:val="none"/>
              </w:rPr>
            </w:pPr>
            <w:r>
              <w:rPr>
                <w:rFonts w:hint="eastAsia" w:ascii="宋体" w:hAnsi="宋体" w:cs="宋体"/>
                <w:b/>
                <w:bCs/>
                <w:color w:val="auto"/>
                <w:sz w:val="24"/>
                <w:highlight w:val="none"/>
              </w:rPr>
              <w:t xml:space="preserve">开标</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(二十五)1</w:t>
            </w:r>
            <w:r/>
          </w:p>
        </w:tc>
        <w:tc>
          <w:tcPr>
            <w:tcW w:w="8771" w:type="dxa"/>
            <w:vAlign w:val="top"/>
            <w:textDirection w:val="lrTb"/>
            <w:noWrap w:val="false"/>
          </w:tcPr>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开标时间及地点：</w:t>
            </w:r>
            <w:r/>
          </w:p>
          <w:p>
            <w:pPr>
              <w:pStyle w:val="744"/>
              <w:spacing w:line="520" w:lineRule="exact"/>
              <w:shd w:val="clear" w:color="auto" w:fill="auto"/>
              <w:rPr>
                <w:rFonts w:ascii="宋体" w:hAnsi="宋体" w:cs="宋体"/>
                <w:b/>
                <w:bCs/>
                <w:color w:val="000000" w:themeColor="text1"/>
                <w:sz w:val="24"/>
                <w:highlight w:val="white"/>
              </w:rPr>
            </w:pPr>
            <w:r>
              <w:rPr>
                <w:rFonts w:hint="eastAsia" w:ascii="宋体" w:hAnsi="宋体" w:cs="宋体"/>
                <w:color w:val="000000"/>
                <w:sz w:val="24"/>
                <w:highlight w:val="none"/>
              </w:rPr>
              <w:t xml:space="preserve">1.开标</w:t>
            </w:r>
            <w:r>
              <w:rPr>
                <w:rFonts w:hint="eastAsia" w:ascii="宋体" w:hAnsi="宋体" w:cs="宋体"/>
                <w:color w:val="000000" w:themeColor="text1"/>
                <w:sz w:val="24"/>
                <w:highlight w:val="none"/>
              </w:rPr>
              <w:t xml:space="preserve">时</w:t>
            </w:r>
            <w:r>
              <w:rPr>
                <w:rFonts w:hint="eastAsia" w:ascii="宋体" w:hAnsi="宋体" w:cs="宋体"/>
                <w:color w:val="000000" w:themeColor="text1"/>
                <w:sz w:val="24"/>
                <w:highlight w:val="white"/>
              </w:rPr>
              <w:t xml:space="preserve">间：</w:t>
            </w:r>
            <w:r>
              <w:rPr>
                <w:rFonts w:hint="eastAsia" w:ascii="宋体" w:hAnsi="宋体" w:eastAsia="宋体" w:cs="宋体"/>
                <w:b/>
                <w:bCs/>
                <w:color w:val="000000" w:themeColor="text1"/>
                <w:sz w:val="24"/>
                <w:highlight w:val="white"/>
                <w:lang w:val="en-US" w:eastAsia="zh-CN"/>
              </w:rPr>
              <w:t xml:space="preserve">2026</w:t>
            </w:r>
            <w:r>
              <w:rPr>
                <w:rFonts w:hint="eastAsia" w:ascii="宋体" w:hAnsi="宋体" w:cs="宋体"/>
                <w:b/>
                <w:bCs/>
                <w:color w:val="000000" w:themeColor="text1"/>
                <w:sz w:val="24"/>
                <w:highlight w:val="white"/>
              </w:rPr>
              <w:t xml:space="preserve">年10</w:t>
            </w:r>
            <w:r>
              <w:rPr>
                <w:rFonts w:hint="eastAsia" w:ascii="宋体" w:hAnsi="宋体" w:cs="宋体"/>
                <w:b/>
                <w:bCs/>
                <w:color w:val="000000" w:themeColor="text1"/>
                <w:sz w:val="24"/>
                <w:highlight w:val="white"/>
              </w:rPr>
              <w:t xml:space="preserve">月13</w:t>
            </w:r>
            <w:r>
              <w:rPr>
                <w:rFonts w:hint="eastAsia" w:ascii="宋体" w:hAnsi="宋体" w:cs="宋体"/>
                <w:b/>
                <w:bCs/>
                <w:color w:val="000000" w:themeColor="text1"/>
                <w:sz w:val="24"/>
                <w:highlight w:val="white"/>
              </w:rPr>
              <w:t xml:space="preserve">日10：00</w:t>
            </w:r>
            <w:r>
              <w:rPr>
                <w:rFonts w:hint="eastAsia" w:ascii="宋体" w:hAnsi="宋体" w:cs="宋体"/>
                <w:b/>
                <w:bCs/>
                <w:color w:val="000000" w:themeColor="text1"/>
                <w:sz w:val="24"/>
                <w:highlight w:val="white"/>
              </w:rPr>
              <w:t xml:space="preserve">（北京时间）</w:t>
            </w:r>
            <w:r>
              <w:rPr>
                <w:highlight w:val="white"/>
              </w:rPr>
            </w:r>
            <w:r/>
          </w:p>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2.开标地点：</w:t>
            </w:r>
            <w:r/>
          </w:p>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“苏采云”系统（网址： http://jszfcg.jsczt.cn/）“开标大厅”或进入徐州政府采购网（网址：http://czj.xz.gov.cn/Home/HomeIndex）--业务工作--用户登录，点击“苏采云”进入系统“开标大厅”。</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(二十五)3</w:t>
            </w:r>
            <w:r/>
          </w:p>
        </w:tc>
        <w:tc>
          <w:tcPr>
            <w:tcW w:w="8771" w:type="dxa"/>
            <w:vAlign w:val="top"/>
            <w:textDirection w:val="lrTb"/>
            <w:noWrap w:val="false"/>
          </w:tcPr>
          <w:p>
            <w:pPr>
              <w:pStyle w:val="780"/>
              <w:spacing w:line="44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所有投标人解密结束后或解密时间结束后，“苏采云”系统生成开标记录并向社会公众公布，但依法应当保密的除外。</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五</w:t>
            </w:r>
            <w:r/>
          </w:p>
        </w:tc>
        <w:tc>
          <w:tcPr>
            <w:tcW w:w="8771" w:type="dxa"/>
            <w:vAlign w:val="top"/>
            <w:textDirection w:val="lrTb"/>
            <w:noWrap w:val="false"/>
          </w:tcPr>
          <w:p>
            <w:pPr>
              <w:pStyle w:val="744"/>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评标</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(二十七)</w:t>
            </w:r>
            <w:r/>
          </w:p>
        </w:tc>
        <w:tc>
          <w:tcPr>
            <w:tcW w:w="8771" w:type="dxa"/>
            <w:vAlign w:val="top"/>
            <w:textDirection w:val="lrTb"/>
            <w:noWrap w:val="false"/>
          </w:tcPr>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采用综合评分法。</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(二十八)1</w:t>
            </w:r>
            <w:r/>
          </w:p>
          <w:p>
            <w:pPr>
              <w:pStyle w:val="744"/>
              <w:jc w:val="center"/>
              <w:spacing w:line="520" w:lineRule="exact"/>
              <w:shd w:val="clear" w:color="auto" w:fill="auto"/>
              <w:rPr>
                <w:rFonts w:ascii="宋体" w:hAnsi="宋体" w:cs="宋体"/>
                <w:color w:val="auto"/>
                <w:sz w:val="24"/>
                <w:highlight w:val="none"/>
              </w:rPr>
            </w:pPr>
            <w:r>
              <w:rPr>
                <w:rFonts w:ascii="宋体" w:hAnsi="宋体" w:cs="宋体"/>
                <w:color w:val="auto"/>
                <w:sz w:val="24"/>
                <w:highlight w:val="none"/>
              </w:rPr>
            </w:r>
            <w:r/>
          </w:p>
        </w:tc>
        <w:tc>
          <w:tcPr>
            <w:tcW w:w="8771" w:type="dxa"/>
            <w:vAlign w:val="top"/>
            <w:textDirection w:val="lrTb"/>
            <w:noWrap w:val="false"/>
          </w:tcPr>
          <w:p>
            <w:pPr>
              <w:pStyle w:val="744"/>
              <w:ind w:left="560" w:hanging="560"/>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一、推荐中标候选投标人名单。中标候选投标人数量应当根据采购需要确定，但必须按顺序排列中标候选供应商。</w:t>
            </w:r>
            <w:r/>
          </w:p>
          <w:p>
            <w:pPr>
              <w:pStyle w:val="744"/>
              <w:ind w:left="560" w:hanging="560"/>
              <w:spacing w:line="52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w:t>
            </w:r>
            <w:r>
              <w:rPr>
                <w:rFonts w:hint="eastAsia" w:ascii="宋体" w:hAnsi="宋体" w:cs="宋体"/>
                <w:color w:val="auto"/>
                <w:sz w:val="24"/>
                <w:highlight w:val="none"/>
                <w:lang w:val="en-US" w:eastAsia="zh-CN"/>
              </w:rPr>
              <w:t xml:space="preserve">“所投产品的技术参数”</w:t>
            </w:r>
            <w:r>
              <w:rPr>
                <w:rFonts w:hint="eastAsia" w:ascii="宋体" w:hAnsi="宋体" w:cs="宋体"/>
                <w:color w:val="auto"/>
                <w:sz w:val="24"/>
                <w:highlight w:val="none"/>
              </w:rPr>
              <w:t xml:space="preserve">得分由高到低顺序排列。</w:t>
            </w:r>
            <w:r/>
          </w:p>
          <w:p>
            <w:pPr>
              <w:pStyle w:val="744"/>
              <w:ind w:left="560" w:hanging="560"/>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三、采购人应当自收到评标报告之日起５个工作日内，在评标报告确定的中标候选人名单中按得分最高顺序确定一名中标人。</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（二十九）4</w:t>
            </w:r>
            <w:r/>
          </w:p>
        </w:tc>
        <w:tc>
          <w:tcPr>
            <w:tcW w:w="8771" w:type="dxa"/>
            <w:vAlign w:val="top"/>
            <w:textDirection w:val="lrTb"/>
            <w:noWrap w:val="false"/>
          </w:tcPr>
          <w:p>
            <w:pPr>
              <w:pStyle w:val="744"/>
              <w:spacing w:line="400" w:lineRule="atLeast"/>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1.评标中需要投标人对投标文件澄清或者说明的，应当通过“苏采云”系统交换数据电文。在评标期间，请投标人保持在线。</w:t>
            </w:r>
            <w:r/>
          </w:p>
          <w:p>
            <w:pPr>
              <w:pStyle w:val="744"/>
              <w:spacing w:line="400" w:lineRule="atLeast"/>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44"/>
              <w:spacing w:line="400" w:lineRule="atLeast"/>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44"/>
              <w:spacing w:line="400" w:lineRule="atLeast"/>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637" w:type="dxa"/>
            <w:vAlign w:val="top"/>
            <w:textDirection w:val="lrTb"/>
            <w:noWrap w:val="false"/>
          </w:tcPr>
          <w:p>
            <w:pPr>
              <w:pStyle w:val="744"/>
              <w:jc w:val="center"/>
              <w:spacing w:line="52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（三十）</w:t>
            </w:r>
            <w:r/>
          </w:p>
        </w:tc>
        <w:tc>
          <w:tcPr>
            <w:tcW w:w="8771" w:type="dxa"/>
            <w:vAlign w:val="top"/>
            <w:textDirection w:val="lrTb"/>
            <w:noWrap w:val="false"/>
          </w:tcPr>
          <w:p>
            <w:pPr>
              <w:jc w:val="both"/>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p>
          <w:p>
            <w:pPr>
              <w:pStyle w:val="744"/>
              <w:spacing w:line="400" w:lineRule="atLeast"/>
              <w:shd w:val="clear" w:color="auto" w:fill="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特别说明：“苏采云”系统通过“江苏省政府采购一体化不见面开标大厅”提醒投标人，投标人自行查看。投标人未及时查看或因自身原因导致未收到信息的，责任自负</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七</w:t>
            </w:r>
            <w:r/>
          </w:p>
        </w:tc>
        <w:tc>
          <w:tcPr>
            <w:tcW w:w="8771" w:type="dxa"/>
            <w:vAlign w:val="top"/>
            <w:textDirection w:val="lrTb"/>
            <w:noWrap w:val="false"/>
          </w:tcPr>
          <w:p>
            <w:pPr>
              <w:pStyle w:val="744"/>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政府采购合同</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(三十七)1</w:t>
            </w:r>
            <w:r/>
          </w:p>
        </w:tc>
        <w:tc>
          <w:tcPr>
            <w:tcW w:w="8771" w:type="dxa"/>
            <w:vAlign w:val="top"/>
            <w:textDirection w:val="lrTb"/>
            <w:noWrap w:val="false"/>
          </w:tcPr>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采购人与中标、中标人应当在中标、成交通知书发出之日起30日内，按照采购文件确定的事项签订政府采购合同。</w:t>
            </w:r>
            <w:r/>
          </w:p>
        </w:tc>
      </w:tr>
      <w:tr>
        <w:trPr/>
        <w:tc>
          <w:tcPr>
            <w:tcW w:w="1637" w:type="dxa"/>
            <w:vAlign w:val="top"/>
            <w:textDirection w:val="lrTb"/>
            <w:noWrap w:val="false"/>
          </w:tcPr>
          <w:p>
            <w:pPr>
              <w:pStyle w:val="744"/>
              <w:spacing w:line="520" w:lineRule="exact"/>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（三十八）</w:t>
            </w:r>
            <w:r/>
          </w:p>
        </w:tc>
        <w:tc>
          <w:tcPr>
            <w:tcW w:w="8771" w:type="dxa"/>
            <w:vAlign w:val="top"/>
            <w:textDirection w:val="lrTb"/>
            <w:noWrap w:val="false"/>
          </w:tcPr>
          <w:p>
            <w:pPr>
              <w:pStyle w:val="744"/>
              <w:spacing w:line="520" w:lineRule="exact"/>
              <w:shd w:val="clear" w:color="auto" w:fill="auto"/>
              <w:rPr>
                <w:rFonts w:hint="default" w:ascii="宋体" w:hAnsi="宋体" w:eastAsia="宋体" w:cs="宋体"/>
                <w:color w:val="auto"/>
                <w:sz w:val="24"/>
                <w:highlight w:val="none"/>
                <w:lang w:val="en-US" w:eastAsia="zh-CN"/>
              </w:rPr>
            </w:pPr>
            <w:r>
              <w:rPr>
                <w:rFonts w:hint="eastAsia" w:ascii="宋体" w:hAnsi="宋体" w:eastAsia="宋体" w:cs="宋体"/>
                <w:b/>
                <w:bCs/>
                <w:color w:val="auto"/>
                <w:sz w:val="24"/>
                <w:szCs w:val="24"/>
                <w:highlight w:val="none"/>
                <w:lang w:eastAsia="zh-CN"/>
              </w:rPr>
              <w:t xml:space="preserve">履约保证金：</w:t>
            </w:r>
            <w:r>
              <w:rPr>
                <w:rFonts w:hint="eastAsia" w:ascii="宋体" w:hAnsi="宋体" w:cs="宋体"/>
                <w:b/>
                <w:bCs/>
                <w:color w:val="auto"/>
                <w:sz w:val="24"/>
                <w:szCs w:val="24"/>
                <w:highlight w:val="none"/>
                <w:lang w:val="en-US" w:eastAsia="zh-CN"/>
              </w:rPr>
              <w:t xml:space="preserve">无</w:t>
            </w:r>
            <w:r>
              <w:rPr>
                <w:rFonts w:hint="eastAsia" w:ascii="宋体" w:hAnsi="宋体" w:eastAsia="宋体" w:cs="宋体"/>
                <w:b/>
                <w:bCs/>
                <w:color w:val="auto"/>
                <w:sz w:val="24"/>
                <w:szCs w:val="24"/>
                <w:highlight w:val="none"/>
                <w:lang w:eastAsia="zh-CN"/>
              </w:rPr>
              <w:t xml:space="preserve">。</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(四十一)</w:t>
            </w:r>
            <w:r/>
          </w:p>
        </w:tc>
        <w:tc>
          <w:tcPr>
            <w:tcW w:w="8771" w:type="dxa"/>
            <w:vAlign w:val="top"/>
            <w:textDirection w:val="lrTb"/>
            <w:noWrap w:val="false"/>
          </w:tcPr>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质疑接收人：闫星星   联系电话：0516-83509912</w:t>
            </w:r>
            <w:r/>
          </w:p>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办公地址：徐州市铜山区汉府雅园综合楼613室</w:t>
            </w:r>
            <w:r/>
          </w:p>
        </w:tc>
      </w:tr>
      <w:tr>
        <w:trPr/>
        <w:tc>
          <w:tcPr>
            <w:tcW w:w="1637" w:type="dxa"/>
            <w:vAlign w:val="top"/>
            <w:textDirection w:val="lrTb"/>
            <w:noWrap w:val="false"/>
          </w:tcPr>
          <w:p>
            <w:pPr>
              <w:pStyle w:val="744"/>
              <w:jc w:val="center"/>
              <w:spacing w:line="520" w:lineRule="exact"/>
              <w:shd w:val="clear" w:color="auto" w:fill="auto"/>
              <w:rPr>
                <w:rFonts w:ascii="宋体" w:hAnsi="宋体" w:cs="宋体"/>
                <w:color w:val="000000"/>
                <w:sz w:val="24"/>
                <w:highlight w:val="none"/>
              </w:rPr>
            </w:pPr>
            <w:r>
              <w:rPr>
                <w:rFonts w:hint="eastAsia" w:ascii="宋体" w:hAnsi="宋体" w:cs="宋体"/>
                <w:bCs/>
                <w:color w:val="000000"/>
                <w:sz w:val="24"/>
                <w:highlight w:val="none"/>
              </w:rPr>
              <w:t xml:space="preserve">附加说明</w:t>
            </w:r>
            <w:r/>
          </w:p>
        </w:tc>
        <w:tc>
          <w:tcPr>
            <w:tcW w:w="8771" w:type="dxa"/>
            <w:vAlign w:val="top"/>
            <w:textDirection w:val="lrTb"/>
            <w:noWrap w:val="false"/>
          </w:tcPr>
          <w:p>
            <w:pPr>
              <w:pStyle w:val="744"/>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中标人在收到中标通知书时，须向采购代理机构提交《开标一览表》和《分项价格表》的数据文件（WORD格式）。</w:t>
            </w:r>
            <w:r/>
          </w:p>
        </w:tc>
      </w:tr>
    </w:tbl>
    <w:p>
      <w:pPr>
        <w:rPr>
          <w:rFonts w:ascii="宋体" w:hAnsi="宋体" w:eastAsia="宋体" w:cs="宋体"/>
          <w:color w:val="000000"/>
          <w:sz w:val="24"/>
          <w:highlight w:val="none"/>
        </w:rPr>
      </w:pPr>
      <w:r/>
      <w:bookmarkStart w:id="5" w:name="_Toc522790133"/>
      <w:r>
        <w:rPr>
          <w:rFonts w:ascii="宋体" w:hAnsi="宋体" w:eastAsia="宋体" w:cs="宋体"/>
          <w:color w:val="000000"/>
          <w:sz w:val="24"/>
          <w:highlight w:val="none"/>
        </w:rPr>
        <w:br w:type="page" w:clear="all"/>
      </w:r>
      <w:r/>
    </w:p>
    <w:p>
      <w:pPr>
        <w:ind w:left="0" w:right="0" w:firstLine="600"/>
        <w:jc w:val="both"/>
        <w:spacing w:before="0" w:after="0" w:line="519"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本章附件：</w:t>
      </w:r>
      <w:r>
        <w:rPr>
          <w:rFonts w:ascii="宋体" w:hAnsi="宋体" w:eastAsia="宋体" w:cs="宋体"/>
          <w:b/>
          <w:color w:val="000000"/>
          <w:sz w:val="24"/>
          <w:highlight w:val="none"/>
        </w:rPr>
        <w:t xml:space="preserve">招标代理服务收费标准</w:t>
      </w:r>
      <w:r/>
    </w:p>
    <w:tbl>
      <w:tblPr>
        <w:tblStyle w:val="715"/>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0.005%</w:t>
            </w:r>
            <w:r/>
          </w:p>
        </w:tc>
      </w:tr>
    </w:tbl>
    <w:p>
      <w:pPr>
        <w:ind w:left="0" w:right="0" w:firstLine="0"/>
        <w:jc w:val="both"/>
        <w:spacing w:before="0" w:after="0"/>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line="400"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说明：</w:t>
      </w:r>
      <w:r/>
    </w:p>
    <w:p>
      <w:pPr>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1.按上表计算的收费为代理服务全过程的收费金额。各社会代理机构不再收取采购文件制作售卖费用。</w:t>
      </w:r>
      <w:r/>
    </w:p>
    <w:p>
      <w:pPr>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2.代理服务费按差额定率累进法计算。</w:t>
      </w:r>
      <w:r/>
    </w:p>
    <w:p>
      <w:pPr>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3.代理服务费基准金额(按差额定率累进法计算的)=中标金额(按差额定率累进法计算的)*费率(%)</w:t>
      </w:r>
      <w:r/>
    </w:p>
    <w:p>
      <w:pPr>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4.代理服务费应收取金额=代理服务费基准金额(按差额定率累进法计算的)的合计数。</w:t>
      </w:r>
      <w:r/>
    </w:p>
    <w:p>
      <w:pPr>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5.定点类等无金额或事先不能计算出价格总额的项目，按中标(成交)金额100万元计算。</w:t>
      </w:r>
      <w:r/>
    </w:p>
    <w:p>
      <w:pPr>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6.有分包(分标段)的按一个项目计算。</w:t>
      </w:r>
      <w:r/>
    </w:p>
    <w:p>
      <w:pPr>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7.以上价格为协会指导价，双方可根据项目难易程度和优质优价原则协商确定。</w:t>
      </w:r>
      <w:r/>
    </w:p>
    <w:p>
      <w:pPr>
        <w:ind w:left="0" w:right="0" w:firstLine="0"/>
        <w:jc w:val="both"/>
        <w:spacing w:before="0" w:after="0" w:line="400" w:lineRule="atLeast"/>
        <w:shd w:val="clear" w:color="auto" w:fill="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8.账户信息：</w:t>
      </w:r>
      <w:r/>
    </w:p>
    <w:p>
      <w:pPr>
        <w:ind w:left="0" w:right="0" w:firstLine="0"/>
        <w:jc w:val="both"/>
        <w:spacing w:before="0" w:after="0" w:line="400" w:lineRule="atLeast"/>
        <w:shd w:val="clear" w:color="auto" w:fill="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收款人：江苏淮中工程管理咨询有限公司 </w:t>
      </w:r>
      <w:r/>
    </w:p>
    <w:p>
      <w:pPr>
        <w:ind w:left="0" w:right="0" w:firstLine="0"/>
        <w:jc w:val="both"/>
        <w:spacing w:before="0" w:after="0" w:line="400" w:lineRule="atLeast"/>
        <w:shd w:val="clear" w:color="auto" w:fill="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开户银行：中国银行股份有限公司徐州铜山支行</w:t>
      </w:r>
      <w:r/>
    </w:p>
    <w:p>
      <w:pPr>
        <w:ind w:left="0" w:right="0" w:firstLine="0"/>
        <w:jc w:val="both"/>
        <w:spacing w:before="0" w:after="0" w:line="400" w:lineRule="atLeast"/>
        <w:shd w:val="clear" w:color="auto" w:fill="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账号：539174723267</w:t>
      </w:r>
      <w:r/>
    </w:p>
    <w:p>
      <w:pPr>
        <w:pStyle w:val="744"/>
        <w:jc w:val="center"/>
        <w:spacing w:line="0" w:lineRule="atLeast"/>
        <w:shd w:val="clear" w:color="auto" w:fill="auto"/>
        <w:widowControl/>
        <w:rPr>
          <w:rStyle w:val="851"/>
          <w:rFonts w:ascii="宋体" w:hAnsi="宋体" w:eastAsia="宋体" w:cs="宋体"/>
          <w:color w:val="000000"/>
          <w:sz w:val="24"/>
          <w:szCs w:val="24"/>
          <w:highlight w:val="none"/>
        </w:rPr>
      </w:pPr>
      <w:r>
        <w:rPr>
          <w:rFonts w:hint="eastAsia" w:ascii="宋体" w:hAnsi="宋体" w:cs="宋体"/>
          <w:color w:val="000000"/>
          <w:sz w:val="24"/>
          <w:highlight w:val="none"/>
        </w:rPr>
        <w:br w:type="page" w:clear="all"/>
      </w:r>
      <w:bookmarkEnd w:id="5"/>
      <w:r/>
      <w:bookmarkStart w:id="6" w:name="_Toc522790134"/>
      <w:r>
        <w:rPr>
          <w:rFonts w:hint="eastAsia" w:ascii="宋体" w:hAnsi="宋体" w:cs="宋体"/>
          <w:color w:val="000000"/>
          <w:sz w:val="28"/>
          <w:szCs w:val="28"/>
          <w:highlight w:val="none"/>
        </w:rPr>
        <w:t xml:space="preserve">  </w:t>
      </w:r>
      <w:r>
        <w:rPr>
          <w:rStyle w:val="851"/>
          <w:rFonts w:hint="eastAsia" w:ascii="宋体" w:hAnsi="宋体" w:eastAsia="宋体" w:cs="宋体"/>
          <w:color w:val="000000"/>
          <w:sz w:val="28"/>
          <w:szCs w:val="28"/>
          <w:highlight w:val="none"/>
        </w:rPr>
        <w:t xml:space="preserve">第四章  评标标准</w:t>
      </w:r>
      <w:r/>
    </w:p>
    <w:tbl>
      <w:tblPr>
        <w:tblStyle w:val="715"/>
        <w:tblpPr w:horzAnchor="page" w:tblpX="888" w:vertAnchor="text" w:tblpY="477" w:leftFromText="180" w:topFromText="0" w:rightFromText="180" w:bottomFromText="0"/>
        <w:tblW w:w="526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84"/>
        <w:gridCol w:w="1221"/>
        <w:gridCol w:w="7156"/>
      </w:tblGrid>
      <w:tr>
        <w:trPr>
          <w:trHeight w:val="557"/>
        </w:trPr>
        <w:tc>
          <w:tcPr>
            <w:gridSpan w:val="2"/>
            <w:tcW w:w="2443" w:type="dxa"/>
            <w:vAlign w:val="center"/>
            <w:textDirection w:val="lrTb"/>
            <w:noWrap w:val="false"/>
          </w:tcPr>
          <w:p>
            <w:pPr>
              <w:pStyle w:val="744"/>
              <w:jc w:val="center"/>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评审因素</w:t>
            </w:r>
            <w:r/>
          </w:p>
        </w:tc>
        <w:tc>
          <w:tcPr>
            <w:tcW w:w="7785" w:type="dxa"/>
            <w:vAlign w:val="center"/>
            <w:textDirection w:val="lrTb"/>
            <w:noWrap w:val="false"/>
          </w:tcPr>
          <w:p>
            <w:pPr>
              <w:pStyle w:val="744"/>
              <w:jc w:val="center"/>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评审因素</w:t>
            </w:r>
            <w:r/>
          </w:p>
        </w:tc>
      </w:tr>
      <w:tr>
        <w:trPr>
          <w:trHeight w:val="1374"/>
        </w:trPr>
        <w:tc>
          <w:tcPr>
            <w:tcW w:w="1146" w:type="dxa"/>
            <w:vAlign w:val="center"/>
            <w:textDirection w:val="lrTb"/>
            <w:noWrap w:val="false"/>
          </w:tcPr>
          <w:p>
            <w:pPr>
              <w:pStyle w:val="744"/>
              <w:jc w:val="center"/>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价格部分</w:t>
            </w:r>
            <w:r/>
          </w:p>
          <w:p>
            <w:pPr>
              <w:pStyle w:val="744"/>
              <w:jc w:val="center"/>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（30分）</w:t>
            </w:r>
            <w:r/>
          </w:p>
        </w:tc>
        <w:tc>
          <w:tcPr>
            <w:tcW w:w="1297" w:type="dxa"/>
            <w:vAlign w:val="center"/>
            <w:textDirection w:val="lrTb"/>
            <w:noWrap w:val="false"/>
          </w:tcPr>
          <w:p>
            <w:pPr>
              <w:pStyle w:val="744"/>
              <w:jc w:val="center"/>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价 格</w:t>
            </w:r>
            <w:r/>
          </w:p>
          <w:p>
            <w:pPr>
              <w:pStyle w:val="744"/>
              <w:jc w:val="center"/>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（30分）</w:t>
            </w:r>
            <w:r/>
          </w:p>
        </w:tc>
        <w:tc>
          <w:tcPr>
            <w:tcW w:w="7785" w:type="dxa"/>
            <w:vAlign w:val="center"/>
            <w:textDirection w:val="lrTb"/>
            <w:noWrap w:val="false"/>
          </w:tcPr>
          <w:p>
            <w:pPr>
              <w:pStyle w:val="744"/>
              <w:jc w:val="left"/>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投标报价分采用最低价优先法计算，即满足招标文件要求且投标报价的最低报价为评标基准价，其报价分为满分，其他投标人的报价分按照下列公式计算：报价得分=（评标基准价/投标报价）×30</w:t>
            </w:r>
            <w:r/>
          </w:p>
          <w:p>
            <w:pPr>
              <w:pStyle w:val="744"/>
              <w:numPr>
                <w:ilvl w:val="0"/>
                <w:numId w:val="1"/>
              </w:numPr>
              <w:jc w:val="left"/>
              <w:spacing w:line="360" w:lineRule="auto"/>
              <w:shd w:val="clear" w:color="auto" w:fill="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投标人所投产品全部为小微企业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该投标人的评审价格=《开标一览表》中的“总价”*（100%-10%）</w:t>
            </w:r>
            <w:r>
              <w:rPr>
                <w:rFonts w:hint="eastAsia" w:ascii="宋体" w:hAnsi="宋体" w:cs="宋体"/>
                <w:color w:val="000000"/>
                <w:sz w:val="24"/>
                <w:szCs w:val="24"/>
                <w:highlight w:val="none"/>
                <w:lang w:val="en-US" w:eastAsia="zh-CN"/>
              </w:rPr>
              <w:t xml:space="preserve">.</w:t>
            </w:r>
            <w:r/>
          </w:p>
          <w:p>
            <w:pPr>
              <w:numPr>
                <w:ilvl w:val="0"/>
                <w:numId w:val="0"/>
              </w:numPr>
              <w:jc w:val="left"/>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2.政府采购活动中既有本国产品又有非本国产品参与竞争的，依法对本国产品给予价格评审优惠，对本国产品的报价给予20%的价格扣除，用扣除后的价格参与评审。</w:t>
            </w:r>
            <w:r/>
          </w:p>
          <w:p>
            <w:pPr>
              <w:numPr>
                <w:ilvl w:val="0"/>
                <w:numId w:val="0"/>
              </w:numPr>
              <w:jc w:val="left"/>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jc w:val="left"/>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该投标人的评审价格=《开标一览表》中的“总价”*（100%-20%）</w:t>
            </w:r>
            <w:r/>
          </w:p>
          <w:p>
            <w:pPr>
              <w:pStyle w:val="745"/>
              <w:numPr>
                <w:ilvl w:val="0"/>
                <w:numId w:val="0"/>
              </w:num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上述1、2项评审优惠可同时享受，分别在供应商报价基础上予以扣除，用扣除后的价格参与评审，即该投标人的评审价格=《开标一览表》中的“总价”*（100%-30%）。享受价格评审优惠不改变最终中标价格，政府采购合同仍按照中标供应商的报价签订。</w:t>
            </w:r>
            <w:r/>
          </w:p>
          <w:p>
            <w:pPr>
              <w:pStyle w:val="744"/>
              <w:jc w:val="left"/>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注：得分四舍五入保留小数点后2位。</w:t>
            </w:r>
            <w:r/>
          </w:p>
        </w:tc>
      </w:tr>
      <w:tr>
        <w:trPr>
          <w:cantSplit/>
          <w:trHeight w:val="544"/>
        </w:trPr>
        <w:tc>
          <w:tcPr>
            <w:tcW w:w="1146" w:type="dxa"/>
            <w:vAlign w:val="center"/>
            <w:vMerge w:val="restart"/>
            <w:textDirection w:val="lrTb"/>
            <w:noWrap w:val="false"/>
          </w:tcPr>
          <w:p>
            <w:pPr>
              <w:pStyle w:val="744"/>
              <w:jc w:val="center"/>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商务部分（</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p>
        </w:tc>
        <w:tc>
          <w:tcPr>
            <w:tcW w:w="1297" w:type="dxa"/>
            <w:vAlign w:val="center"/>
            <w:textDirection w:val="lrTb"/>
            <w:noWrap w:val="false"/>
          </w:tcPr>
          <w:p>
            <w:pPr>
              <w:pStyle w:val="744"/>
              <w:jc w:val="center"/>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业绩（4分）</w:t>
            </w:r>
            <w:r/>
          </w:p>
        </w:tc>
        <w:tc>
          <w:tcPr>
            <w:tcW w:w="7785" w:type="dxa"/>
            <w:vAlign w:val="center"/>
            <w:textDirection w:val="lrTb"/>
            <w:noWrap w:val="false"/>
          </w:tcPr>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zh-CN" w:eastAsia="zh-CN"/>
              </w:rPr>
            </w:pPr>
            <w:r>
              <w:rPr>
                <w:rFonts w:hint="eastAsia" w:ascii="宋体" w:hAnsi="宋体" w:cs="宋体"/>
                <w:color w:val="000000"/>
                <w:sz w:val="24"/>
                <w:szCs w:val="24"/>
                <w:highlight w:val="none"/>
                <w:lang w:val="zh-CN"/>
              </w:rPr>
              <w:t xml:space="preserve">提</w:t>
            </w:r>
            <w:r>
              <w:rPr>
                <w:rFonts w:hint="eastAsia" w:ascii="宋体" w:hAnsi="宋体" w:eastAsia="宋体" w:cs="宋体"/>
                <w:color w:val="000000"/>
                <w:sz w:val="24"/>
                <w:szCs w:val="24"/>
                <w:highlight w:val="none"/>
                <w:lang w:val="zh-CN" w:eastAsia="zh-CN"/>
              </w:rPr>
              <w:t xml:space="preserve">供</w:t>
            </w:r>
            <w:r>
              <w:rPr>
                <w:rFonts w:hint="eastAsia" w:ascii="宋体" w:hAnsi="宋体" w:eastAsia="宋体" w:cs="宋体"/>
                <w:color w:val="000000"/>
                <w:sz w:val="24"/>
                <w:szCs w:val="24"/>
                <w:highlight w:val="none"/>
                <w:lang w:val="en-US" w:eastAsia="zh-CN"/>
              </w:rPr>
              <w:t xml:space="preserve">投标人</w:t>
            </w:r>
            <w:r>
              <w:rPr>
                <w:rFonts w:hint="eastAsia" w:ascii="宋体" w:hAnsi="宋体" w:cs="宋体"/>
                <w:color w:val="000000"/>
                <w:sz w:val="24"/>
                <w:szCs w:val="24"/>
                <w:highlight w:val="none"/>
                <w:lang w:val="en-US" w:eastAsia="zh-CN"/>
              </w:rPr>
              <w:t xml:space="preserve">2023</w:t>
            </w:r>
            <w:r>
              <w:rPr>
                <w:rFonts w:hint="eastAsia" w:ascii="宋体" w:hAnsi="宋体" w:eastAsia="宋体" w:cs="宋体"/>
                <w:color w:val="000000"/>
                <w:sz w:val="24"/>
                <w:szCs w:val="24"/>
                <w:highlight w:val="none"/>
                <w:lang w:val="zh-CN" w:eastAsia="zh-CN"/>
              </w:rPr>
              <w:t xml:space="preserve">年</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eastAsia="zh-CN"/>
              </w:rPr>
              <w:t xml:space="preserve">月</w:t>
            </w:r>
            <w:r>
              <w:rPr>
                <w:rFonts w:hint="eastAsia" w:ascii="宋体" w:hAnsi="宋体" w:eastAsia="宋体" w:cs="宋体"/>
                <w:color w:val="000000"/>
                <w:sz w:val="24"/>
                <w:szCs w:val="24"/>
                <w:highlight w:val="none"/>
                <w:lang w:val="en-US" w:eastAsia="zh-CN"/>
              </w:rPr>
              <w:t xml:space="preserve">1日（含）之后，</w:t>
            </w:r>
            <w:r>
              <w:rPr>
                <w:rFonts w:hint="eastAsia" w:ascii="宋体" w:hAnsi="宋体" w:eastAsia="宋体" w:cs="宋体"/>
                <w:color w:val="000000"/>
                <w:sz w:val="24"/>
                <w:szCs w:val="24"/>
                <w:highlight w:val="none"/>
                <w:lang w:val="zh-CN" w:eastAsia="zh-CN"/>
              </w:rPr>
              <w:t xml:space="preserve">（以合同签订的时间为准）</w:t>
            </w:r>
            <w:r>
              <w:rPr>
                <w:rFonts w:hint="eastAsia" w:ascii="宋体" w:hAnsi="宋体" w:eastAsia="宋体" w:cs="宋体"/>
                <w:color w:val="000000"/>
                <w:sz w:val="24"/>
                <w:szCs w:val="24"/>
                <w:highlight w:val="none"/>
                <w:lang w:val="en-US" w:eastAsia="zh-CN"/>
              </w:rPr>
              <w:t xml:space="preserve">与合同内容为本项目相同或类似的合同扫描件</w:t>
            </w:r>
            <w:r>
              <w:rPr>
                <w:rFonts w:hint="eastAsia" w:ascii="宋体" w:hAnsi="宋体" w:eastAsia="宋体" w:cs="宋体"/>
                <w:color w:val="000000"/>
                <w:sz w:val="24"/>
                <w:szCs w:val="24"/>
                <w:highlight w:val="none"/>
                <w:lang w:val="zh-CN" w:eastAsia="zh-CN"/>
              </w:rPr>
              <w:t xml:space="preserve">，每有一个得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分，最高得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分。</w:t>
            </w:r>
            <w:r/>
          </w:p>
          <w:p>
            <w:pPr>
              <w:pStyle w:val="744"/>
              <w:ind w:left="0" w:right="0" w:firstLine="0"/>
              <w:keepLines w:val="0"/>
              <w:keepNext w:val="0"/>
              <w:pageBreakBefore w:val="0"/>
              <w:spacing w:line="360" w:lineRule="auto"/>
              <w:shd w:val="clear" w:color="auto" w:fill="auto"/>
              <w:rPr>
                <w:color w:val="000000"/>
                <w:sz w:val="24"/>
                <w:szCs w:val="24"/>
                <w:highlight w:val="none"/>
              </w:rPr>
            </w:pPr>
            <w:r>
              <w:rPr>
                <w:rFonts w:hint="eastAsia" w:ascii="宋体" w:hAnsi="宋体" w:eastAsia="宋体" w:cs="宋体"/>
                <w:color w:val="000000"/>
                <w:sz w:val="24"/>
                <w:szCs w:val="24"/>
                <w:highlight w:val="none"/>
                <w:lang w:val="en-US" w:eastAsia="zh-CN"/>
              </w:rPr>
              <w:t xml:space="preserve">以上材料需要提供合同扫描件加盖公章，未提供或者提供不完整不得分</w:t>
            </w:r>
            <w:r>
              <w:rPr>
                <w:rFonts w:hint="eastAsia" w:ascii="宋体" w:hAnsi="宋体" w:cs="宋体"/>
                <w:color w:val="000000"/>
                <w:sz w:val="24"/>
                <w:szCs w:val="24"/>
                <w:highlight w:val="none"/>
                <w:lang w:val="en-US" w:eastAsia="zh-CN"/>
              </w:rPr>
              <w:t xml:space="preserve">。</w:t>
            </w:r>
            <w:r/>
          </w:p>
        </w:tc>
      </w:tr>
      <w:tr>
        <w:trPr>
          <w:cantSplit/>
          <w:trHeight w:val="907"/>
        </w:trPr>
        <w:tc>
          <w:tcPr>
            <w:tcW w:w="1146" w:type="dxa"/>
            <w:vAlign w:val="center"/>
            <w:vMerge w:val="continue"/>
            <w:textDirection w:val="lrTb"/>
            <w:noWrap w:val="false"/>
          </w:tcPr>
          <w:p>
            <w:pPr>
              <w:pStyle w:val="744"/>
              <w:jc w:val="center"/>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97" w:type="dxa"/>
            <w:vAlign w:val="center"/>
            <w:textDirection w:val="lrTb"/>
            <w:noWrap w:val="false"/>
          </w:tcPr>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投标人评价</w:t>
            </w:r>
            <w:r/>
          </w:p>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（4分）</w:t>
            </w:r>
            <w:r/>
          </w:p>
        </w:tc>
        <w:tc>
          <w:tcPr>
            <w:tcW w:w="7785" w:type="dxa"/>
            <w:vAlign w:val="center"/>
            <w:textDirection w:val="lrTb"/>
            <w:noWrap w:val="false"/>
          </w:tcPr>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投标人同时具有有效的</w:t>
            </w:r>
            <w:bookmarkStart w:id="7" w:name="OLE_LINK4"/>
            <w:r/>
            <w:bookmarkStart w:id="8" w:name="OLE_LINK3"/>
            <w:r>
              <w:rPr>
                <w:rFonts w:hint="eastAsia" w:ascii="宋体" w:hAnsi="宋体" w:eastAsia="宋体" w:cs="宋体"/>
                <w:color w:val="000000"/>
                <w:sz w:val="24"/>
                <w:szCs w:val="24"/>
                <w:highlight w:val="none"/>
                <w:lang w:val="en-US" w:eastAsia="zh-CN"/>
              </w:rPr>
              <w:t xml:space="preserve">信息系统建设和服务能力评估五级证书（CS5）、</w:t>
            </w:r>
            <w:bookmarkStart w:id="9" w:name="OLE_LINK1"/>
            <w:r/>
            <w:bookmarkStart w:id="10" w:name="OLE_LINK2"/>
            <w:r>
              <w:rPr>
                <w:rFonts w:hint="eastAsia" w:ascii="宋体" w:hAnsi="宋体" w:eastAsia="宋体" w:cs="宋体"/>
                <w:color w:val="000000"/>
                <w:sz w:val="24"/>
                <w:szCs w:val="24"/>
                <w:highlight w:val="none"/>
                <w:lang w:val="en-US" w:eastAsia="zh-CN"/>
              </w:rPr>
              <w:t xml:space="preserve">信息通信建设企业服务能力信息通信网络系统集成甲级证书</w:t>
            </w:r>
            <w:bookmarkEnd w:id="9"/>
            <w:r/>
            <w:bookmarkEnd w:id="10"/>
            <w:r>
              <w:rPr>
                <w:rFonts w:hint="eastAsia" w:ascii="宋体" w:hAnsi="宋体" w:eastAsia="宋体" w:cs="宋体"/>
                <w:color w:val="000000"/>
                <w:sz w:val="24"/>
                <w:szCs w:val="24"/>
                <w:highlight w:val="none"/>
                <w:lang w:val="en-US" w:eastAsia="zh-CN"/>
              </w:rPr>
              <w:t xml:space="preserve">、CCRC信息安全服务资质认证证书一级(信息系统安全集成)、CCRC信息安全服务资质认证证书一级(软件安全开发)</w:t>
            </w:r>
            <w:bookmarkEnd w:id="7"/>
            <w:r/>
            <w:bookmarkEnd w:id="8"/>
            <w:r>
              <w:rPr>
                <w:rFonts w:hint="eastAsia" w:ascii="宋体" w:hAnsi="宋体" w:eastAsia="宋体" w:cs="宋体"/>
                <w:color w:val="000000"/>
                <w:sz w:val="24"/>
                <w:szCs w:val="24"/>
                <w:highlight w:val="none"/>
                <w:lang w:val="en-US" w:eastAsia="zh-CN"/>
              </w:rPr>
              <w:t xml:space="preserve">,并提供相关证明材料扫描件的得4分，每少一个扣</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分，不提供不得分。</w:t>
            </w:r>
            <w:r/>
          </w:p>
        </w:tc>
      </w:tr>
      <w:tr>
        <w:trPr>
          <w:cantSplit/>
          <w:trHeight w:val="1190"/>
        </w:trPr>
        <w:tc>
          <w:tcPr>
            <w:tcW w:w="1146" w:type="dxa"/>
            <w:vAlign w:val="center"/>
            <w:vMerge w:val="restart"/>
            <w:textDirection w:val="lrTb"/>
            <w:noWrap w:val="false"/>
          </w:tcPr>
          <w:p>
            <w:pPr>
              <w:pStyle w:val="744"/>
              <w:jc w:val="center"/>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技</w:t>
            </w:r>
            <w:r/>
          </w:p>
          <w:p>
            <w:pPr>
              <w:pStyle w:val="744"/>
              <w:jc w:val="center"/>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术</w:t>
            </w:r>
            <w:r/>
          </w:p>
          <w:p>
            <w:pPr>
              <w:pStyle w:val="744"/>
              <w:jc w:val="center"/>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部</w:t>
            </w:r>
            <w:r/>
          </w:p>
          <w:p>
            <w:pPr>
              <w:pStyle w:val="744"/>
              <w:jc w:val="center"/>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分</w:t>
            </w:r>
            <w:r/>
          </w:p>
          <w:p>
            <w:pPr>
              <w:pStyle w:val="744"/>
              <w:jc w:val="center"/>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p>
        </w:tc>
        <w:tc>
          <w:tcPr>
            <w:tcW w:w="1297" w:type="dxa"/>
            <w:vAlign w:val="center"/>
            <w:textDirection w:val="lrTb"/>
            <w:noWrap w:val="false"/>
          </w:tcPr>
          <w:p>
            <w:pPr>
              <w:pStyle w:val="744"/>
              <w:ind w:left="0" w:right="0" w:firstLine="0"/>
              <w:keepLines w:val="0"/>
              <w:keepNext w:val="0"/>
              <w:pageBreakBefore w:val="0"/>
              <w:spacing w:line="360" w:lineRule="auto"/>
              <w:shd w:val="clear" w:color="auto" w:fil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所投产品的具体技术规格（26分）</w:t>
            </w:r>
            <w:r/>
          </w:p>
        </w:tc>
        <w:tc>
          <w:tcPr>
            <w:tcW w:w="7785" w:type="dxa"/>
            <w:vAlign w:val="center"/>
            <w:textDirection w:val="lrTb"/>
            <w:noWrap w:val="false"/>
          </w:tcPr>
          <w:p>
            <w:pPr>
              <w:pStyle w:val="744"/>
              <w:ind w:left="0" w:right="0" w:firstLine="0"/>
              <w:keepLines w:val="0"/>
              <w:keepNext w:val="0"/>
              <w:pageBreakBefore w:val="0"/>
              <w:spacing w:line="360" w:lineRule="auto"/>
              <w:shd w:val="clear" w:color="auto" w:fil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依据投标文件中偏离表、技术规格说明对招标文件《第六章 采购需求》中“技术参数要求”满足程度进行评分。</w:t>
            </w:r>
            <w:r/>
          </w:p>
          <w:p>
            <w:pPr>
              <w:pStyle w:val="744"/>
              <w:ind w:left="0" w:right="0" w:firstLine="0"/>
              <w:keepLines w:val="0"/>
              <w:keepNext w:val="0"/>
              <w:pageBreakBefore w:val="0"/>
              <w:spacing w:line="360" w:lineRule="auto"/>
              <w:shd w:val="clear" w:color="auto" w:fil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满足招标文件基本技术要求的得26分，次重要响应指标共计26项，不满足或负偏离每项扣0.5分，扣完为止；其余响应指标130项，如有不满足或负偏离，每一项扣0.1分，扣完为止。本项最高得26分，最低得0分。</w:t>
            </w:r>
            <w:r/>
          </w:p>
          <w:p>
            <w:pPr>
              <w:pStyle w:val="744"/>
              <w:ind w:left="0" w:right="0" w:firstLine="0"/>
              <w:keepLines w:val="0"/>
              <w:keepNext w:val="0"/>
              <w:pageBreakBefore w:val="0"/>
              <w:spacing w:line="360" w:lineRule="auto"/>
              <w:shd w:val="clear" w:color="auto" w:fil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注：加“★”标志为实质性响应指标不允许负偏离，否则按无效投标处理；加“▲”的指标为次重要响应指标（需要逐条响应），其他为一般响应指标，未按要求提供证明材料的视为不满足。</w:t>
            </w:r>
            <w:r/>
          </w:p>
        </w:tc>
      </w:tr>
      <w:tr>
        <w:trPr>
          <w:cantSplit/>
          <w:trHeight w:val="1163"/>
        </w:trPr>
        <w:tc>
          <w:tcPr>
            <w:tcW w:w="1146" w:type="dxa"/>
            <w:vAlign w:val="center"/>
            <w:vMerge w:val="continue"/>
            <w:textDirection w:val="lrTb"/>
            <w:noWrap w:val="false"/>
          </w:tcPr>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97" w:type="dxa"/>
            <w:vAlign w:val="center"/>
            <w:textDirection w:val="lrTb"/>
            <w:noWrap w:val="false"/>
          </w:tcPr>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cs="宋体"/>
                <w:szCs w:val="21"/>
              </w:rPr>
              <w:t xml:space="preserve">设</w:t>
            </w:r>
            <w:r>
              <w:rPr>
                <w:rFonts w:hint="eastAsia" w:ascii="宋体" w:hAnsi="宋体" w:eastAsia="宋体" w:cs="宋体"/>
                <w:color w:val="000000"/>
                <w:sz w:val="24"/>
                <w:szCs w:val="24"/>
                <w:highlight w:val="none"/>
                <w:lang w:val="en-US" w:eastAsia="zh-CN"/>
              </w:rPr>
              <w:t xml:space="preserve">计对接方案(12分)</w:t>
            </w:r>
            <w:r/>
          </w:p>
        </w:tc>
        <w:tc>
          <w:tcPr>
            <w:tcW w:w="7785" w:type="dxa"/>
            <w:vAlign w:val="center"/>
            <w:textDirection w:val="lrTb"/>
            <w:noWrap w:val="false"/>
          </w:tcPr>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根据投标人提出的系统设计方案的全面性、可行性、针对性进行综合评价，设计方案包括但不限于总体结构、工作原理和组成、系统的功能及特点、与原有系统的平滑切换等。</w:t>
            </w:r>
            <w:r/>
          </w:p>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全面性（4分）：全面具体详实得4分；全面性一般得3分；全面性较差的得2分；不提供的得0分。</w:t>
            </w:r>
            <w:r/>
          </w:p>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内容的可行性（4分）：切实可行得4分；可行性一般得3分；可行性较差的得2分；不提供的得0分。</w:t>
            </w:r>
            <w:r/>
          </w:p>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内容的针对性（4分）：针对性强得4分；针对性一般得3分；针对性较差的得2分；不提供的得0分。</w:t>
            </w:r>
            <w:r/>
          </w:p>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本项最高得12分，最低得0分。</w:t>
            </w:r>
            <w:r/>
          </w:p>
        </w:tc>
      </w:tr>
      <w:tr>
        <w:trPr>
          <w:cantSplit/>
          <w:trHeight w:val="1424"/>
        </w:trPr>
        <w:tc>
          <w:tcPr>
            <w:tcW w:w="1146" w:type="dxa"/>
            <w:vAlign w:val="center"/>
            <w:vMerge w:val="continue"/>
            <w:textDirection w:val="lrTb"/>
            <w:noWrap w:val="false"/>
          </w:tcPr>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97" w:type="dxa"/>
            <w:vAlign w:val="center"/>
            <w:textDirection w:val="lrTb"/>
            <w:noWrap w:val="false"/>
          </w:tcPr>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项目实施方案（12分）</w:t>
            </w:r>
            <w:r/>
          </w:p>
        </w:tc>
        <w:tc>
          <w:tcPr>
            <w:tcW w:w="7785" w:type="dxa"/>
            <w:vAlign w:val="center"/>
            <w:textDirection w:val="lrTb"/>
            <w:noWrap w:val="false"/>
          </w:tcPr>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根据投标人提供此次管控平台升级整体项目实施方案的全面性、可行性、针对性进行综合评价。</w:t>
            </w:r>
            <w:r/>
          </w:p>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全面性（4分）：全面具体详实得4分；全面性一般得3分；全面性较差的得2分；不提供的得0分。</w:t>
            </w:r>
            <w:r/>
          </w:p>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内容的可行性（4分）：切实可行得4分；可行性一般得3分；可行性较差的得2分；不提供的得0分。</w:t>
            </w:r>
            <w:r/>
          </w:p>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内容的针对性（4分）：针对性强得4分；针对性一般得3分；针对性较差的得2分；不提供的得0分。</w:t>
            </w:r>
            <w:r/>
          </w:p>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本项最高得12分，最低得0分。</w:t>
            </w:r>
            <w:r/>
          </w:p>
        </w:tc>
      </w:tr>
      <w:tr>
        <w:trPr>
          <w:cantSplit/>
          <w:trHeight w:val="1987"/>
        </w:trPr>
        <w:tc>
          <w:tcPr>
            <w:tcW w:w="1146" w:type="dxa"/>
            <w:vAlign w:val="center"/>
            <w:vMerge w:val="continue"/>
            <w:textDirection w:val="lrTb"/>
            <w:noWrap w:val="false"/>
          </w:tcPr>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97" w:type="dxa"/>
            <w:vAlign w:val="center"/>
            <w:textDirection w:val="lrTb"/>
            <w:noWrap w:val="false"/>
          </w:tcPr>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售后服务方案（6分）</w:t>
            </w:r>
            <w:r/>
          </w:p>
        </w:tc>
        <w:tc>
          <w:tcPr>
            <w:tcW w:w="7785" w:type="dxa"/>
            <w:vAlign w:val="center"/>
            <w:textDirection w:val="lrTb"/>
            <w:noWrap w:val="false"/>
          </w:tcPr>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提供完善的售后服务方案，包括但不限于售后服务承诺、服务计划、服务内容、服务响应时间、流程，现场服务支持能力等，对售后服务方案科学合理性进行综合评比。方案科学、合理得6分，方案基本合理得4分，方案有缺陷的得2分，不提供不得分。</w:t>
            </w:r>
            <w:r/>
          </w:p>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本项最高得6分，最低得0分。</w:t>
            </w:r>
            <w:r/>
          </w:p>
        </w:tc>
      </w:tr>
      <w:tr>
        <w:trPr>
          <w:cantSplit/>
          <w:trHeight w:val="2062"/>
        </w:trPr>
        <w:tc>
          <w:tcPr>
            <w:tcW w:w="1146" w:type="dxa"/>
            <w:vAlign w:val="center"/>
            <w:vMerge w:val="continue"/>
            <w:textDirection w:val="lrTb"/>
            <w:noWrap w:val="false"/>
          </w:tcPr>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97" w:type="dxa"/>
            <w:vAlign w:val="center"/>
            <w:textDirection w:val="lrTb"/>
            <w:noWrap w:val="false"/>
          </w:tcPr>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人员培训方案（6分）</w:t>
            </w:r>
            <w:r/>
          </w:p>
        </w:tc>
        <w:tc>
          <w:tcPr>
            <w:tcW w:w="7785" w:type="dxa"/>
            <w:vAlign w:val="center"/>
            <w:textDirection w:val="lrTb"/>
            <w:noWrap w:val="false"/>
          </w:tcPr>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投标人应提详细的人员培训方案，包括但不限于培训计划、培训内容、培训对象等，对培训方案科学合理性进行综合评比。方案完善的得6分，方案基本完善得4分，方案有缺陷的得2分，不提供不得分。</w:t>
            </w:r>
            <w:r/>
          </w:p>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本项最高得6分，最低得0分。</w:t>
            </w:r>
            <w:r/>
          </w:p>
        </w:tc>
      </w:tr>
    </w:tbl>
    <w:p>
      <w:pPr>
        <w:pStyle w:val="744"/>
        <w:ind w:left="0" w:right="0" w:firstLine="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44"/>
        <w:ind w:firstLine="281"/>
        <w:spacing w:line="360" w:lineRule="auto"/>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注：1、本项目采用综合评分法。2、评分结果精确到小数点后两位。</w:t>
      </w:r>
      <w:r/>
    </w:p>
    <w:p>
      <w:pPr>
        <w:pStyle w:val="744"/>
        <w:jc w:val="center"/>
        <w:spacing w:line="360" w:lineRule="auto"/>
        <w:shd w:val="clear" w:color="auto" w:fill="auto"/>
        <w:rPr>
          <w:rFonts w:ascii="宋体" w:hAnsi="宋体" w:cs="宋体"/>
          <w:b/>
          <w:bCs/>
          <w:color w:val="000000"/>
          <w:sz w:val="28"/>
          <w:szCs w:val="28"/>
          <w:highlight w:val="none"/>
        </w:rPr>
      </w:pPr>
      <w:r/>
      <w:bookmarkStart w:id="11" w:name="_Toc13862"/>
      <w:r>
        <w:rPr>
          <w:rFonts w:hint="eastAsia" w:ascii="宋体" w:hAnsi="宋体" w:cs="宋体"/>
          <w:color w:val="000000"/>
          <w:sz w:val="28"/>
          <w:szCs w:val="28"/>
          <w:highlight w:val="none"/>
        </w:rPr>
        <w:br w:type="page" w:clear="all"/>
      </w:r>
      <w:bookmarkEnd w:id="6"/>
      <w:r/>
      <w:bookmarkEnd w:id="11"/>
      <w:r/>
      <w:bookmarkStart w:id="12" w:name="_Toc7211"/>
      <w:r/>
      <w:bookmarkStart w:id="13" w:name="_Toc522790136"/>
      <w:r>
        <w:rPr>
          <w:rFonts w:hint="eastAsia" w:ascii="宋体" w:hAnsi="宋体" w:cs="宋体"/>
          <w:b/>
          <w:bCs/>
          <w:color w:val="000000"/>
          <w:sz w:val="28"/>
          <w:szCs w:val="28"/>
          <w:highlight w:val="none"/>
        </w:rPr>
        <w:t xml:space="preserve">第五章  拟签订的合同文本</w:t>
      </w:r>
      <w:r/>
    </w:p>
    <w:p>
      <w:pPr>
        <w:pStyle w:val="787"/>
        <w:spacing w:before="210" w:after="120"/>
        <w:shd w:val="clear" w:color="auto" w:fill="auto"/>
        <w:rPr>
          <w:rFonts w:hint="eastAsia" w:ascii="宋体" w:hAnsi="宋体" w:eastAsia="宋体" w:cs="宋体"/>
          <w:color w:val="000000"/>
          <w:sz w:val="24"/>
          <w:highlight w:val="none"/>
          <w:lang w:eastAsia="zh-CN"/>
        </w:rPr>
      </w:pPr>
      <w:r/>
      <w:bookmarkStart w:id="14" w:name="_Toc522790135"/>
      <w:r/>
      <w:bookmarkStart w:id="15" w:name="_Toc32499"/>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交通违法综合管控平台系统升级采购项目</w:t>
      </w:r>
      <w:r/>
    </w:p>
    <w:p>
      <w:pPr>
        <w:pStyle w:val="787"/>
        <w:spacing w:before="210" w:after="120"/>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项目编号：JSZC-320312-HZGC-G2026-0007</w:t>
      </w:r>
      <w:r/>
    </w:p>
    <w:p>
      <w:pPr>
        <w:pStyle w:val="787"/>
        <w:jc w:val="center"/>
        <w:spacing w:before="210" w:after="120"/>
        <w:shd w:val="clear" w:color="auto" w:fill="auto"/>
        <w:rPr>
          <w:rFonts w:ascii="宋体" w:hAnsi="宋体" w:eastAsia="宋体" w:cs="宋体"/>
          <w:b/>
          <w:color w:val="000000"/>
          <w:sz w:val="72"/>
          <w:szCs w:val="72"/>
          <w:highlight w:val="none"/>
          <w:lang w:bidi="en-US"/>
        </w:rPr>
      </w:pPr>
      <w:r>
        <w:rPr>
          <w:rFonts w:ascii="宋体" w:hAnsi="宋体" w:eastAsia="宋体" w:cs="宋体"/>
          <w:b/>
          <w:color w:val="000000"/>
          <w:sz w:val="72"/>
          <w:szCs w:val="72"/>
          <w:highlight w:val="none"/>
          <w:lang w:bidi="en-US"/>
        </w:rPr>
      </w:r>
      <w:r/>
    </w:p>
    <w:p>
      <w:pPr>
        <w:pStyle w:val="787"/>
        <w:jc w:val="center"/>
        <w:spacing w:before="210" w:after="120"/>
        <w:shd w:val="clear" w:color="auto" w:fill="auto"/>
        <w:rPr>
          <w:rFonts w:ascii="宋体" w:hAnsi="宋体" w:eastAsia="宋体" w:cs="宋体"/>
          <w:b/>
          <w:color w:val="000000"/>
          <w:sz w:val="72"/>
          <w:szCs w:val="72"/>
          <w:highlight w:val="none"/>
          <w:lang w:bidi="en-US"/>
        </w:rPr>
      </w:pPr>
      <w:r>
        <w:rPr>
          <w:rFonts w:ascii="宋体" w:hAnsi="宋体" w:eastAsia="宋体" w:cs="宋体"/>
          <w:b/>
          <w:color w:val="000000"/>
          <w:sz w:val="72"/>
          <w:szCs w:val="72"/>
          <w:highlight w:val="none"/>
          <w:lang w:bidi="en-US"/>
        </w:rPr>
      </w:r>
      <w:r/>
    </w:p>
    <w:p>
      <w:pPr>
        <w:pStyle w:val="787"/>
        <w:jc w:val="center"/>
        <w:spacing w:before="210" w:after="120"/>
        <w:shd w:val="clear" w:color="auto" w:fill="auto"/>
        <w:rPr>
          <w:rFonts w:ascii="宋体" w:hAnsi="宋体" w:eastAsia="宋体" w:cs="宋体"/>
          <w:b/>
          <w:color w:val="000000"/>
          <w:sz w:val="72"/>
          <w:szCs w:val="72"/>
          <w:highlight w:val="none"/>
          <w:lang w:bidi="en-US"/>
        </w:rPr>
      </w:pPr>
      <w:r>
        <w:rPr>
          <w:rFonts w:ascii="宋体" w:hAnsi="宋体" w:eastAsia="宋体" w:cs="宋体"/>
          <w:b/>
          <w:color w:val="000000"/>
          <w:sz w:val="72"/>
          <w:szCs w:val="72"/>
          <w:highlight w:val="none"/>
          <w:lang w:bidi="en-US"/>
        </w:rPr>
      </w:r>
      <w:r/>
    </w:p>
    <w:p>
      <w:pPr>
        <w:pStyle w:val="787"/>
        <w:jc w:val="center"/>
        <w:spacing w:before="210" w:after="120"/>
        <w:shd w:val="clear" w:color="auto" w:fill="auto"/>
        <w:rPr>
          <w:rFonts w:ascii="宋体" w:hAnsi="宋体" w:eastAsia="宋体" w:cs="宋体"/>
          <w:color w:val="000000"/>
          <w:sz w:val="24"/>
          <w:highlight w:val="none"/>
        </w:rPr>
      </w:pPr>
      <w:r>
        <w:rPr>
          <w:rFonts w:hint="eastAsia" w:ascii="宋体" w:hAnsi="宋体" w:eastAsia="宋体" w:cs="宋体"/>
          <w:b/>
          <w:color w:val="000000"/>
          <w:sz w:val="72"/>
          <w:szCs w:val="72"/>
          <w:highlight w:val="none"/>
          <w:lang w:bidi="en-US"/>
        </w:rPr>
        <w:t xml:space="preserve">政 府 采 购 合 同</w:t>
      </w:r>
      <w:r/>
    </w:p>
    <w:p>
      <w:pPr>
        <w:pStyle w:val="787"/>
        <w:spacing w:before="210" w:after="120"/>
        <w:shd w:val="clear" w:color="auto" w:fill="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 </w:t>
      </w:r>
      <w:r/>
    </w:p>
    <w:p>
      <w:pPr>
        <w:pStyle w:val="787"/>
        <w:spacing w:before="210" w:after="120"/>
        <w:shd w:val="clear" w:color="auto" w:fill="auto"/>
        <w:rPr>
          <w:rFonts w:ascii="宋体" w:hAnsi="宋体" w:eastAsia="宋体" w:cs="宋体"/>
          <w:color w:val="000000"/>
          <w:sz w:val="22"/>
          <w:highlight w:val="none"/>
        </w:rPr>
      </w:pPr>
      <w:r>
        <w:rPr>
          <w:rFonts w:ascii="宋体" w:hAnsi="宋体" w:eastAsia="宋体" w:cs="宋体"/>
          <w:color w:val="000000"/>
          <w:sz w:val="22"/>
          <w:highlight w:val="none"/>
        </w:rPr>
      </w:r>
      <w:r/>
    </w:p>
    <w:p>
      <w:pPr>
        <w:pStyle w:val="787"/>
        <w:spacing w:before="210" w:after="120"/>
        <w:shd w:val="clear" w:color="auto" w:fill="auto"/>
        <w:rPr>
          <w:rFonts w:ascii="宋体" w:hAnsi="宋体" w:eastAsia="宋体" w:cs="宋体"/>
          <w:color w:val="000000"/>
          <w:sz w:val="22"/>
          <w:highlight w:val="none"/>
        </w:rPr>
      </w:pPr>
      <w:r>
        <w:rPr>
          <w:rFonts w:ascii="宋体" w:hAnsi="宋体" w:eastAsia="宋体" w:cs="宋体"/>
          <w:color w:val="000000"/>
          <w:sz w:val="22"/>
          <w:highlight w:val="none"/>
        </w:rPr>
      </w:r>
      <w:r/>
    </w:p>
    <w:p>
      <w:pPr>
        <w:pStyle w:val="787"/>
        <w:spacing w:before="210" w:after="120"/>
        <w:shd w:val="clear" w:color="auto" w:fill="auto"/>
        <w:rPr>
          <w:rFonts w:ascii="宋体" w:hAnsi="宋体" w:eastAsia="宋体" w:cs="宋体"/>
          <w:color w:val="000000"/>
          <w:sz w:val="22"/>
          <w:highlight w:val="none"/>
        </w:rPr>
      </w:pPr>
      <w:r>
        <w:rPr>
          <w:rFonts w:ascii="宋体" w:hAnsi="宋体" w:eastAsia="宋体" w:cs="宋体"/>
          <w:color w:val="000000"/>
          <w:sz w:val="22"/>
          <w:highlight w:val="none"/>
        </w:rPr>
      </w:r>
      <w:r/>
    </w:p>
    <w:p>
      <w:pPr>
        <w:pStyle w:val="787"/>
        <w:spacing w:before="210" w:after="120"/>
        <w:shd w:val="clear" w:color="auto" w:fill="auto"/>
        <w:rPr>
          <w:rFonts w:ascii="宋体" w:hAnsi="宋体" w:eastAsia="宋体" w:cs="宋体"/>
          <w:color w:val="000000"/>
          <w:sz w:val="22"/>
          <w:highlight w:val="none"/>
        </w:rPr>
      </w:pPr>
      <w:r>
        <w:rPr>
          <w:rFonts w:ascii="宋体" w:hAnsi="宋体" w:eastAsia="宋体" w:cs="宋体"/>
          <w:color w:val="000000"/>
          <w:sz w:val="22"/>
          <w:highlight w:val="none"/>
        </w:rPr>
      </w:r>
      <w:r/>
    </w:p>
    <w:p>
      <w:pPr>
        <w:pStyle w:val="787"/>
        <w:spacing w:before="210" w:after="120"/>
        <w:shd w:val="clear" w:color="auto" w:fill="auto"/>
        <w:rPr>
          <w:rFonts w:ascii="宋体" w:hAnsi="宋体" w:eastAsia="宋体" w:cs="宋体"/>
          <w:color w:val="000000"/>
          <w:sz w:val="24"/>
          <w:highlight w:val="none"/>
        </w:rPr>
      </w:pPr>
      <w:r>
        <w:rPr>
          <w:rFonts w:hint="eastAsia" w:ascii="宋体" w:hAnsi="宋体" w:eastAsia="宋体" w:cs="宋体"/>
          <w:color w:val="000000"/>
          <w:sz w:val="22"/>
          <w:highlight w:val="none"/>
        </w:rPr>
        <w:t xml:space="preserve"> </w:t>
      </w:r>
      <w:r/>
    </w:p>
    <w:p>
      <w:pPr>
        <w:pStyle w:val="787"/>
        <w:spacing w:before="210" w:after="120" w:line="360" w:lineRule="auto"/>
        <w:shd w:val="clear" w:color="auto" w:fill="auto"/>
        <w:rPr>
          <w:rFonts w:hint="eastAsia" w:ascii="宋体" w:hAnsi="宋体" w:eastAsia="宋体" w:cs="宋体"/>
          <w:color w:val="000000"/>
          <w:sz w:val="24"/>
          <w:highlight w:val="none"/>
          <w:lang w:eastAsia="zh-CN" w:bidi="ar-SA"/>
        </w:rPr>
      </w:pPr>
      <w:r>
        <w:rPr>
          <w:rFonts w:hint="eastAsia" w:ascii="宋体" w:hAnsi="宋体" w:eastAsia="宋体" w:cs="宋体"/>
          <w:color w:val="000000"/>
          <w:sz w:val="24"/>
          <w:highlight w:val="none"/>
          <w:lang w:bidi="ar-SA"/>
        </w:rPr>
        <w:t xml:space="preserve">采  购  人：</w:t>
      </w:r>
      <w:r>
        <w:rPr>
          <w:rFonts w:hint="eastAsia" w:ascii="宋体" w:hAnsi="宋体" w:eastAsia="宋体" w:cs="宋体"/>
          <w:color w:val="000000"/>
          <w:sz w:val="24"/>
          <w:highlight w:val="none"/>
          <w:lang w:eastAsia="zh-CN" w:bidi="ar-SA"/>
        </w:rPr>
        <w:t xml:space="preserve">徐州市公安局铜山分局</w:t>
      </w:r>
      <w:r/>
    </w:p>
    <w:p>
      <w:pPr>
        <w:pStyle w:val="787"/>
        <w:spacing w:before="210" w:after="120"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中  标</w:t>
      </w:r>
      <w:r>
        <w:rPr>
          <w:rFonts w:hint="eastAsia" w:ascii="宋体" w:hAnsi="宋体" w:eastAsia="宋体" w:cs="宋体"/>
          <w:color w:val="000000"/>
          <w:sz w:val="24"/>
          <w:highlight w:val="none"/>
          <w:lang w:val="en-US" w:eastAsia="zh-CN" w:bidi="ar-SA"/>
        </w:rPr>
        <w:t xml:space="preserve">  </w:t>
      </w:r>
      <w:r>
        <w:rPr>
          <w:rFonts w:hint="eastAsia" w:ascii="宋体" w:hAnsi="宋体" w:eastAsia="宋体" w:cs="宋体"/>
          <w:color w:val="000000"/>
          <w:sz w:val="24"/>
          <w:highlight w:val="none"/>
          <w:lang w:bidi="ar-SA"/>
        </w:rPr>
        <w:t xml:space="preserve"> 人：</w:t>
      </w:r>
      <w:r/>
    </w:p>
    <w:p>
      <w:pPr>
        <w:pStyle w:val="787"/>
        <w:spacing w:before="210" w:after="120"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合同签订日期： 年   月   日</w:t>
      </w:r>
      <w:r/>
    </w:p>
    <w:p>
      <w:pPr>
        <w:pStyle w:val="787"/>
        <w:ind w:firstLine="600"/>
        <w:spacing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友情提醒：采购人与中标人应当在中标通知书发出之日起三十日内，按照采购文件确定的事项签订政府采购合同。</w:t>
      </w:r>
      <w:r/>
    </w:p>
    <w:p>
      <w:pPr>
        <w:pStyle w:val="787"/>
        <w:ind w:firstLine="600"/>
        <w:spacing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520" w:lineRule="exact"/>
        <w:widowControl w:val="off"/>
        <w:rPr>
          <w:rFonts w:hint="eastAsia" w:ascii="宋体" w:hAnsi="宋体" w:eastAsia="宋体" w:cs="宋体"/>
          <w:color w:val="000000"/>
          <w:sz w:val="24"/>
          <w:szCs w:val="24"/>
        </w:rPr>
      </w:pPr>
      <w:r>
        <w:rPr>
          <w:rFonts w:hint="eastAsia" w:ascii="宋体" w:hAnsi="宋体" w:cs="宋体"/>
          <w:color w:val="000000"/>
          <w:sz w:val="24"/>
          <w:highlight w:val="none"/>
        </w:rPr>
        <w:br w:type="page" w:clear="all"/>
      </w:r>
      <w:r>
        <w:rPr>
          <w:rFonts w:hint="eastAsia" w:ascii="宋体" w:hAnsi="宋体" w:eastAsia="宋体" w:cs="宋体"/>
          <w:color w:val="000000"/>
          <w:sz w:val="24"/>
          <w:szCs w:val="24"/>
        </w:rPr>
        <w:t xml:space="preserve">合同通用条款</w:t>
      </w:r>
      <w:r/>
    </w:p>
    <w:p>
      <w:pPr>
        <w:ind w:firstLine="600"/>
        <w:jc w:val="center"/>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目录</w:t>
      </w:r>
      <w:r/>
    </w:p>
    <w:p>
      <w:pPr>
        <w:ind w:firstLine="600"/>
        <w:jc w:val="both"/>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both"/>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第一条    定义</w:t>
      </w:r>
      <w:r/>
    </w:p>
    <w:p>
      <w:pPr>
        <w:ind w:firstLine="600"/>
        <w:jc w:val="both"/>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第二条    合同范围</w:t>
      </w:r>
      <w:r/>
    </w:p>
    <w:p>
      <w:pPr>
        <w:ind w:firstLine="600"/>
        <w:jc w:val="both"/>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第三条    价格</w:t>
      </w:r>
      <w:r/>
    </w:p>
    <w:p>
      <w:pPr>
        <w:ind w:firstLine="600"/>
        <w:jc w:val="both"/>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第四条    支付</w:t>
      </w:r>
      <w:r/>
    </w:p>
    <w:p>
      <w:pPr>
        <w:ind w:firstLine="600"/>
        <w:jc w:val="both"/>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第五条    交货</w:t>
      </w:r>
      <w:r/>
    </w:p>
    <w:p>
      <w:pPr>
        <w:ind w:firstLine="600"/>
        <w:jc w:val="both"/>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第六条    包装和标记</w:t>
      </w:r>
      <w:r/>
    </w:p>
    <w:p>
      <w:pPr>
        <w:ind w:firstLine="600"/>
        <w:jc w:val="both"/>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第七条    技术资料</w:t>
      </w:r>
      <w:r/>
    </w:p>
    <w:p>
      <w:pPr>
        <w:ind w:firstLine="600"/>
        <w:jc w:val="both"/>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第八条    安装</w:t>
      </w:r>
      <w:r/>
    </w:p>
    <w:p>
      <w:pPr>
        <w:ind w:firstLine="600"/>
        <w:jc w:val="both"/>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第九条    验收</w:t>
      </w:r>
      <w:r/>
    </w:p>
    <w:p>
      <w:pPr>
        <w:ind w:firstLine="600"/>
        <w:jc w:val="both"/>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第十条    售后服务和技术培训</w:t>
      </w:r>
      <w:r/>
    </w:p>
    <w:p>
      <w:pPr>
        <w:ind w:firstLine="600"/>
        <w:jc w:val="both"/>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第十一条  索赔</w:t>
      </w:r>
      <w:r/>
    </w:p>
    <w:p>
      <w:pPr>
        <w:ind w:firstLine="600"/>
        <w:jc w:val="both"/>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第十二条  不可抗力</w:t>
      </w:r>
      <w:r/>
    </w:p>
    <w:p>
      <w:pPr>
        <w:ind w:firstLine="600"/>
        <w:jc w:val="both"/>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第十三条  合同的终止</w:t>
      </w:r>
      <w:r/>
    </w:p>
    <w:p>
      <w:pPr>
        <w:ind w:firstLine="600"/>
        <w:jc w:val="both"/>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第十四条  争议的解决</w:t>
      </w:r>
      <w:r/>
    </w:p>
    <w:p>
      <w:pPr>
        <w:ind w:firstLine="600"/>
        <w:jc w:val="both"/>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第十五条  适用法律</w:t>
      </w:r>
      <w:r/>
    </w:p>
    <w:p>
      <w:pPr>
        <w:ind w:firstLine="600"/>
        <w:jc w:val="both"/>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第十六条  权利保证</w:t>
      </w:r>
      <w:r/>
    </w:p>
    <w:p>
      <w:pPr>
        <w:ind w:firstLine="600"/>
        <w:jc w:val="both"/>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第十七条  保密</w:t>
      </w:r>
      <w:r/>
    </w:p>
    <w:p>
      <w:pPr>
        <w:ind w:firstLine="600"/>
        <w:jc w:val="both"/>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第十八条  合同生效及其他</w:t>
      </w:r>
      <w:r/>
    </w:p>
    <w:p>
      <w:pPr>
        <w:jc w:val="both"/>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合同通用条款</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第一条  定义</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除本合同上下文中另有规定外，下列各词语定义如下： </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1.1“买方”见《合同专用条款》。</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1.2“卖方”见《合同专用条款》。</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1.3“工作现场”见《合同专用条款》。</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1.4“合同标的”见合同附件4。</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1.5“技术资料”是指与合同标的的安装、试运行、验收、操作以及维修有关的技术指标、规格、图纸和文件。</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1.6“技术培训”是指在合同标的的安装、试运行、验收、操作、维修以及其他方面卖方给予买方的培训。</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1.7“安装”是指有关合同标的、备件和材料的安装工作。</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1.8“试运行”是指为验明合同标的的技术性能，在安装完毕后对合同标的进行的测试。</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1.10“合同货币”见《合同专用条款》。</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1.11“合同价格”见合同附件4。</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1.12“合同生效日”见《合同协议书》（合同附件1）第5 条。</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1.13“日”是指日历天数。</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1.14“月”是指日历月数。</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第二条 合同范围</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2.1买方同意从卖方购买、卖方同意向买方出售和提供的合同标的以及相关售后服务、技术培训和技术资料。</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第三条 价格</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合同总价见《合同专用条款》。</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合同总价是固定价格。</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第四条 支付</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4.1买方应按照《合同专用条款》的规定进行支付。如果卖方未能按照《合同专用条款》的要求提交支付文件，由此产生的所有责任和发生的所有费用，均由卖方承担。</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4.2卖方有义务根据合同的规定向买方支付违约金和/或赔偿金时。</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第五条 交货</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5.1交货期限、批次和交货条件见《合同专用条款》。</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5.2交货地点见《合同专用条款》。</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5.3在《合同专用条款》规定的期限内，卖方应将合同号、合同标的的名称、数量、金额、包装件数以及交货的时间以书面方式通知买方。</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5.4卖方应按下列规定交付合同标的：</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5.4.1卖方负责将合同标的送至《合同专用条款》规定的交货地点。</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5.4.2买方出具的收据日期是合同标的的实际交货日期。</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5.5如果卖方未能按照合同规定的交货期限交货，卖方应按《合同专用条款》的规定支付违约金或提供其他救济。</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第六条 包装与标记</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6.1除非合同中另有规定，合同标的应保持产品制造企业原包装完好。</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6.2在合同标的的每件包装中都应附有下列单据： </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 装箱明细单； </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 质量合格证； </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 技术资料。</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第七条 技术资料</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技术资料交付的期限和方式见《合同专用条款》。</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第八条 安装</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 合同标的的安装期限见《合同专用条款》。</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第九条 验收</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9.1合同标的的试运行、验收见《合同专用条款》。</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9.2如果合同附件2 所规定的所有技术性能在验收中都已经达到，双方应在验收合格后5 日内签署验收书。</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9.3买方派出1-3名技术人员参加项目实施，卖方应积极配合甲方派出的1-3名技术人员监督管理。</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第十条 售后服务和技术培训</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10.1售后服务和技术培训见合同附件3。</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第十一条 索赔</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11.1如果合同标的在安装、试运行和验收中卖方未能履行其在本合同项下承担的义务，买方有权向卖方提出索赔并寻求《合同专用条款》中规定的救济方式，救济方式包括：</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A.卖方替换不符合合同规定的合同标的。</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B.按质量低劣的程度、买方受损害的程度及损失的数额对合同标的进行降价。</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C.拒收合同标的。</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D.赔偿由卖方违约引起的其他损失。</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第十二条 不可抗力</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第十三条 合同的终止</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A.卖方在合同规定的交货期限后未能按《合同专用条款》中规定的最终期限交付合同标的和/或技术资料； </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B.合同标的未能达到合同附件2 规定的技术性能； </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C.卖方未能履行合同项下任何其它义务，并且在收到买方违约通知后未能按《合同专用条款》中规定的期限对其违约行为作出补救。</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13.2如果一方破产或发生资不抵债的情况,合同另一方有权在任何时候发出书面通知终止合同。此种情况下合同的终止不妨碍或影响行使任何可能的其它救济手段。</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13.3如果买方认定卖方在投标或执行合同中有腐败或欺诈行为,买方有权在任何时候发出书面通知终止合同。</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A.“腐败行为”系指在招标、采购和合同执行等过程中，为谋求利益、影响相关人员而提供、给予、接受或索取任何有价物的行为。</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B.“欺诈行为”系指为了影响招标、采购和合同执行等过程而隐瞒事实，从而给买方造成损害的行为，其中包括投标人之间的串通行为。</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13.4在买方全部或部分终止合同的情况下，卖方应按《合同专用条款》的规定对买方给予补偿。</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第十四条 争议的解决</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14.1因执行本合同所发生的或者与本合同有关的一切争议由合同双方通过友好协商解决，如果不能协商一致，按《合同专用条款》规定的方式解决。</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第十五条 适用法律</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15.1本合同的执行和争议的解决适用中华人民共和国的法律并按中华人民共和国的法律进行解释。</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第十六条  权利保证</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16.1卖方应保证买方在使用合同标的时不受第三方提出侵犯其专利权、版权、商标权或其他权利的起诉。一旦出现侵权，卖方承担全部责任。</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第十七条  保密 </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17.2上述秘密，卖方只能用于本合同，而且只能由卖方相应的人员使用；没有必要接触的卖方人员，不得接触。</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17.3卖方应当采取适当有效的方式保护所获取的上述秘密。</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第十八条 合同生效及其他</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 本合同在合同协议书（合同附件1）规定的条件全部满足后生效。</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18.2合同项下全部权利义务履行完毕后，本合同自动失效。合同履行期满后，合同项下任何尚未了结的债权和债务不受合同履行期的影响，债务人仍应向债权人履行其义务。</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 合同双方各自承担与本合同有关的应负税费。</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18.4合同双方除非《合同专用条款》另有规定，所有合同文件及相关的修订和合同双方之间的书面联络，应使用中文书就并按中文解释。</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18.5对本合同的任何补充、增添或修改以书面方式进行。</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18.6没有另一方的事先书面同意，合同任何一方不得将合同项下的任何权利和义务转让给第三方。</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18.8合同条款中的标题和边注仅供参考使用，不应视为合同的一部分，也不影响本文的解释。</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18.9合同构成买方和卖方之间就合同主要内容方面的完整协议，并且取代合同签订前所有关于这方面的通讯、协商、协议(不论是书面的，还是口头的)。</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18.11合同双方之间的一切联络往来应以书面形式按《合同专用条款》中规定的通讯地址发往合同另一方。有关重要事项的传真应及时用挂号信或快件确认。</w:t>
      </w:r>
      <w:r/>
    </w:p>
    <w:p>
      <w:pPr>
        <w:ind w:firstLine="60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合同专用条款</w:t>
      </w:r>
      <w:r/>
    </w:p>
    <w:p>
      <w:pPr>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（合同协议书）</w:t>
      </w:r>
      <w:r/>
    </w:p>
    <w:p>
      <w:pPr>
        <w:ind w:firstLine="56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《合同专用条款》中的条款项号是与《合同通用条款》中的条款项号对应的，其增加的内容和条款，是对《合同通用条款》的补充、修改和完善，如果有矛盾的话，以《合同专用条款》为准。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购货单位</w:t>
      </w:r>
      <w:r>
        <w:rPr>
          <w:rFonts w:hint="eastAsia" w:ascii="宋体" w:hAnsi="宋体" w:eastAsia="宋体" w:cs="宋体"/>
          <w:color w:val="000000"/>
          <w:sz w:val="24"/>
          <w:szCs w:val="24"/>
        </w:rPr>
        <w:t xml:space="preserve">：</w:t>
      </w:r>
      <w:r>
        <w:rPr>
          <w:rFonts w:hint="eastAsia" w:ascii="宋体" w:hAnsi="宋体" w:cs="宋体"/>
          <w:color w:val="000000"/>
          <w:sz w:val="24"/>
          <w:highlight w:val="none"/>
          <w:lang w:eastAsia="zh-CN"/>
        </w:rPr>
        <w:t xml:space="preserve">徐州市公安局铜山分局</w:t>
      </w:r>
      <w:r>
        <w:rPr>
          <w:rFonts w:hint="eastAsia" w:ascii="宋体" w:hAnsi="宋体" w:cs="宋体"/>
          <w:color w:val="000000"/>
          <w:sz w:val="24"/>
          <w:highlight w:val="none"/>
        </w:rPr>
        <w:t xml:space="preserve"> </w:t>
      </w:r>
      <w:r>
        <w:rPr>
          <w:rFonts w:hint="eastAsia" w:ascii="宋体" w:hAnsi="宋体" w:eastAsia="宋体" w:cs="宋体"/>
          <w:color w:val="000000"/>
          <w:sz w:val="24"/>
          <w:szCs w:val="24"/>
        </w:rPr>
        <w:t xml:space="preserve">（以下简称甲方） </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供货单位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（以下简称乙方）</w:t>
      </w:r>
      <w:r/>
    </w:p>
    <w:p>
      <w:pPr>
        <w:pStyle w:val="744"/>
        <w:spacing w:line="360" w:lineRule="auto"/>
        <w:shd w:val="clear" w:color="auto" w:fill="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项目编号：JSZC-320312-HZGC-G2026-0007</w:t>
      </w:r>
      <w:r/>
    </w:p>
    <w:p>
      <w:pPr>
        <w:pStyle w:val="744"/>
        <w:spacing w:line="360" w:lineRule="auto"/>
        <w:shd w:val="clear" w:color="auto" w:fill="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项目名称：交通违法综合管控平台系统升级采购项目</w:t>
      </w:r>
      <w:r/>
    </w:p>
    <w:p>
      <w:pPr>
        <w:jc w:val="left"/>
        <w:spacing w:line="360" w:lineRule="auto"/>
        <w:widowControl/>
        <w:rPr>
          <w:rFonts w:hint="default" w:ascii="宋体" w:hAnsi="宋体" w:eastAsia="宋体" w:cs="宋体"/>
          <w:b/>
          <w:color w:val="000000"/>
          <w:sz w:val="24"/>
          <w:szCs w:val="24"/>
          <w:lang w:val="en-US" w:eastAsia="zh-CN"/>
        </w:rPr>
      </w:pPr>
      <w:r>
        <w:rPr>
          <w:rFonts w:hint="eastAsia" w:ascii="宋体" w:hAnsi="宋体" w:eastAsia="宋体" w:cs="宋体"/>
          <w:color w:val="000000"/>
          <w:sz w:val="24"/>
          <w:szCs w:val="24"/>
        </w:rPr>
        <w:t xml:space="preserve"> </w:t>
      </w:r>
      <w:r>
        <w:rPr>
          <w:rFonts w:hint="eastAsia" w:ascii="宋体" w:hAnsi="宋体" w:eastAsia="宋体" w:cs="宋体"/>
          <w:b/>
          <w:color w:val="000000"/>
          <w:sz w:val="24"/>
          <w:szCs w:val="24"/>
        </w:rPr>
        <w:t xml:space="preserve">合同签署地点：</w:t>
      </w:r>
      <w:r>
        <w:rPr>
          <w:rFonts w:hint="eastAsia" w:ascii="宋体" w:hAnsi="宋体" w:cs="宋体"/>
          <w:color w:val="000000"/>
          <w:sz w:val="24"/>
          <w:highlight w:val="none"/>
          <w:lang w:eastAsia="zh-CN"/>
        </w:rPr>
        <w:t xml:space="preserve">徐州市公安局铜山分局</w:t>
      </w:r>
      <w:r/>
    </w:p>
    <w:p>
      <w:pPr>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根据《中华人民共和国民法典》以及相关法律法规的规定，经双方协商一致，就甲方采购乙方设备事宜，双方自愿签订如下合同： </w:t>
      </w:r>
      <w:r/>
    </w:p>
    <w:p>
      <w:pPr>
        <w:numPr>
          <w:ilvl w:val="0"/>
          <w:numId w:val="0"/>
        </w:numPr>
        <w:ind w:firstLine="482"/>
        <w:jc w:val="both"/>
        <w:keepLines w:val="0"/>
        <w:keepNext w:val="0"/>
        <w:pageBreakBefore w:val="0"/>
        <w:spacing w:line="560" w:lineRule="exact"/>
        <w:widowControl w:val="off"/>
        <w:rPr>
          <w:rFonts w:hint="eastAsia" w:ascii="宋体" w:hAnsi="宋体" w:eastAsia="宋体" w:cs="宋体"/>
          <w:bCs/>
          <w:color w:val="000000"/>
          <w:sz w:val="24"/>
          <w:szCs w:val="24"/>
        </w:rPr>
        <w:outlineLvl w:val="0"/>
      </w:pPr>
      <w:r>
        <w:rPr>
          <w:rFonts w:hint="eastAsia" w:ascii="宋体" w:hAnsi="宋体" w:eastAsia="宋体" w:cs="宋体"/>
          <w:b/>
          <w:color w:val="000000"/>
          <w:sz w:val="24"/>
          <w:szCs w:val="24"/>
          <w:highlight w:val="none"/>
        </w:rPr>
        <w:t xml:space="preserve">第一条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按</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规定条件进行供货，并送达到</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指定地点，经</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验收合格并交货完毕。价格包括</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履行本合同可能发生的所有费用，包括</w:t>
      </w:r>
      <w:r>
        <w:rPr>
          <w:rFonts w:hint="eastAsia" w:ascii="宋体" w:hAnsi="宋体" w:eastAsia="宋体" w:cs="宋体"/>
          <w:color w:val="000000"/>
          <w:sz w:val="24"/>
          <w:szCs w:val="24"/>
          <w:lang w:val="en-US" w:eastAsia="zh-CN"/>
        </w:rPr>
        <w:t xml:space="preserve">但</w:t>
      </w:r>
      <w:r>
        <w:rPr>
          <w:rFonts w:hint="eastAsia" w:ascii="宋体" w:hAnsi="宋体" w:eastAsia="宋体" w:cs="宋体"/>
          <w:color w:val="000000"/>
          <w:sz w:val="24"/>
          <w:szCs w:val="24"/>
        </w:rPr>
        <w:t xml:space="preserve">不限于货物制造、运输、保险、设备保管、税费、材料费、装卸费、安装调试费、人员培训、售后服务等费用。</w:t>
      </w:r>
      <w:r>
        <w:rPr>
          <w:rFonts w:hint="eastAsia" w:ascii="宋体" w:hAnsi="宋体" w:eastAsia="宋体" w:cs="宋体"/>
          <w:bCs/>
          <w:color w:val="000000"/>
          <w:sz w:val="24"/>
          <w:szCs w:val="24"/>
        </w:rPr>
        <w:t xml:space="preserve">详细配置以招标文件技术参数及</w:t>
      </w:r>
      <w:r>
        <w:rPr>
          <w:rFonts w:hint="eastAsia" w:ascii="宋体" w:hAnsi="宋体" w:eastAsia="宋体" w:cs="宋体"/>
          <w:bCs/>
          <w:color w:val="000000"/>
          <w:sz w:val="24"/>
          <w:szCs w:val="24"/>
          <w:lang w:val="en-US" w:eastAsia="zh-CN"/>
        </w:rPr>
        <w:t xml:space="preserve">采购目录</w:t>
      </w:r>
      <w:r>
        <w:rPr>
          <w:rFonts w:hint="eastAsia" w:ascii="宋体" w:hAnsi="宋体" w:eastAsia="宋体" w:cs="宋体"/>
          <w:bCs/>
          <w:color w:val="000000"/>
          <w:sz w:val="24"/>
          <w:szCs w:val="24"/>
        </w:rPr>
        <w:t xml:space="preserve">清单为准，乙方不得擅自变更核心组件品牌及供应商。</w:t>
      </w:r>
      <w:r/>
    </w:p>
    <w:p>
      <w:pPr>
        <w:ind w:firstLine="465"/>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第二条 交货方式与交货地点 </w:t>
      </w:r>
      <w:r/>
    </w:p>
    <w:p>
      <w:pPr>
        <w:ind w:firstLine="465"/>
        <w:jc w:val="left"/>
        <w:spacing w:line="52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rPr>
        <w:t xml:space="preserve">1、交货时间：</w:t>
      </w:r>
      <w:r>
        <w:rPr>
          <w:rFonts w:hint="eastAsia" w:ascii="宋体" w:hAnsi="宋体" w:eastAsia="宋体" w:cs="宋体"/>
          <w:bCs/>
          <w:color w:val="auto"/>
          <w:sz w:val="24"/>
          <w:szCs w:val="24"/>
          <w:highlight w:val="none"/>
        </w:rPr>
        <w:t xml:space="preserve">合同签订后</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30</w:t>
      </w:r>
      <w:r>
        <w:rPr>
          <w:rFonts w:hint="eastAsia" w:ascii="宋体" w:hAnsi="宋体" w:eastAsia="宋体" w:cs="宋体"/>
          <w:b w:val="0"/>
          <w:bCs/>
          <w:color w:val="auto"/>
          <w:sz w:val="24"/>
          <w:szCs w:val="24"/>
          <w:highlight w:val="none"/>
        </w:rPr>
        <w:t xml:space="preserve">日历天内</w:t>
      </w:r>
      <w:r>
        <w:rPr>
          <w:rFonts w:hint="eastAsia" w:ascii="宋体" w:hAnsi="宋体" w:eastAsia="宋体" w:cs="宋体"/>
          <w:bCs/>
          <w:color w:val="auto"/>
          <w:sz w:val="24"/>
          <w:szCs w:val="24"/>
          <w:highlight w:val="none"/>
        </w:rPr>
        <w:t xml:space="preserve">将合同标的全部交付并安装完毕。</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2、乙方负责将产品运至甲方指定地点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并承担运输、装卸、安装、税费等一切相关费用。</w:t>
      </w:r>
      <w:r/>
    </w:p>
    <w:p>
      <w:pPr>
        <w:ind w:left="480"/>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第三条 安装、调试与验收</w:t>
      </w:r>
      <w:r/>
    </w:p>
    <w:p>
      <w:pPr>
        <w:ind w:firstLine="482"/>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要安装的产品，由乙方负责安装和调试工作。产品正常运行后由乙方会同甲方相关部门按规定的标准共同组织验收。不需安装的产品由甲方组织验收。如果发现数量不足或有质量、技术等问题，乙方应在七日内，按照甲方的要求，采取补足、更换或退货等处理措施，并承担由此发生的一切损失和费用。</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验收时间：预计2026年12月初。</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验收地点：徐州市公安局铜山分局。</w:t>
      </w: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验收主</w:t>
      </w:r>
      <w:r>
        <w:rPr>
          <w:rFonts w:ascii="SimSun" w:hAnsi="SimSun" w:eastAsia="SimSun" w:cs="SimSun"/>
          <w:color w:val="000000"/>
          <w:sz w:val="24"/>
          <w:highlight w:val="white"/>
        </w:rPr>
        <w:t xml:space="preserve">体</w:t>
      </w:r>
      <w:r>
        <w:rPr>
          <w:rFonts w:ascii="SimSun" w:hAnsi="SimSun" w:eastAsia="SimSun" w:cs="SimSun"/>
          <w:color w:val="000000"/>
          <w:sz w:val="24"/>
          <w:highlight w:val="white"/>
        </w:rPr>
        <w:t xml:space="preserve">：</w:t>
      </w:r>
      <w:r>
        <w:rPr>
          <w:rFonts w:ascii="SimSun" w:hAnsi="SimSun" w:eastAsia="SimSun" w:cs="SimSun"/>
          <w:color w:val="000000"/>
          <w:sz w:val="24"/>
          <w:highlight w:val="white"/>
        </w:rPr>
        <w:t xml:space="preserve">徐州市公安局铜山分局</w:t>
      </w:r>
      <w:r>
        <w:rPr>
          <w:highlight w:val="white"/>
        </w:rPr>
      </w:r>
      <w:r/>
    </w:p>
    <w:p>
      <w:pPr>
        <w:ind w:left="0" w:right="0" w:firstLine="482"/>
        <w:jc w:val="both"/>
        <w:spacing w:before="0" w:after="0" w:line="55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验收内容：采购需求中采购清单及技术要求，需要安装的产品，由乙方负责安装和调试工作。产品正常运行后由乙方会同甲方相关部门按规定的标准共同组织验收。</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验收标准：合格，符合招标人约定的采购需求及国家或者部门规定的验收标准：《中华人民共和国道路交通安全法》《闯红灯自动记录系统通用技术条件》（GA/T 496-2024）《公共安全视频监控联网系统信息传输、交换、控制技术要求》（GB/T 28181-2022）《公路车辆智能监测记录系统通用技术条件》（GA/T 497-2016）《交通技术监控成像补光装置通用技术条件》（GA/T 1202-2022）《道路交通安全违法行为图像取证技术规范》（GA/T 832-2019）。</w:t>
      </w:r>
      <w:r/>
    </w:p>
    <w:p>
      <w:pPr>
        <w:ind w:left="0" w:right="2"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验收方式：货物运抵采购人处后由双方对照采购清单及技术要求，采购人组织验收会议并进行现场验收。</w:t>
      </w:r>
      <w:r/>
    </w:p>
    <w:p>
      <w:pPr>
        <w:ind w:left="0" w:right="2"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采购人有权委托我国相关具有检验资质的部门、单位、机构针对中标货物的精度（软硬件）、性能进行检验。其检验结果将作为验收标准的组成部分之一。</w:t>
      </w:r>
      <w:r/>
    </w:p>
    <w:p>
      <w:pPr>
        <w:ind w:left="0" w:right="2"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验收时中标人必须派代表参加。</w:t>
      </w:r>
      <w:r/>
    </w:p>
    <w:p>
      <w:pPr>
        <w:ind w:left="0" w:right="2"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验收过程所发生的一切费用由中标人承担。</w:t>
      </w:r>
      <w:r/>
    </w:p>
    <w:p>
      <w:pPr>
        <w:ind w:left="0" w:right="2"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中标人所提供的设备需满足采购清单的设备性能指标要求。</w:t>
      </w:r>
      <w:r/>
    </w:p>
    <w:p>
      <w:pPr>
        <w:ind w:left="0" w:right="2"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要求提供的设备、产品、文件（装箱单、保修单、随箱介质等）满足招标要求及验收标准。</w:t>
      </w:r>
      <w:r>
        <w:rPr>
          <w:sz w:val="24"/>
        </w:rPr>
      </w:r>
      <w:r/>
    </w:p>
    <w:p>
      <w:pPr>
        <w:ind w:firstLine="562"/>
        <w:jc w:val="left"/>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第四条</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付款方式（</w:t>
      </w:r>
      <w:r>
        <w:rPr>
          <w:rFonts w:hint="eastAsia" w:ascii="宋体" w:hAnsi="宋体" w:eastAsia="宋体" w:cs="宋体"/>
          <w:color w:val="000000"/>
          <w:sz w:val="24"/>
          <w:szCs w:val="24"/>
        </w:rPr>
        <w:t xml:space="preserve">采购资金的支付方式、时间、条件）</w:t>
      </w:r>
      <w:r/>
    </w:p>
    <w:p>
      <w:pPr>
        <w:ind w:firstLine="482"/>
        <w:jc w:val="left"/>
        <w:keepLines w:val="0"/>
        <w:keepNext w:val="0"/>
        <w:pageBreakBefore w:val="0"/>
        <w:spacing w:before="181" w:line="520" w:lineRule="exact"/>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本合同总金额为人民币大写金额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元（小写金额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元），经双方协商一致，选择以</w:t>
      </w:r>
      <w:r>
        <w:rPr>
          <w:rFonts w:hint="eastAsia" w:ascii="宋体" w:hAnsi="宋体" w:eastAsia="宋体" w:cs="宋体"/>
          <w:color w:val="auto"/>
          <w:sz w:val="24"/>
          <w:szCs w:val="24"/>
        </w:rPr>
        <w:t xml:space="preserve">下第</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种付款方式</w:t>
      </w:r>
      <w:r>
        <w:rPr>
          <w:rFonts w:hint="eastAsia" w:ascii="宋体" w:hAnsi="宋体" w:eastAsia="宋体" w:cs="宋体"/>
          <w:color w:val="000000"/>
          <w:sz w:val="24"/>
          <w:szCs w:val="24"/>
        </w:rPr>
        <w:t xml:space="preserve">。</w:t>
      </w:r>
      <w:r/>
    </w:p>
    <w:p>
      <w:pPr>
        <w:ind w:firstLine="482"/>
        <w:jc w:val="left"/>
        <w:keepLines w:val="0"/>
        <w:keepNext w:val="0"/>
        <w:pageBreakBefore w:val="0"/>
        <w:spacing w:before="18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（一）付款方式（提交预付款保函的） </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合同价款的百分之</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)元整，在双方签订合同，在双方签订合同后</w:t>
      </w:r>
      <w:r>
        <w:rPr>
          <w:rFonts w:hint="eastAsia" w:ascii="宋体" w:hAnsi="宋体" w:eastAsia="宋体" w:cs="宋体"/>
          <w:color w:val="auto"/>
          <w:sz w:val="24"/>
          <w:szCs w:val="24"/>
          <w:highlight w:val="none"/>
          <w:lang w:val="en-US" w:eastAsia="zh-CN"/>
        </w:rPr>
        <w:t xml:space="preserve">10个工作日内递交结算手续</w:t>
      </w:r>
      <w:r>
        <w:rPr>
          <w:rFonts w:hint="eastAsia" w:ascii="宋体" w:hAnsi="宋体" w:eastAsia="宋体" w:cs="宋体"/>
          <w:color w:val="auto"/>
          <w:sz w:val="24"/>
          <w:szCs w:val="24"/>
          <w:highlight w:val="none"/>
        </w:rPr>
        <w:t xml:space="preserve">，乙方向甲方出具等额预付款保函后，由甲方办理政府采购资金结算手续支付给乙方。 </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)元整，合同标的全部交付并安装完毕</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rPr>
        <w:t xml:space="preserve">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60天调试试用期满后</w:t>
      </w:r>
      <w:r>
        <w:rPr>
          <w:rFonts w:hint="eastAsia" w:ascii="宋体" w:hAnsi="宋体" w:eastAsia="宋体" w:cs="宋体"/>
          <w:color w:val="auto"/>
          <w:sz w:val="24"/>
          <w:szCs w:val="24"/>
          <w:highlight w:val="none"/>
          <w:lang w:val="en-US" w:eastAsia="zh-CN"/>
        </w:rPr>
        <w:t xml:space="preserve">递交结算手续</w:t>
      </w:r>
      <w:r>
        <w:rPr>
          <w:rFonts w:hint="eastAsia" w:ascii="宋体" w:hAnsi="宋体" w:eastAsia="宋体" w:cs="宋体"/>
          <w:color w:val="auto"/>
          <w:sz w:val="24"/>
          <w:szCs w:val="24"/>
          <w:highlight w:val="none"/>
        </w:rPr>
        <w:t xml:space="preserve">，由甲方办理政府采购资金结算手续，经审核通过后支付给乙方。</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卖方需提交的支付文件包括：卖方出具的全额正式发票； </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（二）付款方式（不提交预付款保函的） </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合同价款的百分之</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w:t>
      </w:r>
      <w:r>
        <w:rPr>
          <w:rFonts w:hint="eastAsia" w:ascii="宋体" w:hAnsi="宋体" w:eastAsia="宋体" w:cs="宋体"/>
          <w:color w:val="auto"/>
          <w:sz w:val="24"/>
          <w:szCs w:val="24"/>
          <w:highlight w:val="none"/>
          <w:lang w:val="en-US" w:eastAsia="zh-CN"/>
        </w:rPr>
        <w:t xml:space="preserve">10个工作日内递交结算手续</w:t>
      </w:r>
      <w:r>
        <w:rPr>
          <w:rFonts w:hint="eastAsia" w:ascii="宋体" w:hAnsi="宋体" w:eastAsia="宋体" w:cs="宋体"/>
          <w:color w:val="auto"/>
          <w:sz w:val="24"/>
          <w:szCs w:val="24"/>
          <w:highlight w:val="none"/>
        </w:rPr>
        <w:t xml:space="preserve">，由甲方办理政府采购资金结算手续支付给乙方。</w:t>
      </w:r>
      <w:r/>
    </w:p>
    <w:p>
      <w:pPr>
        <w:ind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)元整,合同标的全部交付并安装完毕验收</w:t>
      </w:r>
      <w:r>
        <w:rPr>
          <w:rFonts w:hint="eastAsia" w:ascii="宋体" w:hAnsi="宋体" w:eastAsia="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rPr>
        <w:t xml:space="preserve">后</w:t>
      </w:r>
      <w:r>
        <w:rPr>
          <w:rFonts w:hint="eastAsia" w:ascii="宋体" w:hAnsi="宋体" w:cs="宋体"/>
          <w:color w:val="auto"/>
          <w:sz w:val="24"/>
          <w:szCs w:val="24"/>
          <w:highlight w:val="none"/>
          <w:lang w:val="en-US" w:eastAsia="zh-CN"/>
        </w:rPr>
        <w:t xml:space="preserve">60天调试试用期满后</w:t>
      </w:r>
      <w:r>
        <w:rPr>
          <w:rFonts w:hint="eastAsia" w:ascii="宋体" w:hAnsi="宋体" w:eastAsia="宋体" w:cs="宋体"/>
          <w:color w:val="auto"/>
          <w:sz w:val="24"/>
          <w:szCs w:val="24"/>
          <w:highlight w:val="none"/>
          <w:lang w:val="en-US" w:eastAsia="zh-CN"/>
        </w:rPr>
        <w:t xml:space="preserve">递交结算手续</w:t>
      </w:r>
      <w:r>
        <w:rPr>
          <w:rFonts w:hint="eastAsia" w:ascii="宋体" w:hAnsi="宋体" w:eastAsia="宋体" w:cs="宋体"/>
          <w:color w:val="auto"/>
          <w:sz w:val="24"/>
          <w:szCs w:val="24"/>
          <w:highlight w:val="none"/>
        </w:rPr>
        <w:t xml:space="preserve">，由甲方办理政府采购资金结算手续，经审核通过后支付给乙方。</w:t>
      </w:r>
      <w:r/>
    </w:p>
    <w:p>
      <w:pPr>
        <w:numPr>
          <w:ilvl w:val="0"/>
          <w:numId w:val="3"/>
        </w:numPr>
        <w:ind w:firstLine="482"/>
        <w:jc w:val="left"/>
        <w:spacing w:line="52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在签订合同时，供应商明确表示无需预付款的，按以下付款方式支付。（注：此条符合苏财购〔2020〕52号文件要求）</w:t>
      </w:r>
      <w:r/>
    </w:p>
    <w:p>
      <w:pPr>
        <w:ind w:firstLine="560"/>
        <w:jc w:val="left"/>
        <w:spacing w:line="52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合同总价的百分之百(100%)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)元整，合同标的全部交付，安装调试完毕并验收合格后，</w:t>
      </w:r>
      <w:r>
        <w:rPr>
          <w:rFonts w:hint="eastAsia" w:ascii="宋体" w:hAnsi="宋体" w:cs="宋体"/>
          <w:color w:val="auto"/>
          <w:sz w:val="24"/>
          <w:szCs w:val="24"/>
          <w:highlight w:val="none"/>
          <w:lang w:val="en-US" w:eastAsia="zh-CN"/>
        </w:rPr>
        <w:t xml:space="preserve">60天调试试用期满后</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方提供对应金额的增值税发票后，由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办理政府采购资金结算手续支付给</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w:t>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乙方需提交的支付文件包括：乙方出具的全额正式发票。乙方未出具发票的，甲方有权拒绝付款且不承担违约责任，但乙方仍应按照约定履行合同义务。</w:t>
      </w:r>
      <w:r/>
    </w:p>
    <w:p>
      <w:pPr>
        <w:ind w:firstLine="56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b/>
          <w:color w:val="000000"/>
          <w:sz w:val="24"/>
          <w:szCs w:val="24"/>
        </w:rPr>
        <w:t xml:space="preserve">第五条</w:t>
      </w:r>
      <w:r>
        <w:rPr>
          <w:rFonts w:hint="eastAsia" w:ascii="宋体" w:hAnsi="宋体" w:cs="宋体"/>
          <w:b/>
          <w:color w:val="000000"/>
          <w:sz w:val="24"/>
          <w:szCs w:val="24"/>
          <w:lang w:val="en-US" w:eastAsia="zh-CN"/>
        </w:rPr>
        <w:t xml:space="preserve">  </w:t>
      </w:r>
      <w:bookmarkStart w:id="16" w:name="_GoBack"/>
      <w:r>
        <w:rPr>
          <w:rFonts w:hint="eastAsia" w:ascii="宋体" w:hAnsi="宋体" w:cs="宋体"/>
          <w:b/>
          <w:bCs/>
          <w:color w:val="auto"/>
          <w:sz w:val="24"/>
          <w:szCs w:val="24"/>
          <w:highlight w:val="none"/>
          <w:lang w:val="en-US" w:eastAsia="zh-CN"/>
        </w:rPr>
        <w:t xml:space="preserve">履约保证</w:t>
      </w:r>
      <w:bookmarkEnd w:id="16"/>
      <w:r>
        <w:rPr>
          <w:rFonts w:hint="eastAsia" w:ascii="宋体" w:hAnsi="宋体" w:cs="宋体"/>
          <w:b/>
          <w:bCs/>
          <w:color w:val="auto"/>
          <w:sz w:val="24"/>
          <w:szCs w:val="24"/>
          <w:highlight w:val="none"/>
          <w:lang w:val="en-US" w:eastAsia="zh-CN"/>
        </w:rPr>
        <w:t xml:space="preserve">金：无。</w:t>
      </w:r>
      <w:r/>
    </w:p>
    <w:p>
      <w:pPr>
        <w:ind w:firstLine="562"/>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w:t>
      </w:r>
      <w:r>
        <w:rPr>
          <w:rFonts w:hint="eastAsia" w:ascii="宋体" w:hAnsi="宋体" w:cs="宋体"/>
          <w:b/>
          <w:color w:val="000000"/>
          <w:sz w:val="24"/>
          <w:szCs w:val="24"/>
          <w:lang w:val="en-US" w:eastAsia="zh-CN"/>
        </w:rPr>
        <w:t xml:space="preserve">六</w:t>
      </w:r>
      <w:r>
        <w:rPr>
          <w:rFonts w:hint="eastAsia" w:ascii="宋体" w:hAnsi="宋体" w:eastAsia="宋体" w:cs="宋体"/>
          <w:b/>
          <w:color w:val="000000"/>
          <w:sz w:val="24"/>
          <w:szCs w:val="24"/>
        </w:rPr>
        <w:t xml:space="preserve">条 质量保证、</w:t>
      </w:r>
      <w:r>
        <w:rPr>
          <w:rFonts w:hint="eastAsia" w:ascii="宋体" w:hAnsi="宋体" w:eastAsia="宋体" w:cs="宋体"/>
          <w:b/>
          <w:color w:val="000000"/>
          <w:sz w:val="24"/>
          <w:szCs w:val="24"/>
          <w:lang w:val="en-US" w:eastAsia="zh-CN"/>
        </w:rPr>
        <w:t xml:space="preserve">质保</w:t>
      </w:r>
      <w:r>
        <w:rPr>
          <w:rFonts w:hint="eastAsia" w:ascii="宋体" w:hAnsi="宋体" w:eastAsia="宋体" w:cs="宋体"/>
          <w:b/>
          <w:color w:val="000000"/>
          <w:sz w:val="24"/>
          <w:szCs w:val="24"/>
        </w:rPr>
        <w:t xml:space="preserve">期及服务承诺</w:t>
      </w:r>
      <w:r/>
    </w:p>
    <w:p>
      <w:pPr>
        <w:ind w:firstLine="56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ind w:firstLine="56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2.产品的</w:t>
      </w:r>
      <w:r>
        <w:rPr>
          <w:rFonts w:hint="eastAsia" w:ascii="宋体" w:hAnsi="宋体" w:eastAsia="宋体" w:cs="宋体"/>
          <w:color w:val="auto"/>
          <w:sz w:val="24"/>
          <w:szCs w:val="24"/>
          <w:highlight w:val="none"/>
          <w:lang w:val="en-US" w:eastAsia="zh-CN"/>
        </w:rPr>
        <w:t xml:space="preserve">质保</w:t>
      </w:r>
      <w:r>
        <w:rPr>
          <w:rFonts w:hint="eastAsia" w:ascii="宋体" w:hAnsi="宋体" w:eastAsia="宋体" w:cs="宋体"/>
          <w:color w:val="auto"/>
          <w:sz w:val="24"/>
          <w:szCs w:val="24"/>
          <w:highlight w:val="none"/>
        </w:rPr>
        <w:t xml:space="preserve">期（以验收合格日算起</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lang w:val="en-US" w:eastAsia="zh-CN"/>
        </w:rPr>
        <w:t xml:space="preserve">5年</w:t>
      </w:r>
      <w:r>
        <w:rPr>
          <w:rFonts w:hint="eastAsia" w:ascii="宋体" w:hAnsi="宋体" w:eastAsia="宋体" w:cs="宋体"/>
          <w:color w:val="auto"/>
          <w:sz w:val="24"/>
          <w:szCs w:val="24"/>
          <w:highlight w:val="none"/>
          <w:u w:val="single"/>
        </w:rPr>
        <w:t xml:space="preserve">，</w:t>
      </w:r>
      <w:r>
        <w:rPr>
          <w:rFonts w:hint="eastAsia" w:ascii="宋体" w:hAnsi="宋体" w:eastAsia="宋体" w:cs="宋体"/>
          <w:bCs/>
          <w:color w:val="auto"/>
          <w:sz w:val="24"/>
          <w:szCs w:val="24"/>
          <w:highlight w:val="none"/>
          <w:lang w:val="en-US" w:eastAsia="zh-CN"/>
        </w:rPr>
        <w:t xml:space="preserve">质保</w:t>
      </w:r>
      <w:r>
        <w:rPr>
          <w:rFonts w:hint="eastAsia" w:ascii="宋体" w:hAnsi="宋体" w:eastAsia="宋体" w:cs="宋体"/>
          <w:color w:val="auto"/>
          <w:sz w:val="24"/>
          <w:szCs w:val="24"/>
          <w:highlight w:val="none"/>
        </w:rPr>
        <w:t xml:space="preserve">期内免费维修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免费升级</w:t>
      </w:r>
      <w:r>
        <w:rPr>
          <w:rFonts w:hint="eastAsia" w:ascii="宋体" w:hAnsi="宋体" w:eastAsia="宋体" w:cs="宋体"/>
          <w:color w:val="auto"/>
          <w:sz w:val="24"/>
          <w:szCs w:val="24"/>
          <w:highlight w:val="none"/>
        </w:rPr>
        <w:t xml:space="preserve">。乙方应按生产厂家的保修规定和投标文件说明的服务承诺，做好免费保修</w:t>
      </w:r>
      <w:r>
        <w:rPr>
          <w:rFonts w:hint="eastAsia" w:ascii="宋体" w:hAnsi="宋体" w:eastAsia="宋体" w:cs="宋体"/>
          <w:color w:val="auto"/>
          <w:sz w:val="24"/>
          <w:szCs w:val="24"/>
          <w:highlight w:val="none"/>
          <w:lang w:val="en-US" w:eastAsia="zh-CN"/>
        </w:rPr>
        <w:t xml:space="preserve">和升级</w:t>
      </w:r>
      <w:r>
        <w:rPr>
          <w:rFonts w:hint="eastAsia" w:ascii="宋体" w:hAnsi="宋体" w:eastAsia="宋体" w:cs="宋体"/>
          <w:color w:val="auto"/>
          <w:sz w:val="24"/>
          <w:szCs w:val="24"/>
          <w:highlight w:val="none"/>
        </w:rPr>
        <w:t xml:space="preserve">等服务。</w:t>
      </w:r>
      <w:r>
        <w:rPr>
          <w:rFonts w:hint="eastAsia" w:ascii="宋体" w:hAnsi="宋体" w:eastAsia="宋体" w:cs="宋体"/>
          <w:color w:val="auto"/>
          <w:sz w:val="24"/>
          <w:szCs w:val="24"/>
          <w:highlight w:val="none"/>
          <w:lang w:val="en-US" w:eastAsia="zh-CN"/>
        </w:rPr>
        <w:t xml:space="preserve">质保</w:t>
      </w:r>
      <w:r>
        <w:rPr>
          <w:rFonts w:hint="eastAsia" w:ascii="宋体" w:hAnsi="宋体" w:eastAsia="宋体" w:cs="宋体"/>
          <w:color w:val="auto"/>
          <w:sz w:val="24"/>
          <w:szCs w:val="24"/>
          <w:highlight w:val="none"/>
        </w:rPr>
        <w:t xml:space="preserve">期满后，乙方承诺仅收取维修配件的成本费，不得收取差旅费、上门费等额外费用。乙方提供的维修配件质保期自更换之日起重新计算，不得短于原设备剩余保修期。</w:t>
      </w:r>
      <w:r/>
    </w:p>
    <w:p>
      <w:pPr>
        <w:ind w:firstLine="56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维修配件质保期内免费提供，质保期后按投标文件承诺的优惠价格供应。</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w:t>
      </w:r>
      <w:r>
        <w:rPr>
          <w:rFonts w:hint="eastAsia" w:ascii="宋体" w:hAnsi="宋体" w:cs="宋体"/>
          <w:b/>
          <w:color w:val="000000"/>
          <w:sz w:val="24"/>
          <w:szCs w:val="24"/>
          <w:lang w:val="en-US" w:eastAsia="zh-CN"/>
        </w:rPr>
        <w:t xml:space="preserve">七</w:t>
      </w:r>
      <w:r>
        <w:rPr>
          <w:rFonts w:hint="eastAsia" w:ascii="宋体" w:hAnsi="宋体" w:eastAsia="宋体" w:cs="宋体"/>
          <w:b/>
          <w:color w:val="000000"/>
          <w:sz w:val="24"/>
          <w:szCs w:val="24"/>
        </w:rPr>
        <w:t xml:space="preserve">条 违约责任 </w:t>
      </w:r>
      <w:r/>
    </w:p>
    <w:p>
      <w:pPr>
        <w:ind w:firstLine="480"/>
        <w:jc w:val="left"/>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1．非乙方供货质量问题，甲方中途不得退货，否则甲方应按合同总额的</w:t>
      </w:r>
      <w:r>
        <w:rPr>
          <w:rFonts w:hint="eastAsia" w:ascii="宋体" w:hAnsi="宋体" w:eastAsia="宋体" w:cs="宋体"/>
          <w:color w:val="auto"/>
          <w:sz w:val="24"/>
          <w:szCs w:val="24"/>
          <w:u w:val="single"/>
        </w:rPr>
        <w:t xml:space="preserve">百分之一</w:t>
      </w:r>
      <w:r>
        <w:rPr>
          <w:rFonts w:hint="eastAsia" w:ascii="宋体" w:hAnsi="宋体" w:eastAsia="宋体" w:cs="宋体"/>
          <w:color w:val="auto"/>
          <w:sz w:val="24"/>
          <w:szCs w:val="24"/>
        </w:rPr>
        <w:t xml:space="preserve">向乙方支付违约金。</w:t>
      </w:r>
      <w:r/>
    </w:p>
    <w:p>
      <w:pPr>
        <w:ind w:firstLine="480"/>
        <w:jc w:val="left"/>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2.乙方不能及时提供本合同规定的产品以及应履行的义务，甲方在发出违约通知后3日乙方不能纠正时，甲方可以终止全部或部分合同。同时，乙方应返还甲方所支付款项，并按合同总金额的</w:t>
      </w:r>
      <w:r>
        <w:rPr>
          <w:rFonts w:hint="eastAsia" w:ascii="宋体" w:hAnsi="宋体" w:eastAsia="宋体" w:cs="宋体"/>
          <w:color w:val="auto"/>
          <w:sz w:val="24"/>
          <w:szCs w:val="24"/>
          <w:u w:val="single"/>
        </w:rPr>
        <w:t xml:space="preserve">百分之十</w:t>
      </w:r>
      <w:r>
        <w:rPr>
          <w:rFonts w:hint="eastAsia" w:ascii="宋体" w:hAnsi="宋体" w:eastAsia="宋体" w:cs="宋体"/>
          <w:color w:val="auto"/>
          <w:sz w:val="24"/>
          <w:szCs w:val="24"/>
        </w:rPr>
        <w:t xml:space="preserve">向甲方支付违约金，并赔偿因此造成的损失。</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auto"/>
          <w:sz w:val="24"/>
          <w:szCs w:val="24"/>
        </w:rPr>
        <w:t xml:space="preserve">3.乙方所供</w:t>
      </w:r>
      <w:r>
        <w:rPr>
          <w:rFonts w:hint="eastAsia" w:ascii="宋体" w:hAnsi="宋体" w:eastAsia="宋体" w:cs="宋体"/>
          <w:color w:val="000000"/>
          <w:sz w:val="24"/>
          <w:szCs w:val="24"/>
        </w:rPr>
        <w:t xml:space="preserve">产品如验收不合格，或者品种、型号、规格、花色质量不符合合同规定的，甲方有权拒绝付款。根据甲方的要求，乙方必须无条件换货或退货，由此引起的一切费用损失由乙方承担。</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4.乙方逾期供货，每逾期一日，按合同总金额的万分之三向甲方支付违约金。</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5.乙方违反质量条款交付产品，乙方应在甲方书面通知七日内提供符合约定质量标准的产品，每逾期一日承担合同金额万分之三的违约金。</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6.乙方在</w:t>
      </w:r>
      <w:r>
        <w:rPr>
          <w:rFonts w:hint="eastAsia" w:ascii="宋体" w:hAnsi="宋体" w:eastAsia="宋体" w:cs="宋体"/>
          <w:color w:val="000000"/>
          <w:sz w:val="24"/>
          <w:szCs w:val="24"/>
          <w:lang w:val="en-US" w:eastAsia="zh-CN"/>
        </w:rPr>
        <w:t xml:space="preserve">产品安装期间</w:t>
      </w:r>
      <w:r>
        <w:rPr>
          <w:rFonts w:hint="eastAsia" w:ascii="宋体" w:hAnsi="宋体" w:eastAsia="宋体" w:cs="宋体"/>
          <w:color w:val="000000"/>
          <w:sz w:val="24"/>
          <w:szCs w:val="24"/>
        </w:rPr>
        <w:t xml:space="preserve">应严格遵守《中华人民共和国消防</w:t>
      </w:r>
      <w:r>
        <w:rPr>
          <w:rFonts w:hint="eastAsia" w:ascii="宋体" w:hAnsi="宋体" w:eastAsia="宋体" w:cs="宋体"/>
          <w:color w:val="000000"/>
          <w:sz w:val="24"/>
          <w:szCs w:val="24"/>
          <w:lang w:val="en-US" w:eastAsia="zh-CN"/>
        </w:rPr>
        <w:t xml:space="preserve">法</w:t>
      </w:r>
      <w:r>
        <w:rPr>
          <w:rFonts w:hint="eastAsia" w:ascii="宋体" w:hAnsi="宋体" w:eastAsia="宋体" w:cs="宋体"/>
          <w:color w:val="000000"/>
          <w:sz w:val="24"/>
          <w:szCs w:val="24"/>
        </w:rPr>
        <w:t xml:space="preserve">》和其他相关的法规、规范。</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7.乙方在</w:t>
      </w:r>
      <w:r>
        <w:rPr>
          <w:rFonts w:hint="eastAsia" w:ascii="宋体" w:hAnsi="宋体" w:eastAsia="宋体" w:cs="宋体"/>
          <w:color w:val="000000"/>
          <w:sz w:val="24"/>
          <w:szCs w:val="24"/>
          <w:lang w:val="en-US" w:eastAsia="zh-CN"/>
        </w:rPr>
        <w:t xml:space="preserve">产品安装</w:t>
      </w:r>
      <w:r>
        <w:rPr>
          <w:rFonts w:hint="eastAsia" w:ascii="宋体" w:hAnsi="宋体" w:eastAsia="宋体" w:cs="宋体"/>
          <w:color w:val="000000"/>
          <w:sz w:val="24"/>
          <w:szCs w:val="24"/>
        </w:rPr>
        <w:t xml:space="preserve">过程中违反有关安全操作规程、消防</w:t>
      </w:r>
      <w:r>
        <w:rPr>
          <w:rFonts w:hint="eastAsia" w:ascii="宋体" w:hAnsi="宋体" w:eastAsia="宋体" w:cs="宋体"/>
          <w:color w:val="000000"/>
          <w:sz w:val="24"/>
          <w:szCs w:val="24"/>
          <w:lang w:val="en-US" w:eastAsia="zh-CN"/>
        </w:rPr>
        <w:t xml:space="preserve">法</w:t>
      </w:r>
      <w:r>
        <w:rPr>
          <w:rFonts w:hint="eastAsia" w:ascii="宋体" w:hAnsi="宋体" w:eastAsia="宋体" w:cs="宋体"/>
          <w:color w:val="000000"/>
          <w:sz w:val="24"/>
          <w:szCs w:val="24"/>
        </w:rPr>
        <w:t xml:space="preserve">和防火规范，导致发生安全或火灾事故，乙方应承担由此产生的一切经济损失；在</w:t>
      </w:r>
      <w:r>
        <w:rPr>
          <w:rFonts w:hint="eastAsia" w:ascii="宋体" w:hAnsi="宋体" w:eastAsia="宋体" w:cs="宋体"/>
          <w:color w:val="000000"/>
          <w:sz w:val="24"/>
          <w:szCs w:val="24"/>
          <w:lang w:val="en-US" w:eastAsia="zh-CN"/>
        </w:rPr>
        <w:t xml:space="preserve">产品安装</w:t>
      </w:r>
      <w:r>
        <w:rPr>
          <w:rFonts w:hint="eastAsia" w:ascii="宋体" w:hAnsi="宋体" w:eastAsia="宋体" w:cs="宋体"/>
          <w:color w:val="000000"/>
          <w:sz w:val="24"/>
          <w:szCs w:val="24"/>
        </w:rPr>
        <w:t xml:space="preserve">过程中，如发生人员伤亡事故，所产生的一切损失，由乙方自行承担。</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8.甲方未按合同规定的时间和要求提供相应的场地技术资料等，交货日期经双方协商可相应顺延。</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w:t>
      </w:r>
      <w:r>
        <w:rPr>
          <w:rFonts w:hint="eastAsia" w:ascii="宋体" w:hAnsi="宋体" w:cs="宋体"/>
          <w:b/>
          <w:color w:val="000000"/>
          <w:sz w:val="24"/>
          <w:szCs w:val="24"/>
          <w:lang w:val="en-US" w:eastAsia="zh-CN"/>
        </w:rPr>
        <w:t xml:space="preserve">八</w:t>
      </w:r>
      <w:r>
        <w:rPr>
          <w:rFonts w:hint="eastAsia" w:ascii="宋体" w:hAnsi="宋体" w:eastAsia="宋体" w:cs="宋体"/>
          <w:b/>
          <w:color w:val="000000"/>
          <w:sz w:val="24"/>
          <w:szCs w:val="24"/>
        </w:rPr>
        <w:t xml:space="preserve">条 不可抗力</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w:t>
      </w:r>
      <w:r>
        <w:rPr>
          <w:rFonts w:hint="eastAsia" w:ascii="宋体" w:hAnsi="宋体" w:cs="宋体"/>
          <w:b/>
          <w:color w:val="000000"/>
          <w:sz w:val="24"/>
          <w:szCs w:val="24"/>
          <w:lang w:val="en-US" w:eastAsia="zh-CN"/>
        </w:rPr>
        <w:t xml:space="preserve">九</w:t>
      </w:r>
      <w:r>
        <w:rPr>
          <w:rFonts w:hint="eastAsia" w:ascii="宋体" w:hAnsi="宋体" w:eastAsia="宋体" w:cs="宋体"/>
          <w:b/>
          <w:color w:val="000000"/>
          <w:sz w:val="24"/>
          <w:szCs w:val="24"/>
        </w:rPr>
        <w:t xml:space="preserve">条 争议解决方法</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甲、乙双方因履行本合同发生争议时，应友好协商；协商不成时，可向甲方所在地人民法院提出诉讼。</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w:t>
      </w:r>
      <w:r>
        <w:rPr>
          <w:rFonts w:hint="eastAsia" w:ascii="宋体" w:hAnsi="宋体" w:cs="宋体"/>
          <w:b/>
          <w:color w:val="000000"/>
          <w:sz w:val="24"/>
          <w:szCs w:val="24"/>
          <w:lang w:val="en-US" w:eastAsia="zh-CN"/>
        </w:rPr>
        <w:t xml:space="preserve">十</w:t>
      </w:r>
      <w:r>
        <w:rPr>
          <w:rFonts w:hint="eastAsia" w:ascii="宋体" w:hAnsi="宋体" w:eastAsia="宋体" w:cs="宋体"/>
          <w:b/>
          <w:color w:val="000000"/>
          <w:sz w:val="24"/>
          <w:szCs w:val="24"/>
        </w:rPr>
        <w:t xml:space="preserve">条 合同附件</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是合同不可分割的组成部分，与本合同具有同等法律效力。本合同附件包括：供货范围和价格清单、配置清单、技术标准、设备技术说明、售后服务和技术培训、质保期内设备所有备品备件清单、质保期满后供选购的所有备品备件及消耗品清单等。</w:t>
      </w:r>
      <w:r/>
    </w:p>
    <w:p>
      <w:pPr>
        <w:ind w:firstLine="482"/>
        <w:jc w:val="left"/>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第十</w:t>
      </w:r>
      <w:r>
        <w:rPr>
          <w:rFonts w:hint="eastAsia" w:ascii="宋体" w:hAnsi="宋体" w:cs="宋体"/>
          <w:b/>
          <w:color w:val="000000"/>
          <w:sz w:val="24"/>
          <w:szCs w:val="24"/>
          <w:lang w:val="en-US" w:eastAsia="zh-CN"/>
        </w:rPr>
        <w:t xml:space="preserve">一</w:t>
      </w:r>
      <w:r>
        <w:rPr>
          <w:rFonts w:hint="eastAsia" w:ascii="宋体" w:hAnsi="宋体" w:eastAsia="宋体" w:cs="宋体"/>
          <w:b/>
          <w:color w:val="000000"/>
          <w:sz w:val="24"/>
          <w:szCs w:val="24"/>
        </w:rPr>
        <w:t xml:space="preserve">条</w:t>
      </w:r>
      <w:r>
        <w:rPr>
          <w:rFonts w:hint="eastAsia" w:ascii="宋体" w:hAnsi="宋体" w:eastAsia="宋体" w:cs="宋体"/>
          <w:color w:val="000000"/>
          <w:sz w:val="24"/>
          <w:szCs w:val="24"/>
        </w:rPr>
        <w:t xml:space="preserve"> 甲方招标文件、乙方投标文件及乙方投标最终报价单、承诺等附属内容均为本合同一部分。</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第十</w:t>
      </w:r>
      <w:r>
        <w:rPr>
          <w:rFonts w:hint="eastAsia" w:ascii="宋体" w:hAnsi="宋体" w:cs="宋体"/>
          <w:b/>
          <w:color w:val="000000"/>
          <w:sz w:val="24"/>
          <w:szCs w:val="24"/>
          <w:lang w:val="en-US" w:eastAsia="zh-CN"/>
        </w:rPr>
        <w:t xml:space="preserve">二</w:t>
      </w:r>
      <w:r>
        <w:rPr>
          <w:rFonts w:hint="eastAsia" w:ascii="宋体" w:hAnsi="宋体" w:eastAsia="宋体" w:cs="宋体"/>
          <w:b/>
          <w:color w:val="000000"/>
          <w:sz w:val="24"/>
          <w:szCs w:val="24"/>
        </w:rPr>
        <w:t xml:space="preserve">条 其它</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1.本合同未尽事宜，由甲乙双方另行签订补充协议，补充协议是本合同的组成部分，与本合同具有同等法律效力。</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2.本合同壹式肆份，甲方执叁份，乙方执壹份。自双方签字、盖章之日生效。</w:t>
      </w:r>
      <w:r/>
    </w:p>
    <w:p>
      <w:pPr>
        <w:jc w:val="left"/>
        <w:keepLines w:val="0"/>
        <w:keepNext w:val="0"/>
        <w:pageBreakBefore w:val="0"/>
        <w:spacing w:before="156" w:after="156"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left"/>
        <w:keepLines w:val="0"/>
        <w:keepNext w:val="0"/>
        <w:pageBreakBefore w:val="0"/>
        <w:spacing w:before="156" w:after="156"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甲方：</w:t>
      </w:r>
      <w:r>
        <w:rPr>
          <w:rFonts w:hint="eastAsia" w:ascii="宋体" w:hAnsi="宋体" w:cs="宋体"/>
          <w:b/>
          <w:color w:val="000000"/>
          <w:sz w:val="24"/>
          <w:szCs w:val="24"/>
          <w:u w:val="single"/>
          <w:lang w:eastAsia="zh-CN"/>
        </w:rPr>
        <w:t xml:space="preserve">徐州市公安局铜山分局 </w:t>
      </w:r>
      <w:r>
        <w:rPr>
          <w:rFonts w:hint="eastAsia" w:ascii="宋体" w:hAnsi="宋体" w:eastAsia="宋体" w:cs="宋体"/>
          <w:b/>
          <w:color w:val="000000"/>
          <w:sz w:val="24"/>
          <w:szCs w:val="24"/>
        </w:rPr>
        <w:t xml:space="preserve">（盖章）  </w:t>
      </w:r>
      <w:r>
        <w:rPr>
          <w:rFonts w:hint="eastAsia" w:ascii="宋体" w:hAnsi="宋体" w:eastAsia="宋体" w:cs="宋体"/>
          <w:b/>
          <w:color w:val="000000"/>
          <w:sz w:val="24"/>
          <w:szCs w:val="24"/>
          <w:lang w:val="en-US" w:eastAsia="zh-CN"/>
        </w:rPr>
        <w:t xml:space="preserve"> </w:t>
      </w:r>
      <w:r>
        <w:rPr>
          <w:rFonts w:hint="eastAsia" w:ascii="宋体" w:hAnsi="宋体" w:cs="宋体"/>
          <w:b/>
          <w:color w:val="000000"/>
          <w:sz w:val="24"/>
          <w:szCs w:val="24"/>
          <w:lang w:val="en-US" w:eastAsia="zh-CN"/>
        </w:rPr>
        <w:t xml:space="preserve">     </w:t>
      </w:r>
      <w:r>
        <w:rPr>
          <w:rFonts w:hint="eastAsia" w:ascii="宋体" w:hAnsi="宋体" w:eastAsia="宋体" w:cs="宋体"/>
          <w:b/>
          <w:color w:val="000000"/>
          <w:sz w:val="24"/>
          <w:szCs w:val="24"/>
        </w:rPr>
        <w:t xml:space="preserve">乙方：</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（盖章）</w:t>
      </w:r>
      <w:r/>
    </w:p>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法定代表人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   </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b/>
          <w:color w:val="000000"/>
          <w:sz w:val="24"/>
          <w:szCs w:val="24"/>
        </w:rPr>
        <w:t xml:space="preserve">法定代表人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ab/>
      </w:r>
      <w:r/>
    </w:p>
    <w:p>
      <w:pPr>
        <w:jc w:val="left"/>
        <w:keepLines w:val="0"/>
        <w:keepNext w:val="0"/>
        <w:pageBreakBefore w:val="0"/>
        <w:spacing w:line="360" w:lineRule="auto"/>
        <w:widowControl/>
        <w:rPr>
          <w:rFonts w:hint="default" w:ascii="宋体" w:hAnsi="宋体" w:eastAsia="宋体" w:cs="宋体"/>
          <w:color w:val="000000"/>
          <w:sz w:val="24"/>
          <w:szCs w:val="24"/>
          <w:u w:val="single"/>
          <w:lang w:val="en-US" w:eastAsia="zh-CN"/>
        </w:rPr>
      </w:pPr>
      <w:r>
        <w:rPr>
          <w:rFonts w:hint="eastAsia" w:ascii="宋体" w:hAnsi="宋体" w:eastAsia="宋体" w:cs="宋体"/>
          <w:b/>
          <w:color w:val="000000"/>
          <w:sz w:val="24"/>
          <w:szCs w:val="24"/>
        </w:rPr>
        <w:t xml:space="preserve">委托代表人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  </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b/>
          <w:color w:val="000000"/>
          <w:sz w:val="24"/>
          <w:szCs w:val="24"/>
        </w:rPr>
        <w:t xml:space="preserve">委托代表人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开户银行</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  </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b/>
          <w:color w:val="000000"/>
          <w:sz w:val="24"/>
          <w:szCs w:val="24"/>
        </w:rPr>
        <w:t xml:space="preserve">开户银行</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rPr>
        <w:t xml:space="preserve">  </w:t>
      </w:r>
      <w:r>
        <w:rPr>
          <w:rFonts w:hint="eastAsia" w:ascii="宋体" w:hAnsi="宋体" w:cs="宋体"/>
          <w:b/>
          <w:bCs/>
          <w:color w:val="000000"/>
          <w:sz w:val="24"/>
          <w:szCs w:val="24"/>
          <w:u w:val="single"/>
          <w:lang w:val="en-US" w:eastAsia="zh-CN"/>
        </w:rPr>
        <w:t xml:space="preserve">        </w:t>
      </w:r>
      <w:r>
        <w:rPr>
          <w:rFonts w:hint="eastAsia" w:ascii="宋体" w:hAnsi="宋体" w:eastAsia="宋体" w:cs="宋体"/>
          <w:b/>
          <w:bCs/>
          <w:color w:val="000000"/>
          <w:sz w:val="24"/>
          <w:szCs w:val="24"/>
          <w:u w:val="single"/>
        </w:rPr>
        <w:tab/>
      </w:r>
      <w:r>
        <w:rPr>
          <w:rFonts w:hint="eastAsia" w:ascii="宋体" w:hAnsi="宋体" w:eastAsia="宋体" w:cs="宋体"/>
          <w:color w:val="000000"/>
          <w:sz w:val="24"/>
          <w:szCs w:val="24"/>
          <w:u w:val="single"/>
        </w:rPr>
        <w:t xml:space="preserve">       </w:t>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帐    号</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u w:val="none"/>
        </w:rPr>
        <w:t xml:space="preserve">   </w:t>
      </w:r>
      <w:r>
        <w:rPr>
          <w:rFonts w:hint="eastAsia" w:ascii="宋体" w:hAnsi="宋体" w:eastAsia="宋体" w:cs="宋体"/>
          <w:b/>
          <w:bCs/>
          <w:color w:val="000000"/>
          <w:sz w:val="24"/>
          <w:szCs w:val="24"/>
          <w:u w:val="none"/>
          <w:lang w:val="en-US" w:eastAsia="zh-CN"/>
        </w:rPr>
        <w:t xml:space="preserve">         </w:t>
      </w:r>
      <w:r>
        <w:rPr>
          <w:rFonts w:hint="eastAsia" w:ascii="宋体" w:hAnsi="宋体" w:eastAsia="宋体" w:cs="宋体"/>
          <w:b/>
          <w:color w:val="000000"/>
          <w:sz w:val="24"/>
          <w:szCs w:val="24"/>
        </w:rPr>
        <w:t xml:space="preserve">帐    号</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u w:val="single"/>
        </w:rPr>
        <w:tab/>
      </w:r>
      <w:r>
        <w:rPr>
          <w:rFonts w:hint="eastAsia" w:ascii="宋体" w:hAnsi="宋体" w:eastAsia="宋体" w:cs="宋体"/>
          <w:b/>
          <w:bCs/>
          <w:color w:val="000000"/>
          <w:sz w:val="24"/>
          <w:szCs w:val="24"/>
          <w:u w:val="single"/>
        </w:rPr>
        <w:tab/>
      </w:r>
      <w:r>
        <w:rPr>
          <w:rFonts w:hint="eastAsia" w:ascii="宋体" w:hAnsi="宋体" w:eastAsia="宋体" w:cs="宋体"/>
          <w:b/>
          <w:bCs/>
          <w:color w:val="000000"/>
          <w:sz w:val="24"/>
          <w:szCs w:val="24"/>
          <w:u w:val="single"/>
        </w:rPr>
        <w:tab/>
      </w:r>
      <w:r>
        <w:rPr>
          <w:rFonts w:hint="eastAsia" w:ascii="宋体" w:hAnsi="宋体" w:eastAsia="宋体" w:cs="宋体"/>
          <w:b/>
          <w:bCs/>
          <w:color w:val="000000"/>
          <w:sz w:val="24"/>
          <w:szCs w:val="24"/>
          <w:u w:val="single"/>
        </w:rPr>
        <w:tab/>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日    期</w:t>
      </w:r>
      <w:r>
        <w:rPr>
          <w:rFonts w:hint="eastAsia" w:ascii="宋体" w:hAnsi="宋体" w:eastAsia="宋体" w:cs="宋体"/>
          <w:color w:val="000000"/>
          <w:sz w:val="24"/>
          <w:szCs w:val="24"/>
        </w:rPr>
        <w:t xml:space="preserve">：   年   月  日           </w:t>
      </w:r>
      <w:r>
        <w:rPr>
          <w:rFonts w:hint="eastAsia" w:ascii="宋体" w:hAnsi="宋体" w:eastAsia="宋体" w:cs="宋体"/>
          <w:color w:val="000000"/>
          <w:sz w:val="24"/>
          <w:szCs w:val="24"/>
          <w:lang w:val="en-US" w:eastAsia="zh-CN"/>
        </w:rPr>
        <w:t xml:space="preserve">        </w:t>
      </w:r>
      <w:r>
        <w:rPr>
          <w:rFonts w:hint="eastAsia" w:ascii="宋体" w:hAnsi="宋体" w:eastAsia="宋体" w:cs="宋体"/>
          <w:b/>
          <w:color w:val="000000"/>
          <w:sz w:val="24"/>
          <w:szCs w:val="24"/>
        </w:rPr>
        <w:t xml:space="preserve">日    期</w:t>
      </w:r>
      <w:r>
        <w:rPr>
          <w:rFonts w:hint="eastAsia" w:ascii="宋体" w:hAnsi="宋体" w:eastAsia="宋体" w:cs="宋体"/>
          <w:color w:val="000000"/>
          <w:sz w:val="24"/>
          <w:szCs w:val="24"/>
        </w:rPr>
        <w:t xml:space="preserve">：  年   月   日</w:t>
      </w:r>
      <w:r/>
    </w:p>
    <w:p>
      <w:pPr>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合同附件</w:t>
      </w:r>
      <w:r/>
    </w:p>
    <w:p>
      <w:pPr>
        <w:ind w:firstLine="560"/>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目录</w:t>
      </w:r>
      <w:r/>
    </w:p>
    <w:p>
      <w:pPr>
        <w:ind w:firstLine="560"/>
        <w:jc w:val="both"/>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合同附件1：合同协议书</w:t>
      </w:r>
      <w:r/>
    </w:p>
    <w:p>
      <w:pPr>
        <w:ind w:firstLine="560"/>
        <w:jc w:val="both"/>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jc w:val="both"/>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合同附件2：技术规格和技术性能</w:t>
      </w:r>
      <w:r/>
    </w:p>
    <w:p>
      <w:pPr>
        <w:ind w:firstLine="560"/>
        <w:jc w:val="both"/>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(要求见招标文件第六章《采购需求》；合同见卖方投标文件。)</w:t>
      </w:r>
      <w:r/>
    </w:p>
    <w:p>
      <w:pPr>
        <w:ind w:firstLine="560"/>
        <w:jc w:val="both"/>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jc w:val="both"/>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合同附件3：售后服务和技术培训</w:t>
      </w:r>
      <w:r/>
    </w:p>
    <w:p>
      <w:pPr>
        <w:ind w:firstLine="560"/>
        <w:jc w:val="both"/>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(要求见招标文件第六章《采购需求》；合同见卖方投标文件。)</w:t>
      </w:r>
      <w:r/>
    </w:p>
    <w:p>
      <w:pPr>
        <w:ind w:firstLine="560"/>
        <w:jc w:val="both"/>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jc w:val="both"/>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合同附件4：供货范围和价格清单</w:t>
      </w:r>
      <w:r/>
    </w:p>
    <w:p>
      <w:pPr>
        <w:ind w:firstLine="560"/>
        <w:jc w:val="both"/>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(要求见招标文件第七章《投标文件相关格式》中《开标一览表》和《分项价格表》；合同见卖方投标文件。)</w:t>
      </w:r>
      <w:r/>
    </w:p>
    <w:p>
      <w:pPr>
        <w:ind w:firstLine="560"/>
        <w:jc w:val="both"/>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cs="宋体"/>
          <w:color w:val="000000"/>
          <w:sz w:val="24"/>
          <w:highlight w:val="none"/>
        </w:rPr>
      </w:pPr>
      <w:r>
        <w:rPr>
          <w:rFonts w:hint="eastAsia" w:ascii="宋体" w:hAnsi="宋体" w:cs="宋体"/>
          <w:color w:val="000000"/>
          <w:sz w:val="24"/>
          <w:highlight w:val="none"/>
        </w:rPr>
        <w:br w:type="page" w:clear="all"/>
      </w:r>
      <w:bookmarkEnd w:id="14"/>
      <w:r/>
      <w:bookmarkEnd w:id="15"/>
      <w:r/>
      <w:r/>
    </w:p>
    <w:p>
      <w:pPr>
        <w:pStyle w:val="744"/>
        <w:ind w:left="0" w:right="0" w:firstLine="0"/>
        <w:jc w:val="center"/>
        <w:keepLines w:val="0"/>
        <w:keepNext w:val="0"/>
        <w:pageBreakBefore w:val="0"/>
        <w:spacing w:line="36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第六章  采 购 需 求</w:t>
      </w:r>
      <w:r/>
    </w:p>
    <w:p>
      <w:pPr>
        <w:pStyle w:val="744"/>
        <w:ind w:firstLine="482"/>
        <w:spacing w:line="360" w:lineRule="auto"/>
        <w:rPr>
          <w:rFonts w:hint="eastAsia" w:ascii="宋体" w:hAnsi="宋体" w:eastAsia="宋体" w:cs="宋体"/>
          <w:b/>
          <w:bCs/>
          <w:color w:val="000000"/>
          <w:sz w:val="24"/>
        </w:rPr>
      </w:pP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一</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本项目不接受超过</w:t>
      </w:r>
      <w:r>
        <w:rPr>
          <w:rFonts w:hint="eastAsia" w:ascii="宋体" w:hAnsi="宋体" w:eastAsia="宋体" w:cs="宋体"/>
          <w:b/>
          <w:bCs/>
          <w:color w:val="000000"/>
          <w:sz w:val="24"/>
          <w:highlight w:val="none"/>
          <w:u w:val="single"/>
        </w:rPr>
        <w:t xml:space="preserve">151.631917</w:t>
      </w:r>
      <w:r>
        <w:rPr>
          <w:rFonts w:hint="eastAsia" w:ascii="宋体" w:hAnsi="宋体" w:cs="宋体"/>
          <w:b/>
          <w:bCs/>
          <w:color w:val="000000"/>
          <w:sz w:val="24"/>
          <w:highlight w:val="none"/>
          <w:u w:val="none"/>
          <w:lang w:val="en-US" w:eastAsia="zh-CN"/>
        </w:rPr>
        <w:t xml:space="preserve">万</w:t>
      </w:r>
      <w:r>
        <w:rPr>
          <w:rFonts w:hint="eastAsia" w:ascii="宋体" w:hAnsi="宋体" w:eastAsia="宋体" w:cs="宋体"/>
          <w:b/>
          <w:bCs/>
          <w:color w:val="000000"/>
          <w:sz w:val="24"/>
          <w:highlight w:val="none"/>
          <w:u w:val="none"/>
        </w:rPr>
        <w:t xml:space="preserve">元</w:t>
      </w:r>
      <w:r>
        <w:rPr>
          <w:rFonts w:hint="eastAsia" w:ascii="宋体" w:hAnsi="宋体" w:eastAsia="宋体" w:cs="宋体"/>
          <w:b/>
          <w:bCs/>
          <w:color w:val="000000"/>
          <w:sz w:val="24"/>
          <w:highlight w:val="none"/>
          <w:lang w:val="en-US" w:eastAsia="zh-CN"/>
        </w:rPr>
        <w:t xml:space="preserve">（采购项目预算金额）</w:t>
      </w:r>
      <w:r>
        <w:rPr>
          <w:rFonts w:hint="eastAsia" w:ascii="宋体" w:hAnsi="宋体" w:eastAsia="宋体" w:cs="宋体"/>
          <w:b/>
          <w:bCs/>
          <w:color w:val="000000"/>
          <w:sz w:val="24"/>
          <w:highlight w:val="none"/>
        </w:rPr>
        <w:t xml:space="preserve">。</w:t>
      </w:r>
      <w:r>
        <w:rPr>
          <w:rFonts w:hint="eastAsia" w:ascii="宋体" w:hAnsi="宋体" w:eastAsia="宋体" w:cs="宋体"/>
          <w:bCs/>
          <w:color w:val="000000"/>
          <w:sz w:val="24"/>
          <w:highlight w:val="none"/>
        </w:rPr>
        <w:t xml:space="preserve">报价包括产品价、税金、运费、安装调试、检验、保险等全部费用。采购人不再支付报价以外的任何费用</w:t>
      </w:r>
      <w:r>
        <w:rPr>
          <w:rFonts w:hint="eastAsia" w:ascii="宋体" w:hAnsi="宋体" w:eastAsia="宋体" w:cs="宋体"/>
          <w:b/>
          <w:color w:val="000000"/>
          <w:sz w:val="24"/>
        </w:rPr>
        <w:t xml:space="preserve">。</w:t>
      </w:r>
      <w:r/>
    </w:p>
    <w:p>
      <w:pPr>
        <w:pStyle w:val="1071"/>
        <w:ind w:firstLine="482"/>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项目</w:t>
      </w:r>
      <w:r>
        <w:rPr>
          <w:rFonts w:hint="eastAsia" w:ascii="宋体" w:hAnsi="宋体" w:eastAsia="宋体" w:cs="宋体"/>
          <w:b/>
          <w:bCs/>
          <w:color w:val="auto"/>
          <w:sz w:val="24"/>
          <w:szCs w:val="24"/>
          <w:highlight w:val="none"/>
          <w:lang w:val="en-US" w:eastAsia="zh-CN"/>
        </w:rPr>
        <w:t xml:space="preserve">标的</w:t>
      </w:r>
      <w:r>
        <w:rPr>
          <w:rFonts w:hint="eastAsia" w:ascii="宋体" w:hAnsi="宋体" w:eastAsia="宋体" w:cs="宋体"/>
          <w:b/>
          <w:bCs/>
          <w:color w:val="auto"/>
          <w:sz w:val="24"/>
          <w:szCs w:val="24"/>
          <w:highlight w:val="none"/>
        </w:rPr>
        <w:t xml:space="preserve">：</w:t>
      </w:r>
      <w:r/>
    </w:p>
    <w:p>
      <w:pPr>
        <w:ind w:firstLine="560"/>
        <w:jc w:val="both"/>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交通违法综合管控平台系统升级采购项目</w:t>
      </w:r>
      <w:r/>
    </w:p>
    <w:p>
      <w:pPr>
        <w:ind w:firstLine="560"/>
        <w:jc w:val="both"/>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需求概况：交警大队现用交通违法综合管控平台建设于2020年2月，因系统长期未进行扩容及更新，硬件设备老旧、软件版本较低，导致系统故障频发，严重影响非现场违法录入，且现平台功能模块缺少无法满足工作开展。为实现对交通违法行为及时管控，提升执法效率，建议对现有交通综合管控平台进行迭代升级</w:t>
      </w:r>
      <w:r>
        <w:rPr>
          <w:rFonts w:hint="eastAsia" w:ascii="宋体" w:hAnsi="宋体" w:cs="宋体"/>
          <w:color w:val="auto"/>
          <w:sz w:val="24"/>
          <w:szCs w:val="24"/>
          <w:highlight w:val="none"/>
          <w:lang w:val="en-US" w:eastAsia="zh-CN"/>
        </w:rPr>
        <w:t xml:space="preserve">。</w:t>
      </w:r>
      <w:r/>
    </w:p>
    <w:p>
      <w:pPr>
        <w:ind w:firstLine="560"/>
        <w:jc w:val="both"/>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rPr>
        <w:t xml:space="preserve">不属于</w:t>
      </w:r>
      <w:r>
        <w:rPr>
          <w:rFonts w:hint="eastAsia" w:ascii="宋体" w:hAnsi="宋体" w:eastAsia="宋体" w:cs="宋体"/>
          <w:color w:val="auto"/>
          <w:sz w:val="24"/>
          <w:szCs w:val="24"/>
          <w:highlight w:val="none"/>
        </w:rPr>
        <w:t xml:space="preserve">专门面向中小企业采购的项目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且本项目采购的是</w:t>
      </w:r>
      <w:r>
        <w:rPr>
          <w:rFonts w:hint="eastAsia" w:ascii="宋体" w:hAnsi="宋体" w:eastAsia="宋体" w:cs="宋体"/>
          <w:b/>
          <w:bCs/>
          <w:color w:val="auto"/>
          <w:sz w:val="24"/>
          <w:szCs w:val="24"/>
          <w:highlight w:val="none"/>
          <w:lang w:val="en-US" w:eastAsia="zh-CN"/>
        </w:rPr>
        <w:t xml:space="preserve">非进口</w:t>
      </w:r>
      <w:r>
        <w:rPr>
          <w:rFonts w:hint="eastAsia" w:ascii="宋体" w:hAnsi="宋体" w:eastAsia="宋体" w:cs="宋体"/>
          <w:color w:val="auto"/>
          <w:sz w:val="24"/>
          <w:szCs w:val="24"/>
          <w:highlight w:val="none"/>
          <w:lang w:val="en-US" w:eastAsia="zh-CN"/>
        </w:rPr>
        <w:t xml:space="preserve">产品。</w:t>
      </w:r>
      <w:r/>
    </w:p>
    <w:p>
      <w:pPr>
        <w:ind w:firstLine="465"/>
        <w:jc w:val="left"/>
        <w:spacing w:line="520" w:lineRule="exact"/>
        <w:widowControl/>
        <w:rPr>
          <w:rFonts w:hint="eastAsia" w:ascii="宋体" w:hAnsi="宋体" w:eastAsia="宋体" w:cs="宋体"/>
          <w:bCs/>
          <w:color w:val="auto"/>
          <w:sz w:val="24"/>
          <w:szCs w:val="24"/>
          <w:highlight w:val="none"/>
          <w:lang w:eastAsia="zh-CN"/>
        </w:rPr>
      </w:pPr>
      <w:r>
        <w:rPr>
          <w:rFonts w:hint="eastAsia" w:ascii="宋体" w:hAnsi="宋体" w:cs="宋体"/>
          <w:color w:val="auto"/>
          <w:sz w:val="24"/>
          <w:szCs w:val="24"/>
          <w:highlight w:val="none"/>
          <w:lang w:val="en-US" w:eastAsia="zh-CN"/>
        </w:rPr>
        <w:t xml:space="preserve">4.合同履约期</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合同签订后</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30</w:t>
      </w:r>
      <w:r>
        <w:rPr>
          <w:rFonts w:hint="eastAsia" w:ascii="宋体" w:hAnsi="宋体" w:eastAsia="宋体" w:cs="宋体"/>
          <w:b w:val="0"/>
          <w:bCs/>
          <w:color w:val="auto"/>
          <w:sz w:val="24"/>
          <w:szCs w:val="24"/>
          <w:highlight w:val="none"/>
        </w:rPr>
        <w:t xml:space="preserve">日历天内</w:t>
      </w:r>
      <w:r>
        <w:rPr>
          <w:rFonts w:hint="eastAsia" w:ascii="宋体" w:hAnsi="宋体" w:eastAsia="宋体" w:cs="宋体"/>
          <w:bCs/>
          <w:color w:val="auto"/>
          <w:sz w:val="24"/>
          <w:szCs w:val="24"/>
          <w:highlight w:val="none"/>
        </w:rPr>
        <w:t xml:space="preserve">将合同标的全部交付并安装完毕。</w:t>
      </w:r>
      <w:r/>
    </w:p>
    <w:p>
      <w:pPr>
        <w:numPr>
          <w:ilvl w:val="0"/>
          <w:numId w:val="0"/>
        </w:numPr>
        <w:ind w:firstLine="482"/>
        <w:jc w:val="both"/>
        <w:keepLines w:val="0"/>
        <w:keepNext w:val="0"/>
        <w:pageBreakBefore w:val="0"/>
        <w:spacing w:line="560" w:lineRule="exact"/>
        <w:widowControl w:val="off"/>
        <w:rPr>
          <w:rFonts w:hint="eastAsia" w:ascii="宋体" w:hAnsi="宋体" w:cs="宋体"/>
          <w:b/>
          <w:bCs w:val="0"/>
          <w:color w:val="auto"/>
          <w:sz w:val="24"/>
          <w:szCs w:val="24"/>
          <w:highlight w:val="none"/>
          <w:lang w:val="en-US" w:eastAsia="zh-CN" w:bidi="ar-SA"/>
        </w:rPr>
        <w:outlineLvl w:val="0"/>
      </w:pPr>
      <w:r>
        <w:rPr>
          <w:rFonts w:hint="eastAsia" w:ascii="宋体" w:hAnsi="宋体" w:cs="宋体"/>
          <w:b/>
          <w:bCs w:val="0"/>
          <w:color w:val="auto"/>
          <w:sz w:val="24"/>
          <w:szCs w:val="24"/>
          <w:highlight w:val="none"/>
          <w:lang w:val="en-US" w:eastAsia="zh-CN" w:bidi="ar-SA"/>
        </w:rPr>
        <w:t xml:space="preserve">（三）</w:t>
      </w:r>
      <w:r>
        <w:rPr>
          <w:rFonts w:hint="eastAsia" w:ascii="宋体" w:hAnsi="宋体" w:eastAsia="宋体" w:cs="宋体"/>
          <w:b/>
          <w:bCs w:val="0"/>
          <w:color w:val="auto"/>
          <w:sz w:val="24"/>
          <w:szCs w:val="24"/>
          <w:highlight w:val="none"/>
          <w:lang w:val="en-US" w:eastAsia="zh-CN" w:bidi="ar-SA"/>
        </w:rPr>
        <w:t xml:space="preserve">采购目录清单</w:t>
      </w:r>
      <w:r>
        <w:rPr>
          <w:rFonts w:hint="eastAsia" w:ascii="宋体" w:hAnsi="宋体" w:cs="宋体"/>
          <w:b/>
          <w:bCs w:val="0"/>
          <w:color w:val="auto"/>
          <w:sz w:val="24"/>
          <w:szCs w:val="24"/>
          <w:highlight w:val="none"/>
          <w:lang w:val="en-US" w:eastAsia="zh-CN" w:bidi="ar-SA"/>
        </w:rPr>
        <w:t xml:space="preserve">及参数</w:t>
      </w:r>
      <w:r/>
    </w:p>
    <w:tbl>
      <w:tblPr>
        <w:tblStyle w:val="715"/>
        <w:tblpPr w:horzAnchor="page" w:tblpX="1778" w:vertAnchor="text" w:tblpY="299" w:leftFromText="180" w:topFromText="0" w:rightFromText="180" w:bottomFromText="0"/>
        <w:tblW w:w="4343" w:type="pct"/>
        <w:tblInd w:w="0" w:type="dxa"/>
        <w:tblLayout w:type="autofit"/>
        <w:tblCellMar>
          <w:left w:w="108" w:type="dxa"/>
          <w:top w:w="0" w:type="dxa"/>
          <w:right w:w="108" w:type="dxa"/>
          <w:bottom w:w="0" w:type="dxa"/>
        </w:tblCellMar>
        <w:tblLook w:val="04A0" w:firstRow="1" w:lastRow="0" w:firstColumn="1" w:lastColumn="0" w:noHBand="0" w:noVBand="1"/>
      </w:tblPr>
      <w:tblGrid>
        <w:gridCol w:w="1016"/>
        <w:gridCol w:w="1473"/>
        <w:gridCol w:w="917"/>
        <w:gridCol w:w="1433"/>
        <w:gridCol w:w="1543"/>
        <w:gridCol w:w="818"/>
        <w:gridCol w:w="783"/>
      </w:tblGrid>
      <w:tr>
        <w:trPr>
          <w:trHeight w:val="264"/>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92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项目内容</w:t>
            </w:r>
            <w:r/>
          </w:p>
        </w:tc>
        <w:tc>
          <w:tcPr>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子序号</w:t>
            </w:r>
            <w:r/>
          </w:p>
        </w:tc>
        <w:tc>
          <w:tcPr>
            <w:tcBorders>
              <w:top w:val="single" w:color="auto" w:sz="4" w:space="0"/>
              <w:left w:val="none" w:color="000000" w:sz="4" w:space="0"/>
              <w:bottom w:val="single" w:color="auto" w:sz="4" w:space="0"/>
              <w:right w:val="single" w:color="auto" w:sz="4" w:space="0"/>
            </w:tcBorders>
            <w:tcW w:w="897"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tcBorders>
              <w:top w:val="single" w:color="auto"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技术要求</w:t>
            </w:r>
            <w:r/>
          </w:p>
        </w:tc>
        <w:tc>
          <w:tcPr>
            <w:tcBorders>
              <w:top w:val="single" w:color="auto"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Borders>
              <w:top w:val="single" w:color="auto"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vMerge w:val="restart"/>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w:t>
            </w:r>
            <w:r/>
          </w:p>
        </w:tc>
        <w:tc>
          <w:tcPr>
            <w:tcBorders>
              <w:top w:val="none" w:color="000000" w:sz="4" w:space="0"/>
              <w:left w:val="single" w:color="auto" w:sz="4" w:space="0"/>
              <w:bottom w:val="single" w:color="auto" w:sz="4" w:space="0"/>
              <w:right w:val="single" w:color="auto" w:sz="4" w:space="0"/>
            </w:tcBorders>
            <w:tcW w:w="1473" w:type="dxa"/>
            <w:vAlign w:val="center"/>
            <w:vMerge w:val="restart"/>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平台升级扩容（扩容）</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433" w:type="dxa"/>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平台基础架构升级</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1433" w:type="dxa"/>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交通违法智能审核应用</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1433" w:type="dxa"/>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数据对接组件应用</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1433" w:type="dxa"/>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非机动车管控应用</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r/>
          </w:p>
        </w:tc>
        <w:tc>
          <w:tcPr>
            <w:tcBorders>
              <w:top w:val="none" w:color="000000" w:sz="4" w:space="0"/>
              <w:left w:val="none" w:color="000000" w:sz="4" w:space="0"/>
              <w:bottom w:val="single" w:color="auto" w:sz="4" w:space="0"/>
              <w:right w:val="single" w:color="auto" w:sz="4" w:space="0"/>
            </w:tcBorders>
            <w:tcW w:w="1473" w:type="dxa"/>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平台应用支撑硬件</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1433" w:type="dxa"/>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边缘云存储设备</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w:t>
            </w:r>
            <w:r/>
          </w:p>
        </w:tc>
        <w:tc>
          <w:tcPr>
            <w:tcBorders>
              <w:top w:val="none" w:color="000000" w:sz="4" w:space="0"/>
              <w:left w:val="none" w:color="000000" w:sz="4" w:space="0"/>
              <w:bottom w:val="single" w:color="auto" w:sz="4" w:space="0"/>
              <w:right w:val="single" w:color="auto" w:sz="4" w:space="0"/>
            </w:tcBorders>
            <w:tcW w:w="1473" w:type="dxa"/>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AI智能审片系统</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none" w:color="000000" w:sz="4" w:space="0"/>
              <w:left w:val="none" w:color="000000" w:sz="4" w:space="0"/>
              <w:bottom w:val="single" w:color="auto" w:sz="4" w:space="0"/>
              <w:right w:val="single" w:color="auto" w:sz="4" w:space="0"/>
            </w:tcBorders>
            <w:tcW w:w="1433" w:type="dxa"/>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AI智能审片设备</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vMerge w:val="restart"/>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w:t>
            </w:r>
            <w:r/>
          </w:p>
        </w:tc>
        <w:tc>
          <w:tcPr>
            <w:tcBorders>
              <w:top w:val="none" w:color="000000" w:sz="4" w:space="0"/>
              <w:left w:val="single" w:color="auto" w:sz="4" w:space="0"/>
              <w:bottom w:val="single" w:color="auto" w:sz="4" w:space="0"/>
              <w:right w:val="single" w:color="auto" w:sz="4" w:space="0"/>
            </w:tcBorders>
            <w:tcW w:w="1473" w:type="dxa"/>
            <w:vAlign w:val="center"/>
            <w:vMerge w:val="restart"/>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违法抓拍数据运维</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none" w:color="000000" w:sz="4" w:space="0"/>
              <w:left w:val="none" w:color="000000" w:sz="4" w:space="0"/>
              <w:bottom w:val="single" w:color="auto" w:sz="4" w:space="0"/>
              <w:right w:val="single" w:color="auto" w:sz="4" w:space="0"/>
            </w:tcBorders>
            <w:tcW w:w="1433" w:type="dxa"/>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运维基础服务</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none" w:color="000000" w:sz="4" w:space="0"/>
              <w:left w:val="none" w:color="000000" w:sz="4" w:space="0"/>
              <w:bottom w:val="single" w:color="auto" w:sz="4" w:space="0"/>
              <w:right w:val="single" w:color="auto" w:sz="4" w:space="0"/>
            </w:tcBorders>
            <w:tcW w:w="1433" w:type="dxa"/>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设备网络</w:t>
            </w:r>
            <w:r/>
          </w:p>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路</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3000</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none" w:color="000000" w:sz="4" w:space="0"/>
              <w:left w:val="none" w:color="000000" w:sz="4" w:space="0"/>
              <w:bottom w:val="single" w:color="auto" w:sz="4" w:space="0"/>
              <w:right w:val="single" w:color="auto" w:sz="4" w:space="0"/>
            </w:tcBorders>
            <w:tcW w:w="1433" w:type="dxa"/>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违法数据</w:t>
            </w:r>
            <w:r/>
          </w:p>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路</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3000</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vMerge w:val="restart"/>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非机动车管控抓拍（不戴头盔、载人、逆行）</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1433" w:type="dxa"/>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双800万非机动车抓拍机</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top w:val="none" w:color="000000" w:sz="4" w:space="0"/>
              <w:left w:val="none" w:color="000000" w:sz="4" w:space="0"/>
              <w:bottom w:val="single" w:color="auto" w:sz="4" w:space="0"/>
              <w:right w:val="single" w:color="auto" w:sz="4" w:space="0"/>
            </w:tcBorders>
            <w:tcW w:w="1433" w:type="dxa"/>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3-4米横臂</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none" w:color="000000" w:sz="4" w:space="0"/>
              <w:left w:val="none" w:color="000000" w:sz="4" w:space="0"/>
              <w:bottom w:val="single" w:color="auto" w:sz="4" w:space="0"/>
              <w:right w:val="single" w:color="auto" w:sz="4" w:space="0"/>
            </w:tcBorders>
            <w:tcW w:w="1433" w:type="dxa"/>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施工配套辅材</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vMerge w:val="restart"/>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非机动车闯红灯抓拍（闯红灯、不戴头盔、载人、逆行）</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top w:val="none" w:color="000000" w:sz="4" w:space="0"/>
              <w:left w:val="none" w:color="000000" w:sz="4" w:space="0"/>
              <w:bottom w:val="single" w:color="auto" w:sz="4" w:space="0"/>
              <w:right w:val="single" w:color="auto" w:sz="4" w:space="0"/>
            </w:tcBorders>
            <w:tcW w:w="897"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1200万非机动车闯红灯抓拍单元</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Borders>
              <w:top w:val="none" w:color="000000" w:sz="4" w:space="0"/>
              <w:left w:val="none" w:color="000000" w:sz="4" w:space="0"/>
              <w:bottom w:val="single" w:color="auto" w:sz="4" w:space="0"/>
              <w:right w:val="single" w:color="auto" w:sz="4" w:space="0"/>
            </w:tcBorders>
            <w:tcW w:w="897"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暖光LED频闪灯</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top w:val="none" w:color="000000" w:sz="4" w:space="0"/>
              <w:left w:val="none" w:color="000000" w:sz="4" w:space="0"/>
              <w:bottom w:val="single" w:color="auto" w:sz="4" w:space="0"/>
              <w:right w:val="single" w:color="auto" w:sz="4" w:space="0"/>
            </w:tcBorders>
            <w:tcW w:w="897"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红绿灯检测器</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tcBorders>
              <w:top w:val="none" w:color="000000" w:sz="4" w:space="0"/>
              <w:left w:val="none" w:color="000000" w:sz="4" w:space="0"/>
              <w:bottom w:val="single" w:color="auto" w:sz="4" w:space="0"/>
              <w:right w:val="single" w:color="auto" w:sz="4" w:space="0"/>
            </w:tcBorders>
            <w:tcW w:w="897"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非机动车管理终端</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tcBorders>
              <w:top w:val="none" w:color="000000" w:sz="4" w:space="0"/>
              <w:left w:val="none" w:color="000000" w:sz="4" w:space="0"/>
              <w:bottom w:val="single" w:color="auto" w:sz="4" w:space="0"/>
              <w:right w:val="single" w:color="auto" w:sz="4" w:space="0"/>
            </w:tcBorders>
            <w:tcW w:w="897"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3-4米横臂</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铁骑取证设备</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Borders>
              <w:top w:val="none" w:color="000000" w:sz="4" w:space="0"/>
              <w:left w:val="none" w:color="000000" w:sz="4" w:space="0"/>
              <w:bottom w:val="single" w:color="auto" w:sz="4" w:space="0"/>
              <w:right w:val="single" w:color="auto" w:sz="4" w:space="0"/>
            </w:tcBorders>
            <w:tcW w:w="897"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铁骑取证设备</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vMerge w:val="restart"/>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老旧硬盘更换</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Borders>
              <w:top w:val="none" w:color="000000" w:sz="4" w:space="0"/>
              <w:left w:val="none" w:color="000000" w:sz="4" w:space="0"/>
              <w:bottom w:val="single" w:color="auto" w:sz="4" w:space="0"/>
              <w:right w:val="single" w:color="auto" w:sz="4" w:space="0"/>
            </w:tcBorders>
            <w:tcW w:w="897"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4TB企业级硬盘</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auto" w:sz="4" w:space="0"/>
              <w:right w:val="single" w:color="auto" w:sz="4" w:space="0"/>
            </w:tcBorders>
            <w:tcW w:w="897"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1.2T 2.5寸 SAS 硬盘</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ind w:firstLine="560"/>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tcBorders>
              <w:top w:val="none" w:color="000000" w:sz="4" w:space="0"/>
              <w:left w:val="none" w:color="000000" w:sz="4" w:space="0"/>
              <w:bottom w:val="single" w:color="auto" w:sz="4" w:space="0"/>
              <w:right w:val="single" w:color="auto" w:sz="4" w:space="0"/>
            </w:tcBorders>
            <w:tcW w:w="897" w:type="pct"/>
            <w:vAlign w:val="center"/>
            <w:textDirection w:val="lrTb"/>
            <w:noWrap w:val="false"/>
          </w:tcPr>
          <w:p>
            <w:pPr>
              <w:jc w:val="both"/>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960GB SSD固态硬盘</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核心交换机更换</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tcBorders>
              <w:top w:val="none" w:color="000000" w:sz="4" w:space="0"/>
              <w:left w:val="none" w:color="000000" w:sz="4" w:space="0"/>
              <w:bottom w:val="single" w:color="auto" w:sz="4" w:space="0"/>
              <w:right w:val="single" w:color="auto" w:sz="4" w:space="0"/>
            </w:tcBorders>
            <w:tcW w:w="897"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核心交换机</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8"/>
        </w:trPr>
        <w:tc>
          <w:tcPr>
            <w:tcBorders>
              <w:top w:val="none" w:color="000000" w:sz="4" w:space="0"/>
              <w:left w:val="single" w:color="auto" w:sz="4" w:space="0"/>
              <w:bottom w:val="single" w:color="auto" w:sz="4" w:space="0"/>
              <w:right w:val="single" w:color="auto" w:sz="4" w:space="0"/>
            </w:tcBorders>
            <w:tcW w:w="636"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技术人员驻场服务</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p>
        </w:tc>
        <w:tc>
          <w:tcPr>
            <w:tcBorders>
              <w:top w:val="none" w:color="000000" w:sz="4" w:space="0"/>
              <w:left w:val="none" w:color="000000" w:sz="4" w:space="0"/>
              <w:bottom w:val="single" w:color="auto" w:sz="4" w:space="0"/>
              <w:right w:val="single" w:color="auto" w:sz="4" w:space="0"/>
            </w:tcBorders>
            <w:tcW w:w="897"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技术人员驻场服务</w:t>
            </w:r>
            <w:r/>
          </w:p>
        </w:tc>
        <w:tc>
          <w:tcPr>
            <w:tcBorders>
              <w:top w:val="none" w:color="000000" w:sz="4" w:space="0"/>
              <w:left w:val="none" w:color="000000" w:sz="4" w:space="0"/>
              <w:bottom w:val="single" w:color="auto" w:sz="4" w:space="0"/>
              <w:right w:val="single" w:color="auto" w:sz="4" w:space="0"/>
            </w:tcBorders>
            <w:tcW w:w="966" w:type="pct"/>
            <w:vAlign w:val="center"/>
            <w:textDirection w:val="lrTb"/>
            <w:noWrap w:val="false"/>
          </w:tcPr>
          <w:p>
            <w:pPr>
              <w:jc w:val="center"/>
              <w:spacing w:line="440" w:lineRule="exact"/>
              <w:widowControl w:val="off"/>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详见技术指标要求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bl>
    <w:p>
      <w:pPr>
        <w:pStyle w:val="724"/>
        <w:jc w:val="center"/>
        <w:rPr>
          <w:rFonts w:hint="default"/>
          <w:lang w:val="en-US" w:eastAsia="zh-CN"/>
        </w:rPr>
      </w:pPr>
      <w:r>
        <w:rPr>
          <w:rFonts w:hint="default"/>
          <w:lang w:val="en-US" w:eastAsia="zh-CN"/>
        </w:rPr>
      </w:r>
      <w:r/>
    </w:p>
    <w:p>
      <w:pPr>
        <w:jc w:val="center"/>
        <w:spacing w:line="36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jc w:val="both"/>
        <w:spacing w:line="360" w:lineRule="auto"/>
        <w:widowControl w:val="off"/>
        <w:rPr>
          <w:rFonts w:hint="eastAsia" w:ascii="宋体" w:hAnsi="宋体" w:cs="宋体"/>
          <w:b/>
          <w:sz w:val="24"/>
          <w:szCs w:val="24"/>
        </w:rPr>
      </w:pPr>
      <w:r>
        <w:rPr>
          <w:rFonts w:hint="eastAsia" w:ascii="宋体" w:hAnsi="宋体" w:cs="宋体"/>
          <w:b/>
          <w:sz w:val="24"/>
          <w:szCs w:val="24"/>
        </w:rPr>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一、平台升级扩容（扩容）</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交通违法综合管控平台提供系统业务应用依赖的基础资源，包括用户管理、权限管理、部门管理、目录管理、物联设备管理、门户管理，统一管理了组织、权限、用户、物联设备等资源，并提供门户、录像计划等配置能力。本次对徐州市公安局铜山分局交通警察大队原有交通违法综合管控平台进行平台升级扩容（扩容），升级及扩容功能包含：平台基础架构升级、交通违法智能审核应用、数据对接组件应用、非机动车管控应用等。</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1．平台基础架构升级</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对现有平台的基础架构进行升级，升级期间须保证原有平台功能正常使用。平台升级后须保留的平台功能：平台基础架构模块、本级监控通道数3000路、本级车道接入数6000路、视频级联通道数2000路、视频级联网关、违法查询、违法审核、行人闯红灯管控、区间测速、大屏信息发布管理、地图应用、道路限行管控、交通事件参数。对违停劝离、行人闯红灯人员实名上屏等原有平台功能模块完成接口升级，实现与市局和支队的数据对接，实现功能模块的正常应用。</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2．交通违法智能审核应用</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提供智能交通违法审核功能，包括智能筛选违法图片废片、人工验证评估效果、多维度统计废片率和违法率、废片数据找回机制，以及数据概览与可视化图表展示，实现高效审核流程。</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一、违法智能审核：1、支持对交通违法取证图片进行智能审核，剔除明显的废片，提高审核效率。2、支持是否启用智能审片过滤配置。3、支持配置要进行智能审片的违法行为。</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二、审片效果分析：1、支持对智能审片的结果进行人工标注，并对标注的结果与智能审核的结果进行比对，以评估智能审片的效果。2、支持创建标注任务，根据标注任务对智能审片的违法数据进行人工标注。3、支持按统计类型、统计时间、违法地点、违法行为以列表或者图表形式统计各违法行为对应的废片检出率、正片漏检率、实际废片率、正片检出率、正片检准率、废片检准率。4、支持导出统计结果。</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三、违法有效率统计：1、支持按照违法时间、违法行为、违法地点、违法卡口统计违法地点对应的各违法行为的智能审核废片率。2、支持列表和图表两种展示形式。3、支持按照百分比或数量展示。4、支持对统计结果进行导出。</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四、废片找回：1、支持根据配置自动推荐需要废片找回的待审核数据。2、支持对推荐的数据进行审核，审核通过确认违法的数据上传集成指挥平台进行处罚。</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五、数据概览：1、支持按违法时间统计智能审核数量、智能审核作废数量及智能审核确认违法数据。2、支持以折线图方式展示违法正片率。3、支持智能作废原因TOP5统计。4、支持违法地点违法作废率TOP10统计。5、支持以违法行为纬度柱状图形式统计AI审片废片检出率、正片漏检率。</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3．数据对接组件应用</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提供支持基于GA/T 1400协议级联上级或跨网摆渡各类视图数据的功能，实现视图库的多级联网接入与数据推送。支持设备通过GA/T 1400协议接入数据。</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1、支持通过GA/T 1400及扩展协议级联人体、人脸、车辆、设备、车辆违法、非机动车等数据。</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2、支持上下级视图库进行注册、保活，支持查看上下级在线情况。</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3、支持订阅、取消订阅和修改订阅时间。</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4、支持多个下级视图库的联网接入。</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5、支持联网接入多个上级视图库。</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6、支持设置人脸、人体、车辆、非机动车、违法过车等数据的过滤和填充规则，下级视图库根据规则将数据级联到上级视图库。</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7、支持以采集接口方式接收下级推送的采集设备、人脸采集数据、车辆采集数据和人体采集数据。</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8、支持以采集接口方式向上级推送采集设备、人脸采集数据、车辆采集数据和人体采集数据。</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4．非机动车管控应用</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非机动车管控实现非机动车违法的全流程管理，涵盖违法数据接入、当事人确认、多条件查询、审核处理、曝光展示、短信提醒、工作量统计及与集成指挥平台的对接，实现对非机动车违法的有效监管与处置。</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一、违法数据接入与当事人确认：1、支持接入前端识别的非机动车的人脸抓拍数据和车牌抓拍数据；2、对于人脸抓拍数据支持与常口库进行比对，确认驾驶人，对于车牌抓拍数据支持与车辆档案库进行比对，确认车主信息。</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二、违法查询：1、支持按卡口、最小相似度、违法时间、违法人姓名、违法人证件号码、所属企业、审核状态、审核人员、审核时间、车牌号码、违法行为、识别类型、是否已发送短信、使用性质、号牌种类、车辆类型、芯片唯一码、RFID卡号、上传集指状态等条件查询非机动车违法数据。2、支持全部导出、选中导出违法数据。3、展示结果中姓名、证件号码、手机号支持脱敏展示。</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三、违法审核：1、支持对非机动车违法数据进行审核。2、支持展示驾驶员信息和人脸图片，方便用户进行审核。3、支持展示车牌图片，方便快速确认车牌是否识别正常，并可修正识别的车牌号码。4、人脸模式下支持展示：违法过程图、人脸抠图、人脸证件照、视频回放；车牌模式下支持展示：违法过程图、车身特写图、车牌图片、视频回放。5、支持对单条数据审核通过和作废，支持对多条数据批量审核作废。</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四、违法曝光：1、支持对非机动车违法进行上屏曝光展示。2、上屏支持隐藏身份证号码和姓名部分信息。3、上屏支持抓拍人脸和证件照的眼睛位置打马赛克。4、支持实时插播和历史轮播两种曝光模式。5、支持对曝光的数据按时段、选择范围、姓名和证件号码进行查询，并进行手动撤销曝光。</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五、非机动车过车查询：1、支持查询非机动车正常过车数据，支持按过车时间、卡口范围、抓拍类型、车牌号码、使用性质、车牌颜色、号牌种类、芯片唯一码、RFID卡号等条件查询正常过车数据。2、支持对查询结果数据导出。</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六、工作量统计：1、支持按违法过车时间、违法行为、警员查询审核工作量，支持数据导出。2、支持按违法过车时间、违法行为、卡口查询审核工作量，支持数据导出。</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七、车辆档案：1、支持电动自行车的档案管理。2、支持通过插件方式调用第三方接口查询车辆信息，并把车辆信息保持在本地数据库中，方便进行查询。</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八、支持自动发短信：1、支持车辆模式和人脸模式下人工审核自动发短信模板配置。2、支持审核后自动给车主或者当事人发送违法提醒短信。</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九、支持违法上传集成指挥平台：1、支持把非机动车违法数据上传集成指挥平台进行处罚。2、支持配置图片上传方式配置：url或base64图片。3、支持图片url和端口号映射转换配置。4、支持违法数据上传集指重传，支持按数据来源（待上传数据、失败数据、全部数据）、违法行为、卡口范围、时间范围创建重传任务。</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★针对以上徐州市公安局铜山分局交通警察大队交通违法综合管控平台的</w:t>
      </w:r>
      <w:r>
        <w:rPr>
          <w:rFonts w:hint="eastAsia" w:ascii="宋体" w:hAnsi="宋体" w:cs="宋体"/>
          <w:b/>
          <w:bCs/>
          <w:sz w:val="24"/>
          <w:szCs w:val="24"/>
          <w:highlight w:val="none"/>
        </w:rPr>
        <w:t xml:space="preserve">平台升级扩容（扩容）的建设内容，在升级扩容的全过程中须保证原有平台系统的平台功能齐全、整体运行稳定、业务不中断、数据不丢失。针对此项要求，投标人提供承诺函并加盖</w:t>
      </w:r>
      <w:r>
        <w:rPr>
          <w:rFonts w:hint="eastAsia" w:ascii="宋体" w:hAnsi="宋体" w:cs="宋体"/>
          <w:b/>
          <w:bCs/>
          <w:sz w:val="24"/>
          <w:szCs w:val="24"/>
        </w:rPr>
        <w:t xml:space="preserve">投标人公章。</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二、平台应用支撑硬件</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5．边缘云存储设备</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一套云平台支持同时提供虚拟机和Docker容器服务，实现虚拟机和容器的统一调度和管理；支持对接外部容器集群服务。</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支持通过文件夹对虚拟机进行分组，不同类型的虚拟机实现逻辑分组管理，文件夹深度可达5层；支持对分组虚拟机批量进行关闭、启动、重启、删除、迁移操作。</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虚拟机支持多种启动方式，包括硬盘启动、虚拟光驱启动和网络启动，可依次设置设备第一启动顺序、第二启动顺序和第三启动顺序。</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▲支持创建虚拟机时，同时创建云硬盘，系统自动进行云硬盘的格式化和目录挂载操作，无需手动进入操作系统后台操作。</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支持虚拟机和云硬盘的回收站功能，统一管理被删除的虚拟机和云硬盘，防止因误删除导致数据丢失。支持设置回收站文件保存周期，超期的文件将被自动删除，支持批量销毁或还原虚拟机和云硬盘。</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▲支持虚拟机全量克隆，虚拟机克隆耗时≤1s，且克隆前后虚机业务不中断，删除源虚拟机不影响克隆虚拟机的使用。</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对虚拟机的监控支持有代理和无代理两种监控模式，可在页面上进行监控的切换。在无代理监控模式下，无需在虚拟机中部署任何脚本工具，即可监控虚拟机的CPU、内存、磁盘、网络等运行情况。</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▲支持一套系统内同时创建多种类型的备份池，存储类型包括本地存储、分布式存储、集中式存储和远端共享存储，远端共享存储支持标准NFS协议的文件存储和支持标准S3协议的对象存储。</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虚拟化系统内置备份模块，无需单独安装备份软件，在虚拟化管理平台界面即可实现虚拟机和云硬盘的备份功能。备份时对业务运行无影响，支持按时间（按天/周/月）设置自动化备份策略。</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资源编排服务，支持以excel或heat方式导入模板，支持根据导入的模板定义应用所需的云资源、资源依赖关系、亲和性、资源配置等，实现自动批量部署和配置虚拟化资源，支持配置亲和性/反亲和性策略；反亲和性策略可调度媒体服务分布到不同的节点上，减少服务器的带宽和CPU压力；支持应用编排能力，支持在云计算平台上对产品包管理及解析，并通过应用编排对业务平台进行一键部署，完成虚拟机的编排和业务平台组件自动安装。</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云平台内置在线p2v、v2v迁移工具，支持windows/linux操作系统、虚拟化平台（VMware、hyper-v等）和物理服务器迁移至云平台，支持配置多个迁移任务并发，设置自动增量迁移次数、增量大小和迁移限制速度；支持通过socket和ssh两种方式接入到源主机上进行迁移，迁移过程中可对迁移数据进行压缩、加密、控制迁移速率，迁移过程中业务不中断。</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配置弹性伸缩组及伸缩策略,包括对虚拟机进行纵向自动弹性扩展和横向伸缩，若配置自动弹性扩展，虚拟机资源量达到策略定义的阈值,系统可以自动为虚拟机增加相应的CPU、内存资源；若配置了横向弹性伸缩组，当虚拟机资源量达到策略定义的阈值或到达配置的定时周期时，系统将自动增加、删除虚拟机数量；支持媒体组件的弹性伸缩，在媒体服务集群资源使用率达到阈值时，可自动创建云服务器并安装流媒体组件，自动注册服务到媒体集群内，自动分担、平衡媒体业务流量。</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配置虚拟机故障疏散优先级，疏散时按优先级排序，重要虚拟机优先疏散；支持5个等级故障疏散优先级以区分不同重要等级业务，支持在虚拟机运行时修改故障疏散优先级；高优先级虚拟机故障疏散失败后，不锁定或占用资源，不阻塞低优先级虚拟机继续疏散；支持从镜像和备份创建虚拟机时，设置故障疏散优先级。</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支持搁置虚拟机，搁置后释放虚拟机对CPU、内存、虚拟网络等物理设备资源占用，仅保留对虚拟硬盘和物理硬盘的占用；支持对处于搁置状态的虚拟机进行恢复，恢复后可开机使用。</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对虚拟机进行快照时选择是否包含内存快照，支持从包含内存快照的虚拟机快照进行回滚，支持快照回滚前可选择对虚拟机当前状态执行快照操作，回滚后快照时刻正在运行的程序继续执行且仍可执行快照操作（包含内存快照）。</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一套系统同时接入多种类型的存储后端，包括本地存储、分布式存储ceph和集中式存储，其中集中式存储支持多种存储方式接入，包括LVM逻辑卷接入、iSCSI网络接入和FC网络接入，支持可视化存储拓扑展示，支持对系统可用存储资源空间进行展示，包括物理磁盘空间、逻辑已用空间、当前使用空间和总体剩余空间等。</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动态开启和关闭CDP持续数据保护，对运行中虚拟机开启CDP不需要重启或中断业务，可按CDP任务策略进行数据保护，可捕捉/跟踪目标数据的改变；支持根据保护点恢复至源池或独立存储池，支持配置CDP任务保护点间隔、保留策略、备份容量上限、备份带宽上限和定时全量备份策略。</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定时运维，自定义创建定时器，可设定按天/周/月的定时策略，同时可提供个性化的任务间隔执行策略（按n小时或按间隔n天的执行策略）。支持创建多种定时任务，包括对指定资源的开机、关机、重启、快照。</w:t>
      </w:r>
      <w:r>
        <w:rPr>
          <w:rFonts w:hint="eastAsia" w:ascii="宋体" w:hAnsi="宋体" w:cs="宋体"/>
          <w:bCs/>
          <w:sz w:val="24"/>
          <w:szCs w:val="24"/>
        </w:rPr>
      </w:r>
      <w:r/>
    </w:p>
    <w:p>
      <w:pPr>
        <w:ind w:firstLine="480"/>
        <w:jc w:val="both"/>
        <w:spacing w:line="360" w:lineRule="auto"/>
        <w:widowControl w:val="off"/>
        <w:rPr>
          <w:rFonts w:hint="eastAsia" w:ascii="宋体" w:hAnsi="宋体" w:cs="宋体"/>
          <w:sz w:val="24"/>
          <w:szCs w:val="24"/>
        </w:rPr>
      </w:pPr>
      <w:r>
        <w:rPr>
          <w:rFonts w:hint="eastAsia" w:ascii="宋体" w:hAnsi="宋体" w:cs="宋体"/>
          <w:bCs/>
          <w:sz w:val="24"/>
          <w:szCs w:val="24"/>
        </w:rPr>
      </w:r>
      <w:r/>
    </w:p>
    <w:p>
      <w:pPr>
        <w:ind w:firstLine="482"/>
        <w:jc w:val="both"/>
        <w:spacing w:line="360" w:lineRule="auto"/>
        <w:widowControl w:val="off"/>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以上提供公安部检测报告复印件并加盖投标人公章。</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边缘云存储设备硬件规格不得低于：(32核2.2GHz)×2/32GB DDR4×16/(12盘位）480G SSD×2（RAID_1）+960G SSD×2+8T 7.2K SATA×4/SAS+HBA/1GbE×2+10GbE×4（含万兆光模块）/1200W(1+1)/2U。</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三、AI智能审片系统</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6．AI智能审片设备</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支持违章图片数据导入分析，分析结果可上传违法管理平台或者交通终端服务器。</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支持多种违章图片预审，机动车：不系安全带、打手机、闯红灯、不按导向行驶、变道、压线、压导流带、单行线，非机动车：非机动车未戴头盔、非机动车载人。</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针对不同违章的多样化过滤规则（图像模糊、特种车辆等），可配置是否启用。</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支持多种不同图片合成方式的违章图片输入进行二次审核。</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每秒钟分析数量不少于2张，每天分析数量不少于17W张。</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分析时间段可配置，不影响正常人工审核。</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工作指示灯：UID灯、告警灯、电源灯、就绪灯。</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网络接口：4个10/100/1000M自适应网络接口。</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其他接口：4个USB3.0接口，2个USB2.0接口。1个VGA视频输出接口。</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电源：DC220V，热插拔高效1+1冗余电源模块。</w:t>
      </w:r>
      <w:r/>
    </w:p>
    <w:p>
      <w:pPr>
        <w:ind w:firstLine="482"/>
        <w:jc w:val="both"/>
        <w:spacing w:line="360" w:lineRule="auto"/>
        <w:widowControl w:val="off"/>
        <w:rPr>
          <w:rFonts w:hint="eastAsia" w:ascii="宋体" w:hAnsi="宋体" w:cs="宋体"/>
          <w:b/>
          <w:bCs/>
          <w:sz w:val="24"/>
          <w:szCs w:val="24"/>
          <w:highlight w:val="none"/>
        </w:rPr>
      </w:pPr>
      <w:r>
        <w:rPr>
          <w:rFonts w:hint="eastAsia" w:ascii="宋体" w:hAnsi="宋体" w:cs="宋体"/>
          <w:b/>
          <w:bCs/>
          <w:sz w:val="24"/>
          <w:szCs w:val="24"/>
        </w:rPr>
        <w:t xml:space="preserve">★AI智能审片设备支持无缝接入徐州市公安局铜山分局交通警</w:t>
      </w:r>
      <w:r>
        <w:rPr>
          <w:rFonts w:hint="eastAsia" w:ascii="宋体" w:hAnsi="宋体" w:cs="宋体"/>
          <w:b/>
          <w:bCs/>
          <w:sz w:val="24"/>
          <w:szCs w:val="24"/>
          <w:highlight w:val="none"/>
        </w:rPr>
        <w:t xml:space="preserve">察大队交通违法综合管控平台，设备接入过程中须保证系统整体运行稳定、业务不中断、数据不丢失。针对此项要求，投标人提供承诺函并加盖投标人公章。</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四、违法抓拍数据运维</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7．运维基础服务</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支持提供监控点总数、在线数、离线数以及在线率统计。</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支持提供快捷访问链接，并支持访问链接功能模块删除、添加、清空操作。</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▲支持提供资产总数、近7日新增、编码设备数以及其他设备数量统计。</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支持提供告警总数、今日新增数、工单数量、今日新增、故障单、巡查单以及问题单、其他统计。</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支持提供我的待办和告警信息明细，并支持告警信息的关闭和转工单。</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系统支持对昨日数据同比、波动异常的监测。</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▲支持对设备离线、图像异常、录像异常、录像保存天数异常、存储空间不足、当日车辆抓拍数量过低、前一小时过车总量过低等运行异常情况生成告警，当采集指标满足告警指标时，可生成相应的告警。</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支持统计展示监控点、编码设备、解码显示设备、存储设备离线时长。</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支持统计展示各区域各类型资源离线总时长、离线总次数、未录像时长。</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支持按月、时间区间、资源类型、离线时长、离线次数、未录像时长等信息检索查询各区域的离线时长。</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支持记录资源变更情况的功能，记录信息包括变更时间、变更类型、变更对象、实例名称、操作账号等。</w:t>
      </w:r>
      <w:r/>
    </w:p>
    <w:p>
      <w:pPr>
        <w:ind w:firstLine="482"/>
        <w:jc w:val="both"/>
        <w:spacing w:line="360" w:lineRule="auto"/>
        <w:widowControl w:val="off"/>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以上提供公安部检测报告复印件并加盖投标人公章。</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8．设备网络管理</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支持按在线状态、录制状态、行政区域编码、录像结果、状态持续时长、是否列入白名单、视频诊断结果、录像保存天数、录像日期、录像存储类型、设备名称、IP地址等对网络摄像机开展查询应用。</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支持获取前端设备的录像计划，根据录像计划检测录像是否完整，录像丢失1分钟以上时自动产生报警并显示录像丢失时间段。</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支持最早录像保存储时间、录像保存天数、录制状态的获取。系统支持录像断续频次、未录像时长的统计功能。</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▲支持对监控点进行故障诊断，并输出故障根因和建议措施。支持重新诊断。</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支持从网络状态、设备状态、设备接入状态、媒体服务状态、全链路透视几个环节，对监控点进行全面诊断。</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网络状态，支持展示各节点的网络连通性、网咯延迟、丢包率以及近7天的丢包率和延迟趋势。</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设备状态，支持设备登录状态、累计运行时间、工作状态、磁盘状态诊断，可快速访问设备。</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设备接入状态，支持接入驱动状态、设备接入服务状态、设备接入服务地址、设备注册状态、设备在线状态诊断。</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媒体服务状态，支持服务以及服务依赖的redis、mq的运行状态，端口状态诊断。</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全链路透视，支持从设备探针-媒体调度服务-媒体服务-接入驱动-设备全链路透视诊断，提供链路抓包信息下载。</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▲录像完整性巡检效率≥2000路/小时。</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▲设备在线状态巡检效率≥2000路/小时。</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支持采集磁盘号/名称、磁盘位置/槽位、磁盘状态、总容量(TB)等磁盘信息；支持采集录像卷信息、录像卷类型、录像卷状态、初始化状态、总容量/剩余容量等录像卷信息。</w:t>
      </w:r>
      <w:r/>
    </w:p>
    <w:p>
      <w:pPr>
        <w:ind w:firstLine="482"/>
        <w:jc w:val="both"/>
        <w:spacing w:line="360" w:lineRule="auto"/>
        <w:widowControl w:val="off"/>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以上提供公安部检测报告复印件并加盖投标人公章。</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9．违法数据运维</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▲支持按抓拍机维度展示车辆卡口数据抓拍概况，统计内容包括：抓拍机总数、抓拍总量、抓拍机活跃率、违法突变率、图片质量正常率、上传及时率、上传集指成功率。</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支持展示各抓拍机的抓拍量、活跃性、大图可用性、车牌识别率、上传及时率、时钟准确率、上传集指成功率、重传集指成功率趋势，可以查看近30天的抓拍趋势。</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支持查看每日分时段数据，可选择多天数据进行比对。</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按卡口维度展示车辆卡口数据抓拍概况，统计内容包括：卡口总数、抓拍总量、卡口活跃率、违法突变率、图片质量正常率、上传及时率、上传集指成功率；支持各卡口的抓拍量、活跃率、大图可用率、车牌识别率、上传及时率、时钟准确率、上传集指成功率、重传集指成功率趋势，可以查看近30天的抓拍趋势。</w:t>
      </w:r>
      <w:r/>
    </w:p>
    <w:p>
      <w:pPr>
        <w:ind w:firstLine="480"/>
        <w:jc w:val="both"/>
        <w:spacing w:line="360" w:lineRule="auto"/>
        <w:widowControl w:val="off"/>
        <w:rPr>
          <w:rFonts w:hint="eastAsia" w:ascii="宋体" w:hAnsi="宋体" w:cs="宋体"/>
          <w:bCs/>
          <w:sz w:val="24"/>
          <w:szCs w:val="24"/>
          <w:highlight w:val="none"/>
        </w:rPr>
      </w:pPr>
      <w:r>
        <w:rPr>
          <w:rFonts w:hint="eastAsia" w:ascii="宋体" w:hAnsi="宋体" w:cs="宋体"/>
          <w:bCs/>
          <w:sz w:val="24"/>
          <w:szCs w:val="24"/>
        </w:rPr>
        <w:t xml:space="preserve">支持查看每日分时段数据，可选择多天数据进行比对，支持详情查看和指标阈值配置。</w:t>
      </w:r>
      <w:r/>
    </w:p>
    <w:p>
      <w:pPr>
        <w:ind w:firstLine="482"/>
        <w:jc w:val="both"/>
        <w:spacing w:line="360" w:lineRule="auto"/>
        <w:widowControl w:val="off"/>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以上提供公安部检测报告复印件并加盖投标人公章。</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五、非机动车管控抓拍（不戴头盔、载人、逆行）</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10．双800万非机动车抓拍机</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支持分辨率设置为3840×2160@25fps，分辨力不小于2200TVL。主码流支持3840×2160@25fps，子码流支持704×576@25fps，第三码流支持1920×1080@25fps</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最低照度：彩色≤0.0002lx，黑白≤0.0001lx。</w:t>
      </w:r>
      <w:r/>
    </w:p>
    <w:p>
      <w:pPr>
        <w:ind w:firstLine="480"/>
        <w:jc w:val="both"/>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内置不少于2颗GPU芯片。自带两个镜头，靶面尺寸均不小于1/1.8英寸。</w:t>
      </w:r>
      <w:r/>
    </w:p>
    <w:p>
      <w:pPr>
        <w:ind w:firstLine="480"/>
        <w:jc w:val="both"/>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▲通道1和通道2均支持自动变焦、自动聚焦、自动调节光圈功能。通道1和通道2均支持镜头前盖玻璃加热功能。</w:t>
      </w:r>
      <w:r/>
    </w:p>
    <w:p>
      <w:pPr>
        <w:ind w:firstLine="480"/>
        <w:jc w:val="both"/>
        <w:spacing w:line="360" w:lineRule="auto"/>
        <w:widowControl w:val="off"/>
        <w:rPr>
          <w:rFonts w:hint="eastAsia" w:ascii="宋体" w:hAnsi="宋体" w:cs="宋体"/>
          <w:bCs/>
          <w:sz w:val="24"/>
          <w:szCs w:val="24"/>
          <w:highlight w:val="green"/>
        </w:rPr>
      </w:pPr>
      <w:r>
        <w:rPr>
          <w:rFonts w:hint="eastAsia" w:ascii="宋体" w:hAnsi="宋体" w:cs="宋体"/>
          <w:bCs/>
          <w:sz w:val="24"/>
          <w:szCs w:val="24"/>
          <w:highlight w:val="none"/>
        </w:rPr>
        <w:t xml:space="preserve">▲内置不少于8颗鳞镜式补光灯，灯珠朝向与设备照射方向不同，灯杯为半弧形网络鳞片状。补光灯开启后，灯光均匀无波纹、圆环状、麻点状、条纹状和不规则亮斑。</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开启红外补光灯可识别距设备不小于100m处的人体轮廓。</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▲设备具备单独PT控制功能，通道1、通道2均支持水平方向-10°~190°旋转，垂直方向均支持-5°~30°旋转。</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▲设备自带雨刷，可通过网络远程控制雨刷开启、关闭。</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设备支持人脸抓拍功能，支持人脸属性分析，可通过IE浏览器显示不低于9种人脸属性信息。</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设备支持对区域内不少于60个行人进行检测，支持行人属性分析功能，可通过IE浏览器显示行人属性信息。</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设备可识别通过监控画面中的机动车车牌号码。</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可在IE浏览器或客户端实时查看报警信息，包括数据感知、电量统计、目标统计、行人结构化属性信息。</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▲设备内置能耗检测模块，支持电压、功耗异常检测报警，可实时检测设备的输入电压和功耗信息，生产日报表、周报表、并以图标形式展现。</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▲RJ45网络接口处自带电源及通信状态指示灯，可指示设备的上电状态及网络的传输状态。</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内置不少于2个麦克风、1个扬声器、1个RJ45网络接口、2个音频输入接口，1个音频输出接口、3个报警输入接口、2个报警输出接口、1个SD卡卡槽、1个DC12V电压输出接口。</w:t>
      </w:r>
      <w:r/>
    </w:p>
    <w:p>
      <w:pPr>
        <w:ind w:firstLine="480"/>
        <w:jc w:val="both"/>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▲设备内置北斗定位模块，可对设备位置进行定位。</w:t>
      </w:r>
      <w:r/>
    </w:p>
    <w:p>
      <w:pPr>
        <w:ind w:firstLine="480"/>
        <w:jc w:val="both"/>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支持不低于IP68防尘防水等级。</w:t>
      </w:r>
      <w:r/>
    </w:p>
    <w:p>
      <w:pPr>
        <w:ind w:firstLine="482"/>
        <w:jc w:val="both"/>
        <w:spacing w:line="360" w:lineRule="auto"/>
        <w:widowControl w:val="off"/>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以上提供公安部检测报告复印件并加盖投标人公章。</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11．3-4米横臂</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横臂臂长3-4m，根部设置加强筋板。悬臂末端挠度≤L/300，满足12级抗风，荷载安全系数不低于1.5倍。横臂根部满焊加固，法兰连接采用热镀锌高强螺栓。整体热浸镀锌防腐，镀锌后静电喷塑，锌层、塑层厚度满足国标户外要求。臂体内部走线，末端预留设备出线孔并配置橡胶护圈，做好防水处理。</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12．施工配套辅材</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网线、电源线、接入交换机、光纤收发器等施工配套辅材。</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六、非机动车闯红灯抓拍（闯红灯、不戴头盔、载人、逆行）</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13．1200万非机动车闯红灯抓拍单元</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由摄像机、高清镜头、室外防护罩、风扇、补光灯、电源适配器、安装万向节等组成。</w:t>
      </w:r>
      <w:r/>
    </w:p>
    <w:p>
      <w:pPr>
        <w:ind w:firstLine="480"/>
        <w:jc w:val="both"/>
        <w:spacing w:line="360" w:lineRule="auto"/>
        <w:widowControl w:val="off"/>
        <w:rPr>
          <w:rFonts w:hint="eastAsia" w:ascii="宋体" w:hAnsi="宋体" w:cs="宋体"/>
          <w:bCs/>
          <w:sz w:val="24"/>
          <w:szCs w:val="24"/>
          <w:highlight w:val="none"/>
        </w:rPr>
      </w:pPr>
      <w:r>
        <w:rPr>
          <w:rFonts w:hint="eastAsia" w:ascii="宋体" w:hAnsi="宋体" w:cs="宋体"/>
          <w:bCs/>
          <w:sz w:val="24"/>
          <w:szCs w:val="24"/>
        </w:rPr>
        <w:t xml:space="preserve">▲遇停止信号时，停在停止线以内的：记录至少2张反映电动自行车在遇停止信号时，停在停止线以内的图片和视频。a）能反映电动自行车已经越过停止线的图片，并能清晰辨别交通信号灯红灯、停止线；b）能反应电动自行车与a）图片中电动自行车无位移，</w:t>
      </w:r>
      <w:r>
        <w:rPr>
          <w:rFonts w:hint="eastAsia" w:ascii="宋体" w:hAnsi="宋体" w:cs="宋体"/>
          <w:bCs/>
          <w:sz w:val="24"/>
          <w:szCs w:val="24"/>
          <w:highlight w:val="none"/>
        </w:rPr>
        <w:t xml:space="preserve">间隔时间不小于10s的图片，并能清晰辨别交通信号灯红灯、停止线。违法行力记录视频长度应不小于10s，至少包含全景特征、行为特征以及完整的行为过程。日间捕获率不低于90%。</w:t>
      </w:r>
      <w:r/>
    </w:p>
    <w:p>
      <w:pPr>
        <w:ind w:firstLine="480"/>
        <w:jc w:val="both"/>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驾驶电动自行车不戴安全头盔：记录至少2张反映驾驶电动自行车不戴安全头盔的图片和视频。全景特征图片中电动自行车应有明显的位移，并能清晰辨别驾驶人是否佩戴安全头盔。违法行为记录视频长度应不小于5s，至少包含全景特征、行为特征以及完整的行为过程。日间捕获率不低于90%。</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驾驶电动自行车载人：记录至少2张反映驾驶电动自行车载人的图片和视频。全景特征图片中电动自行车应有明显的位移，并能清晰辨别驾驶人与乘坐人。违法行为记录视频长度应不小于5S，至少包含全景特征、行为特征以及完整的行为过程。日间捕获率不低于90%。</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记录至少2张反映电动自行车加装车篷的图片。全景特征图片中应能清晰辨别车篷。日间捕获率不低于90%。</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视频应能从违法行为视频取证记录中至少抽取2张图像，并合成为符合GA/T 832要求的图像。</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应能检测并跟踪机动车、非机动车、行人、动物等运动目标，检测性能符合GB/T 30147-2013中7.1规定。</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应能适应昼夜光线及环境背景变化；应能清晰分辨机动车号牌，拍摄车辆前部特征时宜能辨别驾驶人面部特征。</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支持识别不少于39种车身颜色，支持识别车身副颜色。</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在天气晴朗无雾，车辆无遮挡，白天环境光照度不低于200lx，夜晚辅助光照度不高于30lx的情况下进行测试；白天和晚上闯红灯事件捕获率均≥99%，白天和晚上闯红灯事件准确率均≥99%。</w:t>
      </w:r>
      <w:r/>
    </w:p>
    <w:p>
      <w:pPr>
        <w:ind w:firstLine="480"/>
        <w:jc w:val="both"/>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在天气晴朗无雾，车辆无遮挡，号牌无污损白天环境光照度不低于200lx，夜晚辅助光照度不高于30lx的情况下进行测试；白天和晚上车牌号识别准确率均≥99%，白天和晚上车辆类型识别准确率均≥99%，白天和晚上车身颜色识别准确率均≥98%。</w:t>
      </w:r>
      <w:r/>
    </w:p>
    <w:p>
      <w:pPr>
        <w:ind w:firstLine="480"/>
        <w:jc w:val="both"/>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▲车牌识别功能检查：支持对25×10像素～1100×3000像素的机动车车牌进行抓拍并识别号码。支持抓拍并识别垂直倾斜角度≤45°、水平倾斜角度≤35°、俯仰角度≤40°的机动车车牌号码。</w:t>
      </w:r>
      <w:r/>
    </w:p>
    <w:p>
      <w:pPr>
        <w:ind w:firstLine="480"/>
        <w:jc w:val="both"/>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目标跟踪功能检查：支持检测并跟踪指定区域内不少于245个目标，目标包括机动车、非机动车以及行人。</w:t>
      </w:r>
      <w:r/>
    </w:p>
    <w:p>
      <w:pPr>
        <w:ind w:firstLine="482"/>
        <w:jc w:val="both"/>
        <w:spacing w:line="360" w:lineRule="auto"/>
        <w:widowControl w:val="off"/>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以上提供公安部检测报告复印件并加盖投标人公章。</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14．暖光LED频闪灯</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光源类型：16颗原装大功率LED。发光角度12°。补光距离16米～25米。响应时间小于20us。触发方式：高电平有效（可选配开关量触发）。触发信号：频率1~250HZ，占空比1%~39%。防护等级IP66。</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15．红绿灯检测器</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16路信号灯交流信号输入接口。4个RS485输出接口，1路100M网口输出，1个5VDC输出接口。5路拨码开关，用来设置波特率、地址和上传模式。16路交通灯状态指示。检测、通讯单元采用微控制器设计，稳定可靠。输入接口采用压电保护、光电隔离等防护措施。实时输出交通灯信号状态。</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16．非机动车管理终端</w:t>
      </w:r>
      <w:r/>
    </w:p>
    <w:p>
      <w:pPr>
        <w:ind w:firstLine="480"/>
        <w:jc w:val="both"/>
        <w:spacing w:line="360" w:lineRule="auto"/>
        <w:widowControl w:val="off"/>
        <w:rPr>
          <w:rFonts w:hint="eastAsia" w:ascii="宋体" w:hAnsi="宋体" w:cs="宋体"/>
          <w:bCs/>
          <w:sz w:val="24"/>
          <w:szCs w:val="24"/>
          <w:highlight w:val="none"/>
        </w:rPr>
      </w:pPr>
      <w:r>
        <w:rPr>
          <w:rFonts w:hint="eastAsia" w:ascii="宋体" w:hAnsi="宋体" w:cs="宋体"/>
          <w:bCs/>
          <w:sz w:val="24"/>
          <w:szCs w:val="24"/>
        </w:rPr>
        <w:t xml:space="preserve">具有不少于2个RS-232接口、2个RS-485接口、1个USB 3.0接口、2路报警输入接口、2路报警输出接口、1个音频输入接口、1个音频输出接口、4个SATA接口、4个</w:t>
      </w:r>
      <w:r>
        <w:rPr>
          <w:rFonts w:hint="eastAsia" w:ascii="宋体" w:hAnsi="宋体" w:cs="宋体"/>
          <w:bCs/>
          <w:sz w:val="24"/>
          <w:szCs w:val="24"/>
          <w:highlight w:val="none"/>
        </w:rPr>
        <w:t xml:space="preserve">状态指示灯、1个接地端子。</w:t>
      </w:r>
      <w:r/>
    </w:p>
    <w:p>
      <w:pPr>
        <w:ind w:firstLine="480"/>
        <w:jc w:val="both"/>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▲具有不少于18个10M/100M/1000M自适应RJ45接口，其中P1～P16与G1处于同一网段、G2处于另一网段；2个1000M SFP光端接口，分别与G1、G2处于同一网段。</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支持IP地址过滤、SSH开关自定义、视频水印等安全防护功能，具有ARP防攻击设置选项、具备强密码管理功能；支持WEB回话Session ID、数据传输加密、固件完整性等安全检验。</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具备权限管理、数据加密、运行日志功能。设备应设置操作口令，宜有图像加密，防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摄像机与客户端分别连接样机的不同网段时，客户端可以通过端口映射，跨网段直接访问摄像机，对摄像机进行操作，包括进行参数配置、录像实时预览等。</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支持将1张、2张、3张、4张、5张、6张图片合成，支持选择图片形状，修改顺序，支持原始图片去黑边。</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▲支持4块3.5或2.5英寸硬盘接入，每块盘位最大兼容12TB硬盘，支持硬盘自动切换，当一块硬盘损坏后，能自动切换至其它硬盘进行存储。支持SSD,机械硬盘和SSD可以混合使用。</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外接机柜门时，通过连接开关量信号及相应的设置，当机柜门打开后，联动声音报警。</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配置路段名称、路段编号、路段距离，能够对驶入驶出该路段的车辆抓拍数据匹配并计算车辆的区间速度值；支持设置过滤阈值，对异常测速结果进行过滤；支持超速检测和欠速检测，可分别设定高限速和低限速值。</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支持接入具有ABF聚焦功能的摄像机，可对视频图像进行ABF聚焦；支持接入鱼眼摄像机、双目摄像机、三目摄像机、四目摄像机等，并可将视频图像以多画面分割方式显示，可自定义画面布局。</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支持相同车牌号去重功能，多相机抓拍同一车牌号仅上传一条该车牌条记录到平台。</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支持对IP通道进行图像虚焦、亮度异常、图像偏色、雪花干扰、条纹干扰等类型视频质量进行诊断，可生成诊断信息并导出查看。</w:t>
      </w:r>
      <w:r/>
    </w:p>
    <w:p>
      <w:pPr>
        <w:ind w:firstLine="480"/>
        <w:jc w:val="both"/>
        <w:spacing w:line="360" w:lineRule="auto"/>
        <w:widowControl w:val="off"/>
        <w:rPr>
          <w:rFonts w:hint="eastAsia" w:ascii="宋体" w:hAnsi="宋体" w:cs="宋体"/>
          <w:bCs/>
          <w:sz w:val="24"/>
          <w:szCs w:val="24"/>
          <w:highlight w:val="none"/>
        </w:rPr>
      </w:pPr>
      <w:r>
        <w:rPr>
          <w:rFonts w:hint="eastAsia" w:ascii="宋体" w:hAnsi="宋体" w:cs="宋体"/>
          <w:bCs/>
          <w:sz w:val="24"/>
          <w:szCs w:val="24"/>
        </w:rPr>
        <w:t xml:space="preserve">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w:t>
      </w:r>
      <w:r>
        <w:rPr>
          <w:rFonts w:hint="eastAsia" w:ascii="宋体" w:hAnsi="宋体" w:cs="宋体"/>
          <w:bCs/>
          <w:sz w:val="24"/>
          <w:szCs w:val="24"/>
          <w:highlight w:val="none"/>
        </w:rPr>
        <w:t xml:space="preserve">是否启用语音播报及播报内容。</w:t>
      </w:r>
      <w:r/>
    </w:p>
    <w:p>
      <w:pPr>
        <w:ind w:firstLine="482"/>
        <w:jc w:val="both"/>
        <w:spacing w:line="360" w:lineRule="auto"/>
        <w:widowControl w:val="off"/>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以上提供公安部检测报告复印件并加盖投标人公章。</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17．3-4米横臂</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横臂臂长3-4m，根部设置加强筋板。悬臂末端挠度≤L/300，满足12级抗风，荷载安全系数不低于1.5倍。横臂根部满焊加固，法兰连接采用热镀锌高强螺栓。整体热浸镀锌防腐，镀锌后静电喷塑，锌层、塑层厚度满足国标户外要求。臂体内部走线，末端预留设备出线孔并配置橡胶护圈，做好防水处理。</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七、铁骑取证设备</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18．铁骑取证设备</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支持4路相机，前相机支持移动过程中三车道车辆抓拍，前后相机支持行车录像，右侧两个相机支持违停抓拍。</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具备485、232、can、line out、usb、rj45接口，可扩展外设。</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相机、外设通过车载专用接插件接入，连接稳固可靠，套装包含相机、主机安装支架。</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支持TF卡接入，用于存储录像。</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支持5G、wifi、蓝牙无线模块，满足移动过程中的网络传输，可接入手持PDA，进行警务处理。</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主机铝拉伸机箱，相机IP67级防护，主机IP54级防护，具备良好的车载工作环境适应性。</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内置北斗高灵敏度卫星模块，同时支持全球24时区卫星同步校时，定位信息同步封装入录像码流中。</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宽幅电源输入，满足摩托车电气特性要求。</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支持路缘石检测和停车位检测，可自动过滤对应的非违停车辆。</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相机支持补光，夜间成像清晰，可完成夜间违停抓拍。</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★铁骑取证设备支持无缝接入徐州市公安局铜山分局交通警察大队交通违法综合管控平台，铁骑取证数据能够与支队平台和集成指挥平台对接。针对此项要求，投标人提供承诺函并加盖投标人公章。</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八、老旧硬盘更换</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19．4TB企业级硬盘</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4TB容量，3.5英寸，SATA3.0接口，7200RPM。传输速率215MB/s，256MB高速缓存。MTBF可达2,000,000小时。接口传输速率：6.0Gb/s。</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20．1.2T 2.5寸 SAS 硬盘</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接口类型：SAS。容量：1.2TB。接口速率：12Gb/s。</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21．960GB SSD固态硬盘</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接口类型：SATA。容量：960G。接口速率：6Gb/s。</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九、核心交换机更换</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22．核心交换机</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主控引擎插槽≥2个，业务插槽（不含主控引擎）≥10个，交换容量≥204.8Tbps，包转发率≥115200Mpps。</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支持IPv4和IPv6双协议栈，支持RIP、OSPF、IS-IS、BGP、等价路由、策略路由。</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ACL≥4K，MAC表≥1M，路由表≥256K，ARP表≥256K。</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支持独立安全业务插卡FW、IPS、上网行为管理、负载均衡插卡，该插卡要求内置在核心交换机业务插槽中，非NGFW扩展功能或外置硬件设备支持。</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端口扩展支持万兆电，25G端口、40G端口、100G端口，单槽位最大可支持24个40G光接口。</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支持EPON OLT及10G EPON OLT接口。</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支持Telemetry技术，实时采集设备数据并上送至网络分析组件平台，实现流量可视化。</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多虚一技术(N:1)，可将4台物理设备虚拟化为1台逻辑设备，统一管理并实现流量负载分担；支持一虚多技术（1:N），可将1台物理设备虚拟化为9台逻辑设备，虚拟交换机增加，表项翻倍；支持设备先“多虚一”再“一虚多”的功能联动，彻底实现资源池化。</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支持并实配MACsec硬件加密功能。</w:t>
      </w:r>
      <w:r/>
    </w:p>
    <w:p>
      <w:pPr>
        <w:ind w:firstLine="480"/>
        <w:jc w:val="both"/>
        <w:spacing w:line="360" w:lineRule="auto"/>
        <w:widowControl w:val="off"/>
        <w:rPr>
          <w:rFonts w:hint="eastAsia" w:ascii="宋体" w:hAnsi="宋体" w:cs="宋体"/>
          <w:bCs/>
          <w:sz w:val="24"/>
          <w:szCs w:val="24"/>
          <w:highlight w:val="green"/>
        </w:rPr>
      </w:pPr>
      <w:r>
        <w:rPr>
          <w:rFonts w:hint="eastAsia" w:ascii="宋体" w:hAnsi="宋体" w:cs="宋体"/>
          <w:bCs/>
          <w:sz w:val="24"/>
          <w:szCs w:val="24"/>
          <w:highlight w:val="none"/>
        </w:rPr>
        <w:t xml:space="preserve">单台配置冗余主控、冗余电源，整机提供不得少于96端口千兆以太网电接口+96端口千兆以太网光接口+48端口万兆以太网光接口。配套包含不少于24个万兆光模块、48个千兆光模块。</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十、技术人员驻场服务</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23．技术人员驻场服务</w:t>
      </w:r>
      <w:r/>
    </w:p>
    <w:p>
      <w:pPr>
        <w:ind w:firstLine="480"/>
        <w:jc w:val="both"/>
        <w:spacing w:line="360" w:lineRule="auto"/>
        <w:widowControl w:val="off"/>
        <w:rPr>
          <w:rFonts w:hint="default" w:ascii="宋体" w:hAnsi="宋体" w:cs="宋体"/>
          <w:bCs/>
          <w:sz w:val="24"/>
          <w:szCs w:val="24"/>
        </w:rPr>
      </w:pPr>
      <w:r>
        <w:rPr>
          <w:rFonts w:hint="eastAsia" w:ascii="宋体" w:hAnsi="宋体" w:cs="宋体"/>
          <w:bCs/>
          <w:sz w:val="24"/>
          <w:szCs w:val="24"/>
        </w:rPr>
        <w:t xml:space="preserve">★提供至少一名技术人员驻场服务，驻场时间为12个月。针对此项要求，投标人提供承诺函并加盖投标人公章。</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其他要求：</w:t>
      </w:r>
      <w:r/>
    </w:p>
    <w:p>
      <w:pPr>
        <w:ind w:firstLine="482"/>
        <w:jc w:val="both"/>
        <w:spacing w:line="360" w:lineRule="auto"/>
        <w:widowControl w:val="off"/>
        <w:rPr>
          <w:rFonts w:hint="default" w:ascii="宋体" w:hAnsi="宋体" w:cs="宋体"/>
          <w:b/>
          <w:bCs/>
          <w:sz w:val="24"/>
          <w:szCs w:val="24"/>
        </w:rPr>
      </w:pPr>
      <w:r>
        <w:rPr>
          <w:rFonts w:hint="eastAsia" w:ascii="宋体" w:hAnsi="宋体" w:cs="宋体"/>
          <w:b/>
          <w:bCs/>
          <w:sz w:val="24"/>
          <w:szCs w:val="24"/>
        </w:rPr>
        <w:t xml:space="preserve">★投标人须提供满足本项目建设要求的全部软硬件及配套设备并保证能够与现有系统软硬件融合。性能及规格不得低于徐州市公安局铜山分局交通警察大队原有交通违法综合管控平台的配置。凡招标文件中未提及的，但为实现该系统功能所必需的系统、材料等，或在系统升级过程中可能产生的其他所有费用，应在投标书中列出，在投标总报价中应包含该部分费用，招标人不再额外支付任何其他费用。针对此项要求，投标人提供承诺函并加盖投标人公章，否则视为无效投标。</w:t>
      </w:r>
      <w:r/>
    </w:p>
    <w:p>
      <w:pPr>
        <w:jc w:val="both"/>
        <w:spacing w:line="3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说明：</w:t>
      </w:r>
      <w:r/>
    </w:p>
    <w:p>
      <w:pPr>
        <w:numPr>
          <w:ilvl w:val="0"/>
          <w:numId w:val="4"/>
        </w:numPr>
        <w:ind w:firstLine="472"/>
        <w:jc w:val="left"/>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以上加“</w:t>
      </w:r>
      <w:r>
        <w:rPr>
          <w:rFonts w:hint="eastAsia" w:ascii="宋体" w:hAnsi="宋体" w:eastAsia="宋体" w:cs="宋体"/>
          <w:b w:val="0"/>
          <w:bCs w:val="0"/>
          <w:color w:val="000000" w:themeColor="text1"/>
          <w:sz w:val="24"/>
          <w:szCs w:val="24"/>
          <w:vertAlign w:val="baseline"/>
          <w14:textFill>
            <w14:solidFill>
              <w14:schemeClr w14:val="tx1"/>
            </w14:solidFill>
          </w14:textFill>
        </w:rPr>
        <w:t xml:space="preserve">★</w:t>
      </w:r>
      <w:r>
        <w:rPr>
          <w:rFonts w:hint="eastAsia" w:ascii="宋体" w:hAnsi="宋体" w:eastAsia="宋体" w:cs="宋体"/>
          <w:b/>
          <w:sz w:val="24"/>
          <w:szCs w:val="24"/>
        </w:rPr>
        <w:t xml:space="preserve">”标志的为重要响应指标。</w:t>
      </w:r>
      <w:r/>
    </w:p>
    <w:p>
      <w:pPr>
        <w:numPr>
          <w:ilvl w:val="0"/>
          <w:numId w:val="4"/>
        </w:numPr>
        <w:ind w:firstLine="472"/>
        <w:jc w:val="left"/>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eastAsia="宋体" w:cs="宋体"/>
          <w:sz w:val="24"/>
          <w:szCs w:val="24"/>
        </w:rPr>
        <w:t xml:space="preserve">▲</w:t>
      </w:r>
      <w:r>
        <w:rPr>
          <w:rFonts w:hint="eastAsia" w:ascii="宋体" w:hAnsi="宋体" w:eastAsia="宋体" w:cs="宋体"/>
          <w:b/>
          <w:sz w:val="24"/>
          <w:szCs w:val="24"/>
        </w:rPr>
        <w:t xml:space="preserve">”标志的为</w:t>
      </w:r>
      <w:r>
        <w:rPr>
          <w:rFonts w:hint="eastAsia" w:ascii="宋体" w:hAnsi="宋体" w:cs="宋体"/>
          <w:b/>
          <w:sz w:val="24"/>
          <w:szCs w:val="24"/>
          <w:lang w:val="en-US" w:eastAsia="zh-CN"/>
        </w:rPr>
        <w:t xml:space="preserve">次</w:t>
      </w:r>
      <w:r>
        <w:rPr>
          <w:rFonts w:hint="eastAsia" w:ascii="宋体" w:hAnsi="宋体" w:eastAsia="宋体" w:cs="宋体"/>
          <w:b/>
          <w:sz w:val="24"/>
          <w:szCs w:val="24"/>
        </w:rPr>
        <w:t xml:space="preserve">重要响应指标。</w:t>
      </w:r>
      <w:r/>
    </w:p>
    <w:p>
      <w:pPr>
        <w:ind w:firstLine="472"/>
        <w:jc w:val="both"/>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cs="宋体"/>
          <w:b/>
          <w:sz w:val="24"/>
          <w:szCs w:val="24"/>
          <w:lang w:val="en-US" w:eastAsia="zh-CN"/>
        </w:rPr>
        <w:t xml:space="preserve">3</w:t>
      </w:r>
      <w:r>
        <w:rPr>
          <w:rFonts w:hint="eastAsia" w:ascii="宋体" w:hAnsi="宋体" w:eastAsia="宋体" w:cs="宋体"/>
          <w:b/>
          <w:sz w:val="24"/>
          <w:szCs w:val="24"/>
        </w:rPr>
        <w:t xml:space="preserve">）以上无“</w:t>
      </w:r>
      <w:r>
        <w:rPr>
          <w:rFonts w:hint="eastAsia" w:ascii="宋体" w:hAnsi="宋体" w:eastAsia="宋体" w:cs="宋体"/>
          <w:sz w:val="24"/>
          <w:szCs w:val="24"/>
        </w:rPr>
        <w:t xml:space="preserve">▲</w:t>
      </w:r>
      <w:r>
        <w:rPr>
          <w:rFonts w:hint="eastAsia" w:ascii="宋体" w:hAnsi="宋体" w:eastAsia="宋体" w:cs="宋体"/>
          <w:b/>
          <w:sz w:val="24"/>
          <w:szCs w:val="24"/>
        </w:rPr>
        <w:t xml:space="preserve">”标志的为非重要响应指标。</w:t>
      </w:r>
      <w:r/>
    </w:p>
    <w:p>
      <w:pPr>
        <w:pStyle w:val="724"/>
        <w:ind w:firstLine="482"/>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（4）核心产品为：AI智能审片系统。</w:t>
      </w:r>
      <w:r/>
    </w:p>
    <w:p>
      <w:pPr>
        <w:pStyle w:val="724"/>
        <w:ind w:firstLine="482"/>
        <w:rPr>
          <w:rFonts w:hint="eastAsia" w:ascii="宋体" w:hAnsi="宋体" w:cs="宋体"/>
          <w:b/>
          <w:color w:val="ff0000"/>
          <w:sz w:val="24"/>
          <w:szCs w:val="24"/>
          <w:highlight w:val="yellow"/>
          <w:lang w:val="en-US" w:eastAsia="zh-CN"/>
        </w:rPr>
      </w:pPr>
      <w:r>
        <w:rPr>
          <w:rFonts w:hint="eastAsia" w:ascii="宋体" w:hAnsi="宋体" w:cs="宋体"/>
          <w:b/>
          <w:color w:val="ff0000"/>
          <w:sz w:val="24"/>
          <w:szCs w:val="24"/>
          <w:highlight w:val="yellow"/>
          <w:lang w:val="en-US" w:eastAsia="zh-CN"/>
        </w:rPr>
      </w:r>
      <w:r/>
    </w:p>
    <w:p>
      <w:pPr>
        <w:jc w:val="both"/>
        <w:spacing w:line="360" w:lineRule="auto"/>
        <w:widowControl w:val="off"/>
        <w:rPr>
          <w:rFonts w:hint="eastAsia" w:ascii="Calibri" w:hAnsi="Calibri"/>
          <w:b/>
          <w:bCs/>
          <w:color w:val="auto"/>
          <w:sz w:val="24"/>
          <w:szCs w:val="24"/>
        </w:rPr>
      </w:pPr>
      <w:r>
        <w:rPr>
          <w:rFonts w:hint="eastAsia" w:ascii="Calibri" w:hAnsi="Calibri"/>
          <w:b/>
          <w:bCs/>
          <w:color w:val="auto"/>
          <w:sz w:val="24"/>
          <w:szCs w:val="24"/>
          <w:lang w:eastAsia="zh-CN"/>
        </w:rPr>
        <w:t xml:space="preserve">（</w:t>
      </w:r>
      <w:r>
        <w:rPr>
          <w:rFonts w:hint="eastAsia" w:ascii="Calibri" w:hAnsi="Calibri"/>
          <w:b/>
          <w:bCs/>
          <w:color w:val="auto"/>
          <w:sz w:val="24"/>
          <w:szCs w:val="24"/>
          <w:lang w:val="en-US" w:eastAsia="zh-CN"/>
        </w:rPr>
        <w:t xml:space="preserve">四</w:t>
      </w:r>
      <w:r>
        <w:rPr>
          <w:rFonts w:hint="eastAsia" w:ascii="Calibri" w:hAnsi="Calibri"/>
          <w:b/>
          <w:bCs/>
          <w:color w:val="auto"/>
          <w:sz w:val="24"/>
          <w:szCs w:val="24"/>
          <w:lang w:eastAsia="zh-CN"/>
        </w:rPr>
        <w:t xml:space="preserve">）</w:t>
      </w:r>
      <w:r>
        <w:rPr>
          <w:rFonts w:hint="eastAsia" w:ascii="Calibri" w:hAnsi="Calibri"/>
          <w:b/>
          <w:bCs/>
          <w:color w:val="auto"/>
          <w:sz w:val="24"/>
          <w:szCs w:val="24"/>
        </w:rPr>
        <w:t xml:space="preserve">项目实施要求：</w:t>
      </w:r>
      <w:r/>
    </w:p>
    <w:p>
      <w:pPr>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1、产品质量要求</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所有硬件产品需为全新、未使用过的原装正品。</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软件产品需具有自主知识产权，符合国家相关软件标准和规范。</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软件产品需经过严格的测试，确保无重大 bug，能够稳定运行。</w:t>
      </w:r>
      <w:r/>
    </w:p>
    <w:p>
      <w:pPr>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2、施工要求</w:t>
      </w:r>
      <w:r/>
    </w:p>
    <w:p>
      <w:pPr>
        <w:ind w:firstLine="72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（1）施工准备</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施工前，供应商需组织技术人员对施工现场进行勘察，制定详细的施工方案，包括施工进度计划、人员安排、设备安装位置等，并报采购人审核通过后实施。</w:t>
      </w:r>
      <w:r/>
    </w:p>
    <w:p>
      <w:pPr>
        <w:ind w:firstLine="72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准备好施工所需的工具、设备和材料，确保其符合施工要求和安全标准。</w:t>
      </w:r>
      <w:r/>
    </w:p>
    <w:p>
      <w:pPr>
        <w:ind w:firstLine="72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（2）施工过程</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严格按照施工方案和相关技术规范进行施工，确保施工质量。在施工过程中，如需对施工方案进行调整，需事先征得采购人同意。</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遵守施工现场的安全管理规定，采取必要的安全防护措施，确保施工人员和设备的安全。施工过程中不得影响原有系统的正常运行。</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做好施工记录，包括施工进度、设备安装调试情况、出现的问题及解决方法等，定期向采购人汇报施工进展情况。</w:t>
      </w:r>
      <w:r/>
    </w:p>
    <w:p>
      <w:pPr>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3、施工验收</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施工完成后，供应商需先进行自检，确保系统各项功能正常、性能指标达标。自检合格后，向采购人提交验收申请，并提供相关的技术文档、测试报告等验收资料。</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采购人组织专业人员按照相关标准和合同约定进行验收，验收合格后签署验收报告。如验收不合格，供应商需在规定时间内进行整改，直至验收合格。</w:t>
      </w:r>
      <w:r/>
    </w:p>
    <w:p>
      <w:pPr>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4、售后服务</w:t>
      </w:r>
      <w:r/>
    </w:p>
    <w:p>
      <w:pPr>
        <w:ind w:firstLine="72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1.供应商需建立完善的售后服务体系，设立 24 小时售后服务热线，确保在接到用户故障报修后，1 小时内响应，4 小时内到达现场处理，一般故障 24 小时内解决，重大故障 48 小时内解决。</w:t>
      </w:r>
      <w:r/>
    </w:p>
    <w:p>
      <w:pPr>
        <w:ind w:firstLine="72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2.供应商需为采购人提供免费的技术培训服务，培训内容包括系统的操作使用、日常维护、故障排除等，确保采购人相关人员能够熟练掌握系统的使用和管理。培训人数不少于 10 人，培训时长不少于 3 天。</w:t>
      </w:r>
      <w:r/>
    </w:p>
    <w:p>
      <w:pPr>
        <w:ind w:firstLine="72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3.在项目实施过程中产生的各类技术文档，如系统设计方案、施工方案、测试报告、用户手册等，供应商需在项目验收后 1 个月内提交给采购人，且文档需规范、完整、准确。</w:t>
      </w:r>
      <w:r/>
    </w:p>
    <w:p>
      <w:pPr>
        <w:rPr>
          <w:rFonts w:hint="default"/>
          <w:sz w:val="24"/>
          <w:szCs w:val="24"/>
          <w:lang w:val="en-US" w:eastAsia="zh-CN"/>
        </w:rPr>
      </w:pPr>
      <w:r>
        <w:rPr>
          <w:rFonts w:hint="default"/>
          <w:sz w:val="24"/>
          <w:szCs w:val="24"/>
          <w:lang w:val="en-US" w:eastAsia="zh-CN"/>
        </w:rPr>
      </w:r>
      <w:r/>
    </w:p>
    <w:p>
      <w:pPr>
        <w:pStyle w:val="1071"/>
        <w:ind w:firstLine="482"/>
        <w:jc w:val="left"/>
        <w:spacing w:line="360" w:lineRule="auto"/>
        <w:widowControl/>
        <w:rPr>
          <w:rFonts w:hint="eastAsia" w:ascii="宋体" w:hAnsi="宋体" w:eastAsia="宋体" w:cs="宋体"/>
          <w:b/>
          <w:bCs/>
          <w:color w:val="0000ff"/>
          <w:sz w:val="24"/>
          <w:szCs w:val="24"/>
        </w:rPr>
      </w:pP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五</w:t>
      </w:r>
      <w:r>
        <w:rPr>
          <w:rFonts w:hint="eastAsia"/>
          <w:color w:val="000000"/>
          <w:sz w:val="24"/>
          <w:szCs w:val="24"/>
          <w:highlight w:val="none"/>
          <w:lang w:eastAsia="zh-CN"/>
        </w:rPr>
        <w:t xml:space="preserve">）</w:t>
      </w:r>
      <w:r>
        <w:rPr>
          <w:rFonts w:hint="eastAsia" w:ascii="宋体" w:hAnsi="宋体" w:eastAsia="宋体" w:cs="宋体"/>
          <w:sz w:val="24"/>
          <w:szCs w:val="24"/>
        </w:rPr>
        <w:t xml:space="preserve">其他要求：见招标文件第五章《拟签订的合同文本》。</w:t>
      </w:r>
      <w:r/>
    </w:p>
    <w:p>
      <w:pPr>
        <w:keepLines w:val="0"/>
        <w:keepNext w:val="0"/>
        <w:pageBreakBefore w:val="0"/>
        <w:spacing w:line="360" w:lineRule="auto"/>
        <w:shd w:val="clear" w:color="auto" w:fill="auto"/>
        <w:widowControl w:val="off"/>
        <w:rPr>
          <w:rFonts w:hint="eastAsia" w:eastAsia="宋体"/>
          <w:color w:val="000000"/>
          <w:sz w:val="24"/>
          <w:szCs w:val="24"/>
          <w:highlight w:val="none"/>
          <w:lang w:eastAsia="zh-CN"/>
        </w:rPr>
      </w:pPr>
      <w:r>
        <w:rPr>
          <w:rFonts w:hint="eastAsia" w:eastAsia="宋体"/>
          <w:color w:val="000000"/>
          <w:sz w:val="24"/>
          <w:szCs w:val="24"/>
          <w:highlight w:val="none"/>
          <w:lang w:eastAsia="zh-CN"/>
        </w:rPr>
      </w:r>
      <w:r/>
    </w:p>
    <w:p>
      <w:pPr>
        <w:pStyle w:val="873"/>
        <w:shd w:val="clear" w:color="auto" w:fill="auto"/>
        <w:rPr>
          <w:color w:val="000000"/>
          <w:highlight w:val="none"/>
        </w:rPr>
      </w:pPr>
      <w:r>
        <w:rPr>
          <w:color w:val="000000"/>
          <w:highlight w:val="none"/>
        </w:rPr>
      </w:r>
      <w:r/>
    </w:p>
    <w:p>
      <w:pPr>
        <w:pStyle w:val="744"/>
        <w:shd w:val="clear" w:color="auto" w:fill="auto"/>
        <w:rPr>
          <w:rFonts w:ascii="仿宋" w:hAnsi="仿宋" w:eastAsia="仿宋"/>
          <w:color w:val="000000"/>
          <w:sz w:val="24"/>
          <w:highlight w:val="none"/>
        </w:rPr>
      </w:pPr>
      <w:r>
        <w:rPr>
          <w:rFonts w:ascii="仿宋" w:hAnsi="仿宋" w:eastAsia="仿宋"/>
          <w:color w:val="000000"/>
          <w:sz w:val="24"/>
          <w:highlight w:val="none"/>
        </w:rPr>
      </w:r>
      <w:r/>
    </w:p>
    <w:p>
      <w:pPr>
        <w:pStyle w:val="744"/>
        <w:ind w:firstLine="480"/>
        <w:spacing w:line="420" w:lineRule="exact"/>
        <w:shd w:val="clear" w:color="auto" w:fill="auto"/>
        <w:rPr>
          <w:rFonts w:ascii="仿宋" w:hAnsi="仿宋" w:eastAsia="仿宋"/>
          <w:color w:val="000000"/>
          <w:sz w:val="24"/>
          <w:highlight w:val="none"/>
          <w:lang w:val="zh-CN"/>
        </w:rPr>
      </w:pPr>
      <w:r>
        <w:rPr>
          <w:rFonts w:ascii="仿宋" w:hAnsi="仿宋" w:eastAsia="仿宋"/>
          <w:color w:val="000000"/>
          <w:sz w:val="24"/>
          <w:highlight w:val="none"/>
          <w:lang w:val="zh-CN"/>
        </w:rPr>
      </w:r>
      <w:r/>
    </w:p>
    <w:p>
      <w:pPr>
        <w:pStyle w:val="744"/>
        <w:shd w:val="clear" w:color="auto" w:fill="auto"/>
        <w:rPr>
          <w:rFonts w:ascii="仿宋" w:hAnsi="仿宋" w:eastAsia="仿宋"/>
          <w:color w:val="000000"/>
          <w:sz w:val="24"/>
          <w:highlight w:val="none"/>
        </w:rPr>
      </w:pPr>
      <w:r>
        <w:rPr>
          <w:rFonts w:ascii="仿宋" w:hAnsi="仿宋" w:eastAsia="仿宋"/>
          <w:color w:val="000000"/>
          <w:sz w:val="24"/>
          <w:highlight w:val="none"/>
        </w:rPr>
      </w:r>
      <w:r/>
    </w:p>
    <w:p>
      <w:pPr>
        <w:shd w:val="clear" w:color="auto" w:fill="auto"/>
        <w:rPr>
          <w:rStyle w:val="851"/>
          <w:rFonts w:hint="eastAsia" w:ascii="宋体" w:hAnsi="宋体" w:eastAsia="宋体" w:cs="宋体"/>
          <w:color w:val="000000"/>
          <w:sz w:val="28"/>
          <w:szCs w:val="28"/>
          <w:highlight w:val="none"/>
        </w:rPr>
      </w:pPr>
      <w:r>
        <w:rPr>
          <w:rStyle w:val="851"/>
          <w:rFonts w:hint="eastAsia" w:ascii="宋体" w:hAnsi="宋体" w:eastAsia="宋体" w:cs="宋体"/>
          <w:color w:val="000000"/>
          <w:sz w:val="28"/>
          <w:szCs w:val="28"/>
          <w:highlight w:val="none"/>
        </w:rPr>
        <w:br w:type="page" w:clear="all"/>
      </w:r>
      <w:r/>
    </w:p>
    <w:p>
      <w:pPr>
        <w:pStyle w:val="744"/>
        <w:jc w:val="center"/>
        <w:spacing w:line="240" w:lineRule="atLeast"/>
        <w:shd w:val="clear" w:color="auto" w:fill="auto"/>
        <w:rPr>
          <w:rStyle w:val="851"/>
          <w:rFonts w:hint="eastAsia" w:ascii="宋体" w:hAnsi="宋体" w:eastAsia="宋体" w:cs="宋体"/>
          <w:color w:val="000000"/>
          <w:sz w:val="28"/>
          <w:szCs w:val="28"/>
          <w:highlight w:val="none"/>
        </w:rPr>
      </w:pPr>
      <w:r>
        <w:rPr>
          <w:rStyle w:val="851"/>
          <w:rFonts w:hint="eastAsia" w:ascii="宋体" w:hAnsi="宋体" w:eastAsia="宋体" w:cs="宋体"/>
          <w:color w:val="000000"/>
          <w:sz w:val="28"/>
          <w:szCs w:val="28"/>
          <w:highlight w:val="none"/>
        </w:rPr>
        <w:t xml:space="preserve">第七章  投标文件相关格式</w:t>
      </w:r>
      <w:bookmarkEnd w:id="12"/>
      <w:r/>
      <w:bookmarkEnd w:id="13"/>
      <w:r/>
      <w:r/>
    </w:p>
    <w:p>
      <w:pPr>
        <w:pStyle w:val="744"/>
        <w:ind w:firstLine="562"/>
        <w:jc w:val="center"/>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一、投标函格式</w:t>
      </w:r>
      <w:r/>
    </w:p>
    <w:p>
      <w:pPr>
        <w:pStyle w:val="744"/>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徐州市公安局铜山分局、</w:t>
      </w:r>
      <w:r>
        <w:rPr>
          <w:rFonts w:hint="eastAsia" w:ascii="宋体" w:hAnsi="宋体" w:eastAsia="宋体" w:cs="宋体"/>
          <w:color w:val="000000"/>
          <w:sz w:val="24"/>
          <w:highlight w:val="none"/>
          <w:u w:val="single"/>
        </w:rPr>
        <w:t xml:space="preserve">江苏淮中工程管理咨询有限公司</w:t>
      </w:r>
      <w:r/>
    </w:p>
    <w:p>
      <w:pPr>
        <w:pStyle w:val="744"/>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w:t>
      </w:r>
      <w:r>
        <w:rPr>
          <w:rFonts w:hint="eastAsia" w:ascii="宋体" w:hAnsi="宋体" w:cs="宋体"/>
          <w:color w:val="000000"/>
          <w:sz w:val="24"/>
          <w:highlight w:val="none"/>
          <w:u w:val="single"/>
          <w:lang w:eastAsia="zh-CN"/>
        </w:rPr>
        <w:t xml:space="preserve">交通违法综合管控平台系统升级采购项目</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u w:val="none"/>
          <w:lang w:eastAsia="zh-CN"/>
        </w:rPr>
        <w:t xml:space="preserve">项目编号：</w:t>
      </w:r>
      <w:r>
        <w:rPr>
          <w:rFonts w:hint="eastAsia" w:ascii="宋体" w:hAnsi="宋体" w:cs="宋体"/>
          <w:color w:val="000000"/>
          <w:sz w:val="24"/>
          <w:highlight w:val="none"/>
          <w:u w:val="single"/>
          <w:lang w:eastAsia="zh-CN"/>
        </w:rPr>
        <w:t xml:space="preserve">JSZC-320312-HZGC-G2026-0007</w:t>
      </w:r>
      <w:r>
        <w:rPr>
          <w:rFonts w:hint="eastAsia" w:ascii="宋体" w:hAnsi="宋体" w:eastAsia="宋体" w:cs="宋体"/>
          <w:color w:val="000000"/>
          <w:sz w:val="24"/>
          <w:highlight w:val="none"/>
        </w:rPr>
        <w:t xml:space="preserve">]招标文件，</w:t>
      </w:r>
      <w:r>
        <w:rPr>
          <w:rFonts w:hint="eastAsia" w:ascii="宋体" w:hAnsi="宋体" w:eastAsia="宋体" w:cs="宋体"/>
          <w:color w:val="000000"/>
          <w:sz w:val="24"/>
          <w:highlight w:val="none"/>
          <w:u w:val="single"/>
        </w:rPr>
        <w:t xml:space="preserve">  (姓名) </w:t>
      </w:r>
      <w:r>
        <w:rPr>
          <w:rFonts w:hint="eastAsia" w:ascii="宋体" w:hAnsi="宋体" w:eastAsia="宋体" w:cs="宋体"/>
          <w:color w:val="000000"/>
          <w:sz w:val="24"/>
          <w:highlight w:val="none"/>
        </w:rPr>
        <w:t xml:space="preserve">代表我方</w:t>
      </w:r>
      <w:r>
        <w:rPr>
          <w:rFonts w:hint="eastAsia" w:ascii="宋体" w:hAnsi="宋体" w:eastAsia="宋体" w:cs="宋体"/>
          <w:color w:val="000000"/>
          <w:sz w:val="24"/>
          <w:highlight w:val="none"/>
          <w:u w:val="single"/>
        </w:rPr>
        <w:t xml:space="preserve">  （投标人的名称）        </w:t>
      </w:r>
      <w:r>
        <w:rPr>
          <w:rFonts w:hint="eastAsia" w:ascii="宋体" w:hAnsi="宋体" w:eastAsia="宋体" w:cs="宋体"/>
          <w:color w:val="000000"/>
          <w:sz w:val="24"/>
          <w:highlight w:val="none"/>
        </w:rPr>
        <w:t xml:space="preserve">全权处理本次投标的有关事宜。</w:t>
      </w:r>
      <w:r/>
    </w:p>
    <w:p>
      <w:pPr>
        <w:pStyle w:val="744"/>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据此函，投标人承诺并同意如下： </w:t>
      </w:r>
      <w:r/>
    </w:p>
    <w:p>
      <w:pPr>
        <w:pStyle w:val="744"/>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投标人唯一投标报价见《开标一览表》。</w:t>
      </w:r>
      <w:r/>
    </w:p>
    <w:p>
      <w:pPr>
        <w:pStyle w:val="744"/>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投标人将按招标文件的规定履行合同责任和义务。</w:t>
      </w:r>
      <w:r/>
    </w:p>
    <w:p>
      <w:pPr>
        <w:pStyle w:val="744"/>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投标人已详细审查全部招标文件，包括第[插入编号] [补遗书][如果有的话]。投标人完全理解并同意放弃对这方面有不明及误解的权力。</w:t>
      </w:r>
      <w:r/>
    </w:p>
    <w:p>
      <w:pPr>
        <w:pStyle w:val="744"/>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投标有效期为开标之日后</w:t>
      </w:r>
      <w:r>
        <w:rPr>
          <w:rFonts w:hint="eastAsia" w:ascii="宋体" w:hAnsi="宋体" w:eastAsia="宋体" w:cs="宋体"/>
          <w:color w:val="000000"/>
          <w:sz w:val="24"/>
          <w:highlight w:val="none"/>
          <w:u w:val="single"/>
        </w:rPr>
        <w:t xml:space="preserve">90</w:t>
      </w:r>
      <w:r>
        <w:rPr>
          <w:rFonts w:hint="eastAsia" w:ascii="宋体" w:hAnsi="宋体" w:eastAsia="宋体" w:cs="宋体"/>
          <w:color w:val="000000"/>
          <w:sz w:val="24"/>
          <w:highlight w:val="none"/>
        </w:rPr>
        <w:t xml:space="preserve">天。</w:t>
      </w:r>
      <w:r/>
    </w:p>
    <w:p>
      <w:pPr>
        <w:pStyle w:val="744"/>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投标人同意提供按照贵方可能要求的与其投标有关的一切数据或资料，完全理解贵方不一定接受最低价的投标或收到的任何投标。</w:t>
      </w:r>
      <w:r/>
    </w:p>
    <w:p>
      <w:pPr>
        <w:pStyle w:val="744"/>
        <w:ind w:firstLine="560"/>
        <w:spacing w:line="440" w:lineRule="exact"/>
        <w:shd w:val="clear" w:color="auto" w:fill="auto"/>
        <w:rPr>
          <w:rFonts w:hint="eastAsia" w:ascii="宋体" w:hAnsi="宋体" w:cs="宋体"/>
          <w:color w:val="000000"/>
          <w:sz w:val="24"/>
          <w:highlight w:val="none"/>
          <w:lang w:eastAsia="zh-CN"/>
        </w:rPr>
      </w:pPr>
      <w:r>
        <w:rPr>
          <w:rFonts w:hint="eastAsia" w:ascii="宋体" w:hAnsi="宋体" w:eastAsia="宋体" w:cs="宋体"/>
          <w:color w:val="000000"/>
          <w:sz w:val="24"/>
          <w:highlight w:val="none"/>
        </w:rPr>
        <w:t xml:space="preserve">6. </w:t>
      </w:r>
      <w:r>
        <w:rPr>
          <w:rFonts w:hint="eastAsia" w:ascii="宋体" w:hAnsi="宋体" w:cs="宋体"/>
          <w:color w:val="000000"/>
          <w:sz w:val="24"/>
          <w:highlight w:val="none"/>
        </w:rPr>
        <w:t xml:space="preserve">投标人同意在授予合同后，按照有关规定支付公证费（如有）</w:t>
      </w:r>
      <w:r>
        <w:rPr>
          <w:rFonts w:hint="eastAsia" w:ascii="宋体" w:hAnsi="宋体" w:cs="宋体"/>
          <w:color w:val="000000"/>
          <w:sz w:val="24"/>
          <w:highlight w:val="none"/>
          <w:lang w:eastAsia="zh-CN"/>
        </w:rPr>
        <w:t xml:space="preserve">。</w:t>
      </w:r>
      <w:r/>
    </w:p>
    <w:p>
      <w:pPr>
        <w:pStyle w:val="744"/>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eastAsia="宋体" w:cs="宋体"/>
          <w:color w:val="auto"/>
          <w:sz w:val="24"/>
          <w:szCs w:val="24"/>
        </w:rPr>
        <w:t xml:space="preserve">投标人同意在授予中标通知书时，按照招标文件规定支付招标代理费</w:t>
      </w:r>
      <w:r>
        <w:rPr>
          <w:rFonts w:hint="eastAsia" w:ascii="宋体" w:hAnsi="宋体" w:eastAsia="宋体" w:cs="宋体"/>
          <w:color w:val="auto"/>
          <w:sz w:val="24"/>
          <w:szCs w:val="24"/>
          <w:lang w:eastAsia="zh-CN"/>
        </w:rPr>
        <w:t xml:space="preserve">。</w:t>
      </w:r>
      <w:r/>
    </w:p>
    <w:p>
      <w:pPr>
        <w:pStyle w:val="744"/>
        <w:ind w:right="29" w:firstLine="560"/>
        <w:spacing w:line="440" w:lineRule="exact"/>
        <w:shd w:val="clear" w:color="auto" w:fill="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pStyle w:val="744"/>
        <w:ind w:right="29" w:firstLine="560"/>
        <w:spacing w:line="440" w:lineRule="exact"/>
        <w:shd w:val="clear" w:color="auto" w:fill="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 采购人有权对投标人投标文件的真实性进行核实，如投标人不能在采购人规定的时间内向采购人提供有效的证明文件，将被采购人视为放弃中标资格。</w:t>
      </w:r>
      <w:r/>
    </w:p>
    <w:p>
      <w:pPr>
        <w:pStyle w:val="744"/>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 与本投标有关的一切正式往来信函请寄：</w:t>
      </w:r>
      <w:r/>
    </w:p>
    <w:p>
      <w:pPr>
        <w:pStyle w:val="744"/>
        <w:ind w:firstLine="112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p>
    <w:p>
      <w:pPr>
        <w:pStyle w:val="744"/>
        <w:ind w:firstLine="112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p>
    <w:p>
      <w:pPr>
        <w:pStyle w:val="744"/>
        <w:ind w:firstLine="112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 </w:t>
      </w:r>
      <w:r/>
    </w:p>
    <w:p>
      <w:pPr>
        <w:pStyle w:val="744"/>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4"/>
        <w:ind w:firstLine="252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（盖电子签章）</w:t>
      </w:r>
      <w:r/>
    </w:p>
    <w:p>
      <w:pPr>
        <w:pStyle w:val="744"/>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投标人授权代表：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（签字或电子盖章）  </w:t>
      </w:r>
      <w:r/>
    </w:p>
    <w:p>
      <w:pPr>
        <w:pStyle w:val="744"/>
        <w:ind w:firstLine="420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pStyle w:val="744"/>
        <w:spacing w:line="40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4"/>
        <w:ind w:firstLine="643"/>
        <w:jc w:val="center"/>
        <w:spacing w:line="48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二、开标一览表格式</w:t>
      </w:r>
      <w:r/>
    </w:p>
    <w:p>
      <w:pPr>
        <w:pStyle w:val="744"/>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4"/>
        <w:ind w:firstLine="560"/>
        <w:spacing w:line="520" w:lineRule="exact"/>
        <w:shd w:val="clear" w:color="auto" w:fill="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项目名称：交通违法综合管控平台系统升级采购项目                 </w:t>
      </w:r>
      <w:r/>
    </w:p>
    <w:p>
      <w:pPr>
        <w:pStyle w:val="744"/>
        <w:ind w:firstLine="560"/>
        <w:spacing w:line="520" w:lineRule="exact"/>
        <w:shd w:val="clear" w:color="auto" w:fill="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项目编号：JSZC-320312-HZGC-G2026-0007</w:t>
      </w:r>
      <w:r/>
    </w:p>
    <w:p>
      <w:pPr>
        <w:pStyle w:val="744"/>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4"/>
        <w:ind w:firstLine="560"/>
        <w:jc w:val="right"/>
        <w:spacing w:line="52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货币单位：人民币元</w:t>
      </w:r>
      <w:r/>
    </w:p>
    <w:p>
      <w:pPr>
        <w:pStyle w:val="792"/>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Style w:val="715"/>
        <w:tblW w:w="9818" w:type="dxa"/>
        <w:jc w:val="center"/>
        <w:tblLayout w:type="autofit"/>
        <w:tblCellMar>
          <w:left w:w="108" w:type="dxa"/>
          <w:top w:w="0" w:type="dxa"/>
          <w:right w:w="108" w:type="dxa"/>
          <w:bottom w:w="0" w:type="dxa"/>
        </w:tblCellMar>
        <w:tblLook w:val="04A0" w:firstRow="1" w:lastRow="0" w:firstColumn="1" w:lastColumn="0" w:noHBand="0" w:noVBand="1"/>
      </w:tblPr>
      <w:tblGrid>
        <w:gridCol w:w="2995"/>
        <w:gridCol w:w="1883"/>
        <w:gridCol w:w="1418"/>
        <w:gridCol w:w="3522"/>
      </w:tblGrid>
      <w:tr>
        <w:trPr>
          <w:cantSplit/>
          <w:jc w:val="center"/>
          <w:trHeight w:val="893"/>
        </w:trPr>
        <w:tc>
          <w:tcPr>
            <w:tcBorders>
              <w:top w:val="single" w:color="000000" w:sz="6" w:space="0"/>
              <w:left w:val="single" w:color="000000" w:sz="6" w:space="0"/>
              <w:bottom w:val="single" w:color="000000" w:sz="2" w:space="0"/>
              <w:right w:val="single" w:color="000000" w:sz="2" w:space="0"/>
            </w:tcBorders>
            <w:tcW w:w="2995" w:type="dxa"/>
            <w:vAlign w:val="center"/>
            <w:textDirection w:val="lrTb"/>
            <w:noWrap w:val="false"/>
          </w:tcPr>
          <w:p>
            <w:pPr>
              <w:pStyle w:val="787"/>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项目名称</w:t>
            </w:r>
            <w:r/>
          </w:p>
        </w:tc>
        <w:tc>
          <w:tcPr>
            <w:tcBorders>
              <w:top w:val="single" w:color="000000" w:sz="6" w:space="0"/>
              <w:left w:val="single" w:color="000000" w:sz="2" w:space="0"/>
              <w:bottom w:val="single" w:color="000000" w:sz="2" w:space="0"/>
              <w:right w:val="single" w:color="000000" w:sz="2" w:space="0"/>
            </w:tcBorders>
            <w:tcW w:w="1883" w:type="dxa"/>
            <w:vAlign w:val="center"/>
            <w:textDirection w:val="lrTb"/>
            <w:noWrap w:val="false"/>
          </w:tcPr>
          <w:p>
            <w:pPr>
              <w:pStyle w:val="787"/>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项目内容</w:t>
            </w:r>
            <w:r/>
          </w:p>
        </w:tc>
        <w:tc>
          <w:tcPr>
            <w:tcBorders>
              <w:top w:val="single" w:color="000000" w:sz="6" w:space="0"/>
              <w:left w:val="single" w:color="000000" w:sz="2" w:space="0"/>
              <w:bottom w:val="single" w:color="000000" w:sz="2" w:space="0"/>
              <w:right w:val="single" w:color="000000" w:sz="2" w:space="0"/>
            </w:tcBorders>
            <w:tcW w:w="1418" w:type="dxa"/>
            <w:vAlign w:val="center"/>
            <w:textDirection w:val="lrTb"/>
            <w:noWrap w:val="false"/>
          </w:tcPr>
          <w:p>
            <w:pPr>
              <w:pStyle w:val="787"/>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数量</w:t>
            </w:r>
            <w:r/>
          </w:p>
        </w:tc>
        <w:tc>
          <w:tcPr>
            <w:tcBorders>
              <w:top w:val="single" w:color="000000" w:sz="6" w:space="0"/>
              <w:left w:val="single" w:color="000000" w:sz="2" w:space="0"/>
              <w:bottom w:val="single" w:color="000000" w:sz="2" w:space="0"/>
              <w:right w:val="single" w:color="000000" w:sz="2" w:space="0"/>
            </w:tcBorders>
            <w:tcW w:w="3522" w:type="dxa"/>
            <w:vAlign w:val="top"/>
            <w:textDirection w:val="lrTb"/>
            <w:noWrap w:val="false"/>
          </w:tcPr>
          <w:p>
            <w:pPr>
              <w:pStyle w:val="787"/>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p>
            <w:pPr>
              <w:pStyle w:val="787"/>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总价（小写）</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780"/>
              <w:jc w:val="left"/>
              <w:spacing w:line="0" w:lineRule="atLeast"/>
              <w:shd w:val="clear" w:color="auto" w:fill="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交通违法综合管控平台系统升级采购项目</w:t>
            </w:r>
            <w:r>
              <w:rPr>
                <w:rFonts w:hint="eastAsia" w:ascii="宋体" w:hAnsi="宋体" w:eastAsia="宋体" w:cs="宋体"/>
                <w:color w:val="000000"/>
                <w:sz w:val="24"/>
                <w:highlight w:val="none"/>
              </w:rPr>
              <w:t xml:space="preserve"> </w:t>
            </w:r>
            <w:r/>
          </w:p>
        </w:tc>
        <w:tc>
          <w:tcPr>
            <w:tcBorders>
              <w:top w:val="single" w:color="000000" w:sz="2" w:space="0"/>
              <w:left w:val="single" w:color="000000" w:sz="2" w:space="0"/>
              <w:bottom w:val="single" w:color="000000" w:sz="2" w:space="0"/>
              <w:right w:val="single" w:color="000000" w:sz="2" w:space="0"/>
            </w:tcBorders>
            <w:tcW w:w="1883" w:type="dxa"/>
            <w:vAlign w:val="center"/>
            <w:textDirection w:val="lrTb"/>
            <w:noWrap w:val="false"/>
          </w:tcPr>
          <w:p>
            <w:pPr>
              <w:pStyle w:val="787"/>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详见投标文件</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pStyle w:val="787"/>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1项</w:t>
            </w:r>
            <w:r/>
          </w:p>
        </w:tc>
        <w:tc>
          <w:tcPr>
            <w:tcBorders>
              <w:top w:val="single" w:color="000000" w:sz="2" w:space="0"/>
              <w:left w:val="single" w:color="000000" w:sz="2" w:space="0"/>
              <w:bottom w:val="single" w:color="000000" w:sz="2" w:space="0"/>
              <w:right w:val="single" w:color="000000" w:sz="2" w:space="0"/>
            </w:tcBorders>
            <w:tcW w:w="3522" w:type="dxa"/>
            <w:vAlign w:val="top"/>
            <w:textDirection w:val="lrTb"/>
            <w:noWrap w:val="false"/>
          </w:tcPr>
          <w:p>
            <w:pPr>
              <w:pStyle w:val="787"/>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p>
            <w:pPr>
              <w:pStyle w:val="787"/>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 </w:t>
            </w:r>
            <w:r/>
          </w:p>
        </w:tc>
      </w:tr>
      <w:tr>
        <w:trPr>
          <w:cantSplit/>
          <w:jc w:val="center"/>
          <w:trHeight w:val="601"/>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787"/>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总价（大写）：</w:t>
            </w:r>
            <w:r/>
          </w:p>
        </w:tc>
        <w:tc>
          <w:tcPr>
            <w:gridSpan w:val="3"/>
            <w:tcBorders>
              <w:top w:val="single" w:color="000000" w:sz="2" w:space="0"/>
              <w:left w:val="single" w:color="000000" w:sz="2" w:space="0"/>
              <w:bottom w:val="single" w:color="000000" w:sz="2" w:space="0"/>
              <w:right w:val="single" w:color="000000" w:sz="2" w:space="0"/>
            </w:tcBorders>
            <w:tcW w:w="6823" w:type="dxa"/>
            <w:vAlign w:val="center"/>
            <w:textDirection w:val="lrTb"/>
            <w:noWrap w:val="false"/>
          </w:tcPr>
          <w:p>
            <w:pPr>
              <w:pStyle w:val="787"/>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tc>
      </w:tr>
    </w:tbl>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报价包括产品价、税金、运费、安装调试、检验、保险、维护等全部费用。采购人不再支付报价以外的任何费用</w:t>
      </w:r>
      <w:r>
        <w:rPr>
          <w:rFonts w:hint="eastAsia" w:ascii="宋体" w:hAnsi="宋体" w:eastAsia="宋体" w:cs="宋体"/>
          <w:color w:val="000000"/>
          <w:sz w:val="24"/>
          <w:highlight w:val="none"/>
        </w:rPr>
        <w:t xml:space="preserve">。</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2、报价大小写不一致以大写为准；</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3、偏离说明：详见《偏离表》；</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4、报价与响应文件中《分项价格表》中的总价一致；</w:t>
      </w:r>
      <w:r/>
    </w:p>
    <w:p>
      <w:pPr>
        <w:pStyle w:val="775"/>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此表应按投标人须知的规定密封标记并密封单独提交。</w:t>
      </w:r>
      <w:r/>
    </w:p>
    <w:p>
      <w:pPr>
        <w:pStyle w:val="7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投标人承诺：本项目由投标人本企业提供的服务，不转包、不分包。</w:t>
      </w:r>
      <w:r/>
    </w:p>
    <w:p>
      <w:pPr>
        <w:pStyle w:val="744"/>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4"/>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4"/>
        <w:ind w:firstLine="480"/>
        <w:jc w:val="center"/>
        <w:spacing w:line="360" w:lineRule="auto"/>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44"/>
        <w:ind w:firstLine="312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（盖电子签章）</w:t>
      </w:r>
      <w:r/>
    </w:p>
    <w:p>
      <w:pPr>
        <w:pStyle w:val="744"/>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   年  月  日</w:t>
      </w:r>
      <w:r/>
    </w:p>
    <w:p>
      <w:pPr>
        <w:pStyle w:val="744"/>
        <w:ind w:firstLine="420"/>
        <w:jc w:val="center"/>
        <w:spacing w:line="48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highlight w:val="none"/>
        </w:rPr>
        <w:t xml:space="preserve">三、分项价格表格式</w:t>
      </w:r>
      <w:r/>
    </w:p>
    <w:p>
      <w:pPr>
        <w:pStyle w:val="744"/>
        <w:ind w:firstLine="560"/>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交通违法综合管控平台系统升级采购项目</w:t>
      </w:r>
      <w:r>
        <w:rPr>
          <w:rFonts w:hint="eastAsia" w:ascii="宋体" w:hAnsi="宋体" w:eastAsia="宋体" w:cs="宋体"/>
          <w:color w:val="000000"/>
          <w:sz w:val="24"/>
          <w:highlight w:val="none"/>
        </w:rPr>
        <w:t xml:space="preserve">  </w:t>
      </w:r>
      <w:r/>
    </w:p>
    <w:p>
      <w:pPr>
        <w:pStyle w:val="744"/>
        <w:ind w:firstLine="560"/>
        <w:spacing w:line="480" w:lineRule="exact"/>
        <w:shd w:val="clear" w:color="auto" w:fill="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项目编号：</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eastAsia="zh-CN"/>
        </w:rPr>
        <w:t xml:space="preserve">JSZC-320312-HZGC-G2026-0007</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eastAsia="zh-CN"/>
        </w:rPr>
        <w:t xml:space="preserve">    </w:t>
      </w:r>
      <w:r/>
    </w:p>
    <w:p>
      <w:pPr>
        <w:pStyle w:val="744"/>
        <w:ind w:firstLine="560"/>
        <w:jc w:val="right"/>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货币单位：人民币元</w:t>
      </w:r>
      <w:r/>
    </w:p>
    <w:p>
      <w:pPr>
        <w:pStyle w:val="892"/>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    </w:t>
      </w:r>
      <w:r/>
    </w:p>
    <w:tbl>
      <w:tblPr>
        <w:tblStyle w:val="715"/>
        <w:tblW w:w="10282" w:type="dxa"/>
        <w:jc w:val="center"/>
        <w:tblCellSpacing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15" w:type="dxa"/>
          <w:top w:w="15" w:type="dxa"/>
          <w:right w:w="15" w:type="dxa"/>
          <w:bottom w:w="0" w:type="dxa"/>
        </w:tblCellMar>
        <w:tblLook w:val="04A0" w:firstRow="1" w:lastRow="0" w:firstColumn="1" w:lastColumn="0" w:noHBand="0" w:noVBand="1"/>
      </w:tblPr>
      <w:tblGrid>
        <w:gridCol w:w="503"/>
        <w:gridCol w:w="859"/>
        <w:gridCol w:w="1072"/>
        <w:gridCol w:w="1041"/>
        <w:gridCol w:w="2591"/>
        <w:gridCol w:w="532"/>
        <w:gridCol w:w="696"/>
        <w:gridCol w:w="644"/>
        <w:gridCol w:w="780"/>
        <w:gridCol w:w="805"/>
        <w:gridCol w:w="759"/>
      </w:tblGrid>
      <w:tr>
        <w:trPr>
          <w:jc w:val="center"/>
          <w:tblCellSpacing w:w="0" w:type="dxa"/>
          <w:trHeight w:val="2183"/>
        </w:trPr>
        <w:tc>
          <w:tcPr>
            <w:shd w:val="clear" w:color="auto" w:fill="auto"/>
            <w:tcW w:w="503"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序号</w:t>
            </w:r>
            <w:r/>
          </w:p>
        </w:tc>
        <w:tc>
          <w:tcPr>
            <w:shd w:val="clear" w:color="auto" w:fill="auto"/>
            <w:tcW w:w="859"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名称</w:t>
            </w:r>
            <w:r/>
          </w:p>
        </w:tc>
        <w:tc>
          <w:tcPr>
            <w:shd w:val="clear" w:color="auto" w:fill="auto"/>
            <w:tcW w:w="1072"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品牌、规格、型号</w:t>
            </w:r>
            <w:r/>
          </w:p>
        </w:tc>
        <w:tc>
          <w:tcPr>
            <w:shd w:val="clear" w:color="auto" w:fill="auto"/>
            <w:tcW w:w="1041"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产品制造企业名称（全称）</w:t>
            </w:r>
            <w:r/>
          </w:p>
        </w:tc>
        <w:tc>
          <w:tcPr>
            <w:shd w:val="clear" w:color="auto" w:fill="auto"/>
            <w:tcW w:w="2591"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产品制造企业的划分（大型、中型、小型、微型、监狱企业、享受政府采购支持政策的残疾人福利性单位）</w:t>
            </w:r>
            <w:r/>
          </w:p>
        </w:tc>
        <w:tc>
          <w:tcPr>
            <w:shd w:val="clear" w:color="auto" w:fill="auto"/>
            <w:tcW w:w="532" w:type="dxa"/>
            <w:vAlign w:val="center"/>
            <w:textDirection w:val="lrTb"/>
            <w:noWrap w:val="false"/>
          </w:tcPr>
          <w:p>
            <w:pPr>
              <w:pStyle w:val="732"/>
              <w:jc w:val="center"/>
              <w:keepLines w:val="0"/>
              <w:keepNext w:val="0"/>
              <w:spacing w:before="0" w:beforeAutospacing="0" w:after="0" w:afterAutospacing="0"/>
              <w:widowControl w:val="off"/>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产地</w:t>
            </w:r>
            <w:r/>
          </w:p>
        </w:tc>
        <w:tc>
          <w:tcPr>
            <w:shd w:val="clear" w:color="auto" w:fill="auto"/>
            <w:tcW w:w="696"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数量</w:t>
            </w:r>
            <w:r/>
          </w:p>
        </w:tc>
        <w:tc>
          <w:tcPr>
            <w:shd w:val="clear" w:color="auto" w:fill="auto"/>
            <w:tcW w:w="644"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数量单位</w:t>
            </w:r>
            <w:r/>
          </w:p>
        </w:tc>
        <w:tc>
          <w:tcPr>
            <w:shd w:val="clear" w:color="auto" w:fill="auto"/>
            <w:tcW w:w="780"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单价</w:t>
            </w:r>
            <w:r/>
          </w:p>
        </w:tc>
        <w:tc>
          <w:tcPr>
            <w:shd w:val="clear" w:color="auto" w:fill="auto"/>
            <w:tcMar>
              <w:left w:w="108" w:type="dxa"/>
              <w:top w:w="0" w:type="dxa"/>
              <w:right w:w="108" w:type="dxa"/>
            </w:tcMar>
            <w:tcW w:w="805"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总价</w:t>
            </w:r>
            <w:r/>
          </w:p>
        </w:tc>
        <w:tc>
          <w:tcPr>
            <w:shd w:val="clear" w:color="auto" w:fill="auto"/>
            <w:tcW w:w="759"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备注</w:t>
            </w:r>
            <w:r/>
          </w:p>
        </w:tc>
      </w:tr>
      <w:tr>
        <w:trPr>
          <w:jc w:val="center"/>
          <w:tblCellSpacing w:w="0" w:type="dxa"/>
          <w:trHeight w:val="333"/>
        </w:trPr>
        <w:tc>
          <w:tcPr>
            <w:shd w:val="clear" w:color="auto" w:fill="auto"/>
            <w:tcW w:w="503"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1</w:t>
            </w:r>
            <w:r/>
          </w:p>
        </w:tc>
        <w:tc>
          <w:tcPr>
            <w:shd w:val="clear" w:color="auto" w:fill="auto"/>
            <w:tcW w:w="859"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1072"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1041"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2591"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532"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r>
            <w:r/>
          </w:p>
        </w:tc>
        <w:tc>
          <w:tcPr>
            <w:shd w:val="clear" w:color="auto" w:fill="auto"/>
            <w:tcW w:w="696"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644"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780"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Mar>
              <w:left w:w="108" w:type="dxa"/>
              <w:top w:w="0" w:type="dxa"/>
              <w:right w:w="108" w:type="dxa"/>
            </w:tcMar>
            <w:tcW w:w="805"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759"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r>
      <w:tr>
        <w:trPr>
          <w:jc w:val="center"/>
          <w:tblCellSpacing w:w="0" w:type="dxa"/>
          <w:trHeight w:val="333"/>
        </w:trPr>
        <w:tc>
          <w:tcPr>
            <w:shd w:val="clear" w:color="auto" w:fill="auto"/>
            <w:tcW w:w="503"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2</w:t>
            </w:r>
            <w:r/>
          </w:p>
        </w:tc>
        <w:tc>
          <w:tcPr>
            <w:shd w:val="clear" w:color="auto" w:fill="auto"/>
            <w:tcW w:w="859"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1072"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1041"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2591"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532"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r>
            <w:r/>
          </w:p>
        </w:tc>
        <w:tc>
          <w:tcPr>
            <w:shd w:val="clear" w:color="auto" w:fill="auto"/>
            <w:tcW w:w="696"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644"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780"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Mar>
              <w:left w:w="108" w:type="dxa"/>
              <w:top w:w="0" w:type="dxa"/>
              <w:right w:w="108" w:type="dxa"/>
            </w:tcMar>
            <w:tcW w:w="805"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759"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r>
      <w:tr>
        <w:trPr>
          <w:jc w:val="center"/>
          <w:tblCellSpacing w:w="0" w:type="dxa"/>
          <w:trHeight w:val="333"/>
        </w:trPr>
        <w:tc>
          <w:tcPr>
            <w:shd w:val="clear" w:color="auto" w:fill="auto"/>
            <w:tcW w:w="503"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3</w:t>
            </w:r>
            <w:r/>
          </w:p>
        </w:tc>
        <w:tc>
          <w:tcPr>
            <w:shd w:val="clear" w:color="auto" w:fill="auto"/>
            <w:tcW w:w="859"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1072"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1041"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2591"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532"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r>
            <w:r/>
          </w:p>
        </w:tc>
        <w:tc>
          <w:tcPr>
            <w:shd w:val="clear" w:color="auto" w:fill="auto"/>
            <w:tcW w:w="696"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644"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780"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Mar>
              <w:left w:w="108" w:type="dxa"/>
              <w:top w:w="0" w:type="dxa"/>
              <w:right w:w="108" w:type="dxa"/>
            </w:tcMar>
            <w:tcW w:w="805"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759"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r>
      <w:tr>
        <w:trPr>
          <w:jc w:val="center"/>
          <w:tblCellSpacing w:w="0" w:type="dxa"/>
          <w:trHeight w:val="343"/>
        </w:trPr>
        <w:tc>
          <w:tcPr>
            <w:shd w:val="clear" w:color="auto" w:fill="auto"/>
            <w:tcW w:w="503"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4</w:t>
            </w:r>
            <w:r/>
          </w:p>
        </w:tc>
        <w:tc>
          <w:tcPr>
            <w:shd w:val="clear" w:color="auto" w:fill="auto"/>
            <w:tcW w:w="859"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1072"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1041"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2591"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532"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r>
            <w:r/>
          </w:p>
        </w:tc>
        <w:tc>
          <w:tcPr>
            <w:shd w:val="clear" w:color="auto" w:fill="auto"/>
            <w:tcW w:w="696"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644"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780"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Mar>
              <w:left w:w="108" w:type="dxa"/>
              <w:top w:w="0" w:type="dxa"/>
              <w:right w:w="108" w:type="dxa"/>
            </w:tcMar>
            <w:tcW w:w="805"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759"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r>
      <w:tr>
        <w:trPr>
          <w:jc w:val="center"/>
          <w:tblCellSpacing w:w="0" w:type="dxa"/>
          <w:trHeight w:val="314"/>
        </w:trPr>
        <w:tc>
          <w:tcPr>
            <w:shd w:val="clear" w:color="auto" w:fill="auto"/>
            <w:tcW w:w="503" w:type="dxa"/>
            <w:vAlign w:val="center"/>
            <w:textDirection w:val="lrTb"/>
            <w:noWrap w:val="false"/>
          </w:tcPr>
          <w:p>
            <w:pPr>
              <w:pStyle w:val="732"/>
              <w:jc w:val="center"/>
              <w:keepLines w:val="0"/>
              <w:keepNext w:val="0"/>
              <w:spacing w:before="0" w:beforeAutospacing="0" w:after="0" w:afterAutospacing="0"/>
              <w:widowControl w:val="off"/>
              <w:rPr>
                <w:rFonts w:hint="eastAsia" w:eastAsia="宋体"/>
                <w:b w:val="0"/>
                <w:bCs w:val="0"/>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b w:val="0"/>
                <w:bCs w:val="0"/>
                <w:lang w:val="en-US" w:eastAsia="zh-CN"/>
              </w:rPr>
              <w:t xml:space="preserve">5</w:t>
            </w:r>
            <w:r/>
          </w:p>
        </w:tc>
        <w:tc>
          <w:tcPr>
            <w:shd w:val="clear" w:color="auto" w:fill="auto"/>
            <w:tcW w:w="859"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1072"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1041"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2591"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532"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r>
            <w:r/>
          </w:p>
        </w:tc>
        <w:tc>
          <w:tcPr>
            <w:shd w:val="clear" w:color="auto" w:fill="auto"/>
            <w:tcW w:w="696"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644"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780"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Mar>
              <w:left w:w="108" w:type="dxa"/>
              <w:top w:w="0" w:type="dxa"/>
              <w:right w:w="108" w:type="dxa"/>
            </w:tcMar>
            <w:tcW w:w="805"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759"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r>
      <w:tr>
        <w:trPr>
          <w:jc w:val="center"/>
          <w:tblCellSpacing w:w="0" w:type="dxa"/>
          <w:trHeight w:val="314"/>
        </w:trPr>
        <w:tc>
          <w:tcPr>
            <w:shd w:val="clear" w:color="auto" w:fill="auto"/>
            <w:tcW w:w="503" w:type="dxa"/>
            <w:vAlign w:val="center"/>
            <w:textDirection w:val="lrTb"/>
            <w:noWrap w:val="false"/>
          </w:tcPr>
          <w:p>
            <w:pPr>
              <w:pStyle w:val="732"/>
              <w:jc w:val="center"/>
              <w:keepLines w:val="0"/>
              <w:keepNext w:val="0"/>
              <w:spacing w:before="0" w:beforeAutospacing="0" w:after="0" w:afterAutospacing="0"/>
              <w:widowControl w:val="off"/>
              <w:rPr>
                <w:rFonts w:hint="default" w:eastAsia="宋体"/>
                <w:b w:val="0"/>
                <w:bCs w:val="0"/>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b w:val="0"/>
                <w:bCs w:val="0"/>
                <w:lang w:val="en-US" w:eastAsia="zh-CN"/>
              </w:rPr>
              <w:t xml:space="preserve">...</w:t>
            </w:r>
            <w:r/>
          </w:p>
        </w:tc>
        <w:tc>
          <w:tcPr>
            <w:shd w:val="clear" w:color="auto" w:fill="auto"/>
            <w:tcW w:w="859"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1072"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1041"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2591"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532"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r>
            <w:r/>
          </w:p>
        </w:tc>
        <w:tc>
          <w:tcPr>
            <w:shd w:val="clear" w:color="auto" w:fill="auto"/>
            <w:tcW w:w="696"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644"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780"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Mar>
              <w:left w:w="108" w:type="dxa"/>
              <w:top w:w="0" w:type="dxa"/>
              <w:right w:w="108" w:type="dxa"/>
            </w:tcMar>
            <w:tcW w:w="805"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c>
          <w:tcPr>
            <w:shd w:val="clear" w:color="auto" w:fill="auto"/>
            <w:tcW w:w="759"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r>
      <w:tr>
        <w:trPr>
          <w:jc w:val="center"/>
          <w:tblCellSpacing w:w="0" w:type="dxa"/>
          <w:trHeight w:val="645"/>
        </w:trPr>
        <w:tc>
          <w:tcPr>
            <w:gridSpan w:val="4"/>
            <w:shd w:val="clear" w:color="auto" w:fill="auto"/>
            <w:tcW w:w="3475"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总价合计（即《开标一览表》中的“总价”）</w:t>
            </w:r>
            <w:r/>
          </w:p>
        </w:tc>
        <w:tc>
          <w:tcPr>
            <w:gridSpan w:val="7"/>
            <w:shd w:val="clear" w:color="auto" w:fill="auto"/>
            <w:tcMar>
              <w:left w:w="108" w:type="dxa"/>
              <w:top w:w="0" w:type="dxa"/>
              <w:right w:w="108" w:type="dxa"/>
            </w:tcMar>
            <w:tcW w:w="6807" w:type="dxa"/>
            <w:vAlign w:val="center"/>
            <w:textDirection w:val="lrTb"/>
            <w:noWrap w:val="false"/>
          </w:tcPr>
          <w:p>
            <w:pPr>
              <w:pStyle w:val="73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tc>
      </w:tr>
    </w:tbl>
    <w:p>
      <w:pPr>
        <w:pStyle w:val="744"/>
        <w:ind w:firstLine="4389"/>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p>
    <w:p>
      <w:pPr>
        <w:pStyle w:val="744"/>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日期：   年  月  日</w:t>
      </w:r>
      <w:r/>
    </w:p>
    <w:p>
      <w:pPr>
        <w:pStyle w:val="744"/>
        <w:ind w:firstLine="60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4"/>
        <w:ind w:firstLine="60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本款说明：</w:t>
      </w:r>
      <w:r/>
    </w:p>
    <w:p>
      <w:pPr>
        <w:jc w:val="left"/>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1、本表中“产品制造企业的划分”以《政府采购促进中小企业发展管理办法》（财库〔2020〕46号）</w:t>
      </w:r>
      <w:r>
        <w:rPr>
          <w:rFonts w:hint="eastAsia" w:ascii="宋体" w:hAnsi="宋体" w:cs="宋体"/>
          <w:color w:val="000000"/>
          <w:sz w:val="24"/>
          <w:szCs w:val="24"/>
          <w:highlight w:val="none"/>
        </w:rPr>
        <w:t xml:space="preserve">和《工业和信息化部、国家统计局、国家发展和改革委员会、财政部关于印发中小企业划型标准规定的通知》（工信部联企业〔2011〕300号）的规定为准。</w:t>
      </w:r>
      <w:r/>
    </w:p>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3、享受政府采购支持政策的残疾人福利性单位的条件以《三部门联合发布关于促进残疾人就业政府采购政策的通知》（财库〔2017〕141号）规定为准。</w:t>
      </w:r>
      <w:r/>
    </w:p>
    <w:p>
      <w:pPr>
        <w:ind w:firstLine="560"/>
        <w:jc w:val="left"/>
        <w:widowControl/>
        <w:rPr>
          <w:rFonts w:ascii="宋体" w:hAnsi="宋体" w:cs="宋体"/>
          <w:color w:val="000000"/>
          <w:sz w:val="24"/>
          <w:szCs w:val="24"/>
          <w:highlight w:val="none"/>
        </w:rPr>
      </w:pPr>
      <w:r>
        <w:rPr>
          <w:rFonts w:ascii="宋体" w:hAnsi="宋体" w:cs="宋体"/>
          <w:color w:val="000000"/>
          <w:sz w:val="24"/>
          <w:szCs w:val="24"/>
          <w:highlight w:val="none"/>
        </w:rPr>
      </w:r>
      <w:r/>
    </w:p>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注：1、如果不提供详细分项报价将视为没有实质性响应招标文件。</w:t>
      </w:r>
      <w:r/>
    </w:p>
    <w:p>
      <w:pPr>
        <w:ind w:firstLine="56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2、投标人对以上数据的真实性负责。</w:t>
      </w:r>
      <w:r/>
    </w:p>
    <w:p>
      <w:pPr>
        <w:ind w:firstLine="562"/>
        <w:jc w:val="lef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采购人或采购代理机构有权将以上内容进行公示。</w:t>
      </w:r>
      <w:r/>
    </w:p>
    <w:p>
      <w:pPr>
        <w:pStyle w:val="744"/>
        <w:jc w:val="center"/>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四、偏离表格式</w:t>
      </w:r>
      <w:r/>
    </w:p>
    <w:p>
      <w:pPr>
        <w:pStyle w:val="744"/>
        <w:ind w:firstLine="560"/>
        <w:spacing w:line="480" w:lineRule="exact"/>
        <w:shd w:val="clear" w:color="auto" w:fill="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交通违法综合管控平台系统升级采购项目</w:t>
      </w:r>
      <w:r/>
    </w:p>
    <w:p>
      <w:pPr>
        <w:pStyle w:val="744"/>
        <w:ind w:firstLine="560"/>
        <w:spacing w:line="480" w:lineRule="exact"/>
        <w:shd w:val="clear" w:color="auto" w:fill="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项目编号：JSZC-320312-HZGC-G2026-0007</w:t>
      </w:r>
      <w:r/>
    </w:p>
    <w:p>
      <w:pPr>
        <w:pStyle w:val="744"/>
        <w:shd w:val="clear" w:color="auto" w:fill="auto"/>
        <w:rPr>
          <w:rFonts w:ascii="宋体" w:hAnsi="宋体" w:cs="宋体"/>
          <w:color w:val="000000"/>
          <w:sz w:val="24"/>
          <w:highlight w:val="none"/>
          <w:u w:val="single"/>
        </w:rPr>
      </w:pPr>
      <w:r>
        <w:rPr>
          <w:rFonts w:ascii="宋体" w:hAnsi="宋体" w:cs="宋体"/>
          <w:color w:val="000000"/>
          <w:sz w:val="24"/>
          <w:highlight w:val="none"/>
          <w:u w:val="single"/>
        </w:rPr>
      </w:r>
      <w:r/>
    </w:p>
    <w:tbl>
      <w:tblPr>
        <w:tblStyle w:val="715"/>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986"/>
        <w:gridCol w:w="1794"/>
      </w:tblGrid>
      <w:tr>
        <w:trPr>
          <w:jc w:val="center"/>
          <w:trHeight w:val="794"/>
        </w:trPr>
        <w:tc>
          <w:tcPr>
            <w:tcW w:w="720" w:type="dxa"/>
            <w:vAlign w:val="center"/>
            <w:textDirection w:val="lrTb"/>
            <w:noWrap w:val="false"/>
          </w:tcPr>
          <w:p>
            <w:pPr>
              <w:pStyle w:val="744"/>
              <w:jc w:val="center"/>
              <w:shd w:val="clear" w:color="auto" w:fill="auto"/>
              <w:rPr>
                <w:rFonts w:ascii="宋体" w:hAnsi="宋体" w:cs="宋体"/>
                <w:caps/>
                <w:color w:val="000000"/>
                <w:sz w:val="24"/>
                <w:highlight w:val="none"/>
              </w:rPr>
            </w:pPr>
            <w:r>
              <w:rPr>
                <w:rFonts w:hint="eastAsia" w:ascii="宋体" w:hAnsi="宋体" w:cs="宋体"/>
                <w:caps/>
                <w:color w:val="000000"/>
                <w:sz w:val="24"/>
                <w:highlight w:val="none"/>
              </w:rPr>
              <w:t xml:space="preserve">序号</w:t>
            </w:r>
            <w:r/>
          </w:p>
        </w:tc>
        <w:tc>
          <w:tcPr>
            <w:tcW w:w="1404" w:type="dxa"/>
            <w:vAlign w:val="center"/>
            <w:textDirection w:val="lrTb"/>
            <w:noWrap w:val="false"/>
          </w:tcPr>
          <w:p>
            <w:pPr>
              <w:pStyle w:val="744"/>
              <w:jc w:val="center"/>
              <w:shd w:val="clear" w:color="auto" w:fill="auto"/>
              <w:rPr>
                <w:rFonts w:ascii="宋体" w:hAnsi="宋体" w:cs="宋体"/>
                <w:caps/>
                <w:color w:val="000000"/>
                <w:sz w:val="24"/>
                <w:highlight w:val="none"/>
              </w:rPr>
            </w:pPr>
            <w:r>
              <w:rPr>
                <w:rFonts w:hint="eastAsia" w:ascii="宋体" w:hAnsi="宋体" w:cs="宋体"/>
                <w:caps/>
                <w:color w:val="000000"/>
                <w:sz w:val="24"/>
                <w:highlight w:val="none"/>
              </w:rPr>
              <w:t xml:space="preserve">偏离内容</w:t>
            </w:r>
            <w:r/>
          </w:p>
        </w:tc>
        <w:tc>
          <w:tcPr>
            <w:tcW w:w="1476" w:type="dxa"/>
            <w:vAlign w:val="center"/>
            <w:textDirection w:val="lrTb"/>
            <w:noWrap w:val="false"/>
          </w:tcPr>
          <w:p>
            <w:pPr>
              <w:pStyle w:val="744"/>
              <w:jc w:val="center"/>
              <w:shd w:val="clear" w:color="auto" w:fill="auto"/>
              <w:rPr>
                <w:rFonts w:ascii="宋体" w:hAnsi="宋体" w:cs="宋体"/>
                <w:caps/>
                <w:color w:val="000000"/>
                <w:sz w:val="24"/>
                <w:highlight w:val="none"/>
              </w:rPr>
            </w:pPr>
            <w:r>
              <w:rPr>
                <w:rFonts w:hint="eastAsia" w:ascii="宋体" w:hAnsi="宋体" w:cs="宋体"/>
                <w:color w:val="000000"/>
                <w:sz w:val="24"/>
                <w:highlight w:val="none"/>
              </w:rPr>
              <w:t xml:space="preserve">招标文件的要求</w:t>
            </w:r>
            <w:r/>
          </w:p>
        </w:tc>
        <w:tc>
          <w:tcPr>
            <w:tcW w:w="1620" w:type="dxa"/>
            <w:vAlign w:val="center"/>
            <w:textDirection w:val="lrTb"/>
            <w:noWrap w:val="false"/>
          </w:tcPr>
          <w:p>
            <w:pPr>
              <w:pStyle w:val="744"/>
              <w:jc w:val="center"/>
              <w:shd w:val="clear" w:color="auto" w:fill="auto"/>
              <w:rPr>
                <w:rFonts w:ascii="宋体" w:hAnsi="宋体" w:cs="宋体"/>
                <w:caps/>
                <w:color w:val="000000"/>
                <w:sz w:val="24"/>
                <w:highlight w:val="none"/>
              </w:rPr>
            </w:pPr>
            <w:r>
              <w:rPr>
                <w:rFonts w:hint="eastAsia" w:ascii="宋体" w:hAnsi="宋体" w:cs="宋体"/>
                <w:color w:val="000000"/>
                <w:sz w:val="24"/>
                <w:highlight w:val="none"/>
              </w:rPr>
              <w:t xml:space="preserve">投标文件中的内容</w:t>
            </w:r>
            <w:r/>
          </w:p>
        </w:tc>
        <w:tc>
          <w:tcPr>
            <w:tcW w:w="1986" w:type="dxa"/>
            <w:vAlign w:val="center"/>
            <w:textDirection w:val="lrTb"/>
            <w:noWrap w:val="false"/>
          </w:tcPr>
          <w:p>
            <w:pPr>
              <w:pStyle w:val="744"/>
              <w:jc w:val="center"/>
              <w:shd w:val="clear" w:color="auto" w:fill="auto"/>
              <w:rPr>
                <w:rFonts w:ascii="宋体" w:hAnsi="宋体" w:cs="宋体"/>
                <w:caps/>
                <w:color w:val="000000"/>
                <w:sz w:val="24"/>
                <w:highlight w:val="none"/>
              </w:rPr>
            </w:pPr>
            <w:r>
              <w:rPr>
                <w:rFonts w:hint="eastAsia" w:ascii="宋体" w:hAnsi="宋体" w:cs="宋体"/>
                <w:caps/>
                <w:color w:val="000000"/>
                <w:sz w:val="24"/>
                <w:highlight w:val="none"/>
              </w:rPr>
              <w:t xml:space="preserve">（正/负/无）偏离</w:t>
            </w:r>
            <w:r/>
          </w:p>
        </w:tc>
        <w:tc>
          <w:tcPr>
            <w:tcW w:w="1794" w:type="dxa"/>
            <w:vAlign w:val="center"/>
            <w:textDirection w:val="lrTb"/>
            <w:noWrap w:val="false"/>
          </w:tcPr>
          <w:p>
            <w:pPr>
              <w:pStyle w:val="744"/>
              <w:jc w:val="center"/>
              <w:shd w:val="clear" w:color="auto" w:fill="auto"/>
              <w:rPr>
                <w:rFonts w:ascii="宋体" w:hAnsi="宋体" w:cs="宋体"/>
                <w:caps/>
                <w:color w:val="000000"/>
                <w:sz w:val="24"/>
                <w:highlight w:val="none"/>
              </w:rPr>
            </w:pPr>
            <w:r>
              <w:rPr>
                <w:rFonts w:hint="eastAsia" w:ascii="宋体" w:hAnsi="宋体" w:cs="宋体"/>
                <w:caps/>
                <w:color w:val="000000"/>
                <w:sz w:val="24"/>
                <w:highlight w:val="none"/>
              </w:rPr>
              <w:t xml:space="preserve">说明</w:t>
            </w:r>
            <w:r/>
          </w:p>
        </w:tc>
      </w:tr>
      <w:tr>
        <w:trPr>
          <w:jc w:val="center"/>
          <w:trHeight w:val="794"/>
        </w:trPr>
        <w:tc>
          <w:tcPr>
            <w:tcW w:w="720"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720"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720"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720"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720"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720"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44"/>
              <w:shd w:val="clear" w:color="auto" w:fill="auto"/>
              <w:rPr>
                <w:rFonts w:ascii="宋体" w:hAnsi="宋体" w:cs="宋体"/>
                <w:color w:val="000000"/>
                <w:sz w:val="24"/>
                <w:highlight w:val="none"/>
              </w:rPr>
            </w:pPr>
            <w:r>
              <w:rPr>
                <w:rFonts w:ascii="宋体" w:hAnsi="宋体" w:cs="宋体"/>
                <w:color w:val="000000"/>
                <w:sz w:val="24"/>
                <w:highlight w:val="none"/>
              </w:rPr>
            </w:r>
            <w:r/>
          </w:p>
        </w:tc>
      </w:tr>
    </w:tbl>
    <w:p>
      <w:pPr>
        <w:pStyle w:val="744"/>
        <w:shd w:val="clear" w:color="auto" w:fill="auto"/>
        <w:rPr>
          <w:rFonts w:ascii="宋体" w:hAnsi="宋体" w:cs="宋体"/>
          <w:color w:val="000000"/>
          <w:sz w:val="24"/>
          <w:highlight w:val="none"/>
          <w:u w:val="single"/>
        </w:rPr>
      </w:pPr>
      <w:r>
        <w:rPr>
          <w:rFonts w:ascii="宋体" w:hAnsi="宋体" w:cs="宋体"/>
          <w:color w:val="000000"/>
          <w:sz w:val="24"/>
          <w:highlight w:val="none"/>
          <w:u w:val="single"/>
        </w:rPr>
      </w:r>
      <w:r/>
    </w:p>
    <w:p>
      <w:pPr>
        <w:pStyle w:val="744"/>
        <w:ind w:firstLine="562"/>
        <w:spacing w:line="440" w:lineRule="exact"/>
        <w:shd w:val="clear" w:color="auto" w:fill="auto"/>
        <w:rPr>
          <w:rFonts w:ascii="宋体" w:hAnsi="宋体" w:cs="宋体"/>
          <w:color w:val="000000"/>
          <w:sz w:val="24"/>
          <w:highlight w:val="none"/>
        </w:rPr>
      </w:pPr>
      <w:r>
        <w:rPr>
          <w:rFonts w:hint="eastAsia" w:ascii="宋体" w:hAnsi="宋体" w:cs="宋体"/>
          <w:b/>
          <w:color w:val="000000"/>
          <w:sz w:val="24"/>
          <w:highlight w:val="none"/>
          <w:u w:val="single"/>
        </w:rPr>
        <w:t xml:space="preserve">注</w:t>
      </w:r>
      <w:r>
        <w:rPr>
          <w:rFonts w:hint="eastAsia" w:ascii="宋体" w:hAnsi="宋体" w:cs="宋体"/>
          <w:color w:val="000000"/>
          <w:sz w:val="24"/>
          <w:highlight w:val="none"/>
          <w:u w:val="single"/>
        </w:rPr>
        <w:t xml:space="preserve">：投标人的投标文件中的内容与招标文件（含招标文件的澄清或者修改的内容）的要求不同时，逐条列在偏离表中，否则将认为投标人接受招标文件的要求。</w:t>
      </w:r>
      <w:r/>
    </w:p>
    <w:p>
      <w:pPr>
        <w:pStyle w:val="744"/>
        <w:ind w:firstLine="2660"/>
        <w:spacing w:line="30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4"/>
        <w:ind w:firstLine="2660"/>
        <w:spacing w:line="30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4"/>
        <w:ind w:firstLine="2660"/>
        <w:spacing w:line="30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p>
    <w:p>
      <w:pPr>
        <w:pStyle w:val="744"/>
        <w:ind w:firstLine="560"/>
        <w:spacing w:line="30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w:t>
      </w:r>
      <w:r/>
    </w:p>
    <w:p>
      <w:pPr>
        <w:pStyle w:val="744"/>
        <w:ind w:firstLine="264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744"/>
        <w:jc w:val="center"/>
        <w:shd w:val="clear" w:color="auto" w:fill="auto"/>
        <w:rPr>
          <w:rFonts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五、法定代表人授权书及法定代表人身份证明书格式</w:t>
      </w:r>
      <w:r/>
    </w:p>
    <w:p>
      <w:pPr>
        <w:pStyle w:val="744"/>
        <w:jc w:val="center"/>
        <w:spacing w:line="360" w:lineRule="auto"/>
        <w:shd w:val="clear" w:color="auto" w:fill="auto"/>
        <w:rPr>
          <w:rFonts w:ascii="宋体" w:hAnsi="宋体" w:cs="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color w:val="000000"/>
          <w:sz w:val="24"/>
          <w:highlight w:val="none"/>
        </w:rPr>
        <w:t xml:space="preserve">法定代表人授权书</w:t>
      </w:r>
      <w:r/>
    </w:p>
    <w:p>
      <w:pPr>
        <w:pStyle w:val="744"/>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委托人：</w:t>
      </w:r>
      <w:r/>
    </w:p>
    <w:p>
      <w:pPr>
        <w:pStyle w:val="744"/>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地  址：</w:t>
      </w:r>
      <w:r/>
    </w:p>
    <w:p>
      <w:pPr>
        <w:pStyle w:val="744"/>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法定代表人（负责人）：               职务：</w:t>
      </w:r>
      <w:r/>
    </w:p>
    <w:p>
      <w:pPr>
        <w:pStyle w:val="744"/>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法人营业执照注册号：</w:t>
      </w:r>
      <w:r/>
    </w:p>
    <w:p>
      <w:pPr>
        <w:pStyle w:val="744"/>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受托人：                   性别：男（女）  </w:t>
      </w:r>
      <w:r/>
    </w:p>
    <w:p>
      <w:pPr>
        <w:pStyle w:val="744"/>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年龄：  岁                 民族：   族</w:t>
      </w:r>
      <w:r/>
    </w:p>
    <w:p>
      <w:pPr>
        <w:pStyle w:val="744"/>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职务：</w:t>
      </w:r>
      <w:r/>
    </w:p>
    <w:p>
      <w:pPr>
        <w:pStyle w:val="744"/>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身份证号：</w:t>
      </w:r>
      <w:r/>
    </w:p>
    <w:p>
      <w:pPr>
        <w:pStyle w:val="744"/>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兹委托（      ）全权代表我企业（公司）参与（</w:t>
      </w:r>
      <w:r>
        <w:rPr>
          <w:rFonts w:hint="eastAsia" w:ascii="宋体" w:hAnsi="宋体" w:cs="宋体"/>
          <w:color w:val="000000"/>
          <w:sz w:val="24"/>
          <w:highlight w:val="none"/>
          <w:lang w:eastAsia="zh-CN"/>
        </w:rPr>
        <w:t xml:space="preserve">交通违法综合管控平台系统升级采购项目</w:t>
      </w:r>
      <w:r>
        <w:rPr>
          <w:rFonts w:hint="eastAsia" w:ascii="宋体" w:hAnsi="宋体" w:cs="宋体"/>
          <w:color w:val="000000"/>
          <w:sz w:val="24"/>
          <w:highlight w:val="none"/>
        </w:rPr>
        <w:t xml:space="preserve">）项目（</w:t>
      </w:r>
      <w:r>
        <w:rPr>
          <w:rFonts w:hint="eastAsia" w:ascii="宋体" w:hAnsi="宋体" w:cs="宋体"/>
          <w:color w:val="000000"/>
          <w:sz w:val="24"/>
          <w:highlight w:val="none"/>
          <w:lang w:eastAsia="zh-CN"/>
        </w:rPr>
        <w:t xml:space="preserve">项目编号：JSZC-320312-HZGC-G2026-0007</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44"/>
        <w:ind w:firstLine="63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特此授权委托。</w:t>
      </w:r>
      <w:r/>
    </w:p>
    <w:p>
      <w:pPr>
        <w:pStyle w:val="744"/>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4"/>
        <w:ind w:firstLine="560"/>
        <w:spacing w:line="48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委托人（盖电子签章）：              </w:t>
      </w:r>
      <w:r/>
    </w:p>
    <w:p>
      <w:pPr>
        <w:pStyle w:val="744"/>
        <w:ind w:firstLine="560"/>
        <w:spacing w:line="48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法定代表人（签字或电子签章）： </w:t>
      </w:r>
      <w:r/>
    </w:p>
    <w:p>
      <w:pPr>
        <w:pStyle w:val="744"/>
        <w:ind w:firstLine="560"/>
        <w:spacing w:line="48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受托人（签字或电子签章）：</w:t>
      </w:r>
      <w:r/>
    </w:p>
    <w:p>
      <w:pPr>
        <w:pStyle w:val="744"/>
        <w:ind w:firstLine="560"/>
        <w:spacing w:line="48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受托人联系方式：            </w:t>
      </w:r>
      <w:r/>
    </w:p>
    <w:p>
      <w:pPr>
        <w:pStyle w:val="744"/>
        <w:ind w:firstLine="560"/>
        <w:spacing w:line="480" w:lineRule="auto"/>
        <w:shd w:val="clear" w:color="auto" w:fill="auto"/>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邮箱：</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744"/>
        <w:ind w:right="600" w:firstLine="574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年   月   日 </w:t>
      </w:r>
      <w:r/>
    </w:p>
    <w:p>
      <w:pPr>
        <w:pStyle w:val="744"/>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(受托人身份证复印件附后)</w:t>
      </w:r>
      <w:r/>
    </w:p>
    <w:p>
      <w:pPr>
        <w:pStyle w:val="744"/>
        <w:ind w:firstLine="4470"/>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w:t>
      </w:r>
      <w:r/>
    </w:p>
    <w:p>
      <w:pPr>
        <w:pStyle w:val="744"/>
        <w:ind w:firstLine="4470"/>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4"/>
        <w:shd w:val="clear" w:color="auto" w:fill="auto"/>
        <w:rPr>
          <w:rFonts w:ascii="宋体" w:hAnsi="宋体" w:cs="宋体"/>
          <w:bCs/>
          <w:color w:val="000000"/>
          <w:sz w:val="24"/>
          <w:highlight w:val="none"/>
        </w:rPr>
      </w:pPr>
      <w:r>
        <w:rPr>
          <w:rFonts w:ascii="宋体" w:hAnsi="宋体" w:cs="宋体"/>
          <w:bCs/>
          <w:color w:val="000000"/>
          <w:sz w:val="24"/>
          <w:highlight w:val="none"/>
        </w:rPr>
      </w:r>
      <w:r/>
    </w:p>
    <w:p>
      <w:pPr>
        <w:pStyle w:val="744"/>
        <w:jc w:val="center"/>
        <w:spacing w:line="360" w:lineRule="auto"/>
        <w:shd w:val="clear" w:color="auto" w:fill="auto"/>
        <w:rPr>
          <w:rFonts w:ascii="宋体" w:hAnsi="宋体" w:cs="宋体"/>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法定代表人身份证明书</w:t>
      </w:r>
      <w:r/>
    </w:p>
    <w:p>
      <w:pPr>
        <w:pStyle w:val="744"/>
        <w:jc w:val="center"/>
        <w:spacing w:line="360" w:lineRule="auto"/>
        <w:shd w:val="clear" w:color="auto" w:fill="auto"/>
        <w:rPr>
          <w:rFonts w:ascii="宋体" w:hAnsi="宋体" w:cs="宋体"/>
          <w:bCs/>
          <w:color w:val="000000"/>
          <w:sz w:val="24"/>
          <w:highlight w:val="none"/>
        </w:rPr>
      </w:pPr>
      <w:r>
        <w:rPr>
          <w:rFonts w:ascii="宋体" w:hAnsi="宋体" w:cs="宋体"/>
          <w:bCs/>
          <w:color w:val="000000"/>
          <w:sz w:val="24"/>
          <w:highlight w:val="none"/>
        </w:rPr>
      </w:r>
      <w:r/>
    </w:p>
    <w:p>
      <w:pPr>
        <w:pStyle w:val="744"/>
        <w:ind w:firstLine="480"/>
        <w:spacing w:line="360" w:lineRule="auto"/>
        <w:shd w:val="clear" w:color="auto" w:fill="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单位名称：</w:t>
      </w:r>
      <w:r/>
    </w:p>
    <w:p>
      <w:pPr>
        <w:pStyle w:val="744"/>
        <w:ind w:firstLine="480"/>
        <w:spacing w:line="360" w:lineRule="auto"/>
        <w:shd w:val="clear" w:color="auto" w:fill="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地址：</w:t>
      </w:r>
      <w:r/>
    </w:p>
    <w:p>
      <w:pPr>
        <w:pStyle w:val="744"/>
        <w:ind w:firstLine="480"/>
        <w:spacing w:line="360" w:lineRule="auto"/>
        <w:shd w:val="clear" w:color="auto" w:fill="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姓名：            性别：    </w:t>
      </w:r>
      <w:r/>
    </w:p>
    <w:p>
      <w:pPr>
        <w:pStyle w:val="744"/>
        <w:spacing w:line="360" w:lineRule="auto"/>
        <w:shd w:val="clear" w:color="auto" w:fill="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    身份证号：        职务：</w:t>
      </w:r>
      <w:r/>
    </w:p>
    <w:p>
      <w:pPr>
        <w:pStyle w:val="7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系我司的法定代表人。为签署（</w:t>
      </w:r>
      <w:r>
        <w:rPr>
          <w:rFonts w:hint="eastAsia" w:ascii="宋体" w:hAnsi="宋体" w:cs="宋体"/>
          <w:color w:val="000000"/>
          <w:sz w:val="24"/>
          <w:highlight w:val="none"/>
          <w:u w:val="none"/>
          <w:lang w:eastAsia="zh-CN"/>
        </w:rPr>
        <w:t xml:space="preserve">项目编号：</w:t>
      </w:r>
      <w:r>
        <w:rPr>
          <w:rFonts w:hint="eastAsia" w:ascii="宋体" w:hAnsi="宋体" w:cs="宋体"/>
          <w:color w:val="000000"/>
          <w:sz w:val="24"/>
          <w:highlight w:val="none"/>
          <w:u w:val="single"/>
          <w:lang w:eastAsia="zh-CN"/>
        </w:rPr>
        <w:t xml:space="preserve">JSZC-320312-HZGC-G2026-0007</w:t>
      </w: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lang w:eastAsia="zh-CN"/>
        </w:rPr>
        <w:t xml:space="preserve">交通违法综合管控平台系统升级采购项目</w:t>
      </w:r>
      <w:r>
        <w:rPr>
          <w:rFonts w:hint="eastAsia" w:ascii="宋体" w:hAnsi="宋体" w:cs="宋体"/>
          <w:color w:val="000000"/>
          <w:sz w:val="24"/>
          <w:highlight w:val="none"/>
        </w:rPr>
        <w:t xml:space="preserve">）项目投标文件、进行合同谈判、签署合同和处理与之有关的一切事务。</w:t>
      </w:r>
      <w:r/>
    </w:p>
    <w:p>
      <w:pPr>
        <w:pStyle w:val="744"/>
        <w:spacing w:line="360" w:lineRule="auto"/>
        <w:shd w:val="clear" w:color="auto" w:fill="auto"/>
        <w:tabs>
          <w:tab w:val="left" w:pos="720" w:leader="none"/>
          <w:tab w:val="left" w:pos="900" w:leader="none"/>
        </w:tabs>
        <w:rPr>
          <w:rFonts w:ascii="宋体" w:hAnsi="宋体" w:cs="宋体"/>
          <w:color w:val="000000"/>
          <w:sz w:val="24"/>
          <w:highlight w:val="none"/>
        </w:rPr>
      </w:pPr>
      <w:r>
        <w:rPr>
          <w:rFonts w:ascii="宋体" w:hAnsi="宋体" w:cs="宋体"/>
          <w:color w:val="000000"/>
          <w:sz w:val="24"/>
          <w:highlight w:val="none"/>
        </w:rPr>
      </w:r>
      <w:r/>
    </w:p>
    <w:p>
      <w:pPr>
        <w:pStyle w:val="744"/>
        <w:ind w:firstLine="480"/>
        <w:spacing w:line="360" w:lineRule="auto"/>
        <w:shd w:val="clear" w:color="auto" w:fill="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特此证明。</w:t>
      </w:r>
      <w:r/>
    </w:p>
    <w:p>
      <w:pPr>
        <w:pStyle w:val="744"/>
        <w:ind w:firstLine="480"/>
        <w:spacing w:line="360" w:lineRule="auto"/>
        <w:shd w:val="clear" w:color="auto" w:fill="auto"/>
        <w:tabs>
          <w:tab w:val="left" w:pos="720" w:leader="none"/>
          <w:tab w:val="left" w:pos="900" w:leader="none"/>
        </w:tabs>
        <w:rPr>
          <w:rFonts w:ascii="宋体" w:hAnsi="宋体" w:cs="宋体"/>
          <w:color w:val="000000"/>
          <w:sz w:val="24"/>
          <w:highlight w:val="none"/>
        </w:rPr>
      </w:pPr>
      <w:r>
        <w:rPr>
          <w:rFonts w:ascii="宋体" w:hAnsi="宋体" w:cs="宋体"/>
          <w:color w:val="000000"/>
          <w:sz w:val="24"/>
          <w:highlight w:val="none"/>
        </w:rPr>
      </w:r>
      <w:r/>
    </w:p>
    <w:p>
      <w:pPr>
        <w:pStyle w:val="744"/>
        <w:jc w:val="right"/>
        <w:spacing w:line="360" w:lineRule="auto"/>
        <w:shd w:val="clear" w:color="auto" w:fill="auto"/>
        <w:tabs>
          <w:tab w:val="left" w:pos="720" w:leader="none"/>
          <w:tab w:val="left" w:pos="900" w:leader="none"/>
        </w:tabs>
        <w:rPr>
          <w:rFonts w:ascii="宋体" w:hAnsi="宋体" w:cs="宋体"/>
          <w:color w:val="000000"/>
          <w:sz w:val="24"/>
          <w:highlight w:val="none"/>
        </w:rPr>
      </w:pPr>
      <w:r>
        <w:rPr>
          <w:rFonts w:ascii="宋体" w:hAnsi="宋体" w:cs="宋体"/>
          <w:color w:val="000000"/>
          <w:sz w:val="24"/>
          <w:highlight w:val="none"/>
        </w:rPr>
      </w:r>
      <w:r/>
    </w:p>
    <w:p>
      <w:pPr>
        <w:pStyle w:val="788"/>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4"/>
        <w:ind w:firstLine="3240"/>
        <w:jc w:val="center"/>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p>
    <w:p>
      <w:pPr>
        <w:pStyle w:val="744"/>
        <w:jc w:val="righ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法定代表人：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（签字或电子签章）</w:t>
      </w:r>
      <w:r/>
    </w:p>
    <w:p>
      <w:pPr>
        <w:pStyle w:val="744"/>
        <w:ind w:firstLine="3360"/>
        <w:jc w:val="righ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744"/>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4"/>
        <w:ind w:firstLine="480"/>
        <w:spacing w:line="360" w:lineRule="auto"/>
        <w:shd w:val="clear" w:color="auto" w:fill="auto"/>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(法定代表人身份证</w:t>
      </w:r>
      <w:r>
        <w:rPr>
          <w:rFonts w:hint="eastAsia" w:ascii="宋体" w:hAnsi="宋体" w:cs="宋体"/>
          <w:bCs/>
          <w:color w:val="000000"/>
          <w:sz w:val="24"/>
          <w:highlight w:val="none"/>
        </w:rPr>
        <w:t xml:space="preserve">复印件</w:t>
      </w:r>
      <w:r>
        <w:rPr>
          <w:rFonts w:hint="eastAsia" w:ascii="宋体" w:hAnsi="宋体" w:cs="宋体"/>
          <w:color w:val="000000"/>
          <w:sz w:val="24"/>
          <w:highlight w:val="none"/>
        </w:rPr>
        <w:t xml:space="preserve">附后）</w:t>
      </w:r>
      <w:r/>
    </w:p>
    <w:p>
      <w:pPr>
        <w:sectPr>
          <w:footerReference w:type="default" r:id="rId10"/>
          <w:footnotePr/>
          <w:endnotePr/>
          <w:type w:val="nextPage"/>
          <w:pgSz w:w="11906" w:h="16838" w:orient="portrait"/>
          <w:pgMar w:top="1440" w:right="1451" w:bottom="1440" w:left="1480" w:header="851" w:footer="992" w:gutter="0"/>
          <w:pgNumType w:start="1"/>
          <w:cols w:num="1" w:sep="0" w:space="1701" w:equalWidth="1"/>
          <w:docGrid w:linePitch="360"/>
        </w:sectPr>
      </w:pPr>
      <w:r/>
      <w:r/>
    </w:p>
    <w:p>
      <w:pPr>
        <w:jc w:val="center"/>
        <w:widowControl/>
        <w:rPr>
          <w:rFonts w:hint="eastAsia" w:ascii="宋体" w:hAnsi="宋体" w:eastAsia="宋体" w:cs="宋体"/>
          <w:sz w:val="28"/>
          <w:szCs w:val="28"/>
          <w:highlight w:val="none"/>
        </w:rPr>
      </w:pPr>
      <w:r>
        <w:rPr>
          <w:rFonts w:hint="eastAsia" w:ascii="宋体" w:hAnsi="宋体" w:eastAsia="宋体" w:cs="宋体"/>
          <w:b/>
          <w:bCs/>
          <w:sz w:val="28"/>
          <w:szCs w:val="28"/>
          <w:highlight w:val="none"/>
        </w:rPr>
        <w:t xml:space="preserve">六、中小企业声明函格式</w:t>
      </w:r>
      <w:r/>
    </w:p>
    <w:p>
      <w:pPr>
        <w:ind w:firstLine="624"/>
        <w:spacing w:line="4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项目名称：</w:t>
      </w:r>
      <w:r/>
    </w:p>
    <w:p>
      <w:pPr>
        <w:ind w:firstLine="624"/>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项目编号：</w:t>
      </w:r>
      <w:r/>
    </w:p>
    <w:p>
      <w:pPr>
        <w:pStyle w:val="732"/>
        <w:numPr>
          <w:ilvl w:val="0"/>
          <w:numId w:val="0"/>
        </w:numPr>
        <w:ind w:left="0" w:firstLine="560"/>
        <w:keepLines w:val="0"/>
        <w:keepNext w:val="0"/>
        <w:spacing w:before="0" w:beforeAutospacing="0" w:after="0" w:afterAutospacing="0" w:line="360" w:lineRule="auto"/>
        <w:widowControl w:val="off"/>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郑重声明，根据《政府采购促进中小企业发展管理办法》（财库 (2020)46号）的规定，本公司参加（</w:t>
      </w:r>
      <w:r>
        <w:rPr>
          <w:rFonts w:hint="eastAsia" w:ascii="宋体" w:hAnsi="宋体" w:cs="宋体"/>
          <w:color w:val="000000"/>
          <w:sz w:val="21"/>
          <w:szCs w:val="21"/>
          <w:u w:val="single"/>
          <w:lang w:val="en-US" w:eastAsia="zh-CN"/>
        </w:rPr>
        <w:t xml:space="preserve">徐州市公安局铜山分局</w:t>
      </w:r>
      <w:r>
        <w:rPr>
          <w:rFonts w:hint="eastAsia" w:ascii="宋体" w:hAnsi="宋体" w:eastAsia="宋体" w:cs="宋体"/>
          <w:color w:val="000000"/>
          <w:sz w:val="21"/>
          <w:szCs w:val="21"/>
        </w:rPr>
        <w:t xml:space="preserve">）的（</w:t>
      </w:r>
      <w:r>
        <w:rPr>
          <w:rFonts w:hint="eastAsia" w:ascii="宋体" w:hAnsi="宋体" w:cs="宋体"/>
          <w:color w:val="000000"/>
          <w:spacing w:val="6"/>
          <w:sz w:val="24"/>
          <w:highlight w:val="none"/>
          <w:u w:val="single"/>
          <w:lang w:eastAsia="zh-CN"/>
        </w:rPr>
        <w:t xml:space="preserve">交</w:t>
      </w:r>
      <w:r>
        <w:rPr>
          <w:rFonts w:hint="eastAsia" w:ascii="宋体" w:hAnsi="宋体" w:cs="宋体"/>
          <w:color w:val="000000"/>
          <w:sz w:val="21"/>
          <w:szCs w:val="21"/>
          <w:u w:val="single"/>
          <w:lang w:val="en-US" w:eastAsia="zh-CN"/>
        </w:rPr>
        <w:t xml:space="preserve">通违法综合管控平台系统升级采购项目</w:t>
      </w:r>
      <w:r>
        <w:rPr>
          <w:rFonts w:hint="eastAsia" w:ascii="宋体" w:hAnsi="宋体" w:eastAsia="宋体" w:cs="宋体"/>
          <w:color w:val="000000"/>
          <w:sz w:val="21"/>
          <w:szCs w:val="21"/>
        </w:rPr>
        <w:t xml:space="preserve">）采购活动，提供的货物全部由符合政策要求的中小企业制造。相关企业的具体情况如下：</w:t>
      </w:r>
      <w:r/>
    </w:p>
    <w:p>
      <w:pPr>
        <w:pStyle w:val="732"/>
        <w:numPr>
          <w:ilvl w:val="0"/>
          <w:numId w:val="0"/>
        </w:numPr>
        <w:ind w:left="0" w:firstLine="560"/>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1"/>
          <w:szCs w:val="21"/>
        </w:rPr>
        <w:t xml:space="preserve">（</w:t>
      </w:r>
      <w:r>
        <w:rPr>
          <w:rFonts w:hint="eastAsia" w:ascii="宋体" w:hAnsi="宋体" w:cs="宋体"/>
          <w:color w:val="000000"/>
          <w:sz w:val="21"/>
          <w:szCs w:val="21"/>
          <w:u w:val="single"/>
          <w:lang w:val="en-US" w:eastAsia="zh-CN"/>
        </w:rPr>
        <w:t xml:space="preserve">平台升级扩容（扩容</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p>
    <w:p>
      <w:pPr>
        <w:pStyle w:val="732"/>
        <w:numPr>
          <w:ilvl w:val="0"/>
          <w:numId w:val="0"/>
        </w:numPr>
        <w:ind w:left="0" w:firstLine="560"/>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1"/>
          <w:szCs w:val="21"/>
        </w:rPr>
        <w:t xml:space="preserve">（</w:t>
      </w:r>
      <w:r>
        <w:rPr>
          <w:rFonts w:hint="eastAsia" w:ascii="宋体" w:hAnsi="宋体" w:cs="宋体"/>
          <w:color w:val="000000"/>
          <w:sz w:val="21"/>
          <w:szCs w:val="21"/>
          <w:u w:val="single"/>
          <w:lang w:val="en-US" w:eastAsia="zh-CN"/>
        </w:rPr>
        <w:t xml:space="preserve">平台应用支撑硬件</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p>
    <w:p>
      <w:pPr>
        <w:pStyle w:val="732"/>
        <w:numPr>
          <w:ilvl w:val="0"/>
          <w:numId w:val="0"/>
        </w:numPr>
        <w:ind w:left="0" w:firstLine="560"/>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1"/>
          <w:szCs w:val="21"/>
        </w:rPr>
        <w:t xml:space="preserve">（</w:t>
      </w:r>
      <w:r>
        <w:rPr>
          <w:rFonts w:hint="eastAsia" w:ascii="宋体" w:hAnsi="宋体" w:cs="宋体"/>
          <w:color w:val="000000"/>
          <w:sz w:val="21"/>
          <w:szCs w:val="21"/>
          <w:u w:val="single"/>
          <w:lang w:val="en-US" w:eastAsia="zh-CN"/>
        </w:rPr>
        <w:t xml:space="preserve">AI智能审片系统）</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p>
    <w:p>
      <w:pPr>
        <w:pStyle w:val="732"/>
        <w:numPr>
          <w:ilvl w:val="0"/>
          <w:numId w:val="0"/>
        </w:numPr>
        <w:ind w:left="0" w:firstLine="560"/>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1"/>
          <w:szCs w:val="21"/>
        </w:rPr>
        <w:t xml:space="preserve">（</w:t>
      </w:r>
      <w:r>
        <w:rPr>
          <w:rFonts w:hint="eastAsia" w:ascii="宋体" w:hAnsi="宋体" w:cs="宋体"/>
          <w:color w:val="000000"/>
          <w:sz w:val="21"/>
          <w:szCs w:val="21"/>
          <w:u w:val="single"/>
          <w:lang w:val="en-US" w:eastAsia="zh-CN"/>
        </w:rPr>
        <w:t xml:space="preserve">违法抓拍数据运维）</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p>
    <w:p>
      <w:pPr>
        <w:pStyle w:val="732"/>
        <w:numPr>
          <w:ilvl w:val="0"/>
          <w:numId w:val="0"/>
        </w:numPr>
        <w:ind w:left="0" w:firstLine="560"/>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1"/>
          <w:szCs w:val="21"/>
        </w:rPr>
        <w:t xml:space="preserve">（</w:t>
      </w:r>
      <w:r>
        <w:rPr>
          <w:rFonts w:hint="eastAsia" w:ascii="宋体" w:hAnsi="宋体" w:cs="宋体"/>
          <w:color w:val="000000"/>
          <w:sz w:val="21"/>
          <w:szCs w:val="21"/>
          <w:u w:val="single"/>
          <w:lang w:val="en-US" w:eastAsia="zh-CN"/>
        </w:rPr>
        <w:t xml:space="preserve">非机动车管控抓拍（不戴头盔、载人、逆行）</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p>
    <w:p>
      <w:pPr>
        <w:pStyle w:val="732"/>
        <w:numPr>
          <w:ilvl w:val="0"/>
          <w:numId w:val="0"/>
        </w:numPr>
        <w:ind w:left="0" w:firstLine="560"/>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1"/>
          <w:szCs w:val="21"/>
        </w:rPr>
        <w:t xml:space="preserve">（</w:t>
      </w:r>
      <w:r>
        <w:rPr>
          <w:rFonts w:hint="eastAsia" w:ascii="宋体" w:hAnsi="宋体" w:cs="宋体"/>
          <w:color w:val="000000"/>
          <w:sz w:val="21"/>
          <w:szCs w:val="21"/>
          <w:u w:val="single"/>
          <w:lang w:val="en-US" w:eastAsia="zh-CN"/>
        </w:rPr>
        <w:t xml:space="preserve">非机动车闯红灯抓拍（闯红灯、不戴头盔、载人、逆行）</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p>
    <w:p>
      <w:pPr>
        <w:pStyle w:val="732"/>
        <w:numPr>
          <w:ilvl w:val="0"/>
          <w:numId w:val="0"/>
        </w:numPr>
        <w:ind w:left="0" w:firstLine="560"/>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7.</w:t>
      </w:r>
      <w:r>
        <w:rPr>
          <w:rFonts w:hint="eastAsia" w:ascii="宋体" w:hAnsi="宋体" w:eastAsia="宋体" w:cs="宋体"/>
          <w:color w:val="000000"/>
          <w:sz w:val="21"/>
          <w:szCs w:val="21"/>
        </w:rPr>
        <w:t xml:space="preserve">（</w:t>
      </w:r>
      <w:r>
        <w:rPr>
          <w:rFonts w:hint="eastAsia" w:ascii="宋体" w:hAnsi="宋体" w:cs="宋体"/>
          <w:color w:val="000000"/>
          <w:sz w:val="21"/>
          <w:szCs w:val="21"/>
          <w:u w:val="single"/>
          <w:lang w:val="en-US" w:eastAsia="zh-CN"/>
        </w:rPr>
        <w:t xml:space="preserve">铁骑取证设备</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p>
    <w:p>
      <w:pPr>
        <w:pStyle w:val="732"/>
        <w:numPr>
          <w:ilvl w:val="0"/>
          <w:numId w:val="0"/>
        </w:numPr>
        <w:ind w:left="0" w:firstLine="560"/>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1"/>
          <w:szCs w:val="21"/>
        </w:rPr>
        <w:t xml:space="preserve">（</w:t>
      </w:r>
      <w:r>
        <w:rPr>
          <w:rFonts w:hint="eastAsia" w:ascii="宋体" w:hAnsi="宋体" w:cs="宋体"/>
          <w:color w:val="000000"/>
          <w:sz w:val="21"/>
          <w:szCs w:val="21"/>
          <w:u w:val="single"/>
          <w:lang w:val="en-US" w:eastAsia="zh-CN"/>
        </w:rPr>
        <w:t xml:space="preserve">老旧硬盘更换</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p>
    <w:p>
      <w:pPr>
        <w:pStyle w:val="732"/>
        <w:numPr>
          <w:ilvl w:val="0"/>
          <w:numId w:val="0"/>
        </w:numPr>
        <w:ind w:left="0" w:firstLine="560"/>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9.</w:t>
      </w:r>
      <w:r>
        <w:rPr>
          <w:rFonts w:hint="eastAsia" w:ascii="宋体" w:hAnsi="宋体" w:eastAsia="宋体" w:cs="宋体"/>
          <w:color w:val="000000"/>
          <w:sz w:val="21"/>
          <w:szCs w:val="21"/>
        </w:rPr>
        <w:t xml:space="preserve">（</w:t>
      </w:r>
      <w:r>
        <w:rPr>
          <w:rFonts w:hint="eastAsia" w:ascii="宋体" w:hAnsi="宋体" w:cs="宋体"/>
          <w:color w:val="000000"/>
          <w:sz w:val="21"/>
          <w:szCs w:val="21"/>
          <w:u w:val="single"/>
          <w:lang w:val="en-US" w:eastAsia="zh-CN"/>
        </w:rPr>
        <w:t xml:space="preserve">核心交换机更换</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p>
    <w:p>
      <w:pPr>
        <w:pStyle w:val="744"/>
        <w:ind w:firstLine="584"/>
        <w:spacing w:line="480" w:lineRule="exact"/>
        <w:shd w:val="clear" w:color="auto" w:fill="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以上企业，不属于大企业的分支机构，不存在控股股东为大企业的情形，也不存在与大企业的负责人为同一人的情形。</w:t>
      </w:r>
      <w:r/>
    </w:p>
    <w:p>
      <w:pPr>
        <w:pStyle w:val="744"/>
        <w:ind w:firstLine="584"/>
        <w:spacing w:line="480" w:lineRule="exact"/>
        <w:shd w:val="clear" w:color="auto" w:fill="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本企业对上述声明内容的真实性负责。如有虚假，将依法承担相应责任。</w:t>
      </w:r>
      <w:r/>
    </w:p>
    <w:p>
      <w:pPr>
        <w:pStyle w:val="744"/>
        <w:ind w:firstLine="584"/>
        <w:spacing w:line="480" w:lineRule="exact"/>
        <w:shd w:val="clear" w:color="auto" w:fill="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w:t>
      </w:r>
      <w:r/>
    </w:p>
    <w:p>
      <w:pPr>
        <w:pStyle w:val="744"/>
        <w:ind w:firstLine="584"/>
        <w:jc w:val="right"/>
        <w:spacing w:line="480" w:lineRule="exact"/>
        <w:shd w:val="clear" w:color="auto" w:fill="auto"/>
        <w:rPr>
          <w:rFonts w:hint="eastAsia" w:ascii="宋体" w:hAnsi="宋体" w:cs="宋体"/>
          <w:b/>
          <w:bCs/>
          <w:color w:val="000000"/>
          <w:spacing w:val="6"/>
          <w:sz w:val="24"/>
          <w:highlight w:val="none"/>
        </w:rPr>
      </w:pPr>
      <w:r>
        <w:rPr>
          <w:rFonts w:hint="eastAsia" w:ascii="宋体" w:hAnsi="宋体" w:cs="宋体"/>
          <w:b/>
          <w:bCs/>
          <w:color w:val="000000"/>
          <w:spacing w:val="6"/>
          <w:sz w:val="24"/>
          <w:highlight w:val="none"/>
        </w:rPr>
        <w:t xml:space="preserve">企业名称（供应商名称）（电子签章）：</w:t>
      </w:r>
      <w:r/>
    </w:p>
    <w:p>
      <w:pPr>
        <w:pStyle w:val="744"/>
        <w:ind w:firstLine="584"/>
        <w:jc w:val="right"/>
        <w:spacing w:line="480" w:lineRule="exact"/>
        <w:shd w:val="clear" w:color="auto" w:fill="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w:t>
      </w:r>
      <w:r/>
    </w:p>
    <w:p>
      <w:pPr>
        <w:pStyle w:val="744"/>
        <w:ind w:firstLine="584"/>
        <w:jc w:val="right"/>
        <w:spacing w:line="480" w:lineRule="exact"/>
        <w:shd w:val="clear" w:color="auto" w:fill="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  年  月  日</w:t>
      </w:r>
      <w:r/>
    </w:p>
    <w:p>
      <w:pPr>
        <w:pStyle w:val="744"/>
        <w:ind w:firstLine="584"/>
        <w:spacing w:line="480" w:lineRule="exact"/>
        <w:shd w:val="clear" w:color="auto" w:fill="auto"/>
        <w:rPr>
          <w:rFonts w:hint="eastAsia" w:ascii="宋体" w:hAnsi="宋体" w:cs="宋体"/>
          <w:b/>
          <w:bCs/>
          <w:color w:val="000000"/>
          <w:spacing w:val="6"/>
          <w:sz w:val="24"/>
          <w:highlight w:val="none"/>
        </w:rPr>
      </w:pPr>
      <w:r>
        <w:rPr>
          <w:rFonts w:hint="eastAsia" w:ascii="宋体" w:hAnsi="宋体" w:cs="宋体"/>
          <w:b/>
          <w:bCs/>
          <w:color w:val="000000"/>
          <w:spacing w:val="6"/>
          <w:sz w:val="24"/>
          <w:highlight w:val="none"/>
        </w:rPr>
        <w:t xml:space="preserve">注：本项目采购的货物属于工业。</w:t>
      </w:r>
      <w:r/>
    </w:p>
    <w:p>
      <w:pPr>
        <w:pStyle w:val="744"/>
        <w:ind w:firstLine="584"/>
        <w:spacing w:line="480" w:lineRule="exact"/>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说明：</w:t>
      </w:r>
      <w:r/>
    </w:p>
    <w:p>
      <w:pPr>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2.从业人员、营业收入、资产总额填报供应商上一年度数据，无上一年度数据的新成立企业可不填报。</w:t>
      </w:r>
      <w:r/>
    </w:p>
    <w:p>
      <w:pPr>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w:t>
      </w:r>
      <w:r>
        <w:rPr>
          <w:rFonts w:hint="eastAsia" w:ascii="宋体" w:hAnsi="宋体" w:cs="宋体"/>
          <w:b/>
          <w:bCs/>
          <w:sz w:val="24"/>
          <w:szCs w:val="24"/>
          <w:highlight w:val="none"/>
          <w:lang w:val="en-US" w:eastAsia="zh-CN"/>
        </w:rPr>
        <w:t xml:space="preserve">中标、</w:t>
      </w:r>
      <w:r>
        <w:rPr>
          <w:rFonts w:hint="eastAsia" w:ascii="宋体" w:hAnsi="宋体" w:eastAsia="宋体" w:cs="宋体"/>
          <w:b/>
          <w:bCs/>
          <w:sz w:val="24"/>
          <w:szCs w:val="24"/>
          <w:highlight w:val="none"/>
        </w:rPr>
        <w:t xml:space="preserve">成交供应商为小型、微型企业的，采购人或者其委托的采购代理机构有权随中标、成交结果同时公告其《中小企业声明函》，接受社会监督。</w:t>
      </w:r>
      <w:r/>
    </w:p>
    <w:p>
      <w:pPr>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4.执行江苏省财政厅关于进一步加大政府采购支持中小企业力度的通知（苏财购〔2022〕45号）的规定。</w:t>
      </w:r>
      <w:r/>
    </w:p>
    <w:p>
      <w:pPr>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5.供应商提供的《中小企业声明函》与事实不符的，依照《政府采购法》第七十七条第一款的规定追究法律责任。</w:t>
      </w:r>
      <w:r/>
    </w:p>
    <w:p>
      <w:pPr>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88"/>
        <w:rPr>
          <w:rFonts w:hint="eastAsia" w:ascii="宋体" w:hAnsi="宋体" w:eastAsia="宋体" w:cs="宋体"/>
          <w:sz w:val="28"/>
          <w:szCs w:val="28"/>
          <w:highlight w:val="none"/>
        </w:rPr>
      </w:pPr>
      <w:r>
        <w:rPr>
          <w:rFonts w:hint="eastAsia" w:ascii="宋体" w:hAnsi="宋体" w:eastAsia="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2185035</wp:posOffset>
                </wp:positionH>
                <wp:positionV relativeFrom="page">
                  <wp:posOffset>2887980</wp:posOffset>
                </wp:positionV>
                <wp:extent cx="2331085" cy="437007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72.0pt;mso-position-horizontal:absolute;mso-position-vertical-relative:page;margin-top:227.4pt;mso-position-vertical:absolute;width:183.5pt;height:344.1pt;mso-wrap-distance-left:9.0pt;mso-wrap-distance-top:0.0pt;mso-wrap-distance-right:9.0pt;mso-wrap-distance-bottom:0.0pt;" stroked="f">
                <v:path textboxrect="0,0,0,0"/>
                <w10:wrap type="square"/>
                <v:imagedata r:id="rId14" o:title=""/>
              </v:shape>
            </w:pict>
          </mc:Fallback>
        </mc:AlternateContent>
      </w:r>
      <w:r/>
    </w:p>
    <w:p>
      <w:pPr>
        <w:pStyle w:val="744"/>
        <w:jc w:val="center"/>
        <w:shd w:val="clear" w:color="auto" w:fill="auto"/>
        <w:rPr>
          <w:rFonts w:ascii="宋体" w:hAnsi="宋体" w:cs="宋体"/>
          <w:b/>
          <w:bCs/>
          <w:color w:val="000000"/>
          <w:spacing w:val="6"/>
          <w:sz w:val="24"/>
          <w:highlight w:val="none"/>
        </w:rPr>
      </w:pPr>
      <w:r>
        <w:rPr>
          <w:rFonts w:hint="eastAsia" w:ascii="宋体" w:hAnsi="宋体" w:eastAsia="宋体" w:cs="宋体"/>
          <w:sz w:val="28"/>
          <w:szCs w:val="28"/>
          <w:highlight w:val="none"/>
        </w:rPr>
        <w:br w:type="page" w:clear="all"/>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残疾人福</w:t>
      </w:r>
      <w:r>
        <w:rPr>
          <w:rFonts w:hint="eastAsia" w:ascii="宋体" w:hAnsi="宋体" w:cs="宋体"/>
          <w:b/>
          <w:bCs/>
          <w:color w:val="000000"/>
          <w:sz w:val="24"/>
          <w:highlight w:val="none"/>
        </w:rPr>
        <w:t xml:space="preserve">利性单位声明函格式</w:t>
      </w:r>
      <w:r/>
    </w:p>
    <w:p>
      <w:pPr>
        <w:pStyle w:val="744"/>
        <w:ind w:firstLine="624"/>
        <w:spacing w:line="480" w:lineRule="exact"/>
        <w:shd w:val="clear" w:color="auto" w:fill="auto"/>
        <w:rPr>
          <w:rFonts w:ascii="宋体" w:hAnsi="宋体" w:cs="宋体"/>
          <w:color w:val="000000"/>
          <w:spacing w:val="6"/>
          <w:sz w:val="24"/>
          <w:highlight w:val="none"/>
        </w:rPr>
      </w:pPr>
      <w:r>
        <w:rPr>
          <w:rFonts w:ascii="宋体" w:hAnsi="宋体" w:cs="宋体"/>
          <w:color w:val="000000"/>
          <w:spacing w:val="6"/>
          <w:sz w:val="24"/>
          <w:highlight w:val="none"/>
        </w:rPr>
      </w:r>
      <w:r/>
    </w:p>
    <w:p>
      <w:pPr>
        <w:pStyle w:val="744"/>
        <w:ind w:firstLine="584"/>
        <w:spacing w:line="480" w:lineRule="exact"/>
        <w:shd w:val="clear" w:color="auto" w:fill="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交通违法综合管控平台系统升级采购项目</w:t>
      </w:r>
      <w:r>
        <w:rPr>
          <w:rFonts w:hint="eastAsia" w:ascii="宋体" w:hAnsi="宋体" w:cs="宋体"/>
          <w:color w:val="000000"/>
          <w:spacing w:val="6"/>
          <w:sz w:val="24"/>
          <w:highlight w:val="none"/>
        </w:rPr>
        <w:t xml:space="preserve"> </w:t>
      </w:r>
      <w:r/>
    </w:p>
    <w:p>
      <w:pPr>
        <w:pStyle w:val="744"/>
        <w:ind w:firstLine="584"/>
        <w:spacing w:line="480" w:lineRule="exact"/>
        <w:shd w:val="clear" w:color="auto" w:fill="auto"/>
        <w:rPr>
          <w:rFonts w:hint="eastAsia" w:ascii="宋体" w:hAnsi="宋体" w:cs="宋体"/>
          <w:color w:val="000000"/>
          <w:spacing w:val="6"/>
          <w:sz w:val="24"/>
          <w:highlight w:val="none"/>
          <w:lang w:val="en-US" w:eastAsia="zh-CN"/>
        </w:rPr>
      </w:pPr>
      <w:r>
        <w:rPr>
          <w:rFonts w:hint="eastAsia" w:ascii="宋体" w:hAnsi="宋体" w:cs="宋体"/>
          <w:color w:val="000000"/>
          <w:spacing w:val="6"/>
          <w:sz w:val="24"/>
          <w:highlight w:val="none"/>
          <w:lang w:eastAsia="zh-CN"/>
        </w:rPr>
        <w:t xml:space="preserve">项目编号：JSZC-320312-HZGC-G2026-0007</w:t>
      </w:r>
      <w:r>
        <w:rPr>
          <w:rFonts w:hint="eastAsia" w:ascii="宋体" w:hAnsi="宋体" w:cs="宋体"/>
          <w:color w:val="000000"/>
          <w:spacing w:val="6"/>
          <w:sz w:val="24"/>
          <w:highlight w:val="none"/>
          <w:lang w:val="en-US" w:eastAsia="zh-CN"/>
        </w:rPr>
        <w:t xml:space="preserve"> </w:t>
      </w:r>
      <w:r/>
    </w:p>
    <w:p>
      <w:pPr>
        <w:pStyle w:val="744"/>
        <w:ind w:firstLine="584"/>
        <w:spacing w:line="480" w:lineRule="exact"/>
        <w:shd w:val="clear" w:color="auto" w:fill="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z w:val="24"/>
          <w:highlight w:val="none"/>
        </w:rPr>
        <w:t xml:space="preserve">______</w:t>
      </w:r>
      <w:r>
        <w:rPr>
          <w:rFonts w:hint="eastAsia" w:ascii="宋体" w:hAnsi="宋体" w:cs="宋体"/>
          <w:color w:val="000000"/>
          <w:spacing w:val="6"/>
          <w:sz w:val="24"/>
          <w:highlight w:val="none"/>
        </w:rPr>
        <w:t xml:space="preserve">单位的</w:t>
      </w:r>
      <w:r>
        <w:rPr>
          <w:rFonts w:hint="eastAsia" w:ascii="宋体" w:hAnsi="宋体" w:cs="宋体"/>
          <w:color w:val="000000"/>
          <w:sz w:val="24"/>
          <w:highlight w:val="none"/>
        </w:rPr>
        <w:t xml:space="preserve">______</w:t>
      </w:r>
      <w:r>
        <w:rPr>
          <w:rFonts w:hint="eastAsia"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44"/>
        <w:ind w:firstLine="584"/>
        <w:spacing w:line="480" w:lineRule="exact"/>
        <w:shd w:val="clear" w:color="auto" w:fill="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p>
    <w:p>
      <w:pPr>
        <w:pStyle w:val="744"/>
        <w:ind w:firstLine="584"/>
        <w:spacing w:line="480" w:lineRule="exact"/>
        <w:shd w:val="clear" w:color="auto" w:fill="auto"/>
        <w:rPr>
          <w:rFonts w:ascii="宋体" w:hAnsi="宋体" w:cs="宋体"/>
          <w:color w:val="000000"/>
          <w:spacing w:val="6"/>
          <w:sz w:val="24"/>
          <w:highlight w:val="none"/>
        </w:rPr>
      </w:pPr>
      <w:r>
        <w:rPr>
          <w:rFonts w:ascii="宋体" w:hAnsi="宋体" w:cs="宋体"/>
          <w:color w:val="000000"/>
          <w:spacing w:val="6"/>
          <w:sz w:val="24"/>
          <w:highlight w:val="none"/>
        </w:rPr>
      </w:r>
      <w:r/>
    </w:p>
    <w:p>
      <w:pPr>
        <w:pStyle w:val="744"/>
        <w:ind w:firstLine="584"/>
        <w:spacing w:line="480" w:lineRule="exact"/>
        <w:shd w:val="clear" w:color="auto" w:fill="auto"/>
        <w:rPr>
          <w:rFonts w:ascii="宋体" w:hAnsi="宋体" w:cs="宋体"/>
          <w:color w:val="000000"/>
          <w:spacing w:val="6"/>
          <w:sz w:val="24"/>
          <w:highlight w:val="none"/>
        </w:rPr>
      </w:pPr>
      <w:r>
        <w:rPr>
          <w:rFonts w:ascii="宋体" w:hAnsi="宋体" w:cs="宋体"/>
          <w:color w:val="000000"/>
          <w:spacing w:val="6"/>
          <w:sz w:val="24"/>
          <w:highlight w:val="none"/>
        </w:rPr>
      </w:r>
      <w:r/>
    </w:p>
    <w:p>
      <w:pPr>
        <w:pStyle w:val="744"/>
        <w:ind w:firstLine="238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p>
    <w:p>
      <w:pPr>
        <w:pStyle w:val="744"/>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w:t>
      </w:r>
      <w:r/>
    </w:p>
    <w:p>
      <w:pPr>
        <w:pStyle w:val="744"/>
        <w:ind w:firstLine="240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744"/>
        <w:ind w:firstLine="450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4"/>
        <w:ind w:firstLine="60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4"/>
        <w:ind w:firstLine="600"/>
        <w:jc w:val="center"/>
        <w:spacing w:line="480" w:lineRule="exact"/>
        <w:shd w:val="clear" w:color="auto" w:fill="auto"/>
        <w:rPr>
          <w:rFonts w:ascii="宋体" w:hAnsi="宋体" w:cs="宋体"/>
          <w:b/>
          <w:bCs/>
          <w:color w:val="000000"/>
          <w:sz w:val="24"/>
          <w:highlight w:val="none"/>
        </w:rPr>
      </w:pPr>
      <w:r>
        <w:rPr>
          <w:rFonts w:hint="eastAsia" w:ascii="宋体" w:hAnsi="宋体" w:cs="宋体"/>
          <w:color w:val="000000"/>
          <w:sz w:val="24"/>
          <w:highlight w:val="none"/>
        </w:rPr>
        <w:br w:type="page" w:clear="all"/>
      </w:r>
      <w:r>
        <w:rPr>
          <w:rFonts w:hint="eastAsia" w:ascii="宋体" w:hAnsi="宋体" w:cs="宋体"/>
          <w:b/>
          <w:bCs/>
          <w:color w:val="000000"/>
          <w:sz w:val="24"/>
          <w:highlight w:val="none"/>
          <w:lang w:val="en-US" w:eastAsia="zh-CN"/>
        </w:rPr>
        <w:t xml:space="preserve">八</w:t>
      </w:r>
      <w:r>
        <w:rPr>
          <w:rFonts w:hint="eastAsia" w:ascii="宋体" w:hAnsi="宋体" w:cs="宋体"/>
          <w:b/>
          <w:bCs/>
          <w:color w:val="000000"/>
          <w:sz w:val="24"/>
          <w:highlight w:val="none"/>
        </w:rPr>
        <w:t xml:space="preserve">、投标人参加政府采购活动前3年内在经营活动中没有重大违法记录的书面声明格式</w:t>
      </w:r>
      <w:r/>
    </w:p>
    <w:p>
      <w:pPr>
        <w:pStyle w:val="744"/>
        <w:ind w:firstLine="602"/>
        <w:spacing w:line="480" w:lineRule="exact"/>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744"/>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我单位在参加</w:t>
      </w:r>
      <w:r>
        <w:rPr>
          <w:rFonts w:hint="eastAsia" w:ascii="宋体" w:hAnsi="宋体" w:cs="宋体"/>
          <w:color w:val="000000"/>
          <w:sz w:val="24"/>
          <w:highlight w:val="none"/>
          <w:u w:val="single"/>
          <w:lang w:eastAsia="zh-CN"/>
        </w:rPr>
        <w:t xml:space="preserve">交通违法综合管控平台系统升级采购项目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w:t>
      </w:r>
      <w:r>
        <w:rPr>
          <w:rFonts w:hint="eastAsia" w:ascii="宋体" w:hAnsi="宋体" w:cs="宋体"/>
          <w:color w:val="000000"/>
          <w:sz w:val="24"/>
          <w:highlight w:val="none"/>
          <w:u w:val="single"/>
          <w:lang w:eastAsia="zh-CN"/>
        </w:rPr>
        <w:t xml:space="preserve">SZC-320312-HZGC-G2026-0007</w:t>
      </w:r>
      <w:r>
        <w:rPr>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897"/>
        <w:ind w:firstLine="560"/>
        <w:spacing w:before="0" w:beforeAutospacing="0" w:after="0" w:afterAutospacing="0" w:line="480" w:lineRule="exact"/>
        <w:shd w:val="clear" w:color="auto" w:fill="auto"/>
        <w:rPr>
          <w:rFonts w:cs="宋体"/>
          <w:color w:val="000000"/>
          <w:highlight w:val="none"/>
        </w:rPr>
      </w:pPr>
      <w:r>
        <w:rPr>
          <w:rFonts w:hint="eastAsia" w:cs="宋体"/>
          <w:color w:val="000000"/>
          <w:highlight w:val="none"/>
        </w:rPr>
        <w:t xml:space="preserve">我单位对上述声明的真实性负责。如有虚假，将依法承担相应责任。</w:t>
      </w:r>
      <w:r/>
    </w:p>
    <w:p>
      <w:pPr>
        <w:pStyle w:val="744"/>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4"/>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4"/>
        <w:ind w:firstLine="26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p>
    <w:p>
      <w:pPr>
        <w:pStyle w:val="744"/>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w:t>
      </w:r>
      <w:r/>
    </w:p>
    <w:p>
      <w:pPr>
        <w:pStyle w:val="744"/>
        <w:ind w:firstLine="264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744"/>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4"/>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4"/>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4"/>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4"/>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4"/>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4"/>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4"/>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4"/>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4"/>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4"/>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4"/>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4"/>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4"/>
        <w:jc w:val="center"/>
        <w:shd w:val="clear" w:color="auto" w:fill="auto"/>
        <w:rPr>
          <w:rFonts w:ascii="宋体" w:hAnsi="宋体" w:cs="宋体"/>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lang w:val="en-US" w:eastAsia="zh-CN"/>
        </w:rPr>
        <w:t xml:space="preserve">九</w:t>
      </w:r>
      <w:r>
        <w:rPr>
          <w:rFonts w:hint="eastAsia" w:ascii="宋体" w:hAnsi="宋体" w:cs="宋体"/>
          <w:b/>
          <w:color w:val="000000"/>
          <w:sz w:val="24"/>
          <w:highlight w:val="none"/>
        </w:rPr>
        <w:t xml:space="preserve">、具备履行合同所必需的设备和专业技术能力的书面声明（附证明材料复印件）格式</w:t>
      </w:r>
      <w:r/>
    </w:p>
    <w:p>
      <w:pPr>
        <w:pStyle w:val="744"/>
        <w:ind w:firstLine="60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4"/>
        <w:ind w:firstLine="560"/>
        <w:spacing w:line="48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交通违法综合管控平台系统升级采购项目</w:t>
      </w:r>
      <w:r/>
    </w:p>
    <w:p>
      <w:pPr>
        <w:pStyle w:val="744"/>
        <w:ind w:firstLine="560"/>
        <w:spacing w:line="480" w:lineRule="exact"/>
        <w:shd w:val="clear" w:color="auto" w:fill="auto"/>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val="en-US" w:eastAsia="zh-CN"/>
        </w:rPr>
        <w:t xml:space="preserve">  </w:t>
      </w:r>
      <w:r/>
    </w:p>
    <w:p>
      <w:pPr>
        <w:pStyle w:val="744"/>
        <w:ind w:firstLine="560"/>
        <w:spacing w:line="480" w:lineRule="exact"/>
        <w:shd w:val="clear" w:color="auto" w:fill="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投标人郑重声明：投标人具备履行合同（项目名称：</w:t>
      </w:r>
      <w:r>
        <w:rPr>
          <w:rFonts w:hint="eastAsia" w:ascii="宋体" w:hAnsi="宋体" w:cs="宋体"/>
          <w:color w:val="000000"/>
          <w:sz w:val="24"/>
          <w:highlight w:val="none"/>
          <w:u w:val="single"/>
          <w:lang w:eastAsia="zh-CN"/>
        </w:rPr>
        <w:t xml:space="preserve">交通违法综合管控平台系统升级采购项目</w:t>
      </w:r>
      <w:r>
        <w:rPr>
          <w:rFonts w:hint="eastAsia" w:ascii="宋体" w:hAnsi="宋体" w:cs="宋体"/>
          <w:color w:val="000000"/>
          <w:sz w:val="24"/>
          <w:highlight w:val="none"/>
        </w:rPr>
        <w:t xml:space="preserve">，</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w:t>
      </w:r>
      <w:r>
        <w:rPr>
          <w:rFonts w:hint="eastAsia" w:ascii="宋体" w:hAnsi="宋体" w:cs="宋体"/>
          <w:color w:val="000000"/>
          <w:sz w:val="24"/>
          <w:highlight w:val="none"/>
          <w:u w:val="single"/>
          <w:lang w:eastAsia="zh-CN"/>
        </w:rPr>
        <w:t xml:space="preserve">ZC-320312-HZGC-G2026-0007</w:t>
      </w:r>
      <w:r>
        <w:rPr>
          <w:rFonts w:hint="eastAsia" w:ascii="宋体" w:hAnsi="宋体" w:cs="宋体"/>
          <w:color w:val="000000"/>
          <w:sz w:val="24"/>
          <w:highlight w:val="none"/>
          <w:u w:val="none"/>
          <w:lang w:val="en-US" w:eastAsia="zh-CN"/>
        </w:rPr>
        <w:t xml:space="preserve">）</w:t>
      </w:r>
      <w:r>
        <w:rPr>
          <w:rFonts w:hint="eastAsia" w:ascii="宋体" w:hAnsi="宋体" w:cs="宋体"/>
          <w:color w:val="000000"/>
          <w:sz w:val="24"/>
          <w:highlight w:val="none"/>
        </w:rPr>
        <w:t xml:space="preserve">所必需的设备和专业技术能力，</w:t>
      </w:r>
      <w:r>
        <w:rPr>
          <w:rFonts w:hint="eastAsia" w:ascii="宋体" w:hAnsi="宋体" w:eastAsia="宋体" w:cs="宋体"/>
          <w:color w:val="000000"/>
          <w:sz w:val="24"/>
          <w:highlight w:val="none"/>
        </w:rPr>
        <w:t xml:space="preserve">具体为：</w:t>
      </w:r>
      <w:r/>
    </w:p>
    <w:p>
      <w:pPr>
        <w:pStyle w:val="744"/>
        <w:ind w:firstLine="560"/>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投标人至少</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名为本项目服务的技术人员劳务合同及社保部门出具的供应商为其缴纳的</w:t>
      </w:r>
      <w:r>
        <w:rPr>
          <w:rFonts w:hint="eastAsia" w:ascii="宋体" w:hAnsi="宋体" w:eastAsia="宋体" w:cs="宋体"/>
          <w:color w:val="000000"/>
          <w:sz w:val="24"/>
          <w:highlight w:val="none"/>
          <w:lang w:val="en-US" w:eastAsia="zh-CN"/>
        </w:rPr>
        <w:t xml:space="preserve">开标前三个月</w:t>
      </w:r>
      <w:r>
        <w:rPr>
          <w:rFonts w:hint="eastAsia" w:ascii="宋体" w:hAnsi="宋体" w:eastAsia="宋体" w:cs="宋体"/>
          <w:color w:val="000000"/>
          <w:sz w:val="24"/>
          <w:highlight w:val="none"/>
        </w:rPr>
        <w:t xml:space="preserve">社会保险证明扫描件（不含开标当月）</w:t>
      </w:r>
      <w:r/>
    </w:p>
    <w:p>
      <w:pPr>
        <w:pStyle w:val="744"/>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4"/>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ind w:firstLine="562"/>
        <w:spacing w:line="360" w:lineRule="auto"/>
        <w:shd w:val="clear" w:color="auto" w:fill="auto"/>
        <w:rPr>
          <w:rFonts w:ascii="宋体" w:hAnsi="宋体" w:cs="宋体"/>
          <w:color w:val="000000"/>
          <w:sz w:val="28"/>
          <w:szCs w:val="28"/>
          <w:highlight w:val="none"/>
        </w:rPr>
      </w:pPr>
      <w:r>
        <w:rPr>
          <w:rFonts w:hint="eastAsia" w:ascii="宋体" w:hAnsi="宋体" w:cs="宋体"/>
          <w:b/>
          <w:bCs/>
          <w:color w:val="000000"/>
          <w:sz w:val="28"/>
          <w:szCs w:val="28"/>
          <w:highlight w:val="none"/>
        </w:rPr>
        <w:t xml:space="preserve">格式自拟</w:t>
      </w:r>
      <w:r/>
    </w:p>
    <w:p>
      <w:pPr>
        <w:pStyle w:val="744"/>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4"/>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4"/>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4"/>
        <w:ind w:firstLine="168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特此声明。</w:t>
      </w:r>
      <w:r/>
    </w:p>
    <w:p>
      <w:pPr>
        <w:pStyle w:val="744"/>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投标人对上述声明的真实性负责。如有虚假，将依法承担相应责任。</w:t>
      </w:r>
      <w:r/>
    </w:p>
    <w:p>
      <w:pPr>
        <w:pStyle w:val="744"/>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4"/>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4"/>
        <w:ind w:right="29" w:firstLine="28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p>
    <w:p>
      <w:pPr>
        <w:pStyle w:val="744"/>
        <w:ind w:firstLine="400"/>
        <w:spacing w:line="480" w:lineRule="exact"/>
        <w:shd w:val="clear" w:color="auto" w:fill="auto"/>
        <w:rPr>
          <w:rFonts w:ascii="宋体" w:hAnsi="宋体" w:cs="宋体"/>
          <w:color w:val="000000"/>
          <w:sz w:val="24"/>
          <w:highlight w:val="none"/>
        </w:rPr>
      </w:pPr>
      <w:r>
        <w:rPr>
          <w:rStyle w:val="905"/>
          <w:rFonts w:hint="eastAsia" w:ascii="宋体" w:hAnsi="宋体" w:cs="宋体"/>
          <w:color w:val="000000"/>
          <w:sz w:val="24"/>
          <w:highlight w:val="none"/>
        </w:rPr>
        <w:t xml:space="preserve">                      </w:t>
      </w:r>
      <w:r/>
    </w:p>
    <w:p>
      <w:pPr>
        <w:pStyle w:val="744"/>
        <w:ind w:firstLine="3120"/>
        <w:jc w:val="both"/>
        <w:spacing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744"/>
        <w:jc w:val="center"/>
        <w:spacing w:line="360" w:lineRule="auto"/>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744"/>
        <w:jc w:val="center"/>
        <w:spacing w:line="360" w:lineRule="auto"/>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744"/>
        <w:jc w:val="center"/>
        <w:spacing w:line="360" w:lineRule="auto"/>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744"/>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ind w:firstLine="747"/>
        <w:jc w:val="center"/>
        <w:widowControl/>
        <w:rPr>
          <w:rFonts w:hint="default" w:ascii="宋体" w:hAnsi="宋体" w:eastAsia="宋体" w:cs="宋体"/>
          <w:bCs/>
          <w:color w:val="auto"/>
          <w:sz w:val="30"/>
          <w:szCs w:val="30"/>
          <w:highlight w:val="none"/>
          <w:lang w:val="en-US" w:eastAsia="zh-CN" w:bidi="ar-SA"/>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lang w:val="en-US" w:eastAsia="zh-CN"/>
        </w:rPr>
        <w:t xml:space="preserve">十</w:t>
      </w:r>
      <w:r>
        <w:rPr>
          <w:rFonts w:hint="eastAsia" w:ascii="宋体" w:hAnsi="宋体" w:cs="宋体"/>
          <w:b/>
          <w:bCs/>
          <w:color w:val="000000"/>
          <w:sz w:val="24"/>
          <w:highlight w:val="none"/>
        </w:rPr>
        <w:t xml:space="preserve">、</w:t>
      </w:r>
      <w:r>
        <w:rPr>
          <w:rFonts w:hint="eastAsia" w:ascii="宋体" w:hAnsi="宋体" w:eastAsia="宋体" w:cs="宋体"/>
          <w:b/>
          <w:bCs w:val="0"/>
          <w:color w:val="auto"/>
          <w:spacing w:val="6"/>
          <w:sz w:val="30"/>
          <w:szCs w:val="30"/>
          <w:highlight w:val="none"/>
          <w:lang w:val="en-US" w:eastAsia="zh-CN" w:bidi="ar-SA"/>
        </w:rPr>
        <w:t xml:space="preserve">投标人相关承诺</w:t>
      </w:r>
      <w:r>
        <w:rPr>
          <w:rFonts w:hint="eastAsia" w:ascii="宋体" w:hAnsi="宋体" w:eastAsia="宋体" w:cs="宋体"/>
          <w:b/>
          <w:bCs/>
          <w:color w:val="auto"/>
          <w:spacing w:val="6"/>
          <w:sz w:val="30"/>
          <w:szCs w:val="30"/>
          <w:highlight w:val="none"/>
          <w:lang w:val="en-US" w:eastAsia="zh-CN" w:bidi="ar-SA"/>
        </w:rPr>
      </w:r>
      <w:r/>
    </w:p>
    <w:p>
      <w:pPr>
        <w:pStyle w:val="744"/>
        <w:ind w:left="720"/>
        <w:jc w:val="center"/>
        <w:spacing w:line="360" w:lineRule="auto"/>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892"/>
        <w:jc w:val="center"/>
        <w:shd w:val="clear" w:color="auto" w:fill="auto"/>
        <w:rPr>
          <w:rFonts w:hAnsi="宋体" w:eastAsia="宋体" w:cs="宋体"/>
          <w:b/>
          <w:bCs/>
          <w:color w:val="000000"/>
          <w:sz w:val="24"/>
          <w:szCs w:val="24"/>
          <w:highlight w:val="none"/>
        </w:rPr>
      </w:pPr>
      <w:r>
        <w:rPr>
          <w:rFonts w:hAnsi="宋体" w:eastAsia="宋体" w:cs="宋体"/>
          <w:b/>
          <w:bCs/>
          <w:color w:val="000000"/>
          <w:sz w:val="24"/>
          <w:szCs w:val="24"/>
          <w:highlight w:val="none"/>
        </w:rPr>
      </w:r>
      <w:r/>
    </w:p>
    <w:p>
      <w:pPr>
        <w:ind w:firstLine="747"/>
        <w:jc w:val="center"/>
        <w:widowControl/>
        <w:rPr>
          <w:rFonts w:hint="eastAsia" w:ascii="宋体" w:hAnsi="宋体" w:eastAsia="宋体" w:cs="宋体"/>
          <w:bCs/>
          <w:color w:val="auto"/>
          <w:sz w:val="30"/>
          <w:szCs w:val="30"/>
          <w:highlight w:val="none"/>
          <w:lang w:val="en-US" w:eastAsia="zh-CN" w:bidi="ar-SA"/>
        </w:rPr>
      </w:pPr>
      <w:r>
        <w:rPr>
          <w:rFonts w:hint="eastAsia" w:ascii="宋体" w:hAnsi="宋体" w:eastAsia="宋体" w:cs="宋体"/>
          <w:b/>
          <w:bCs w:val="0"/>
          <w:color w:val="auto"/>
          <w:spacing w:val="6"/>
          <w:sz w:val="30"/>
          <w:szCs w:val="30"/>
          <w:highlight w:val="none"/>
          <w:lang w:val="en-US" w:eastAsia="zh-CN" w:bidi="ar-SA"/>
        </w:rPr>
        <w:t xml:space="preserve">投标人相关承诺</w:t>
      </w:r>
      <w:r/>
    </w:p>
    <w:p>
      <w:pPr>
        <w:pStyle w:val="892"/>
        <w:jc w:val="center"/>
        <w:shd w:val="clear" w:color="auto" w:fill="auto"/>
        <w:rPr>
          <w:rFonts w:hAnsi="宋体" w:eastAsia="宋体" w:cs="宋体"/>
          <w:b/>
          <w:bCs/>
          <w:color w:val="000000"/>
          <w:sz w:val="24"/>
          <w:szCs w:val="24"/>
          <w:highlight w:val="none"/>
        </w:rPr>
      </w:pPr>
      <w:r>
        <w:rPr>
          <w:rFonts w:hAnsi="宋体" w:eastAsia="宋体" w:cs="宋体"/>
          <w:b/>
          <w:bCs/>
          <w:color w:val="000000"/>
          <w:sz w:val="24"/>
          <w:szCs w:val="24"/>
          <w:highlight w:val="none"/>
        </w:rPr>
      </w:r>
      <w:r/>
    </w:p>
    <w:p>
      <w:pPr>
        <w:ind w:firstLine="624"/>
        <w:jc w:val="both"/>
        <w:spacing w:line="480" w:lineRule="exact"/>
        <w:widowControl w:val="off"/>
        <w:rPr>
          <w:rFonts w:hint="eastAsia" w:ascii="宋体" w:hAnsi="宋体" w:cs="宋体"/>
          <w:color w:val="auto"/>
          <w:spacing w:val="6"/>
          <w:sz w:val="24"/>
          <w:szCs w:val="24"/>
          <w:lang w:eastAsia="zh-CN"/>
        </w:rPr>
      </w:pPr>
      <w:r>
        <w:rPr>
          <w:rFonts w:hint="eastAsia" w:ascii="宋体" w:hAnsi="宋体" w:eastAsia="宋体" w:cs="宋体"/>
          <w:color w:val="auto"/>
          <w:spacing w:val="6"/>
          <w:sz w:val="24"/>
          <w:szCs w:val="24"/>
        </w:rPr>
        <w:t xml:space="preserve">项目名称：</w:t>
      </w:r>
      <w:r>
        <w:rPr>
          <w:rFonts w:hint="eastAsia" w:ascii="宋体" w:hAnsi="宋体" w:cs="宋体"/>
          <w:color w:val="auto"/>
          <w:spacing w:val="6"/>
          <w:sz w:val="24"/>
          <w:szCs w:val="24"/>
          <w:lang w:eastAsia="zh-CN"/>
        </w:rPr>
        <w:t xml:space="preserve">交通违法综合管控平台系统升级采购项目</w:t>
      </w:r>
      <w:r/>
    </w:p>
    <w:p>
      <w:pPr>
        <w:ind w:firstLine="624"/>
        <w:jc w:val="both"/>
        <w:spacing w:line="480" w:lineRule="exact"/>
        <w:widowControl w:val="off"/>
        <w:rPr>
          <w:rFonts w:hint="eastAsia" w:ascii="宋体" w:hAnsi="宋体" w:eastAsia="宋体" w:cs="宋体"/>
          <w:color w:val="auto"/>
          <w:spacing w:val="6"/>
          <w:sz w:val="24"/>
          <w:szCs w:val="24"/>
          <w:lang w:eastAsia="zh-CN"/>
        </w:rPr>
      </w:pPr>
      <w:r>
        <w:rPr>
          <w:rFonts w:hint="eastAsia" w:ascii="宋体" w:hAnsi="宋体" w:eastAsia="宋体" w:cs="宋体"/>
          <w:color w:val="auto"/>
          <w:spacing w:val="6"/>
          <w:sz w:val="24"/>
          <w:szCs w:val="24"/>
        </w:rPr>
        <w:t xml:space="preserve">项目编号：</w:t>
      </w:r>
      <w:r>
        <w:rPr>
          <w:rFonts w:hint="eastAsia" w:ascii="宋体" w:hAnsi="宋体" w:cs="宋体"/>
          <w:color w:val="auto"/>
          <w:sz w:val="24"/>
          <w:szCs w:val="24"/>
          <w:highlight w:val="none"/>
          <w:u w:val="single"/>
          <w:lang w:eastAsia="zh-CN"/>
        </w:rPr>
        <w:t xml:space="preserve">JS</w:t>
      </w:r>
      <w:r>
        <w:rPr>
          <w:rFonts w:hint="eastAsia" w:ascii="宋体" w:hAnsi="宋体" w:cs="宋体"/>
          <w:color w:val="000000"/>
          <w:sz w:val="24"/>
          <w:szCs w:val="24"/>
          <w:highlight w:val="none"/>
          <w:u w:val="single"/>
          <w:lang w:eastAsia="zh-CN"/>
        </w:rPr>
        <w:t xml:space="preserve">ZC-320312-HZGC-G2026-0007</w:t>
      </w:r>
      <w:r/>
    </w:p>
    <w:p>
      <w:pPr>
        <w:ind w:firstLine="584"/>
        <w:jc w:val="both"/>
        <w:spacing w:line="588" w:lineRule="exact"/>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r>
      <w:r/>
    </w:p>
    <w:p>
      <w:pPr>
        <w:jc w:val="both"/>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我单位承诺：</w:t>
      </w:r>
      <w:r/>
    </w:p>
    <w:p>
      <w:pPr>
        <w:ind w:firstLine="624"/>
        <w:jc w:val="both"/>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如有参与同一合同项下政府采购活动的投标人与我单位存在负责人为同一人的情况或者存在直接控股、管理关系，我单位不再参加该同一合同项下的政府采购活动。</w:t>
      </w:r>
      <w:r/>
    </w:p>
    <w:p>
      <w:pPr>
        <w:jc w:val="both"/>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r>
      <w:r/>
    </w:p>
    <w:p>
      <w:pPr>
        <w:ind w:firstLine="624"/>
        <w:jc w:val="both"/>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我单位对上述承诺负责，并依法承担相应责任。</w:t>
      </w:r>
      <w:r/>
    </w:p>
    <w:p>
      <w:pPr>
        <w:ind w:left="0" w:firstLine="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420" w:firstLine="420"/>
        <w:jc w:val="both"/>
        <w:spacing w:after="120"/>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r>
      <w:r/>
    </w:p>
    <w:p>
      <w:pPr>
        <w:ind w:firstLine="3120"/>
        <w:jc w:val="both"/>
        <w:spacing w:line="30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投标人（电子签章）：</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 </w:t>
      </w:r>
      <w:r/>
    </w:p>
    <w:p>
      <w:pPr>
        <w:ind w:firstLine="3120"/>
        <w:jc w:val="both"/>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日期：   年  月  日</w:t>
      </w:r>
      <w:r/>
    </w:p>
    <w:p>
      <w:pPr>
        <w:pStyle w:val="892"/>
        <w:jc w:val="center"/>
        <w:shd w:val="clear" w:color="auto" w:fill="auto"/>
        <w:rPr>
          <w:rFonts w:hAnsi="宋体" w:eastAsia="宋体" w:cs="宋体"/>
          <w:b/>
          <w:bCs/>
          <w:color w:val="000000"/>
          <w:sz w:val="24"/>
          <w:szCs w:val="24"/>
          <w:highlight w:val="none"/>
        </w:rPr>
      </w:pPr>
      <w:r>
        <w:rPr>
          <w:rFonts w:hAnsi="宋体" w:eastAsia="宋体" w:cs="宋体"/>
          <w:b/>
          <w:bCs/>
          <w:color w:val="000000"/>
          <w:sz w:val="24"/>
          <w:szCs w:val="24"/>
          <w:highlight w:val="none"/>
        </w:rPr>
      </w:r>
      <w:r/>
    </w:p>
    <w:p>
      <w:pPr>
        <w:pStyle w:val="892"/>
        <w:jc w:val="center"/>
        <w:shd w:val="clear" w:color="auto" w:fill="auto"/>
        <w:rPr>
          <w:rFonts w:hAnsi="宋体" w:eastAsia="宋体" w:cs="宋体"/>
          <w:b/>
          <w:bCs/>
          <w:color w:val="000000"/>
          <w:sz w:val="24"/>
          <w:szCs w:val="24"/>
          <w:highlight w:val="none"/>
        </w:rPr>
      </w:pPr>
      <w:r>
        <w:rPr>
          <w:rFonts w:hAnsi="宋体" w:eastAsia="宋体" w:cs="宋体"/>
          <w:b/>
          <w:bCs/>
          <w:color w:val="000000"/>
          <w:sz w:val="24"/>
          <w:szCs w:val="24"/>
          <w:highlight w:val="none"/>
        </w:rPr>
      </w:r>
      <w:r/>
    </w:p>
    <w:p>
      <w:pPr>
        <w:pStyle w:val="744"/>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br w:type="page" w:clear="all"/>
      </w:r>
      <w:r/>
    </w:p>
    <w:p>
      <w:pPr>
        <w:pStyle w:val="892"/>
        <w:jc w:val="center"/>
        <w:shd w:val="clear" w:color="auto" w:fill="auto"/>
        <w:rPr>
          <w:rFonts w:hAnsi="宋体" w:eastAsia="宋体" w:cs="宋体"/>
          <w:b/>
          <w:bCs/>
          <w:color w:val="000000"/>
          <w:sz w:val="24"/>
          <w:szCs w:val="24"/>
          <w:highlight w:val="none"/>
        </w:rPr>
      </w:pPr>
      <w:r>
        <w:rPr>
          <w:rFonts w:hint="eastAsia" w:hAnsi="宋体" w:eastAsia="宋体" w:cs="宋体"/>
          <w:b/>
          <w:bCs/>
          <w:color w:val="000000"/>
          <w:sz w:val="24"/>
          <w:szCs w:val="24"/>
          <w:highlight w:val="none"/>
        </w:rPr>
        <w:t xml:space="preserve">十</w:t>
      </w:r>
      <w:r>
        <w:rPr>
          <w:rFonts w:hint="eastAsia" w:hAnsi="宋体" w:eastAsia="宋体" w:cs="宋体"/>
          <w:b/>
          <w:bCs/>
          <w:color w:val="000000"/>
          <w:sz w:val="24"/>
          <w:szCs w:val="24"/>
          <w:highlight w:val="none"/>
          <w:lang w:val="en-US" w:eastAsia="zh-CN"/>
        </w:rPr>
        <w:t xml:space="preserve">一</w:t>
      </w:r>
      <w:r>
        <w:rPr>
          <w:rFonts w:hint="eastAsia" w:hAnsi="宋体" w:eastAsia="宋体" w:cs="宋体"/>
          <w:b/>
          <w:bCs/>
          <w:color w:val="000000"/>
          <w:sz w:val="24"/>
          <w:szCs w:val="24"/>
          <w:highlight w:val="none"/>
        </w:rPr>
        <w:t xml:space="preserve">、预付款保函支付条款模板</w:t>
      </w:r>
      <w:r/>
    </w:p>
    <w:p>
      <w:pPr>
        <w:pStyle w:val="744"/>
        <w:ind w:firstLine="565"/>
        <w:spacing w:line="480" w:lineRule="exact"/>
        <w:shd w:val="clear" w:color="auto" w:fill="auto"/>
        <w:rPr>
          <w:rFonts w:ascii="宋体" w:hAnsi="宋体" w:cs="宋体"/>
          <w:b/>
          <w:color w:val="000000"/>
          <w:sz w:val="24"/>
          <w:highlight w:val="none"/>
        </w:rPr>
      </w:pPr>
      <w:r>
        <w:rPr>
          <w:rFonts w:ascii="宋体" w:hAnsi="宋体" w:cs="宋体"/>
          <w:b/>
          <w:color w:val="000000"/>
          <w:sz w:val="24"/>
          <w:highlight w:val="none"/>
        </w:rPr>
      </w:r>
      <w:r/>
    </w:p>
    <w:p>
      <w:pPr>
        <w:pStyle w:val="744"/>
        <w:ind w:firstLine="565"/>
        <w:spacing w:line="48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符合条件一：提交预付款保函的</w:t>
      </w:r>
      <w:r/>
    </w:p>
    <w:p>
      <w:pPr>
        <w:pStyle w:val="744"/>
        <w:ind w:firstLine="562"/>
        <w:spacing w:line="480" w:lineRule="exact"/>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（1）合同签订且乙方向甲方出具预付款保函后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        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pStyle w:val="744"/>
        <w:ind w:left="140" w:firstLine="56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p>
    <w:p>
      <w:pPr>
        <w:pStyle w:val="744"/>
        <w:ind w:left="140" w:firstLine="56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pStyle w:val="744"/>
        <w:ind w:firstLine="565"/>
        <w:spacing w:line="48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w:t>
      </w:r>
      <w:r/>
    </w:p>
    <w:p>
      <w:pPr>
        <w:pStyle w:val="744"/>
        <w:ind w:firstLine="565"/>
        <w:spacing w:line="48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符合条件二：不提交预付款保函的</w:t>
      </w:r>
      <w:r/>
    </w:p>
    <w:p>
      <w:pPr>
        <w:pStyle w:val="744"/>
        <w:ind w:firstLine="562"/>
        <w:spacing w:line="480" w:lineRule="exact"/>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pStyle w:val="744"/>
        <w:ind w:left="140" w:firstLine="56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p>
    <w:p>
      <w:pPr>
        <w:pStyle w:val="744"/>
        <w:ind w:left="140" w:firstLine="56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pStyle w:val="744"/>
        <w:ind w:firstLine="565"/>
        <w:spacing w:line="48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w:t>
      </w:r>
      <w:r/>
    </w:p>
    <w:p>
      <w:pPr>
        <w:pStyle w:val="744"/>
        <w:ind w:left="140" w:firstLine="565"/>
        <w:spacing w:line="48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注:</w:t>
      </w:r>
      <w:r/>
    </w:p>
    <w:p>
      <w:pPr>
        <w:pStyle w:val="744"/>
        <w:ind w:left="140" w:firstLine="56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1、付款条件一中，出具预付款保函后支付的合同款应当与保函金额一致。</w:t>
      </w:r>
      <w:r/>
    </w:p>
    <w:p>
      <w:pPr>
        <w:pStyle w:val="744"/>
        <w:ind w:left="140" w:firstLine="56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2、付款条件二中，预付款比例设定应符合《关于做好政府采购支持企业发展有关事项的通知》(苏财购〔2020〕52号)要求。</w:t>
      </w:r>
      <w:r/>
    </w:p>
    <w:p>
      <w:pPr>
        <w:pStyle w:val="744"/>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jc w:val="center"/>
        <w:spacing w:line="479" w:lineRule="atLeast"/>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十</w:t>
      </w:r>
      <w:r>
        <w:rPr>
          <w:rFonts w:hint="eastAsia" w:ascii="宋体" w:hAnsi="宋体" w:eastAsia="宋体" w:cs="宋体"/>
          <w:b/>
          <w:bCs/>
          <w:color w:val="000000"/>
          <w:sz w:val="28"/>
          <w:szCs w:val="28"/>
          <w:highlight w:val="none"/>
          <w:lang w:val="en-US" w:eastAsia="zh-CN"/>
        </w:rPr>
        <w:t xml:space="preserve">二、</w:t>
      </w:r>
      <w:r>
        <w:rPr>
          <w:rFonts w:hint="eastAsia" w:ascii="宋体" w:hAnsi="宋体" w:eastAsia="宋体" w:cs="宋体"/>
          <w:b/>
          <w:bCs/>
          <w:color w:val="auto"/>
          <w:sz w:val="30"/>
          <w:szCs w:val="30"/>
          <w:highlight w:val="none"/>
          <w:lang w:val="en-US" w:eastAsia="zh-CN"/>
        </w:rPr>
        <w:t xml:space="preserve">关于</w:t>
      </w:r>
      <w:r>
        <w:rPr>
          <w:rFonts w:hint="eastAsia" w:ascii="宋体" w:hAnsi="宋体" w:eastAsia="宋体" w:cs="宋体"/>
          <w:b/>
          <w:bCs/>
          <w:color w:val="000000"/>
          <w:sz w:val="28"/>
          <w:szCs w:val="28"/>
          <w:highlight w:val="none"/>
          <w:lang w:val="en-US" w:eastAsia="zh-CN"/>
        </w:rPr>
        <w:t xml:space="preserve">符合本国产品标准的声明函</w:t>
      </w:r>
      <w:r/>
    </w:p>
    <w:p>
      <w:pPr>
        <w:jc w:val="left"/>
        <w:spacing w:line="479" w:lineRule="atLeast"/>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rPr>
      </w:r>
      <w:r/>
    </w:p>
    <w:p>
      <w:pPr>
        <w:jc w:val="center"/>
        <w:spacing w:line="479" w:lineRule="atLeast"/>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rPr>
        <w:t xml:space="preserve">关于符合本国产品标准的声明函</w:t>
      </w:r>
      <w:r/>
    </w:p>
    <w:p>
      <w:pPr>
        <w:ind w:firstLine="480"/>
        <w:jc w:val="left"/>
        <w:spacing w:line="479" w:lineRule="atLeast"/>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0"/>
        </w:num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         </w:t>
      </w:r>
      <w:r>
        <w:rPr>
          <w:rFonts w:hint="default" w:ascii="宋体" w:hAnsi="宋体" w:eastAsia="宋体" w:cs="宋体"/>
          <w:b/>
          <w:bCs/>
          <w:color w:val="auto"/>
          <w:sz w:val="24"/>
          <w:szCs w:val="24"/>
          <w:highlight w:val="none"/>
          <w:u w:val="single"/>
          <w:lang w:val="en-US" w:eastAsia="zh-CN" w:bidi="ar-SA"/>
        </w:rPr>
        <w:t xml:space="preserve">）</w:t>
      </w:r>
      <w:r>
        <w:rPr>
          <w:rFonts w:hint="default" w:ascii="宋体" w:hAnsi="宋体" w:eastAsia="宋体" w:cs="宋体"/>
          <w:b/>
          <w:bCs/>
          <w:color w:val="auto"/>
          <w:sz w:val="24"/>
          <w:szCs w:val="24"/>
          <w:highlight w:val="none"/>
          <w:vertAlign w:val="superscript"/>
          <w:lang w:val="en-US" w:eastAsia="zh-CN" w:bidi="ar-SA"/>
        </w:rPr>
        <w:t xml:space="preserve">1</w:t>
      </w:r>
      <w:r>
        <w:rPr>
          <w:rFonts w:hint="default" w:ascii="宋体" w:hAnsi="宋体" w:eastAsia="宋体" w:cs="宋体"/>
          <w:color w:val="auto"/>
          <w:sz w:val="24"/>
          <w:szCs w:val="24"/>
          <w:highlight w:val="none"/>
          <w:lang w:val="en-US" w:eastAsia="zh-CN" w:bidi="ar-SA"/>
        </w:rPr>
        <w:t xml:space="preserve">，生产厂为</w:t>
      </w:r>
      <w:r>
        <w:rPr>
          <w:rFonts w:hint="default" w:ascii="宋体" w:hAnsi="宋体" w:eastAsia="宋体" w:cs="宋体"/>
          <w:color w:val="auto"/>
          <w:sz w:val="24"/>
          <w:szCs w:val="24"/>
          <w:highlight w:val="none"/>
          <w:u w:val="single"/>
          <w:lang w:val="en-US" w:eastAsia="zh-CN" w:bidi="ar-SA"/>
        </w:rPr>
        <w:t xml:space="preserve">（</w:t>
      </w:r>
      <w:r>
        <w:rPr>
          <w:rFonts w:hint="default" w:ascii="宋体" w:hAnsi="宋体" w:eastAsia="宋体" w:cs="宋体"/>
          <w:b/>
          <w:bCs/>
          <w:color w:val="auto"/>
          <w:sz w:val="24"/>
          <w:szCs w:val="24"/>
          <w:highlight w:val="none"/>
          <w:u w:val="single"/>
          <w:lang w:val="en-US" w:eastAsia="zh-CN" w:bidi="ar-SA"/>
        </w:rPr>
        <w:t xml:space="preserve">厂名</w:t>
      </w:r>
      <w:r>
        <w:rPr>
          <w:rFonts w:hint="default" w:ascii="宋体" w:hAnsi="宋体" w:eastAsia="宋体" w:cs="宋体"/>
          <w:color w:val="auto"/>
          <w:sz w:val="24"/>
          <w:szCs w:val="24"/>
          <w:highlight w:val="none"/>
          <w:u w:val="single"/>
          <w:lang w:val="en-US" w:eastAsia="zh-CN" w:bidi="ar-SA"/>
        </w:rPr>
        <w:t xml:space="preserve">）</w:t>
      </w:r>
      <w:r>
        <w:rPr>
          <w:rFonts w:hint="default" w:ascii="宋体" w:hAnsi="宋体" w:eastAsia="宋体" w:cs="宋体"/>
          <w:b/>
          <w:bCs/>
          <w:color w:val="auto"/>
          <w:sz w:val="24"/>
          <w:szCs w:val="24"/>
          <w:highlight w:val="none"/>
          <w:vertAlign w:val="superscript"/>
          <w:lang w:val="en-US" w:eastAsia="zh-CN" w:bidi="ar-SA"/>
        </w:rPr>
        <w:t xml:space="preserve">2</w:t>
      </w:r>
      <w:r>
        <w:rPr>
          <w:rFonts w:hint="default" w:ascii="宋体" w:hAnsi="宋体" w:eastAsia="宋体" w:cs="宋体"/>
          <w:color w:val="auto"/>
          <w:sz w:val="24"/>
          <w:szCs w:val="24"/>
          <w:highlight w:val="none"/>
          <w:lang w:val="en-US" w:eastAsia="zh-CN" w:bidi="ar-SA"/>
        </w:rPr>
        <w:t xml:space="preserve">，厂址为</w:t>
      </w:r>
      <w:r>
        <w:rPr>
          <w:rFonts w:hint="default" w:ascii="宋体" w:hAnsi="宋体" w:eastAsia="宋体" w:cs="宋体"/>
          <w:color w:val="auto"/>
          <w:sz w:val="24"/>
          <w:szCs w:val="24"/>
          <w:highlight w:val="none"/>
          <w:u w:val="single"/>
          <w:lang w:val="en-US" w:eastAsia="zh-CN" w:bidi="ar-SA"/>
        </w:rPr>
        <w:t xml:space="preserve">（</w:t>
      </w:r>
      <w:r>
        <w:rPr>
          <w:rFonts w:hint="default" w:ascii="宋体" w:hAnsi="宋体" w:eastAsia="宋体" w:cs="宋体"/>
          <w:b/>
          <w:bCs/>
          <w:color w:val="auto"/>
          <w:sz w:val="24"/>
          <w:szCs w:val="24"/>
          <w:highlight w:val="none"/>
          <w:u w:val="single"/>
          <w:lang w:val="en-US" w:eastAsia="zh-CN" w:bidi="ar-SA"/>
        </w:rPr>
        <w:t xml:space="preserve">生产厂址</w:t>
      </w:r>
      <w:r>
        <w:rPr>
          <w:rFonts w:hint="default" w:ascii="宋体" w:hAnsi="宋体" w:eastAsia="宋体" w:cs="宋体"/>
          <w:color w:val="auto"/>
          <w:sz w:val="24"/>
          <w:szCs w:val="24"/>
          <w:highlight w:val="none"/>
          <w:u w:val="single"/>
          <w:lang w:val="en-US" w:eastAsia="zh-CN" w:bidi="ar-SA"/>
        </w:rPr>
        <w:t xml:space="preserve">）</w:t>
      </w:r>
      <w:r>
        <w:rPr>
          <w:rFonts w:hint="default"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color w:val="auto"/>
          <w:sz w:val="24"/>
          <w:szCs w:val="24"/>
          <w:highlight w:val="none"/>
          <w:lang w:val="en-US" w:eastAsia="zh-CN" w:bidi="ar-SA"/>
        </w:rPr>
        <w:t xml:space="preserve">的中国境内生产的组件成本占比≥</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b/>
          <w:bCs/>
          <w:color w:val="auto"/>
          <w:sz w:val="24"/>
          <w:szCs w:val="24"/>
          <w:highlight w:val="none"/>
          <w:vertAlign w:val="superscript"/>
          <w:lang w:val="en-US" w:eastAsia="zh-CN" w:bidi="ar-SA"/>
        </w:rPr>
        <w:t xml:space="preserve">3</w:t>
      </w:r>
      <w:r>
        <w:rPr>
          <w:rFonts w:hint="default"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color w:val="auto"/>
          <w:sz w:val="24"/>
          <w:szCs w:val="24"/>
          <w:highlight w:val="none"/>
          <w:lang w:val="en-US" w:eastAsia="zh-CN" w:bidi="ar-SA"/>
        </w:rPr>
        <w:t xml:space="preserve">的</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b/>
          <w:bCs/>
          <w:color w:val="auto"/>
          <w:sz w:val="24"/>
          <w:szCs w:val="24"/>
          <w:highlight w:val="none"/>
          <w:vertAlign w:val="superscript"/>
          <w:lang w:val="en-US" w:eastAsia="zh-CN" w:bidi="ar-SA"/>
        </w:rPr>
        <w:t xml:space="preserve">4</w:t>
      </w:r>
      <w:r>
        <w:rPr>
          <w:rFonts w:hint="default" w:ascii="宋体" w:hAnsi="宋体" w:eastAsia="宋体" w:cs="宋体"/>
          <w:color w:val="auto"/>
          <w:sz w:val="24"/>
          <w:szCs w:val="24"/>
          <w:highlight w:val="none"/>
          <w:lang w:val="en-US" w:eastAsia="zh-CN" w:bidi="ar-SA"/>
        </w:rPr>
        <w:t xml:space="preserve">在中国境内生产。</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color w:val="auto"/>
          <w:sz w:val="24"/>
          <w:szCs w:val="24"/>
          <w:highlight w:val="none"/>
          <w:lang w:val="en-US" w:eastAsia="zh-CN" w:bidi="ar-SA"/>
        </w:rPr>
        <w:t xml:space="preserve">的</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b/>
          <w:bCs/>
          <w:color w:val="auto"/>
          <w:sz w:val="24"/>
          <w:szCs w:val="24"/>
          <w:highlight w:val="none"/>
          <w:vertAlign w:val="superscript"/>
          <w:lang w:val="en-US" w:eastAsia="zh-CN" w:bidi="ar-SA"/>
        </w:rPr>
        <w:t xml:space="preserve">5</w:t>
      </w:r>
      <w:r>
        <w:rPr>
          <w:rFonts w:hint="default" w:ascii="宋体" w:hAnsi="宋体" w:eastAsia="宋体" w:cs="宋体"/>
          <w:color w:val="auto"/>
          <w:sz w:val="24"/>
          <w:szCs w:val="24"/>
          <w:highlight w:val="none"/>
          <w:lang w:val="en-US" w:eastAsia="zh-CN" w:bidi="ar-SA"/>
        </w:rPr>
        <w:t xml:space="preserve">在中国境内完成</w:t>
      </w:r>
      <w:r>
        <w:rPr>
          <w:rFonts w:hint="eastAsia" w:ascii="宋体" w:hAnsi="宋体" w:eastAsia="宋体" w:cs="宋体"/>
          <w:color w:val="auto"/>
          <w:sz w:val="24"/>
          <w:szCs w:val="24"/>
          <w:highlight w:val="none"/>
          <w:lang w:val="en-US" w:eastAsia="zh-CN" w:bidi="ar-SA"/>
        </w:rPr>
        <w:t xml:space="preserve">。</w:t>
      </w:r>
      <w:r/>
    </w:p>
    <w:p>
      <w:pPr>
        <w:numPr>
          <w:ilvl w:val="0"/>
          <w:numId w:val="0"/>
        </w:num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         </w:t>
      </w:r>
      <w:r>
        <w:rPr>
          <w:rFonts w:hint="default" w:ascii="宋体" w:hAnsi="宋体" w:eastAsia="宋体" w:cs="宋体"/>
          <w:b/>
          <w:bCs/>
          <w:color w:val="auto"/>
          <w:sz w:val="24"/>
          <w:szCs w:val="24"/>
          <w:highlight w:val="none"/>
          <w:u w:val="single"/>
          <w:lang w:val="en-US" w:eastAsia="zh-CN" w:bidi="ar-SA"/>
        </w:rPr>
        <w:t xml:space="preserve">）</w:t>
      </w:r>
      <w:r>
        <w:rPr>
          <w:rFonts w:hint="default" w:ascii="宋体" w:hAnsi="宋体" w:eastAsia="宋体" w:cs="宋体"/>
          <w:b/>
          <w:bCs/>
          <w:color w:val="auto"/>
          <w:sz w:val="24"/>
          <w:szCs w:val="24"/>
          <w:highlight w:val="none"/>
          <w:vertAlign w:val="superscript"/>
          <w:lang w:val="en-US" w:eastAsia="zh-CN" w:bidi="ar-SA"/>
        </w:rPr>
        <w:t xml:space="preserve">1</w:t>
      </w:r>
      <w:r>
        <w:rPr>
          <w:rFonts w:hint="default" w:ascii="宋体" w:hAnsi="宋体" w:eastAsia="宋体" w:cs="宋体"/>
          <w:color w:val="auto"/>
          <w:sz w:val="24"/>
          <w:szCs w:val="24"/>
          <w:highlight w:val="none"/>
          <w:lang w:val="en-US" w:eastAsia="zh-CN" w:bidi="ar-SA"/>
        </w:rPr>
        <w:t xml:space="preserve">，生产厂为</w:t>
      </w:r>
      <w:r>
        <w:rPr>
          <w:rFonts w:hint="default" w:ascii="宋体" w:hAnsi="宋体" w:eastAsia="宋体" w:cs="宋体"/>
          <w:color w:val="auto"/>
          <w:sz w:val="24"/>
          <w:szCs w:val="24"/>
          <w:highlight w:val="none"/>
          <w:u w:val="single"/>
          <w:lang w:val="en-US" w:eastAsia="zh-CN" w:bidi="ar-SA"/>
        </w:rPr>
        <w:t xml:space="preserve">（</w:t>
      </w:r>
      <w:r>
        <w:rPr>
          <w:rFonts w:hint="default" w:ascii="宋体" w:hAnsi="宋体" w:eastAsia="宋体" w:cs="宋体"/>
          <w:b/>
          <w:bCs/>
          <w:color w:val="auto"/>
          <w:sz w:val="24"/>
          <w:szCs w:val="24"/>
          <w:highlight w:val="none"/>
          <w:u w:val="single"/>
          <w:lang w:val="en-US" w:eastAsia="zh-CN" w:bidi="ar-SA"/>
        </w:rPr>
        <w:t xml:space="preserve">厂名</w:t>
      </w:r>
      <w:r>
        <w:rPr>
          <w:rFonts w:hint="default" w:ascii="宋体" w:hAnsi="宋体" w:eastAsia="宋体" w:cs="宋体"/>
          <w:color w:val="auto"/>
          <w:sz w:val="24"/>
          <w:szCs w:val="24"/>
          <w:highlight w:val="none"/>
          <w:u w:val="single"/>
          <w:lang w:val="en-US" w:eastAsia="zh-CN" w:bidi="ar-SA"/>
        </w:rPr>
        <w:t xml:space="preserve">）</w:t>
      </w:r>
      <w:r>
        <w:rPr>
          <w:rFonts w:hint="default" w:ascii="宋体" w:hAnsi="宋体" w:eastAsia="宋体" w:cs="宋体"/>
          <w:b/>
          <w:bCs/>
          <w:color w:val="auto"/>
          <w:sz w:val="24"/>
          <w:szCs w:val="24"/>
          <w:highlight w:val="none"/>
          <w:vertAlign w:val="superscript"/>
          <w:lang w:val="en-US" w:eastAsia="zh-CN" w:bidi="ar-SA"/>
        </w:rPr>
        <w:t xml:space="preserve">2</w:t>
      </w:r>
      <w:r>
        <w:rPr>
          <w:rFonts w:hint="default" w:ascii="宋体" w:hAnsi="宋体" w:eastAsia="宋体" w:cs="宋体"/>
          <w:color w:val="auto"/>
          <w:sz w:val="24"/>
          <w:szCs w:val="24"/>
          <w:highlight w:val="none"/>
          <w:lang w:val="en-US" w:eastAsia="zh-CN" w:bidi="ar-SA"/>
        </w:rPr>
        <w:t xml:space="preserve">，厂址为</w:t>
      </w:r>
      <w:r>
        <w:rPr>
          <w:rFonts w:hint="default" w:ascii="宋体" w:hAnsi="宋体" w:eastAsia="宋体" w:cs="宋体"/>
          <w:color w:val="auto"/>
          <w:sz w:val="24"/>
          <w:szCs w:val="24"/>
          <w:highlight w:val="none"/>
          <w:u w:val="single"/>
          <w:lang w:val="en-US" w:eastAsia="zh-CN" w:bidi="ar-SA"/>
        </w:rPr>
        <w:t xml:space="preserve">（</w:t>
      </w:r>
      <w:r>
        <w:rPr>
          <w:rFonts w:hint="default" w:ascii="宋体" w:hAnsi="宋体" w:eastAsia="宋体" w:cs="宋体"/>
          <w:b/>
          <w:bCs/>
          <w:color w:val="auto"/>
          <w:sz w:val="24"/>
          <w:szCs w:val="24"/>
          <w:highlight w:val="none"/>
          <w:u w:val="single"/>
          <w:lang w:val="en-US" w:eastAsia="zh-CN" w:bidi="ar-SA"/>
        </w:rPr>
        <w:t xml:space="preserve">生产厂址</w:t>
      </w:r>
      <w:r>
        <w:rPr>
          <w:rFonts w:hint="default" w:ascii="宋体" w:hAnsi="宋体" w:eastAsia="宋体" w:cs="宋体"/>
          <w:color w:val="auto"/>
          <w:sz w:val="24"/>
          <w:szCs w:val="24"/>
          <w:highlight w:val="none"/>
          <w:u w:val="single"/>
          <w:lang w:val="en-US" w:eastAsia="zh-CN" w:bidi="ar-SA"/>
        </w:rPr>
        <w:t xml:space="preserve">）</w:t>
      </w:r>
      <w:r>
        <w:rPr>
          <w:rFonts w:hint="default"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color w:val="auto"/>
          <w:sz w:val="24"/>
          <w:szCs w:val="24"/>
          <w:highlight w:val="none"/>
          <w:lang w:val="en-US" w:eastAsia="zh-CN" w:bidi="ar-SA"/>
        </w:rPr>
        <w:t xml:space="preserve">的中国境内生产的组件成本占比≥</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b/>
          <w:bCs/>
          <w:color w:val="auto"/>
          <w:sz w:val="24"/>
          <w:szCs w:val="24"/>
          <w:highlight w:val="none"/>
          <w:vertAlign w:val="superscript"/>
          <w:lang w:val="en-US" w:eastAsia="zh-CN" w:bidi="ar-SA"/>
        </w:rPr>
        <w:t xml:space="preserve">3</w:t>
      </w:r>
      <w:r>
        <w:rPr>
          <w:rFonts w:hint="default"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color w:val="auto"/>
          <w:sz w:val="24"/>
          <w:szCs w:val="24"/>
          <w:highlight w:val="none"/>
          <w:lang w:val="en-US" w:eastAsia="zh-CN" w:bidi="ar-SA"/>
        </w:rPr>
        <w:t xml:space="preserve">的</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b/>
          <w:bCs/>
          <w:color w:val="auto"/>
          <w:sz w:val="24"/>
          <w:szCs w:val="24"/>
          <w:highlight w:val="none"/>
          <w:vertAlign w:val="superscript"/>
          <w:lang w:val="en-US" w:eastAsia="zh-CN" w:bidi="ar-SA"/>
        </w:rPr>
        <w:t xml:space="preserve">4</w:t>
      </w:r>
      <w:r>
        <w:rPr>
          <w:rFonts w:hint="default" w:ascii="宋体" w:hAnsi="宋体" w:eastAsia="宋体" w:cs="宋体"/>
          <w:color w:val="auto"/>
          <w:sz w:val="24"/>
          <w:szCs w:val="24"/>
          <w:highlight w:val="none"/>
          <w:lang w:val="en-US" w:eastAsia="zh-CN" w:bidi="ar-SA"/>
        </w:rPr>
        <w:t xml:space="preserve">在中国境内生产。</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color w:val="auto"/>
          <w:sz w:val="24"/>
          <w:szCs w:val="24"/>
          <w:highlight w:val="none"/>
          <w:lang w:val="en-US" w:eastAsia="zh-CN" w:bidi="ar-SA"/>
        </w:rPr>
        <w:t xml:space="preserve">的</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b/>
          <w:bCs/>
          <w:color w:val="auto"/>
          <w:sz w:val="24"/>
          <w:szCs w:val="24"/>
          <w:highlight w:val="none"/>
          <w:vertAlign w:val="superscript"/>
          <w:lang w:val="en-US" w:eastAsia="zh-CN" w:bidi="ar-SA"/>
        </w:rPr>
        <w:t xml:space="preserve">5</w:t>
      </w:r>
      <w:r>
        <w:rPr>
          <w:rFonts w:hint="default" w:ascii="宋体" w:hAnsi="宋体" w:eastAsia="宋体" w:cs="宋体"/>
          <w:color w:val="auto"/>
          <w:sz w:val="24"/>
          <w:szCs w:val="24"/>
          <w:highlight w:val="none"/>
          <w:lang w:val="en-US" w:eastAsia="zh-CN" w:bidi="ar-SA"/>
        </w:rPr>
        <w:t xml:space="preserve">在中国境内完成</w:t>
      </w:r>
      <w:r>
        <w:rPr>
          <w:rFonts w:hint="eastAsia" w:ascii="宋体" w:hAnsi="宋体" w:eastAsia="宋体" w:cs="宋体"/>
          <w:color w:val="auto"/>
          <w:sz w:val="24"/>
          <w:szCs w:val="24"/>
          <w:highlight w:val="none"/>
          <w:lang w:val="en-US" w:eastAsia="zh-CN" w:bidi="ar-SA"/>
        </w:rPr>
        <w:t xml:space="preserve">。</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lang w:val="en-US" w:eastAsia="zh-CN" w:bidi="ar-SA"/>
        </w:rPr>
        <w:t xml:space="preserve">……</w:t>
      </w:r>
      <w:r/>
    </w:p>
    <w:p>
      <w:pPr>
        <w:jc w:val="left"/>
        <w:spacing w:line="479" w:lineRule="atLeast"/>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rPr>
      </w:r>
      <w:r/>
    </w:p>
    <w:p>
      <w:pPr>
        <w:jc w:val="left"/>
        <w:spacing w:line="479" w:lineRule="atLeast"/>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rPr>
        <w:t xml:space="preserve">本公司（单位）对上述声明内容的真实性负责。如有虚假，愿承担相应法律责任。</w:t>
      </w:r>
      <w:r/>
    </w:p>
    <w:p>
      <w:pPr>
        <w:ind w:firstLine="4320"/>
        <w:jc w:val="left"/>
        <w:spacing w:line="479" w:lineRule="atLeast"/>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rPr>
      </w:r>
      <w:r/>
    </w:p>
    <w:p>
      <w:pPr>
        <w:ind w:firstLine="4320"/>
        <w:jc w:val="left"/>
        <w:spacing w:line="479" w:lineRule="atLeast"/>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rPr>
        <w:t xml:space="preserve">公司（单位）名称（电子签章）：</w:t>
      </w:r>
      <w:r/>
    </w:p>
    <w:p>
      <w:pPr>
        <w:jc w:val="left"/>
        <w:spacing w:line="479" w:lineRule="atLeast"/>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rPr>
        <w:t xml:space="preserve">                                          日期：   年    月    日</w:t>
      </w:r>
      <w:r/>
    </w:p>
    <w:p>
      <w:pPr>
        <w:jc w:val="left"/>
        <w:spacing w:line="479" w:lineRule="atLeast"/>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rPr>
        <w:t xml:space="preserve">1.产品如有型号，请在“产品名称”栏一并填写。</w:t>
      </w:r>
      <w:r/>
    </w:p>
    <w:p>
      <w:pPr>
        <w:jc w:val="left"/>
        <w:spacing w:line="479" w:lineRule="atLeast"/>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rPr>
        <w:t xml:space="preserve">2.生产厂名与厂址应与生产厂营业执照载明的相关信息保持一致。</w:t>
      </w:r>
      <w:r/>
    </w:p>
    <w:p>
      <w:pPr>
        <w:jc w:val="left"/>
        <w:spacing w:line="479" w:lineRule="atLeast"/>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rPr>
        <w:t xml:space="preserve">3.该产品的中国境内生产的组件成本占比相关要求实施前，“规定比例”栏可不填，下同。</w:t>
      </w:r>
      <w:r/>
    </w:p>
    <w:p>
      <w:pPr>
        <w:jc w:val="left"/>
        <w:spacing w:line="479" w:lineRule="atLeast"/>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rPr>
        <w:t xml:space="preserve">4.该产品的关键组件要求实施前，“关键组件”栏可不填，下同。</w:t>
      </w:r>
      <w:r/>
    </w:p>
    <w:p>
      <w:pPr>
        <w:jc w:val="left"/>
        <w:spacing w:line="479" w:lineRule="atLeast"/>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rPr>
        <w:t xml:space="preserve">5.该产品的关键工序要求实施前，“关键工序”栏可不填，下同。</w:t>
      </w:r>
      <w:r/>
    </w:p>
    <w:p>
      <w:pPr>
        <w:rPr>
          <w:rFonts w:ascii="宋体" w:hAnsi="宋体" w:cs="宋体"/>
          <w:color w:val="000000"/>
          <w:sz w:val="24"/>
          <w:highlight w:val="none"/>
        </w:rPr>
      </w:pPr>
      <w:r>
        <w:rPr>
          <w:rFonts w:ascii="宋体" w:hAnsi="宋体" w:cs="宋体"/>
          <w:color w:val="000000"/>
          <w:sz w:val="24"/>
          <w:highlight w:val="none"/>
        </w:rPr>
      </w:r>
      <w:r/>
    </w:p>
    <w:sectPr>
      <w:headerReference w:type="default" r:id="rId9"/>
      <w:footerReference w:type="default" r:id="rId11"/>
      <w:footerReference w:type="even" r:id="rId12"/>
      <w:footnotePr/>
      <w:endnotePr/>
      <w:type w:val="nextPage"/>
      <w:pgSz w:w="11906" w:h="16838" w:orient="portrait"/>
      <w:pgMar w:top="1440" w:right="1480" w:bottom="1440" w:left="14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Tahoma">
    <w:panose1 w:val="020B0604030504040204"/>
  </w:font>
  <w:font w:name="新宋体">
    <w:panose1 w:val="02010609030101010101"/>
  </w:font>
  <w:font w:name="Symbol">
    <w:panose1 w:val="05050102010706020507"/>
  </w:font>
  <w:font w:name="仿宋">
    <w:panose1 w:val="02010609060101010101"/>
  </w:font>
  <w:font w:name="等线">
    <w:panose1 w:val="02010600030101010101"/>
  </w:font>
  <w:font w:name="Courier New">
    <w:panose1 w:val="02070309020205020404"/>
  </w:font>
  <w:font w:name="黑体">
    <w:panose1 w:val="02010609060101010101"/>
  </w:font>
  <w:font w:name="仿宋_GB2312">
    <w:panose1 w:val="02010609060101010101"/>
  </w:font>
  <w:font w:name="Calibri Light">
    <w:panose1 w:val="020F0302020204030204"/>
  </w:font>
  <w:font w:name="宋体;SimSun">
    <w:panose1 w:val="0201060003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fldChar w:fldCharType="begin"/>
    </w:r>
    <w:r>
      <w:instrText xml:space="preserve">PAGE \* MERGEFORMAT</w:instrText>
    </w:r>
    <w:r>
      <w:fldChar w:fldCharType="separate"/>
    </w:r>
    <w:r>
      <w:t xml:space="preserve">1</w:t>
    </w:r>
    <w:r>
      <w:fldChar w:fldCharType="end"/>
    </w:r>
    <w:r/>
  </w:p>
  <w:p>
    <w:pPr>
      <w:pStyle w:val="8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pPr>
    <w:r>
      <w:fldChar w:fldCharType="begin"/>
    </w:r>
    <w:r>
      <w:instrText xml:space="preserve">PAGE \* MERGEFORMAT</w:instrText>
    </w:r>
    <w:r>
      <w:fldChar w:fldCharType="separate"/>
    </w:r>
    <w:r>
      <w:t xml:space="preserve">1</w:t>
    </w:r>
    <w:r>
      <w:fldChar w:fldCharType="end"/>
    </w:r>
    <w:r/>
  </w:p>
  <w:p>
    <w:pPr>
      <w:pStyle w:val="8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5"/>
      </w:rPr>
      <w:framePr w:wrap="around" w:vAnchor="text" w:hAnchor="margin" w:xAlign="center" w:y="1"/>
    </w:pPr>
    <w:r>
      <w:fldChar w:fldCharType="begin"/>
    </w:r>
    <w:r>
      <w:rPr>
        <w:rStyle w:val="905"/>
      </w:rPr>
      <w:instrText xml:space="preserve">PAGE  </w:instrText>
    </w:r>
    <w:r>
      <w:fldChar w:fldCharType="end"/>
    </w:r>
    <w:r/>
  </w:p>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link w:val="1092"/>
    <w:uiPriority w:val="0"/>
    <w:qFormat/>
    <w:rPr>
      <w:rFonts w:hint="default" w:ascii="Times New Roman" w:hAnsi="Times New Roman" w:eastAsia="宋体" w:cs="Times New Roman"/>
      <w:lang w:val="en-US" w:eastAsia="zh-CN" w:bidi="ar-SA"/>
    </w:rPr>
  </w:style>
  <w:style w:type="paragraph" w:styleId="705">
    <w:name w:val="Heading 1"/>
    <w:basedOn w:val="704"/>
    <w:next w:val="704"/>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right="0" w:firstLine="0"/>
      <w:spacing w:after="57"/>
    </w:pPr>
  </w:style>
  <w:style w:type="paragraph" w:styleId="717">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toc 5"/>
    <w:basedOn w:val="704"/>
    <w:next w:val="704"/>
    <w:uiPriority w:val="39"/>
    <w:unhideWhenUsed/>
    <w:qFormat/>
    <w:pPr>
      <w:ind w:left="1134" w:right="0" w:firstLine="0"/>
      <w:spacing w:after="57"/>
    </w:pPr>
  </w:style>
  <w:style w:type="paragraph" w:styleId="719">
    <w:name w:val="toc 3"/>
    <w:basedOn w:val="704"/>
    <w:next w:val="704"/>
    <w:uiPriority w:val="39"/>
    <w:unhideWhenUsed/>
    <w:qFormat/>
    <w:pPr>
      <w:ind w:left="567" w:right="0" w:firstLine="0"/>
      <w:spacing w:after="57"/>
    </w:pPr>
  </w:style>
  <w:style w:type="paragraph" w:styleId="720">
    <w:name w:val="toc 8"/>
    <w:basedOn w:val="704"/>
    <w:next w:val="704"/>
    <w:uiPriority w:val="39"/>
    <w:unhideWhenUsed/>
    <w:qFormat/>
    <w:pPr>
      <w:ind w:left="1984" w:right="0" w:firstLine="0"/>
      <w:spacing w:after="57"/>
    </w:pPr>
  </w:style>
  <w:style w:type="paragraph" w:styleId="721">
    <w:name w:val="endnote text"/>
    <w:basedOn w:val="704"/>
    <w:uiPriority w:val="99"/>
    <w:semiHidden/>
    <w:unhideWhenUsed/>
    <w:qFormat/>
    <w:pPr>
      <w:spacing w:after="0" w:line="240" w:lineRule="auto"/>
    </w:pPr>
    <w:rPr>
      <w:sz w:val="20"/>
    </w:rPr>
  </w:style>
  <w:style w:type="paragraph" w:styleId="722">
    <w:name w:val="Footer"/>
    <w:basedOn w:val="704"/>
    <w:uiPriority w:val="99"/>
    <w:unhideWhenUsed/>
    <w:qFormat/>
    <w:pPr>
      <w:spacing w:after="0" w:line="240" w:lineRule="auto"/>
      <w:tabs>
        <w:tab w:val="center" w:pos="7143" w:leader="none"/>
        <w:tab w:val="right" w:pos="14287" w:leader="none"/>
      </w:tabs>
    </w:pPr>
  </w:style>
  <w:style w:type="paragraph" w:styleId="723">
    <w:name w:val="Header"/>
    <w:basedOn w:val="704"/>
    <w:uiPriority w:val="99"/>
    <w:unhideWhenUsed/>
    <w:qFormat/>
    <w:pPr>
      <w:spacing w:after="0" w:line="240" w:lineRule="auto"/>
      <w:tabs>
        <w:tab w:val="center" w:pos="7143" w:leader="none"/>
        <w:tab w:val="right" w:pos="14287" w:leader="none"/>
      </w:tabs>
    </w:pPr>
  </w:style>
  <w:style w:type="paragraph" w:styleId="724">
    <w:name w:val="toc 1"/>
    <w:basedOn w:val="704"/>
    <w:next w:val="704"/>
    <w:uiPriority w:val="39"/>
    <w:unhideWhenUsed/>
    <w:qFormat/>
    <w:pPr>
      <w:ind w:left="0" w:right="0" w:firstLine="0"/>
      <w:spacing w:after="57"/>
    </w:pPr>
  </w:style>
  <w:style w:type="paragraph" w:styleId="725">
    <w:name w:val="toc 4"/>
    <w:basedOn w:val="704"/>
    <w:next w:val="704"/>
    <w:uiPriority w:val="39"/>
    <w:unhideWhenUsed/>
    <w:qFormat/>
    <w:pPr>
      <w:ind w:left="850" w:right="0" w:firstLine="0"/>
      <w:spacing w:after="57"/>
    </w:pPr>
  </w:style>
  <w:style w:type="paragraph" w:styleId="726">
    <w:name w:val="Subtitle"/>
    <w:basedOn w:val="704"/>
    <w:next w:val="704"/>
    <w:uiPriority w:val="11"/>
    <w:qFormat/>
    <w:pPr>
      <w:spacing w:before="200" w:after="200"/>
    </w:pPr>
    <w:rPr>
      <w:sz w:val="24"/>
      <w:szCs w:val="24"/>
    </w:rPr>
  </w:style>
  <w:style w:type="paragraph" w:styleId="727">
    <w:name w:val="footnote text"/>
    <w:basedOn w:val="704"/>
    <w:uiPriority w:val="99"/>
    <w:semiHidden/>
    <w:unhideWhenUsed/>
    <w:qFormat/>
    <w:pPr>
      <w:spacing w:after="40" w:line="240" w:lineRule="auto"/>
    </w:pPr>
    <w:rPr>
      <w:sz w:val="18"/>
    </w:rPr>
  </w:style>
  <w:style w:type="paragraph" w:styleId="728">
    <w:name w:val="toc 6"/>
    <w:basedOn w:val="704"/>
    <w:next w:val="704"/>
    <w:uiPriority w:val="39"/>
    <w:unhideWhenUsed/>
    <w:qFormat/>
    <w:pPr>
      <w:ind w:left="1417" w:right="0" w:firstLine="0"/>
      <w:spacing w:after="57"/>
    </w:pPr>
  </w:style>
  <w:style w:type="paragraph" w:styleId="729">
    <w:name w:val="table of figures"/>
    <w:basedOn w:val="704"/>
    <w:next w:val="704"/>
    <w:uiPriority w:val="99"/>
    <w:unhideWhenUsed/>
    <w:qFormat/>
    <w:pPr>
      <w:spacing w:after="0" w:afterAutospacing="0"/>
    </w:pPr>
  </w:style>
  <w:style w:type="paragraph" w:styleId="730">
    <w:name w:val="toc 2"/>
    <w:basedOn w:val="704"/>
    <w:next w:val="704"/>
    <w:uiPriority w:val="39"/>
    <w:unhideWhenUsed/>
    <w:qFormat/>
    <w:pPr>
      <w:ind w:left="283" w:right="0" w:firstLine="0"/>
      <w:spacing w:after="57"/>
    </w:pPr>
  </w:style>
  <w:style w:type="paragraph" w:styleId="731">
    <w:name w:val="toc 9"/>
    <w:basedOn w:val="704"/>
    <w:next w:val="704"/>
    <w:uiPriority w:val="39"/>
    <w:unhideWhenUsed/>
    <w:qFormat/>
    <w:pPr>
      <w:ind w:left="2268" w:right="0" w:firstLine="0"/>
      <w:spacing w:after="57"/>
    </w:pPr>
  </w:style>
  <w:style w:type="paragraph" w:styleId="732">
    <w:name w:val="Normal (Web)"/>
    <w:basedOn w:val="704"/>
    <w:uiPriority w:val="0"/>
    <w:qFormat/>
    <w:pPr>
      <w:jc w:val="left"/>
      <w:spacing w:before="100" w:beforeAutospacing="1" w:after="100" w:afterAutospacing="1"/>
      <w:widowControl w:val="off"/>
    </w:pPr>
    <w:rPr>
      <w:rFonts w:ascii="Calibri" w:hAnsi="Calibri" w:eastAsia="宋体" w:cs="Times New Roman"/>
      <w:sz w:val="24"/>
      <w:szCs w:val="22"/>
      <w:lang w:val="en-US" w:eastAsia="zh-CN" w:bidi="ar-SA"/>
    </w:rPr>
  </w:style>
  <w:style w:type="paragraph" w:styleId="733">
    <w:name w:val="Title"/>
    <w:basedOn w:val="704"/>
    <w:next w:val="704"/>
    <w:uiPriority w:val="10"/>
    <w:qFormat/>
    <w:pPr>
      <w:contextualSpacing/>
      <w:spacing w:before="300" w:after="200"/>
    </w:pPr>
    <w:rPr>
      <w:sz w:val="48"/>
      <w:szCs w:val="48"/>
    </w:rPr>
  </w:style>
  <w:style w:type="table" w:styleId="7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endnote reference"/>
    <w:uiPriority w:val="99"/>
    <w:semiHidden/>
    <w:unhideWhenUsed/>
    <w:qFormat/>
    <w:rPr>
      <w:vertAlign w:val="superscript"/>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footnote reference"/>
    <w:uiPriority w:val="99"/>
    <w:unhideWhenUsed/>
    <w:qFormat/>
    <w:rPr>
      <w:vertAlign w:val="superscript"/>
    </w:rPr>
  </w:style>
  <w:style w:type="paragraph" w:styleId="738" w:customStyle="1">
    <w:name w:val="标题 111"/>
    <w:next w:val="704"/>
    <w:link w:val="755"/>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39" w:customStyle="1">
    <w:name w:val="标题 211"/>
    <w:next w:val="704"/>
    <w:link w:val="756"/>
    <w:uiPriority w:val="9"/>
    <w:unhideWhenUsed/>
    <w:qFormat/>
    <w:pPr>
      <w:keepLines/>
      <w:keepNext/>
      <w:spacing w:before="360" w:after="200"/>
      <w:outlineLvl w:val="1"/>
    </w:pPr>
    <w:rPr>
      <w:rFonts w:hint="default" w:ascii="Arial" w:hAnsi="Arial" w:eastAsia="Arial" w:cs="Arial"/>
      <w:sz w:val="34"/>
      <w:lang w:val="en-US" w:eastAsia="zh-CN" w:bidi="ar-SA"/>
    </w:rPr>
  </w:style>
  <w:style w:type="paragraph" w:styleId="740" w:customStyle="1">
    <w:name w:val="标题 311"/>
    <w:next w:val="704"/>
    <w:link w:val="757"/>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41" w:customStyle="1">
    <w:name w:val="标题 411"/>
    <w:next w:val="742"/>
    <w:link w:val="758"/>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42" w:customStyle="1">
    <w:name w:val="正文11"/>
    <w:next w:val="7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3" w:customStyle="1">
    <w:name w:val="标题 21"/>
    <w:basedOn w:val="744"/>
    <w:next w:val="742"/>
    <w:link w:val="852"/>
    <w:uiPriority w:val="0"/>
    <w:qFormat/>
    <w:pPr>
      <w:keepLines/>
      <w:keepNext/>
      <w:spacing w:before="260" w:after="260" w:line="416" w:lineRule="auto"/>
      <w:outlineLvl w:val="1"/>
    </w:pPr>
    <w:rPr>
      <w:rFonts w:ascii="Calibri Light" w:hAnsi="Calibri Light" w:eastAsia="Arial"/>
      <w:b/>
      <w:bCs/>
      <w:sz w:val="32"/>
      <w:szCs w:val="32"/>
    </w:rPr>
  </w:style>
  <w:style w:type="paragraph" w:styleId="744" w:customStyle="1">
    <w:name w:val="正文1111"/>
    <w:next w:val="704"/>
    <w:link w:val="7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5" w:customStyle="1">
    <w:name w:val="正文1"/>
    <w:basedOn w:val="742"/>
    <w:next w:val="746"/>
    <w:link w:val="796"/>
    <w:uiPriority w:val="0"/>
    <w:qFormat/>
    <w:pPr>
      <w:jc w:val="left"/>
      <w:spacing w:line="360" w:lineRule="atLeast"/>
    </w:pPr>
    <w:rPr>
      <w:rFonts w:ascii="宋体" w:hAnsi="Calibri" w:eastAsia="Arial"/>
      <w:sz w:val="24"/>
      <w:szCs w:val="20"/>
    </w:rPr>
  </w:style>
  <w:style w:type="paragraph" w:styleId="746" w:customStyle="1">
    <w:name w:val="脚注文本1"/>
    <w:basedOn w:val="745"/>
    <w:next w:val="747"/>
    <w:uiPriority w:val="0"/>
    <w:qFormat/>
    <w:rPr>
      <w:rFonts w:eastAsia="Times New Roman"/>
      <w:sz w:val="18"/>
      <w:szCs w:val="18"/>
    </w:rPr>
  </w:style>
  <w:style w:type="paragraph" w:styleId="747" w:customStyle="1">
    <w:name w:val="索引 51"/>
    <w:basedOn w:val="745"/>
    <w:next w:val="745"/>
    <w:uiPriority w:val="0"/>
    <w:qFormat/>
    <w:pPr>
      <w:ind w:left="798"/>
    </w:pPr>
    <w:rPr>
      <w:rFonts w:ascii="Calibri"/>
    </w:rPr>
  </w:style>
  <w:style w:type="paragraph" w:styleId="748" w:customStyle="1">
    <w:name w:val="标题 511"/>
    <w:next w:val="704"/>
    <w:link w:val="759"/>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49" w:customStyle="1">
    <w:name w:val="标题 611"/>
    <w:next w:val="704"/>
    <w:link w:val="760"/>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50" w:customStyle="1">
    <w:name w:val="标题 711"/>
    <w:next w:val="704"/>
    <w:link w:val="761"/>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51" w:customStyle="1">
    <w:name w:val="标题 811"/>
    <w:next w:val="704"/>
    <w:link w:val="762"/>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52" w:customStyle="1">
    <w:name w:val="标题 911"/>
    <w:next w:val="704"/>
    <w:link w:val="763"/>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53" w:customStyle="1">
    <w:name w:val="默认段落字体11"/>
    <w:link w:val="704"/>
    <w:uiPriority w:val="1"/>
    <w:unhideWhenUsed/>
    <w:qFormat/>
  </w:style>
  <w:style w:type="table" w:styleId="754" w:customStyle="1">
    <w:name w:val="普通表格11"/>
    <w:uiPriority w:val="99"/>
    <w:unhideWhenUsed/>
    <w:qFormat/>
    <w:tblPr/>
  </w:style>
  <w:style w:type="character" w:styleId="755" w:customStyle="1">
    <w:name w:val="标题 1 字符"/>
    <w:basedOn w:val="753"/>
    <w:link w:val="738"/>
    <w:uiPriority w:val="9"/>
    <w:qFormat/>
    <w:rPr>
      <w:rFonts w:ascii="Arial" w:hAnsi="Arial" w:eastAsia="Arial" w:cs="Arial"/>
      <w:sz w:val="40"/>
      <w:szCs w:val="40"/>
    </w:rPr>
  </w:style>
  <w:style w:type="character" w:styleId="756" w:customStyle="1">
    <w:name w:val="标题 2 字符"/>
    <w:basedOn w:val="753"/>
    <w:link w:val="739"/>
    <w:uiPriority w:val="9"/>
    <w:qFormat/>
    <w:rPr>
      <w:rFonts w:ascii="Arial" w:hAnsi="Arial" w:eastAsia="Arial" w:cs="Arial"/>
      <w:sz w:val="34"/>
    </w:rPr>
  </w:style>
  <w:style w:type="character" w:styleId="757" w:customStyle="1">
    <w:name w:val="标题 3 字符"/>
    <w:basedOn w:val="753"/>
    <w:link w:val="740"/>
    <w:uiPriority w:val="9"/>
    <w:qFormat/>
    <w:rPr>
      <w:rFonts w:ascii="Arial" w:hAnsi="Arial" w:eastAsia="Arial" w:cs="Arial"/>
      <w:sz w:val="30"/>
      <w:szCs w:val="30"/>
    </w:rPr>
  </w:style>
  <w:style w:type="character" w:styleId="758" w:customStyle="1">
    <w:name w:val="标题 4 字符"/>
    <w:basedOn w:val="753"/>
    <w:link w:val="741"/>
    <w:uiPriority w:val="9"/>
    <w:qFormat/>
    <w:rPr>
      <w:rFonts w:ascii="Arial" w:hAnsi="Arial" w:eastAsia="Arial" w:cs="Arial"/>
      <w:b/>
      <w:bCs/>
      <w:sz w:val="26"/>
      <w:szCs w:val="26"/>
    </w:rPr>
  </w:style>
  <w:style w:type="character" w:styleId="759" w:customStyle="1">
    <w:name w:val="标题 5 字符"/>
    <w:basedOn w:val="753"/>
    <w:link w:val="748"/>
    <w:uiPriority w:val="9"/>
    <w:qFormat/>
    <w:rPr>
      <w:rFonts w:ascii="Arial" w:hAnsi="Arial" w:eastAsia="Arial" w:cs="Arial"/>
      <w:b/>
      <w:bCs/>
      <w:sz w:val="24"/>
      <w:szCs w:val="24"/>
    </w:rPr>
  </w:style>
  <w:style w:type="character" w:styleId="760" w:customStyle="1">
    <w:name w:val="标题 6 字符"/>
    <w:basedOn w:val="753"/>
    <w:link w:val="749"/>
    <w:uiPriority w:val="9"/>
    <w:qFormat/>
    <w:rPr>
      <w:rFonts w:ascii="Arial" w:hAnsi="Arial" w:eastAsia="Arial" w:cs="Arial"/>
      <w:b/>
      <w:bCs/>
      <w:sz w:val="22"/>
      <w:szCs w:val="22"/>
    </w:rPr>
  </w:style>
  <w:style w:type="character" w:styleId="761" w:customStyle="1">
    <w:name w:val="标题 7 字符"/>
    <w:basedOn w:val="753"/>
    <w:link w:val="750"/>
    <w:uiPriority w:val="9"/>
    <w:qFormat/>
    <w:rPr>
      <w:rFonts w:ascii="Arial" w:hAnsi="Arial" w:eastAsia="Arial" w:cs="Arial"/>
      <w:b/>
      <w:bCs/>
      <w:i/>
      <w:iCs/>
      <w:sz w:val="22"/>
      <w:szCs w:val="22"/>
    </w:rPr>
  </w:style>
  <w:style w:type="character" w:styleId="762" w:customStyle="1">
    <w:name w:val="标题 8 字符"/>
    <w:basedOn w:val="753"/>
    <w:link w:val="751"/>
    <w:uiPriority w:val="9"/>
    <w:qFormat/>
    <w:rPr>
      <w:rFonts w:ascii="Arial" w:hAnsi="Arial" w:eastAsia="Arial" w:cs="Arial"/>
      <w:i/>
      <w:iCs/>
      <w:sz w:val="22"/>
      <w:szCs w:val="22"/>
    </w:rPr>
  </w:style>
  <w:style w:type="character" w:styleId="763" w:customStyle="1">
    <w:name w:val="标题 9 字符"/>
    <w:basedOn w:val="753"/>
    <w:link w:val="752"/>
    <w:uiPriority w:val="9"/>
    <w:qFormat/>
    <w:rPr>
      <w:rFonts w:ascii="Arial" w:hAnsi="Arial" w:eastAsia="Arial" w:cs="Arial"/>
      <w:i/>
      <w:iCs/>
      <w:sz w:val="21"/>
      <w:szCs w:val="21"/>
    </w:rPr>
  </w:style>
  <w:style w:type="paragraph" w:styleId="764" w:customStyle="1">
    <w:name w:val="目录 711"/>
    <w:next w:val="704"/>
    <w:uiPriority w:val="39"/>
    <w:unhideWhenUsed/>
    <w:qFormat/>
    <w:pPr>
      <w:ind w:left="1701"/>
      <w:spacing w:after="57"/>
    </w:pPr>
    <w:rPr>
      <w:rFonts w:hint="default" w:ascii="Times New Roman" w:hAnsi="Times New Roman" w:eastAsia="宋体" w:cs="Times New Roman"/>
      <w:lang w:val="en-US" w:eastAsia="zh-CN" w:bidi="ar-SA"/>
    </w:rPr>
  </w:style>
  <w:style w:type="paragraph" w:styleId="765" w:customStyle="1">
    <w:name w:val="正文缩进11"/>
    <w:basedOn w:val="704"/>
    <w:uiPriority w:val="0"/>
    <w:qFormat/>
    <w:pPr>
      <w:ind w:firstLine="420"/>
    </w:pPr>
  </w:style>
  <w:style w:type="paragraph" w:styleId="766" w:customStyle="1">
    <w:name w:val="题注11"/>
    <w:next w:val="704"/>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67" w:customStyle="1">
    <w:name w:val="文档结构图1"/>
    <w:basedOn w:val="704"/>
    <w:uiPriority w:val="0"/>
    <w:qFormat/>
    <w:rPr>
      <w:rFonts w:ascii="宋体" w:hAnsi="Calibri"/>
      <w:sz w:val="18"/>
      <w:szCs w:val="18"/>
    </w:rPr>
  </w:style>
  <w:style w:type="paragraph" w:styleId="768" w:customStyle="1">
    <w:name w:val="批注文字11"/>
    <w:basedOn w:val="704"/>
    <w:link w:val="769"/>
    <w:uiPriority w:val="99"/>
    <w:unhideWhenUsed/>
    <w:qFormat/>
  </w:style>
  <w:style w:type="character" w:styleId="769" w:customStyle="1">
    <w:name w:val="批注文字 字符"/>
    <w:basedOn w:val="753"/>
    <w:link w:val="768"/>
    <w:uiPriority w:val="99"/>
    <w:semiHidden/>
    <w:qFormat/>
  </w:style>
  <w:style w:type="paragraph" w:styleId="770" w:customStyle="1">
    <w:name w:val="正文文本112"/>
    <w:basedOn w:val="704"/>
    <w:next w:val="771"/>
    <w:uiPriority w:val="99"/>
    <w:qFormat/>
    <w:pPr>
      <w:spacing w:after="120"/>
    </w:pPr>
    <w:rPr>
      <w:rFonts w:ascii="Calibri" w:hAnsi="Calibri"/>
    </w:rPr>
  </w:style>
  <w:style w:type="paragraph" w:styleId="771" w:customStyle="1">
    <w:name w:val="正文首行缩进111"/>
    <w:basedOn w:val="770"/>
    <w:uiPriority w:val="0"/>
    <w:qFormat/>
    <w:pPr>
      <w:ind w:firstLine="420"/>
    </w:pPr>
    <w:rPr>
      <w:rFonts w:ascii="Times New Roman"/>
    </w:rPr>
  </w:style>
  <w:style w:type="paragraph" w:styleId="772" w:customStyle="1">
    <w:name w:val="正文文本缩进12"/>
    <w:basedOn w:val="704"/>
    <w:next w:val="773"/>
    <w:link w:val="774"/>
    <w:uiPriority w:val="99"/>
    <w:qFormat/>
    <w:pPr>
      <w:ind w:left="420"/>
      <w:spacing w:after="120"/>
    </w:pPr>
    <w:rPr>
      <w:rFonts w:ascii="Calibri" w:hAnsi="Calibri"/>
    </w:rPr>
  </w:style>
  <w:style w:type="paragraph" w:styleId="773" w:customStyle="1">
    <w:name w:val="寄信人地址12"/>
    <w:basedOn w:val="704"/>
    <w:uiPriority w:val="0"/>
    <w:qFormat/>
    <w:rPr>
      <w:rFonts w:ascii="Arial" w:hAnsi="Arial"/>
    </w:rPr>
  </w:style>
  <w:style w:type="character" w:styleId="774" w:customStyle="1">
    <w:name w:val="正文文本缩进 字符"/>
    <w:basedOn w:val="753"/>
    <w:link w:val="772"/>
    <w:uiPriority w:val="99"/>
    <w:qFormat/>
    <w:rPr>
      <w:rFonts w:ascii="Calibri" w:hAnsi="Calibri"/>
    </w:rPr>
  </w:style>
  <w:style w:type="paragraph" w:styleId="775" w:customStyle="1">
    <w:name w:val="文本块111"/>
    <w:basedOn w:val="704"/>
    <w:next w:val="704"/>
    <w:uiPriority w:val="99"/>
    <w:qFormat/>
    <w:pPr>
      <w:ind w:left="256" w:right="6" w:firstLine="624"/>
    </w:pPr>
    <w:rPr>
      <w:rFonts w:eastAsia="仿宋_GB2312"/>
      <w:sz w:val="28"/>
    </w:rPr>
  </w:style>
  <w:style w:type="paragraph" w:styleId="776" w:customStyle="1">
    <w:name w:val="目录 511"/>
    <w:next w:val="704"/>
    <w:uiPriority w:val="39"/>
    <w:unhideWhenUsed/>
    <w:qFormat/>
    <w:pPr>
      <w:ind w:left="1134"/>
      <w:spacing w:after="57"/>
    </w:pPr>
    <w:rPr>
      <w:rFonts w:hint="default" w:ascii="Times New Roman" w:hAnsi="Times New Roman" w:eastAsia="宋体" w:cs="Times New Roman"/>
      <w:lang w:val="en-US" w:eastAsia="zh-CN" w:bidi="ar-SA"/>
    </w:rPr>
  </w:style>
  <w:style w:type="paragraph" w:styleId="777" w:customStyle="1">
    <w:name w:val="目录 311"/>
    <w:next w:val="704"/>
    <w:uiPriority w:val="39"/>
    <w:unhideWhenUsed/>
    <w:qFormat/>
    <w:pPr>
      <w:ind w:left="567"/>
      <w:spacing w:after="57"/>
    </w:pPr>
    <w:rPr>
      <w:rFonts w:hint="default" w:ascii="Times New Roman" w:hAnsi="Times New Roman" w:eastAsia="宋体" w:cs="Times New Roman"/>
      <w:lang w:val="en-US" w:eastAsia="zh-CN" w:bidi="ar-SA"/>
    </w:rPr>
  </w:style>
  <w:style w:type="paragraph" w:styleId="778" w:customStyle="1">
    <w:name w:val="纯文本11"/>
    <w:basedOn w:val="744"/>
    <w:link w:val="797"/>
    <w:uiPriority w:val="0"/>
    <w:qFormat/>
    <w:rPr>
      <w:rFonts w:ascii="宋体" w:hAnsi="Courier New"/>
    </w:rPr>
  </w:style>
  <w:style w:type="paragraph" w:styleId="779" w:customStyle="1">
    <w:name w:val="文本块1"/>
    <w:basedOn w:val="780"/>
    <w:next w:val="783"/>
    <w:uiPriority w:val="0"/>
    <w:qFormat/>
    <w:pPr>
      <w:ind w:left="256" w:right="6" w:firstLine="624"/>
    </w:pPr>
    <w:rPr>
      <w:rFonts w:eastAsia="仿宋"/>
      <w:sz w:val="28"/>
      <w:szCs w:val="20"/>
    </w:rPr>
  </w:style>
  <w:style w:type="paragraph" w:styleId="780" w:customStyle="1">
    <w:name w:val="正文111"/>
    <w:next w:val="781"/>
    <w:uiPriority w:val="0"/>
    <w:qFormat/>
    <w:pPr>
      <w:jc w:val="both"/>
      <w:widowControl w:val="off"/>
    </w:pPr>
    <w:rPr>
      <w:rFonts w:hint="default" w:ascii="Times New Roman" w:hAnsi="Times New Roman" w:eastAsia="宋体" w:cs="Times New Roman"/>
      <w:color w:val="000000"/>
      <w:sz w:val="21"/>
      <w:szCs w:val="24"/>
      <w:lang w:val="en-US" w:eastAsia="zh-CN" w:bidi="ar-SA"/>
    </w:rPr>
  </w:style>
  <w:style w:type="paragraph" w:styleId="781" w:customStyle="1">
    <w:name w:val="正文文本缩进1"/>
    <w:basedOn w:val="780"/>
    <w:next w:val="782"/>
    <w:uiPriority w:val="0"/>
    <w:qFormat/>
    <w:pPr>
      <w:ind w:left="420"/>
      <w:spacing w:after="120"/>
    </w:pPr>
  </w:style>
  <w:style w:type="paragraph" w:styleId="782" w:customStyle="1">
    <w:name w:val="寄信人地址1"/>
    <w:basedOn w:val="780"/>
    <w:uiPriority w:val="0"/>
    <w:qFormat/>
    <w:pPr>
      <w:ind w:firstLine="200"/>
    </w:pPr>
    <w:rPr>
      <w:rFonts w:ascii="Arial" w:hAnsi="Arial" w:eastAsia="仿宋_GB2312"/>
    </w:rPr>
  </w:style>
  <w:style w:type="paragraph" w:styleId="783" w:customStyle="1">
    <w:name w:val="标题 41"/>
    <w:basedOn w:val="784"/>
    <w:next w:val="742"/>
    <w:link w:val="795"/>
    <w:uiPriority w:val="0"/>
    <w:qFormat/>
    <w:pPr>
      <w:keepLines/>
      <w:keepNext/>
      <w:spacing w:before="320" w:after="200"/>
      <w:outlineLvl w:val="3"/>
    </w:pPr>
    <w:rPr>
      <w:rFonts w:ascii="Arial" w:hAnsi="Arial" w:eastAsia="Arial"/>
      <w:b/>
      <w:bCs/>
      <w:sz w:val="26"/>
      <w:szCs w:val="26"/>
    </w:rPr>
  </w:style>
  <w:style w:type="paragraph" w:styleId="784" w:customStyle="1">
    <w:name w:val="标题1"/>
    <w:basedOn w:val="785"/>
    <w:next w:val="787"/>
    <w:uiPriority w:val="0"/>
    <w:qFormat/>
    <w:pPr>
      <w:contextualSpacing/>
      <w:spacing w:before="300" w:after="200"/>
    </w:pPr>
    <w:rPr>
      <w:sz w:val="48"/>
      <w:szCs w:val="48"/>
    </w:rPr>
  </w:style>
  <w:style w:type="paragraph" w:styleId="785" w:customStyle="1">
    <w:name w:val="正文12"/>
    <w:next w:val="786"/>
    <w:uiPriority w:val="0"/>
    <w:qFormat/>
    <w:rPr>
      <w:rFonts w:hint="default" w:ascii="Times New Roman" w:hAnsi="Times New Roman" w:eastAsia="Arial" w:cs="Times New Roman"/>
      <w:sz w:val="22"/>
      <w:szCs w:val="22"/>
      <w:lang w:val="en-US" w:eastAsia="zh-CN" w:bidi="ar-SA"/>
    </w:rPr>
  </w:style>
  <w:style w:type="paragraph" w:styleId="786" w:customStyle="1">
    <w:name w:val="无间隔1"/>
    <w:uiPriority w:val="0"/>
    <w:qFormat/>
    <w:rPr>
      <w:rFonts w:hint="default" w:ascii="Calibri" w:hAnsi="Calibri" w:eastAsia="宋体" w:cs="Times New Roman"/>
      <w:lang w:val="en-US" w:eastAsia="zh-CN" w:bidi="ar-SA"/>
    </w:rPr>
  </w:style>
  <w:style w:type="paragraph" w:styleId="787" w:customStyle="1">
    <w:name w:val="正文112"/>
    <w:next w:val="788"/>
    <w:uiPriority w:val="0"/>
    <w:qFormat/>
    <w:pPr>
      <w:jc w:val="both"/>
      <w:widowControl w:val="off"/>
    </w:pPr>
    <w:rPr>
      <w:rFonts w:hint="default" w:ascii="Calibri" w:hAnsi="Calibri" w:eastAsia="等线" w:cs="Times New Roman"/>
      <w:color w:val="000000"/>
      <w:sz w:val="21"/>
      <w:szCs w:val="24"/>
      <w:lang w:val="en-US" w:eastAsia="zh-CN" w:bidi="hi-IN"/>
    </w:rPr>
  </w:style>
  <w:style w:type="paragraph" w:styleId="788" w:customStyle="1">
    <w:name w:val="正文首行缩进1"/>
    <w:basedOn w:val="789"/>
    <w:next w:val="790"/>
    <w:uiPriority w:val="0"/>
    <w:qFormat/>
    <w:pPr>
      <w:ind w:firstLine="420"/>
    </w:pPr>
  </w:style>
  <w:style w:type="paragraph" w:styleId="789" w:customStyle="1">
    <w:name w:val="正文文本2"/>
    <w:basedOn w:val="704"/>
    <w:next w:val="704"/>
    <w:uiPriority w:val="0"/>
    <w:qFormat/>
    <w:pPr>
      <w:spacing w:after="120"/>
    </w:pPr>
    <w:rPr>
      <w:rFonts w:ascii="Calibri" w:hAnsi="Calibri"/>
    </w:rPr>
  </w:style>
  <w:style w:type="paragraph" w:styleId="790" w:customStyle="1">
    <w:name w:val="正文首行缩进 211"/>
    <w:basedOn w:val="791"/>
    <w:next w:val="787"/>
    <w:uiPriority w:val="0"/>
    <w:qFormat/>
    <w:pPr>
      <w:ind w:firstLine="420"/>
    </w:pPr>
  </w:style>
  <w:style w:type="paragraph" w:styleId="791" w:customStyle="1">
    <w:name w:val="正文文本缩进11"/>
    <w:basedOn w:val="787"/>
    <w:next w:val="787"/>
    <w:uiPriority w:val="0"/>
    <w:qFormat/>
    <w:pPr>
      <w:ind w:left="420"/>
      <w:spacing w:after="120"/>
    </w:pPr>
    <w:rPr>
      <w:rFonts w:ascii="Calibri" w:hAnsi="Calibri"/>
    </w:rPr>
  </w:style>
  <w:style w:type="paragraph" w:styleId="792" w:customStyle="1">
    <w:name w:val="正文文本111"/>
    <w:basedOn w:val="744"/>
    <w:next w:val="785"/>
    <w:link w:val="872"/>
    <w:uiPriority w:val="0"/>
    <w:qFormat/>
    <w:pPr>
      <w:spacing w:after="120"/>
    </w:pPr>
    <w:rPr>
      <w:rFonts w:ascii="Calibri" w:hAnsi="Calibri"/>
    </w:rPr>
  </w:style>
  <w:style w:type="character" w:styleId="793" w:customStyle="1">
    <w:name w:val="font21"/>
    <w:basedOn w:val="794"/>
    <w:link w:val="744"/>
    <w:uiPriority w:val="0"/>
    <w:qFormat/>
    <w:rPr>
      <w:rFonts w:ascii="宋体" w:hAnsi="宋体" w:eastAsia="宋体"/>
      <w:b/>
      <w:bCs/>
      <w:color w:val="000000"/>
      <w:sz w:val="28"/>
      <w:szCs w:val="28"/>
      <w:u w:val="none"/>
    </w:rPr>
  </w:style>
  <w:style w:type="character" w:styleId="794" w:customStyle="1">
    <w:name w:val="默认段落字体1"/>
    <w:link w:val="704"/>
    <w:uiPriority w:val="0"/>
    <w:qFormat/>
  </w:style>
  <w:style w:type="character" w:styleId="795" w:customStyle="1">
    <w:name w:val="Heading 4 Char"/>
    <w:basedOn w:val="794"/>
    <w:link w:val="783"/>
    <w:uiPriority w:val="0"/>
    <w:qFormat/>
    <w:rPr>
      <w:rFonts w:ascii="Arial" w:hAnsi="Arial" w:eastAsia="Arial"/>
      <w:b/>
      <w:bCs/>
      <w:sz w:val="26"/>
      <w:szCs w:val="26"/>
    </w:rPr>
  </w:style>
  <w:style w:type="character" w:styleId="796" w:customStyle="1">
    <w:name w:val="NormalCharacter1"/>
    <w:link w:val="745"/>
    <w:uiPriority w:val="0"/>
    <w:qFormat/>
    <w:rPr>
      <w:rFonts w:ascii="宋体" w:hAnsi="Calibri" w:eastAsia="Arial"/>
      <w:sz w:val="24"/>
      <w:szCs w:val="20"/>
    </w:rPr>
  </w:style>
  <w:style w:type="character" w:styleId="797" w:customStyle="1">
    <w:name w:val="纯文本 字符"/>
    <w:basedOn w:val="753"/>
    <w:link w:val="778"/>
    <w:uiPriority w:val="0"/>
    <w:qFormat/>
    <w:rPr>
      <w:rFonts w:ascii="宋体" w:hAnsi="Courier New"/>
      <w:sz w:val="21"/>
      <w:szCs w:val="24"/>
    </w:rPr>
  </w:style>
  <w:style w:type="paragraph" w:styleId="798" w:customStyle="1">
    <w:name w:val="目录 811"/>
    <w:next w:val="704"/>
    <w:uiPriority w:val="39"/>
    <w:unhideWhenUsed/>
    <w:qFormat/>
    <w:pPr>
      <w:ind w:left="1984"/>
      <w:spacing w:after="57"/>
    </w:pPr>
    <w:rPr>
      <w:rFonts w:hint="default" w:ascii="Times New Roman" w:hAnsi="Times New Roman" w:eastAsia="宋体" w:cs="Times New Roman"/>
      <w:lang w:val="en-US" w:eastAsia="zh-CN" w:bidi="ar-SA"/>
    </w:rPr>
  </w:style>
  <w:style w:type="paragraph" w:styleId="799" w:customStyle="1">
    <w:name w:val="尾注文本11"/>
    <w:link w:val="800"/>
    <w:uiPriority w:val="99"/>
    <w:unhideWhenUsed/>
    <w:qFormat/>
    <w:rPr>
      <w:rFonts w:hint="default" w:ascii="Times New Roman" w:hAnsi="Times New Roman" w:eastAsia="宋体" w:cs="Times New Roman"/>
      <w:lang w:val="en-US" w:eastAsia="zh-CN" w:bidi="ar-SA"/>
    </w:rPr>
  </w:style>
  <w:style w:type="character" w:styleId="800" w:customStyle="1">
    <w:name w:val="尾注文本 字符"/>
    <w:basedOn w:val="753"/>
    <w:link w:val="799"/>
    <w:uiPriority w:val="99"/>
    <w:semiHidden/>
    <w:qFormat/>
  </w:style>
  <w:style w:type="paragraph" w:styleId="801" w:customStyle="1">
    <w:name w:val="页脚11"/>
    <w:link w:val="802"/>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802" w:customStyle="1">
    <w:name w:val="页脚 字符"/>
    <w:basedOn w:val="753"/>
    <w:link w:val="801"/>
    <w:uiPriority w:val="99"/>
    <w:qFormat/>
  </w:style>
  <w:style w:type="paragraph" w:styleId="803" w:customStyle="1">
    <w:name w:val="页眉11"/>
    <w:link w:val="804"/>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804" w:customStyle="1">
    <w:name w:val="页眉 字符"/>
    <w:basedOn w:val="753"/>
    <w:link w:val="803"/>
    <w:uiPriority w:val="99"/>
    <w:qFormat/>
  </w:style>
  <w:style w:type="paragraph" w:styleId="805" w:customStyle="1">
    <w:name w:val="目录 112"/>
    <w:basedOn w:val="704"/>
    <w:next w:val="704"/>
    <w:uiPriority w:val="0"/>
    <w:qFormat/>
    <w:pPr>
      <w:spacing w:before="120" w:after="120"/>
    </w:pPr>
    <w:rPr>
      <w:rFonts w:ascii="Calibri" w:hAnsi="Calibri"/>
      <w:b/>
      <w:bCs/>
      <w:caps/>
    </w:rPr>
  </w:style>
  <w:style w:type="paragraph" w:styleId="806" w:customStyle="1">
    <w:name w:val="目录 411"/>
    <w:next w:val="704"/>
    <w:uiPriority w:val="39"/>
    <w:unhideWhenUsed/>
    <w:qFormat/>
    <w:pPr>
      <w:ind w:left="850"/>
      <w:spacing w:after="57"/>
    </w:pPr>
    <w:rPr>
      <w:rFonts w:hint="default" w:ascii="Times New Roman" w:hAnsi="Times New Roman" w:eastAsia="宋体" w:cs="Times New Roman"/>
      <w:lang w:val="en-US" w:eastAsia="zh-CN" w:bidi="ar-SA"/>
    </w:rPr>
  </w:style>
  <w:style w:type="paragraph" w:styleId="807" w:customStyle="1">
    <w:name w:val="索引标题1"/>
    <w:basedOn w:val="704"/>
    <w:next w:val="808"/>
    <w:uiPriority w:val="99"/>
    <w:unhideWhenUsed/>
    <w:qFormat/>
    <w:pPr>
      <w:spacing w:line="500" w:lineRule="exact"/>
    </w:pPr>
    <w:rPr>
      <w:rFonts w:ascii="仿宋_GB2312" w:eastAsia="仿宋_GB2312"/>
      <w:sz w:val="28"/>
    </w:rPr>
  </w:style>
  <w:style w:type="paragraph" w:styleId="808" w:customStyle="1">
    <w:name w:val="索引 11"/>
    <w:basedOn w:val="704"/>
    <w:next w:val="704"/>
    <w:uiPriority w:val="99"/>
    <w:unhideWhenUsed/>
    <w:qFormat/>
    <w:pPr>
      <w:spacing w:line="288" w:lineRule="auto"/>
      <w:suppressLineNumbers/>
    </w:pPr>
    <w:rPr>
      <w:sz w:val="24"/>
    </w:rPr>
  </w:style>
  <w:style w:type="paragraph" w:styleId="809" w:customStyle="1">
    <w:name w:val="副标题11"/>
    <w:link w:val="810"/>
    <w:uiPriority w:val="11"/>
    <w:qFormat/>
    <w:pPr>
      <w:spacing w:before="200" w:after="200"/>
    </w:pPr>
    <w:rPr>
      <w:rFonts w:hint="default" w:ascii="Times New Roman" w:hAnsi="Times New Roman" w:eastAsia="宋体" w:cs="Times New Roman"/>
      <w:sz w:val="24"/>
      <w:szCs w:val="24"/>
      <w:lang w:val="en-US" w:eastAsia="zh-CN" w:bidi="ar-SA"/>
    </w:rPr>
  </w:style>
  <w:style w:type="character" w:styleId="810" w:customStyle="1">
    <w:name w:val="副标题 字符"/>
    <w:basedOn w:val="753"/>
    <w:link w:val="809"/>
    <w:uiPriority w:val="11"/>
    <w:qFormat/>
    <w:rPr>
      <w:sz w:val="24"/>
      <w:szCs w:val="24"/>
    </w:rPr>
  </w:style>
  <w:style w:type="paragraph" w:styleId="811" w:customStyle="1">
    <w:name w:val="脚注文本12"/>
    <w:link w:val="812"/>
    <w:uiPriority w:val="99"/>
    <w:unhideWhenUsed/>
    <w:qFormat/>
    <w:pPr>
      <w:spacing w:after="40"/>
    </w:pPr>
    <w:rPr>
      <w:rFonts w:hint="default" w:ascii="Times New Roman" w:hAnsi="Times New Roman" w:eastAsia="宋体" w:cs="Times New Roman"/>
      <w:sz w:val="18"/>
      <w:lang w:val="en-US" w:eastAsia="zh-CN" w:bidi="ar-SA"/>
    </w:rPr>
  </w:style>
  <w:style w:type="character" w:styleId="812" w:customStyle="1">
    <w:name w:val="脚注文本 字符"/>
    <w:basedOn w:val="753"/>
    <w:link w:val="811"/>
    <w:uiPriority w:val="99"/>
    <w:semiHidden/>
    <w:qFormat/>
    <w:rPr>
      <w:sz w:val="18"/>
    </w:rPr>
  </w:style>
  <w:style w:type="paragraph" w:styleId="813" w:customStyle="1">
    <w:name w:val="目录 611"/>
    <w:next w:val="704"/>
    <w:uiPriority w:val="39"/>
    <w:unhideWhenUsed/>
    <w:qFormat/>
    <w:pPr>
      <w:ind w:left="1417"/>
      <w:spacing w:after="57"/>
    </w:pPr>
    <w:rPr>
      <w:rFonts w:hint="default" w:ascii="Times New Roman" w:hAnsi="Times New Roman" w:eastAsia="宋体" w:cs="Times New Roman"/>
      <w:lang w:val="en-US" w:eastAsia="zh-CN" w:bidi="ar-SA"/>
    </w:rPr>
  </w:style>
  <w:style w:type="paragraph" w:styleId="814" w:customStyle="1">
    <w:name w:val="图表目录11"/>
    <w:next w:val="704"/>
    <w:uiPriority w:val="99"/>
    <w:unhideWhenUsed/>
    <w:qFormat/>
    <w:rPr>
      <w:rFonts w:hint="default" w:ascii="Times New Roman" w:hAnsi="Times New Roman" w:eastAsia="宋体" w:cs="Times New Roman"/>
      <w:lang w:val="en-US" w:eastAsia="zh-CN" w:bidi="ar-SA"/>
    </w:rPr>
  </w:style>
  <w:style w:type="paragraph" w:styleId="815" w:customStyle="1">
    <w:name w:val="目录 211"/>
    <w:next w:val="704"/>
    <w:uiPriority w:val="39"/>
    <w:unhideWhenUsed/>
    <w:qFormat/>
    <w:pPr>
      <w:ind w:left="283"/>
      <w:spacing w:after="57"/>
    </w:pPr>
    <w:rPr>
      <w:rFonts w:hint="default" w:ascii="Times New Roman" w:hAnsi="Times New Roman" w:eastAsia="宋体" w:cs="Times New Roman"/>
      <w:lang w:val="en-US" w:eastAsia="zh-CN" w:bidi="ar-SA"/>
    </w:rPr>
  </w:style>
  <w:style w:type="paragraph" w:styleId="816" w:customStyle="1">
    <w:name w:val="目录 911"/>
    <w:next w:val="704"/>
    <w:uiPriority w:val="39"/>
    <w:unhideWhenUsed/>
    <w:qFormat/>
    <w:pPr>
      <w:ind w:left="2268"/>
      <w:spacing w:after="57"/>
    </w:pPr>
    <w:rPr>
      <w:rFonts w:hint="default" w:ascii="Times New Roman" w:hAnsi="Times New Roman" w:eastAsia="宋体" w:cs="Times New Roman"/>
      <w:lang w:val="en-US" w:eastAsia="zh-CN" w:bidi="ar-SA"/>
    </w:rPr>
  </w:style>
  <w:style w:type="paragraph" w:styleId="817" w:customStyle="1">
    <w:name w:val="普通(网站)11"/>
    <w:basedOn w:val="704"/>
    <w:uiPriority w:val="99"/>
    <w:unhideWhenUsed/>
    <w:qFormat/>
    <w:pPr>
      <w:ind w:left="0" w:right="0"/>
      <w:jc w:val="left"/>
      <w:spacing w:before="100" w:beforeAutospacing="1" w:after="100" w:afterAutospacing="1"/>
    </w:pPr>
    <w:rPr>
      <w:sz w:val="24"/>
      <w:lang w:val="en-US" w:eastAsia="zh-CN" w:bidi="ar"/>
    </w:rPr>
  </w:style>
  <w:style w:type="paragraph" w:styleId="818" w:customStyle="1">
    <w:name w:val="标题2"/>
    <w:link w:val="819"/>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819" w:customStyle="1">
    <w:name w:val="标题 字符"/>
    <w:basedOn w:val="753"/>
    <w:link w:val="818"/>
    <w:uiPriority w:val="10"/>
    <w:qFormat/>
    <w:rPr>
      <w:sz w:val="48"/>
      <w:szCs w:val="48"/>
    </w:rPr>
  </w:style>
  <w:style w:type="paragraph" w:styleId="820" w:customStyle="1">
    <w:name w:val="正文首行缩进 212"/>
    <w:basedOn w:val="772"/>
    <w:next w:val="770"/>
    <w:uiPriority w:val="0"/>
    <w:qFormat/>
    <w:pPr>
      <w:ind w:firstLine="420"/>
      <w:spacing w:line="360" w:lineRule="auto"/>
    </w:pPr>
    <w:rPr>
      <w:color w:val="000000"/>
    </w:rPr>
  </w:style>
  <w:style w:type="table" w:styleId="821" w:customStyle="1">
    <w:name w:val="网格型11"/>
    <w:uiPriority w:val="59"/>
    <w:qFormat/>
    <w:tblPr/>
  </w:style>
  <w:style w:type="character" w:styleId="822" w:customStyle="1">
    <w:name w:val="尾注引用11"/>
    <w:link w:val="704"/>
    <w:uiPriority w:val="99"/>
    <w:unhideWhenUsed/>
    <w:qFormat/>
    <w:rPr>
      <w:vertAlign w:val="superscript"/>
    </w:rPr>
  </w:style>
  <w:style w:type="character" w:styleId="823" w:customStyle="1">
    <w:name w:val="已访问的超链接11"/>
    <w:basedOn w:val="753"/>
    <w:link w:val="704"/>
    <w:uiPriority w:val="99"/>
    <w:unhideWhenUsed/>
    <w:qFormat/>
    <w:rPr>
      <w:color w:val="800080"/>
      <w:u w:val="single"/>
    </w:rPr>
  </w:style>
  <w:style w:type="character" w:styleId="824" w:customStyle="1">
    <w:name w:val="超链接11"/>
    <w:link w:val="704"/>
    <w:uiPriority w:val="99"/>
    <w:unhideWhenUsed/>
    <w:qFormat/>
    <w:rPr>
      <w:color w:val="0000ff"/>
      <w:u w:val="single"/>
    </w:rPr>
  </w:style>
  <w:style w:type="character" w:styleId="825" w:customStyle="1">
    <w:name w:val="脚注引用11"/>
    <w:link w:val="704"/>
    <w:uiPriority w:val="99"/>
    <w:unhideWhenUsed/>
    <w:qFormat/>
    <w:rPr>
      <w:vertAlign w:val="superscript"/>
    </w:rPr>
  </w:style>
  <w:style w:type="paragraph" w:styleId="826" w:customStyle="1">
    <w:name w:val="文本块11"/>
    <w:basedOn w:val="785"/>
    <w:uiPriority w:val="0"/>
    <w:qFormat/>
    <w:pPr>
      <w:ind w:left="1440" w:right="1440"/>
      <w:spacing w:after="120"/>
    </w:pPr>
  </w:style>
  <w:style w:type="paragraph" w:styleId="827" w:customStyle="1">
    <w:name w:val="正文缩进1"/>
    <w:basedOn w:val="744"/>
    <w:uiPriority w:val="0"/>
    <w:qFormat/>
    <w:pPr>
      <w:ind w:firstLine="420"/>
    </w:pPr>
  </w:style>
  <w:style w:type="character" w:styleId="828" w:customStyle="1">
    <w:name w:val="Quote Char"/>
    <w:link w:val="704"/>
    <w:uiPriority w:val="29"/>
    <w:qFormat/>
    <w:rPr>
      <w:i/>
    </w:rPr>
  </w:style>
  <w:style w:type="character" w:styleId="829" w:customStyle="1">
    <w:name w:val="Intense Quote Char"/>
    <w:link w:val="704"/>
    <w:uiPriority w:val="30"/>
    <w:qFormat/>
    <w:rPr>
      <w:i/>
    </w:rPr>
  </w:style>
  <w:style w:type="table" w:styleId="830" w:customStyle="1">
    <w:name w:val="Plain Table 1"/>
    <w:basedOn w:val="754"/>
    <w:uiPriority w:val="59"/>
    <w:qFormat/>
    <w:pPr>
      <w:spacing w:after="0" w:line="240" w:lineRule="auto"/>
    </w:pPr>
    <w:tblPr/>
  </w:style>
  <w:style w:type="table" w:styleId="831" w:customStyle="1">
    <w:name w:val="Plain Table 2"/>
    <w:basedOn w:val="754"/>
    <w:uiPriority w:val="59"/>
    <w:qFormat/>
    <w:pPr>
      <w:spacing w:after="0" w:line="240" w:lineRule="auto"/>
    </w:pPr>
    <w:tblPr/>
  </w:style>
  <w:style w:type="table" w:styleId="832" w:customStyle="1">
    <w:name w:val="Plain Table 3"/>
    <w:basedOn w:val="754"/>
    <w:uiPriority w:val="99"/>
    <w:qFormat/>
    <w:pPr>
      <w:spacing w:after="0" w:line="240" w:lineRule="auto"/>
    </w:pPr>
    <w:tblPr/>
  </w:style>
  <w:style w:type="table" w:styleId="833" w:customStyle="1">
    <w:name w:val="Plain Table 4"/>
    <w:basedOn w:val="754"/>
    <w:uiPriority w:val="99"/>
    <w:qFormat/>
    <w:pPr>
      <w:spacing w:after="0" w:line="240" w:lineRule="auto"/>
    </w:pPr>
    <w:tblPr/>
  </w:style>
  <w:style w:type="table" w:styleId="834" w:customStyle="1">
    <w:name w:val="Plain Table 5"/>
    <w:basedOn w:val="754"/>
    <w:uiPriority w:val="99"/>
    <w:qFormat/>
    <w:pPr>
      <w:spacing w:after="0" w:line="240" w:lineRule="auto"/>
    </w:pPr>
    <w:tblPr/>
  </w:style>
  <w:style w:type="table" w:styleId="835" w:customStyle="1">
    <w:name w:val="Grid Table 1 Light"/>
    <w:basedOn w:val="754"/>
    <w:uiPriority w:val="99"/>
    <w:qFormat/>
    <w:pPr>
      <w:spacing w:after="0" w:line="240" w:lineRule="auto"/>
    </w:pPr>
    <w:tblPr/>
  </w:style>
  <w:style w:type="table" w:styleId="836" w:customStyle="1">
    <w:name w:val="Grid Table 2"/>
    <w:basedOn w:val="754"/>
    <w:uiPriority w:val="99"/>
    <w:qFormat/>
    <w:pPr>
      <w:spacing w:after="0" w:line="240" w:lineRule="auto"/>
    </w:pPr>
    <w:tblPr/>
  </w:style>
  <w:style w:type="table" w:styleId="837" w:customStyle="1">
    <w:name w:val="Grid Table 3"/>
    <w:basedOn w:val="754"/>
    <w:uiPriority w:val="99"/>
    <w:qFormat/>
    <w:pPr>
      <w:spacing w:after="0" w:line="240" w:lineRule="auto"/>
    </w:pPr>
    <w:tblPr/>
  </w:style>
  <w:style w:type="table" w:styleId="838" w:customStyle="1">
    <w:name w:val="Grid Table 4"/>
    <w:basedOn w:val="754"/>
    <w:uiPriority w:val="59"/>
    <w:qFormat/>
    <w:pPr>
      <w:spacing w:after="0" w:line="240" w:lineRule="auto"/>
    </w:pPr>
    <w:tblPr/>
  </w:style>
  <w:style w:type="table" w:styleId="839" w:customStyle="1">
    <w:name w:val="Grid Table 5 Dark"/>
    <w:basedOn w:val="754"/>
    <w:uiPriority w:val="99"/>
    <w:qFormat/>
    <w:pPr>
      <w:spacing w:after="0" w:line="240" w:lineRule="auto"/>
    </w:pPr>
    <w:tblPr/>
  </w:style>
  <w:style w:type="table" w:styleId="840" w:customStyle="1">
    <w:name w:val="Grid Table 6 Colorful"/>
    <w:basedOn w:val="754"/>
    <w:uiPriority w:val="99"/>
    <w:qFormat/>
    <w:pPr>
      <w:spacing w:after="0" w:line="240" w:lineRule="auto"/>
    </w:pPr>
    <w:tblPr/>
  </w:style>
  <w:style w:type="table" w:styleId="841" w:customStyle="1">
    <w:name w:val="Grid Table 7 Colorful"/>
    <w:basedOn w:val="754"/>
    <w:uiPriority w:val="99"/>
    <w:qFormat/>
    <w:pPr>
      <w:spacing w:after="0" w:line="240" w:lineRule="auto"/>
    </w:pPr>
    <w:tblPr/>
  </w:style>
  <w:style w:type="table" w:styleId="842" w:customStyle="1">
    <w:name w:val="List Table 1 Light"/>
    <w:basedOn w:val="754"/>
    <w:uiPriority w:val="99"/>
    <w:qFormat/>
    <w:pPr>
      <w:spacing w:after="0" w:line="240" w:lineRule="auto"/>
    </w:pPr>
    <w:tblPr/>
  </w:style>
  <w:style w:type="table" w:styleId="843" w:customStyle="1">
    <w:name w:val="List Table 2"/>
    <w:basedOn w:val="754"/>
    <w:uiPriority w:val="99"/>
    <w:qFormat/>
    <w:pPr>
      <w:spacing w:after="0" w:line="240" w:lineRule="auto"/>
    </w:pPr>
    <w:tblPr/>
  </w:style>
  <w:style w:type="table" w:styleId="844" w:customStyle="1">
    <w:name w:val="List Table 3"/>
    <w:basedOn w:val="754"/>
    <w:uiPriority w:val="99"/>
    <w:qFormat/>
    <w:pPr>
      <w:spacing w:after="0" w:line="240" w:lineRule="auto"/>
    </w:pPr>
    <w:tblPr/>
  </w:style>
  <w:style w:type="table" w:styleId="845" w:customStyle="1">
    <w:name w:val="List Table 4"/>
    <w:basedOn w:val="754"/>
    <w:uiPriority w:val="99"/>
    <w:qFormat/>
    <w:pPr>
      <w:spacing w:after="0" w:line="240" w:lineRule="auto"/>
    </w:pPr>
    <w:tblPr/>
  </w:style>
  <w:style w:type="table" w:styleId="846" w:customStyle="1">
    <w:name w:val="List Table 5 Dark"/>
    <w:basedOn w:val="754"/>
    <w:uiPriority w:val="99"/>
    <w:qFormat/>
    <w:pPr>
      <w:spacing w:after="0" w:line="240" w:lineRule="auto"/>
    </w:pPr>
    <w:tblPr/>
  </w:style>
  <w:style w:type="table" w:styleId="847" w:customStyle="1">
    <w:name w:val="List Table 6 Colorful"/>
    <w:basedOn w:val="754"/>
    <w:uiPriority w:val="99"/>
    <w:qFormat/>
    <w:pPr>
      <w:spacing w:after="0" w:line="240" w:lineRule="auto"/>
    </w:pPr>
    <w:tblPr/>
  </w:style>
  <w:style w:type="table" w:styleId="848" w:customStyle="1">
    <w:name w:val="List Table 7 Colorful"/>
    <w:basedOn w:val="754"/>
    <w:uiPriority w:val="99"/>
    <w:qFormat/>
    <w:pPr>
      <w:spacing w:after="0" w:line="240" w:lineRule="auto"/>
    </w:pPr>
    <w:tblPr/>
  </w:style>
  <w:style w:type="paragraph" w:styleId="849" w:customStyle="1">
    <w:name w:val="TOC Heading"/>
    <w:uiPriority w:val="39"/>
    <w:unhideWhenUsed/>
    <w:qFormat/>
    <w:rPr>
      <w:rFonts w:hint="default" w:ascii="Times New Roman" w:hAnsi="Times New Roman" w:eastAsia="宋体" w:cs="Times New Roman"/>
    </w:rPr>
  </w:style>
  <w:style w:type="paragraph" w:styleId="850" w:customStyle="1">
    <w:name w:val="标题 11"/>
    <w:basedOn w:val="744"/>
    <w:next w:val="744"/>
    <w:link w:val="851"/>
    <w:uiPriority w:val="0"/>
    <w:qFormat/>
    <w:pPr>
      <w:jc w:val="center"/>
      <w:keepLines/>
      <w:keepNext/>
      <w:spacing w:line="578" w:lineRule="auto"/>
      <w:outlineLvl w:val="0"/>
    </w:pPr>
    <w:rPr>
      <w:rFonts w:eastAsia="新宋体"/>
      <w:b/>
      <w:bCs/>
      <w:sz w:val="30"/>
      <w:szCs w:val="44"/>
    </w:rPr>
  </w:style>
  <w:style w:type="character" w:styleId="851" w:customStyle="1">
    <w:name w:val="标题 1 Char"/>
    <w:basedOn w:val="794"/>
    <w:link w:val="850"/>
    <w:uiPriority w:val="0"/>
    <w:qFormat/>
    <w:rPr>
      <w:rFonts w:ascii="Times New Roman" w:hAnsi="Times New Roman" w:eastAsia="新宋体"/>
      <w:b/>
      <w:bCs/>
      <w:sz w:val="30"/>
      <w:szCs w:val="44"/>
    </w:rPr>
  </w:style>
  <w:style w:type="character" w:styleId="852" w:customStyle="1">
    <w:name w:val="标题 2 Char"/>
    <w:basedOn w:val="794"/>
    <w:link w:val="743"/>
    <w:uiPriority w:val="0"/>
    <w:qFormat/>
    <w:rPr>
      <w:rFonts w:ascii="Calibri Light" w:hAnsi="Calibri Light" w:eastAsia="Arial"/>
      <w:b/>
      <w:bCs/>
      <w:sz w:val="32"/>
      <w:szCs w:val="32"/>
    </w:rPr>
  </w:style>
  <w:style w:type="paragraph" w:styleId="853" w:customStyle="1">
    <w:name w:val="标题 31"/>
    <w:basedOn w:val="744"/>
    <w:next w:val="744"/>
    <w:link w:val="854"/>
    <w:uiPriority w:val="0"/>
    <w:qFormat/>
    <w:pPr>
      <w:keepLines/>
      <w:keepNext/>
      <w:spacing w:before="260" w:after="260" w:line="416" w:lineRule="auto"/>
      <w:outlineLvl w:val="2"/>
    </w:pPr>
    <w:rPr>
      <w:b/>
      <w:bCs/>
      <w:sz w:val="32"/>
      <w:szCs w:val="32"/>
    </w:rPr>
  </w:style>
  <w:style w:type="character" w:styleId="854" w:customStyle="1">
    <w:name w:val="标题 3 Char"/>
    <w:basedOn w:val="794"/>
    <w:link w:val="853"/>
    <w:uiPriority w:val="0"/>
    <w:qFormat/>
    <w:rPr>
      <w:rFonts w:ascii="Times New Roman" w:hAnsi="Times New Roman" w:eastAsia="宋体"/>
      <w:b/>
      <w:bCs/>
      <w:sz w:val="32"/>
      <w:szCs w:val="32"/>
    </w:rPr>
  </w:style>
  <w:style w:type="paragraph" w:styleId="855" w:customStyle="1">
    <w:name w:val="标题 51"/>
    <w:basedOn w:val="744"/>
    <w:next w:val="744"/>
    <w:link w:val="856"/>
    <w:uiPriority w:val="0"/>
    <w:qFormat/>
    <w:pPr>
      <w:keepLines/>
      <w:keepNext/>
      <w:spacing w:before="320" w:after="200"/>
      <w:outlineLvl w:val="4"/>
    </w:pPr>
    <w:rPr>
      <w:rFonts w:ascii="Arial" w:hAnsi="Arial" w:eastAsia="Arial"/>
      <w:b/>
      <w:bCs/>
      <w:sz w:val="24"/>
    </w:rPr>
  </w:style>
  <w:style w:type="character" w:styleId="856" w:customStyle="1">
    <w:name w:val="Heading 5 Char"/>
    <w:basedOn w:val="794"/>
    <w:link w:val="855"/>
    <w:uiPriority w:val="0"/>
    <w:qFormat/>
    <w:rPr>
      <w:rFonts w:ascii="Arial" w:hAnsi="Arial" w:eastAsia="Arial"/>
      <w:b/>
      <w:bCs/>
      <w:sz w:val="24"/>
      <w:szCs w:val="24"/>
    </w:rPr>
  </w:style>
  <w:style w:type="paragraph" w:styleId="857" w:customStyle="1">
    <w:name w:val="标题 61"/>
    <w:basedOn w:val="744"/>
    <w:next w:val="744"/>
    <w:link w:val="858"/>
    <w:uiPriority w:val="0"/>
    <w:qFormat/>
    <w:pPr>
      <w:keepLines/>
      <w:keepNext/>
      <w:spacing w:before="320" w:after="200"/>
      <w:outlineLvl w:val="5"/>
    </w:pPr>
    <w:rPr>
      <w:rFonts w:ascii="Arial" w:hAnsi="Arial" w:eastAsia="Arial"/>
      <w:b/>
      <w:bCs/>
      <w:sz w:val="22"/>
      <w:szCs w:val="22"/>
    </w:rPr>
  </w:style>
  <w:style w:type="character" w:styleId="858" w:customStyle="1">
    <w:name w:val="Heading 6 Char"/>
    <w:basedOn w:val="794"/>
    <w:link w:val="857"/>
    <w:uiPriority w:val="0"/>
    <w:qFormat/>
    <w:rPr>
      <w:rFonts w:ascii="Arial" w:hAnsi="Arial" w:eastAsia="Arial"/>
      <w:b/>
      <w:bCs/>
      <w:sz w:val="22"/>
      <w:szCs w:val="22"/>
    </w:rPr>
  </w:style>
  <w:style w:type="paragraph" w:styleId="859" w:customStyle="1">
    <w:name w:val="标题 71"/>
    <w:basedOn w:val="744"/>
    <w:next w:val="744"/>
    <w:link w:val="860"/>
    <w:uiPriority w:val="0"/>
    <w:qFormat/>
    <w:pPr>
      <w:keepLines/>
      <w:keepNext/>
      <w:spacing w:before="320" w:after="200"/>
      <w:outlineLvl w:val="6"/>
    </w:pPr>
    <w:rPr>
      <w:rFonts w:ascii="Arial" w:hAnsi="Arial" w:eastAsia="Arial"/>
      <w:b/>
      <w:bCs/>
      <w:i/>
      <w:iCs/>
      <w:sz w:val="22"/>
      <w:szCs w:val="22"/>
    </w:rPr>
  </w:style>
  <w:style w:type="character" w:styleId="860" w:customStyle="1">
    <w:name w:val="Heading 7 Char"/>
    <w:basedOn w:val="794"/>
    <w:link w:val="859"/>
    <w:uiPriority w:val="0"/>
    <w:qFormat/>
    <w:rPr>
      <w:rFonts w:ascii="Arial" w:hAnsi="Arial" w:eastAsia="Arial"/>
      <w:b/>
      <w:bCs/>
      <w:i/>
      <w:iCs/>
      <w:sz w:val="22"/>
      <w:szCs w:val="22"/>
    </w:rPr>
  </w:style>
  <w:style w:type="paragraph" w:styleId="861" w:customStyle="1">
    <w:name w:val="标题 81"/>
    <w:basedOn w:val="744"/>
    <w:next w:val="744"/>
    <w:link w:val="862"/>
    <w:uiPriority w:val="0"/>
    <w:qFormat/>
    <w:pPr>
      <w:keepLines/>
      <w:keepNext/>
      <w:spacing w:before="320" w:after="200"/>
      <w:outlineLvl w:val="7"/>
    </w:pPr>
    <w:rPr>
      <w:rFonts w:ascii="Arial" w:hAnsi="Arial" w:eastAsia="Arial"/>
      <w:i/>
      <w:iCs/>
      <w:sz w:val="22"/>
      <w:szCs w:val="22"/>
    </w:rPr>
  </w:style>
  <w:style w:type="character" w:styleId="862" w:customStyle="1">
    <w:name w:val="Heading 8 Char"/>
    <w:basedOn w:val="794"/>
    <w:link w:val="861"/>
    <w:uiPriority w:val="0"/>
    <w:qFormat/>
    <w:rPr>
      <w:rFonts w:ascii="Arial" w:hAnsi="Arial" w:eastAsia="Arial"/>
      <w:i/>
      <w:iCs/>
      <w:sz w:val="22"/>
      <w:szCs w:val="22"/>
    </w:rPr>
  </w:style>
  <w:style w:type="paragraph" w:styleId="863" w:customStyle="1">
    <w:name w:val="标题 91"/>
    <w:basedOn w:val="744"/>
    <w:next w:val="744"/>
    <w:link w:val="864"/>
    <w:uiPriority w:val="0"/>
    <w:qFormat/>
    <w:pPr>
      <w:keepLines/>
      <w:keepNext/>
      <w:spacing w:before="320" w:after="200"/>
      <w:outlineLvl w:val="8"/>
    </w:pPr>
    <w:rPr>
      <w:rFonts w:ascii="Arial" w:hAnsi="Arial" w:eastAsia="Arial"/>
      <w:i/>
      <w:iCs/>
      <w:szCs w:val="21"/>
    </w:rPr>
  </w:style>
  <w:style w:type="character" w:styleId="864" w:customStyle="1">
    <w:name w:val="Heading 9 Char"/>
    <w:basedOn w:val="794"/>
    <w:link w:val="863"/>
    <w:uiPriority w:val="0"/>
    <w:qFormat/>
    <w:rPr>
      <w:rFonts w:ascii="Arial" w:hAnsi="Arial" w:eastAsia="Arial"/>
      <w:i/>
      <w:iCs/>
      <w:sz w:val="21"/>
      <w:szCs w:val="21"/>
    </w:rPr>
  </w:style>
  <w:style w:type="table" w:styleId="865" w:customStyle="1">
    <w:name w:val="普通表格1"/>
    <w:uiPriority w:val="0"/>
    <w:qFormat/>
    <w:tblPr/>
  </w:style>
  <w:style w:type="paragraph" w:styleId="866" w:customStyle="1">
    <w:name w:val="目录 71"/>
    <w:basedOn w:val="744"/>
    <w:next w:val="744"/>
    <w:uiPriority w:val="0"/>
    <w:qFormat/>
    <w:pPr>
      <w:ind w:left="1701"/>
      <w:spacing w:after="57"/>
    </w:pPr>
  </w:style>
  <w:style w:type="paragraph" w:styleId="867" w:customStyle="1">
    <w:name w:val="题注1"/>
    <w:basedOn w:val="744"/>
    <w:next w:val="744"/>
    <w:uiPriority w:val="0"/>
    <w:qFormat/>
    <w:pPr>
      <w:spacing w:line="276" w:lineRule="auto"/>
    </w:pPr>
    <w:rPr>
      <w:b/>
      <w:bCs/>
      <w:color w:val="5b9bd5"/>
      <w:sz w:val="18"/>
      <w:szCs w:val="18"/>
    </w:rPr>
  </w:style>
  <w:style w:type="paragraph" w:styleId="868" w:customStyle="1">
    <w:name w:val="索引 511"/>
    <w:basedOn w:val="744"/>
    <w:next w:val="744"/>
    <w:uiPriority w:val="0"/>
    <w:qFormat/>
    <w:pPr>
      <w:ind w:left="798"/>
      <w:jc w:val="left"/>
    </w:pPr>
    <w:rPr>
      <w:rFonts w:ascii="Calibri" w:hAnsi="Calibri"/>
    </w:rPr>
  </w:style>
  <w:style w:type="paragraph" w:styleId="869" w:customStyle="1">
    <w:name w:val="批注文字1"/>
    <w:basedOn w:val="744"/>
    <w:link w:val="870"/>
    <w:uiPriority w:val="0"/>
    <w:qFormat/>
    <w:pPr>
      <w:jc w:val="left"/>
    </w:pPr>
  </w:style>
  <w:style w:type="character" w:styleId="870" w:customStyle="1">
    <w:name w:val="批注文字 Char"/>
    <w:basedOn w:val="794"/>
    <w:link w:val="869"/>
    <w:uiPriority w:val="0"/>
    <w:qFormat/>
    <w:rPr>
      <w:rFonts w:ascii="Times New Roman" w:hAnsi="Times New Roman" w:eastAsia="宋体"/>
      <w:sz w:val="21"/>
      <w:szCs w:val="24"/>
    </w:rPr>
  </w:style>
  <w:style w:type="paragraph" w:styleId="87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72" w:customStyle="1">
    <w:name w:val="正文文本 Char"/>
    <w:basedOn w:val="794"/>
    <w:link w:val="792"/>
    <w:uiPriority w:val="0"/>
    <w:qFormat/>
    <w:rPr>
      <w:rFonts w:ascii="Calibri" w:hAnsi="Calibri" w:eastAsia="宋体"/>
      <w:sz w:val="21"/>
      <w:szCs w:val="24"/>
    </w:rPr>
  </w:style>
  <w:style w:type="paragraph" w:styleId="873" w:customStyle="1">
    <w:name w:val="寄信人地址11"/>
    <w:basedOn w:val="744"/>
    <w:uiPriority w:val="0"/>
    <w:qFormat/>
    <w:rPr>
      <w:rFonts w:ascii="Arial" w:hAnsi="Arial"/>
    </w:rPr>
  </w:style>
  <w:style w:type="paragraph" w:styleId="874" w:customStyle="1">
    <w:name w:val="索引 411"/>
    <w:basedOn w:val="744"/>
    <w:next w:val="744"/>
    <w:uiPriority w:val="0"/>
    <w:qFormat/>
    <w:pPr>
      <w:ind w:left="600"/>
    </w:pPr>
    <w:rPr>
      <w:rFonts w:ascii="Calibri" w:hAnsi="Calibri"/>
    </w:rPr>
  </w:style>
  <w:style w:type="paragraph" w:styleId="875" w:customStyle="1">
    <w:name w:val="目录 51"/>
    <w:basedOn w:val="744"/>
    <w:next w:val="744"/>
    <w:uiPriority w:val="0"/>
    <w:qFormat/>
    <w:pPr>
      <w:ind w:left="1134"/>
      <w:spacing w:after="57"/>
    </w:pPr>
  </w:style>
  <w:style w:type="paragraph" w:styleId="876" w:customStyle="1">
    <w:name w:val="目录 31"/>
    <w:basedOn w:val="744"/>
    <w:next w:val="744"/>
    <w:uiPriority w:val="0"/>
    <w:qFormat/>
    <w:pPr>
      <w:ind w:left="567"/>
      <w:spacing w:after="57"/>
    </w:pPr>
  </w:style>
  <w:style w:type="paragraph" w:styleId="877" w:customStyle="1">
    <w:name w:val="纯文本1"/>
    <w:basedOn w:val="744"/>
    <w:uiPriority w:val="0"/>
    <w:qFormat/>
    <w:rPr>
      <w:rFonts w:ascii="宋体" w:hAnsi="Courier New"/>
      <w:sz w:val="20"/>
      <w:szCs w:val="20"/>
    </w:rPr>
  </w:style>
  <w:style w:type="paragraph" w:styleId="878" w:customStyle="1">
    <w:name w:val="目录 81"/>
    <w:basedOn w:val="744"/>
    <w:next w:val="744"/>
    <w:uiPriority w:val="0"/>
    <w:qFormat/>
    <w:pPr>
      <w:ind w:left="1984"/>
      <w:spacing w:after="57"/>
    </w:pPr>
  </w:style>
  <w:style w:type="paragraph" w:styleId="879" w:customStyle="1">
    <w:name w:val="日期1"/>
    <w:basedOn w:val="744"/>
    <w:next w:val="744"/>
    <w:uiPriority w:val="0"/>
    <w:qFormat/>
    <w:rPr>
      <w:rFonts w:eastAsia="仿宋_GB2312"/>
      <w:sz w:val="28"/>
      <w:szCs w:val="20"/>
    </w:rPr>
  </w:style>
  <w:style w:type="paragraph" w:styleId="880" w:customStyle="1">
    <w:name w:val="尾注文本1"/>
    <w:basedOn w:val="744"/>
    <w:link w:val="881"/>
    <w:uiPriority w:val="0"/>
    <w:qFormat/>
    <w:rPr>
      <w:sz w:val="20"/>
    </w:rPr>
  </w:style>
  <w:style w:type="character" w:styleId="881" w:customStyle="1">
    <w:name w:val="Endnote Text Char"/>
    <w:link w:val="880"/>
    <w:uiPriority w:val="0"/>
    <w:qFormat/>
    <w:rPr>
      <w:sz w:val="20"/>
    </w:rPr>
  </w:style>
  <w:style w:type="paragraph" w:styleId="882" w:customStyle="1">
    <w:name w:val="批注框文本1"/>
    <w:basedOn w:val="744"/>
    <w:link w:val="883"/>
    <w:uiPriority w:val="0"/>
    <w:qFormat/>
    <w:rPr>
      <w:sz w:val="18"/>
      <w:szCs w:val="18"/>
    </w:rPr>
  </w:style>
  <w:style w:type="character" w:styleId="883" w:customStyle="1">
    <w:name w:val="批注框文本 Char"/>
    <w:basedOn w:val="794"/>
    <w:link w:val="882"/>
    <w:uiPriority w:val="0"/>
    <w:qFormat/>
    <w:rPr>
      <w:rFonts w:ascii="Times New Roman" w:hAnsi="Times New Roman" w:eastAsia="宋体"/>
      <w:sz w:val="18"/>
      <w:szCs w:val="18"/>
    </w:rPr>
  </w:style>
  <w:style w:type="paragraph" w:styleId="884" w:customStyle="1">
    <w:name w:val="页脚1"/>
    <w:basedOn w:val="744"/>
    <w:link w:val="885"/>
    <w:uiPriority w:val="0"/>
    <w:qFormat/>
    <w:pPr>
      <w:jc w:val="left"/>
      <w:tabs>
        <w:tab w:val="center" w:pos="4153" w:leader="none"/>
        <w:tab w:val="right" w:pos="8306" w:leader="none"/>
      </w:tabs>
    </w:pPr>
    <w:rPr>
      <w:sz w:val="18"/>
      <w:szCs w:val="18"/>
    </w:rPr>
  </w:style>
  <w:style w:type="character" w:styleId="885" w:customStyle="1">
    <w:name w:val="页脚 Char"/>
    <w:basedOn w:val="794"/>
    <w:link w:val="884"/>
    <w:uiPriority w:val="0"/>
    <w:qFormat/>
    <w:rPr>
      <w:rFonts w:ascii="Times New Roman" w:hAnsi="Times New Roman" w:eastAsia="宋体"/>
      <w:sz w:val="18"/>
      <w:szCs w:val="18"/>
    </w:rPr>
  </w:style>
  <w:style w:type="paragraph" w:styleId="886" w:customStyle="1">
    <w:name w:val="页眉1"/>
    <w:basedOn w:val="744"/>
    <w:link w:val="887"/>
    <w:uiPriority w:val="0"/>
    <w:qFormat/>
    <w:pPr>
      <w:jc w:val="center"/>
      <w:tabs>
        <w:tab w:val="center" w:pos="4153" w:leader="none"/>
        <w:tab w:val="right" w:pos="8306" w:leader="none"/>
      </w:tabs>
      <w:pBdr>
        <w:bottom w:val="single" w:color="000000" w:sz="6" w:space="1"/>
      </w:pBdr>
    </w:pPr>
    <w:rPr>
      <w:sz w:val="18"/>
      <w:szCs w:val="18"/>
    </w:rPr>
  </w:style>
  <w:style w:type="character" w:styleId="887" w:customStyle="1">
    <w:name w:val="页眉 Char"/>
    <w:basedOn w:val="794"/>
    <w:link w:val="886"/>
    <w:uiPriority w:val="0"/>
    <w:qFormat/>
    <w:rPr>
      <w:rFonts w:ascii="Times New Roman" w:hAnsi="Times New Roman" w:eastAsia="宋体"/>
      <w:sz w:val="18"/>
      <w:szCs w:val="18"/>
    </w:rPr>
  </w:style>
  <w:style w:type="paragraph" w:styleId="888" w:customStyle="1">
    <w:name w:val="目录 111"/>
    <w:basedOn w:val="744"/>
    <w:next w:val="744"/>
    <w:uiPriority w:val="0"/>
    <w:qFormat/>
  </w:style>
  <w:style w:type="paragraph" w:styleId="889" w:customStyle="1">
    <w:name w:val="目录 41"/>
    <w:basedOn w:val="744"/>
    <w:next w:val="744"/>
    <w:uiPriority w:val="0"/>
    <w:qFormat/>
    <w:pPr>
      <w:ind w:left="850"/>
      <w:spacing w:after="57"/>
    </w:pPr>
  </w:style>
  <w:style w:type="paragraph" w:styleId="890" w:customStyle="1">
    <w:name w:val="副标题1"/>
    <w:basedOn w:val="744"/>
    <w:next w:val="744"/>
    <w:link w:val="891"/>
    <w:uiPriority w:val="0"/>
    <w:qFormat/>
    <w:pPr>
      <w:spacing w:before="200" w:after="200"/>
    </w:pPr>
    <w:rPr>
      <w:sz w:val="24"/>
    </w:rPr>
  </w:style>
  <w:style w:type="character" w:styleId="891" w:customStyle="1">
    <w:name w:val="Subtitle Char"/>
    <w:basedOn w:val="794"/>
    <w:link w:val="890"/>
    <w:uiPriority w:val="0"/>
    <w:qFormat/>
    <w:rPr>
      <w:sz w:val="24"/>
      <w:szCs w:val="24"/>
    </w:rPr>
  </w:style>
  <w:style w:type="paragraph" w:styleId="892" w:customStyle="1">
    <w:name w:val="脚注文本11"/>
    <w:basedOn w:val="744"/>
    <w:next w:val="868"/>
    <w:uiPriority w:val="0"/>
    <w:qFormat/>
    <w:pPr>
      <w:jc w:val="left"/>
    </w:pPr>
    <w:rPr>
      <w:rFonts w:ascii="宋体" w:eastAsia="Times New Roman"/>
      <w:sz w:val="18"/>
      <w:szCs w:val="18"/>
    </w:rPr>
  </w:style>
  <w:style w:type="paragraph" w:styleId="893" w:customStyle="1">
    <w:name w:val="目录 61"/>
    <w:basedOn w:val="744"/>
    <w:next w:val="744"/>
    <w:uiPriority w:val="0"/>
    <w:qFormat/>
    <w:pPr>
      <w:ind w:left="1417"/>
      <w:spacing w:after="57"/>
    </w:pPr>
  </w:style>
  <w:style w:type="paragraph" w:styleId="894" w:customStyle="1">
    <w:name w:val="图表目录1"/>
    <w:basedOn w:val="744"/>
    <w:next w:val="744"/>
    <w:uiPriority w:val="0"/>
    <w:qFormat/>
  </w:style>
  <w:style w:type="paragraph" w:styleId="895" w:customStyle="1">
    <w:name w:val="目录 21"/>
    <w:basedOn w:val="744"/>
    <w:next w:val="744"/>
    <w:uiPriority w:val="0"/>
    <w:qFormat/>
    <w:pPr>
      <w:ind w:left="283"/>
      <w:spacing w:after="57"/>
    </w:pPr>
  </w:style>
  <w:style w:type="paragraph" w:styleId="896" w:customStyle="1">
    <w:name w:val="目录 91"/>
    <w:basedOn w:val="744"/>
    <w:next w:val="744"/>
    <w:uiPriority w:val="0"/>
    <w:qFormat/>
    <w:pPr>
      <w:ind w:left="2268"/>
      <w:spacing w:after="57"/>
    </w:pPr>
  </w:style>
  <w:style w:type="paragraph" w:styleId="897" w:customStyle="1">
    <w:name w:val="普通(网站)1"/>
    <w:basedOn w:val="744"/>
    <w:uiPriority w:val="0"/>
    <w:qFormat/>
    <w:pPr>
      <w:jc w:val="left"/>
      <w:spacing w:before="100" w:beforeAutospacing="1" w:after="100" w:afterAutospacing="1"/>
      <w:widowControl/>
    </w:pPr>
    <w:rPr>
      <w:rFonts w:ascii="宋体" w:hAnsi="宋体"/>
      <w:sz w:val="24"/>
    </w:rPr>
  </w:style>
  <w:style w:type="paragraph" w:styleId="898" w:customStyle="1">
    <w:name w:val="标题11"/>
    <w:basedOn w:val="744"/>
    <w:next w:val="744"/>
    <w:link w:val="899"/>
    <w:uiPriority w:val="0"/>
    <w:qFormat/>
    <w:pPr>
      <w:contextualSpacing/>
      <w:spacing w:before="300" w:after="200"/>
    </w:pPr>
    <w:rPr>
      <w:sz w:val="48"/>
      <w:szCs w:val="48"/>
    </w:rPr>
  </w:style>
  <w:style w:type="character" w:styleId="899" w:customStyle="1">
    <w:name w:val="Title Char"/>
    <w:basedOn w:val="794"/>
    <w:link w:val="898"/>
    <w:uiPriority w:val="0"/>
    <w:qFormat/>
    <w:rPr>
      <w:sz w:val="48"/>
      <w:szCs w:val="48"/>
    </w:rPr>
  </w:style>
  <w:style w:type="paragraph" w:styleId="900" w:customStyle="1">
    <w:name w:val="批注主题1"/>
    <w:basedOn w:val="869"/>
    <w:next w:val="869"/>
    <w:link w:val="901"/>
    <w:uiPriority w:val="0"/>
    <w:qFormat/>
    <w:rPr>
      <w:b/>
      <w:bCs/>
    </w:rPr>
  </w:style>
  <w:style w:type="character" w:styleId="901" w:customStyle="1">
    <w:name w:val="批注主题 Char"/>
    <w:basedOn w:val="870"/>
    <w:link w:val="900"/>
    <w:uiPriority w:val="0"/>
    <w:qFormat/>
    <w:rPr>
      <w:rFonts w:ascii="Times New Roman" w:hAnsi="Times New Roman" w:eastAsia="宋体"/>
      <w:b/>
      <w:bCs/>
      <w:sz w:val="21"/>
      <w:szCs w:val="24"/>
    </w:rPr>
  </w:style>
  <w:style w:type="paragraph" w:styleId="902" w:customStyle="1">
    <w:name w:val="正文首行缩进 21"/>
    <w:basedOn w:val="791"/>
    <w:uiPriority w:val="0"/>
    <w:qFormat/>
    <w:pPr>
      <w:ind w:firstLine="420"/>
      <w:spacing w:line="360" w:lineRule="auto"/>
    </w:pPr>
    <w:rPr>
      <w:color w:val="000000"/>
      <w:sz w:val="20"/>
    </w:rPr>
  </w:style>
  <w:style w:type="table" w:styleId="903" w:customStyle="1">
    <w:name w:val="网格型1"/>
    <w:basedOn w:val="865"/>
    <w:uiPriority w:val="0"/>
    <w:qFormat/>
    <w:tblPr/>
  </w:style>
  <w:style w:type="character" w:styleId="904" w:customStyle="1">
    <w:name w:val="尾注引用1"/>
    <w:basedOn w:val="794"/>
    <w:link w:val="704"/>
    <w:uiPriority w:val="0"/>
    <w:qFormat/>
    <w:rPr>
      <w:vertAlign w:val="superscript"/>
    </w:rPr>
  </w:style>
  <w:style w:type="character" w:styleId="905" w:customStyle="1">
    <w:name w:val="页码1"/>
    <w:basedOn w:val="794"/>
    <w:link w:val="704"/>
    <w:uiPriority w:val="0"/>
    <w:qFormat/>
  </w:style>
  <w:style w:type="character" w:styleId="906" w:customStyle="1">
    <w:name w:val="已访问的超链接1"/>
    <w:basedOn w:val="794"/>
    <w:link w:val="704"/>
    <w:uiPriority w:val="0"/>
    <w:qFormat/>
    <w:rPr>
      <w:color w:val="333333"/>
      <w:u w:val="none"/>
    </w:rPr>
  </w:style>
  <w:style w:type="character" w:styleId="907" w:customStyle="1">
    <w:name w:val="超链接1"/>
    <w:basedOn w:val="794"/>
    <w:link w:val="704"/>
    <w:uiPriority w:val="0"/>
    <w:qFormat/>
    <w:rPr>
      <w:color w:val="333333"/>
      <w:u w:val="none"/>
    </w:rPr>
  </w:style>
  <w:style w:type="character" w:styleId="908" w:customStyle="1">
    <w:name w:val="批注引用1"/>
    <w:basedOn w:val="794"/>
    <w:link w:val="704"/>
    <w:uiPriority w:val="0"/>
    <w:qFormat/>
    <w:rPr>
      <w:sz w:val="21"/>
      <w:szCs w:val="21"/>
    </w:rPr>
  </w:style>
  <w:style w:type="character" w:styleId="909" w:customStyle="1">
    <w:name w:val="脚注引用1"/>
    <w:basedOn w:val="794"/>
    <w:link w:val="704"/>
    <w:uiPriority w:val="0"/>
    <w:qFormat/>
    <w:rPr>
      <w:vertAlign w:val="superscript"/>
    </w:rPr>
  </w:style>
  <w:style w:type="character" w:styleId="910" w:customStyle="1">
    <w:name w:val="Heading 1 Char"/>
    <w:basedOn w:val="794"/>
    <w:link w:val="704"/>
    <w:uiPriority w:val="0"/>
    <w:qFormat/>
    <w:rPr>
      <w:rFonts w:ascii="Arial" w:hAnsi="Arial" w:eastAsia="Arial"/>
      <w:sz w:val="40"/>
      <w:szCs w:val="40"/>
    </w:rPr>
  </w:style>
  <w:style w:type="character" w:styleId="911" w:customStyle="1">
    <w:name w:val="Heading 2 Char"/>
    <w:basedOn w:val="794"/>
    <w:link w:val="704"/>
    <w:uiPriority w:val="0"/>
    <w:qFormat/>
    <w:rPr>
      <w:rFonts w:ascii="Arial" w:hAnsi="Arial" w:eastAsia="Arial"/>
      <w:sz w:val="34"/>
    </w:rPr>
  </w:style>
  <w:style w:type="character" w:styleId="912" w:customStyle="1">
    <w:name w:val="Heading 3 Char"/>
    <w:basedOn w:val="794"/>
    <w:link w:val="704"/>
    <w:uiPriority w:val="0"/>
    <w:qFormat/>
    <w:rPr>
      <w:rFonts w:ascii="Arial" w:hAnsi="Arial" w:eastAsia="Arial"/>
      <w:sz w:val="30"/>
      <w:szCs w:val="30"/>
    </w:rPr>
  </w:style>
  <w:style w:type="paragraph" w:styleId="913">
    <w:name w:val="No Spacing"/>
    <w:uiPriority w:val="0"/>
    <w:qFormat/>
    <w:rPr>
      <w:rFonts w:hint="default" w:ascii="Times New Roman" w:hAnsi="Times New Roman" w:eastAsia="宋体" w:cs="Times New Roman"/>
      <w:lang w:val="en-US" w:eastAsia="zh-CN" w:bidi="ar-SA"/>
    </w:rPr>
  </w:style>
  <w:style w:type="paragraph" w:styleId="914">
    <w:name w:val="Quote"/>
    <w:basedOn w:val="744"/>
    <w:next w:val="744"/>
    <w:link w:val="915"/>
    <w:uiPriority w:val="0"/>
    <w:qFormat/>
    <w:pPr>
      <w:ind w:left="720" w:right="720"/>
    </w:pPr>
    <w:rPr>
      <w:i/>
    </w:rPr>
  </w:style>
  <w:style w:type="character" w:styleId="915" w:customStyle="1">
    <w:name w:val="引用 字符"/>
    <w:link w:val="914"/>
    <w:uiPriority w:val="0"/>
    <w:qFormat/>
    <w:rPr>
      <w:i/>
    </w:rPr>
  </w:style>
  <w:style w:type="paragraph" w:styleId="916">
    <w:name w:val="Intense Quote"/>
    <w:basedOn w:val="744"/>
    <w:next w:val="744"/>
    <w:link w:val="91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明显引用 字符"/>
    <w:link w:val="916"/>
    <w:uiPriority w:val="0"/>
    <w:qFormat/>
    <w:rPr>
      <w:i/>
    </w:rPr>
  </w:style>
  <w:style w:type="character" w:styleId="918" w:customStyle="1">
    <w:name w:val="Header Char"/>
    <w:basedOn w:val="794"/>
    <w:link w:val="704"/>
    <w:uiPriority w:val="0"/>
    <w:qFormat/>
  </w:style>
  <w:style w:type="character" w:styleId="919" w:customStyle="1">
    <w:name w:val="Footer Char"/>
    <w:basedOn w:val="794"/>
    <w:link w:val="704"/>
    <w:uiPriority w:val="0"/>
    <w:qFormat/>
  </w:style>
  <w:style w:type="character" w:styleId="920" w:customStyle="1">
    <w:name w:val="Caption Char"/>
    <w:link w:val="704"/>
    <w:uiPriority w:val="0"/>
    <w:qFormat/>
  </w:style>
  <w:style w:type="table" w:styleId="921" w:customStyle="1">
    <w:name w:val="Table Grid Light"/>
    <w:basedOn w:val="865"/>
    <w:uiPriority w:val="0"/>
    <w:qFormat/>
    <w:tblPr/>
  </w:style>
  <w:style w:type="table" w:styleId="922" w:customStyle="1">
    <w:name w:val="无格式表格 11"/>
    <w:basedOn w:val="865"/>
    <w:uiPriority w:val="0"/>
    <w:qFormat/>
    <w:tblPr/>
  </w:style>
  <w:style w:type="table" w:styleId="923" w:customStyle="1">
    <w:name w:val="无格式表格 21"/>
    <w:basedOn w:val="865"/>
    <w:uiPriority w:val="0"/>
    <w:qFormat/>
    <w:tblPr/>
  </w:style>
  <w:style w:type="table" w:styleId="924" w:customStyle="1">
    <w:name w:val="无格式表格 31"/>
    <w:basedOn w:val="865"/>
    <w:uiPriority w:val="0"/>
    <w:qFormat/>
    <w:tblPr/>
  </w:style>
  <w:style w:type="table" w:styleId="925" w:customStyle="1">
    <w:name w:val="无格式表格 41"/>
    <w:basedOn w:val="865"/>
    <w:uiPriority w:val="0"/>
    <w:qFormat/>
    <w:tblPr/>
  </w:style>
  <w:style w:type="table" w:styleId="926" w:customStyle="1">
    <w:name w:val="无格式表格 51"/>
    <w:basedOn w:val="865"/>
    <w:uiPriority w:val="0"/>
    <w:qFormat/>
    <w:tblPr/>
  </w:style>
  <w:style w:type="table" w:styleId="927" w:customStyle="1">
    <w:name w:val="网格表 1 浅色1"/>
    <w:basedOn w:val="865"/>
    <w:uiPriority w:val="0"/>
    <w:qFormat/>
    <w:tblPr/>
  </w:style>
  <w:style w:type="table" w:styleId="928" w:customStyle="1">
    <w:name w:val="Grid Table 1 Light - Accent 1"/>
    <w:basedOn w:val="865"/>
    <w:uiPriority w:val="0"/>
    <w:qFormat/>
    <w:tblPr/>
  </w:style>
  <w:style w:type="table" w:styleId="929" w:customStyle="1">
    <w:name w:val="Grid Table 1 Light - Accent 2"/>
    <w:basedOn w:val="865"/>
    <w:uiPriority w:val="0"/>
    <w:qFormat/>
    <w:tblPr/>
  </w:style>
  <w:style w:type="table" w:styleId="930" w:customStyle="1">
    <w:name w:val="Grid Table 1 Light - Accent 3"/>
    <w:basedOn w:val="865"/>
    <w:uiPriority w:val="0"/>
    <w:qFormat/>
    <w:tblPr/>
  </w:style>
  <w:style w:type="table" w:styleId="931" w:customStyle="1">
    <w:name w:val="Grid Table 1 Light - Accent 4"/>
    <w:basedOn w:val="865"/>
    <w:uiPriority w:val="0"/>
    <w:qFormat/>
    <w:tblPr/>
  </w:style>
  <w:style w:type="table" w:styleId="932" w:customStyle="1">
    <w:name w:val="Grid Table 1 Light - Accent 5"/>
    <w:basedOn w:val="865"/>
    <w:uiPriority w:val="0"/>
    <w:qFormat/>
    <w:tblPr/>
  </w:style>
  <w:style w:type="table" w:styleId="933" w:customStyle="1">
    <w:name w:val="Grid Table 1 Light - Accent 6"/>
    <w:basedOn w:val="865"/>
    <w:uiPriority w:val="0"/>
    <w:qFormat/>
    <w:tblPr/>
  </w:style>
  <w:style w:type="table" w:styleId="934" w:customStyle="1">
    <w:name w:val="网格表 21"/>
    <w:basedOn w:val="865"/>
    <w:uiPriority w:val="0"/>
    <w:qFormat/>
    <w:tblPr/>
  </w:style>
  <w:style w:type="table" w:styleId="935" w:customStyle="1">
    <w:name w:val="Grid Table 2 - Accent 1"/>
    <w:basedOn w:val="865"/>
    <w:uiPriority w:val="0"/>
    <w:qFormat/>
    <w:tblPr/>
  </w:style>
  <w:style w:type="table" w:styleId="936" w:customStyle="1">
    <w:name w:val="Grid Table 2 - Accent 2"/>
    <w:basedOn w:val="865"/>
    <w:uiPriority w:val="0"/>
    <w:qFormat/>
    <w:tblPr/>
  </w:style>
  <w:style w:type="table" w:styleId="937" w:customStyle="1">
    <w:name w:val="Grid Table 2 - Accent 3"/>
    <w:basedOn w:val="865"/>
    <w:uiPriority w:val="0"/>
    <w:qFormat/>
    <w:tblPr/>
  </w:style>
  <w:style w:type="table" w:styleId="938" w:customStyle="1">
    <w:name w:val="Grid Table 2 - Accent 4"/>
    <w:basedOn w:val="865"/>
    <w:uiPriority w:val="0"/>
    <w:qFormat/>
    <w:tblPr/>
  </w:style>
  <w:style w:type="table" w:styleId="939" w:customStyle="1">
    <w:name w:val="Grid Table 2 - Accent 5"/>
    <w:basedOn w:val="865"/>
    <w:uiPriority w:val="0"/>
    <w:qFormat/>
    <w:tblPr/>
  </w:style>
  <w:style w:type="table" w:styleId="940" w:customStyle="1">
    <w:name w:val="Grid Table 2 - Accent 6"/>
    <w:basedOn w:val="865"/>
    <w:uiPriority w:val="0"/>
    <w:qFormat/>
    <w:tblPr/>
  </w:style>
  <w:style w:type="table" w:styleId="941" w:customStyle="1">
    <w:name w:val="网格表 31"/>
    <w:basedOn w:val="865"/>
    <w:uiPriority w:val="0"/>
    <w:qFormat/>
    <w:tblPr/>
  </w:style>
  <w:style w:type="table" w:styleId="942" w:customStyle="1">
    <w:name w:val="Grid Table 3 - Accent 1"/>
    <w:basedOn w:val="865"/>
    <w:uiPriority w:val="0"/>
    <w:qFormat/>
    <w:tblPr/>
  </w:style>
  <w:style w:type="table" w:styleId="943" w:customStyle="1">
    <w:name w:val="Grid Table 3 - Accent 2"/>
    <w:basedOn w:val="865"/>
    <w:uiPriority w:val="0"/>
    <w:qFormat/>
    <w:tblPr/>
  </w:style>
  <w:style w:type="table" w:styleId="944" w:customStyle="1">
    <w:name w:val="Grid Table 3 - Accent 3"/>
    <w:basedOn w:val="865"/>
    <w:uiPriority w:val="0"/>
    <w:qFormat/>
    <w:tblPr/>
  </w:style>
  <w:style w:type="table" w:styleId="945" w:customStyle="1">
    <w:name w:val="Grid Table 3 - Accent 4"/>
    <w:basedOn w:val="865"/>
    <w:uiPriority w:val="0"/>
    <w:qFormat/>
    <w:tblPr/>
  </w:style>
  <w:style w:type="table" w:styleId="946" w:customStyle="1">
    <w:name w:val="Grid Table 3 - Accent 5"/>
    <w:basedOn w:val="865"/>
    <w:uiPriority w:val="0"/>
    <w:qFormat/>
    <w:tblPr/>
  </w:style>
  <w:style w:type="table" w:styleId="947" w:customStyle="1">
    <w:name w:val="Grid Table 3 - Accent 6"/>
    <w:basedOn w:val="865"/>
    <w:uiPriority w:val="0"/>
    <w:qFormat/>
    <w:tblPr/>
  </w:style>
  <w:style w:type="table" w:styleId="948" w:customStyle="1">
    <w:name w:val="网格表 41"/>
    <w:basedOn w:val="865"/>
    <w:uiPriority w:val="0"/>
    <w:qFormat/>
    <w:tblPr/>
  </w:style>
  <w:style w:type="table" w:styleId="949" w:customStyle="1">
    <w:name w:val="Grid Table 4 - Accent 1"/>
    <w:basedOn w:val="865"/>
    <w:uiPriority w:val="0"/>
    <w:qFormat/>
    <w:tblPr/>
  </w:style>
  <w:style w:type="table" w:styleId="950" w:customStyle="1">
    <w:name w:val="Grid Table 4 - Accent 2"/>
    <w:basedOn w:val="865"/>
    <w:uiPriority w:val="0"/>
    <w:qFormat/>
    <w:tblPr/>
  </w:style>
  <w:style w:type="table" w:styleId="951" w:customStyle="1">
    <w:name w:val="Grid Table 4 - Accent 3"/>
    <w:basedOn w:val="865"/>
    <w:uiPriority w:val="0"/>
    <w:qFormat/>
    <w:tblPr/>
  </w:style>
  <w:style w:type="table" w:styleId="952" w:customStyle="1">
    <w:name w:val="Grid Table 4 - Accent 4"/>
    <w:basedOn w:val="865"/>
    <w:uiPriority w:val="0"/>
    <w:qFormat/>
    <w:tblPr/>
  </w:style>
  <w:style w:type="table" w:styleId="953" w:customStyle="1">
    <w:name w:val="Grid Table 4 - Accent 5"/>
    <w:basedOn w:val="865"/>
    <w:uiPriority w:val="0"/>
    <w:qFormat/>
    <w:tblPr/>
  </w:style>
  <w:style w:type="table" w:styleId="954" w:customStyle="1">
    <w:name w:val="Grid Table 4 - Accent 6"/>
    <w:basedOn w:val="865"/>
    <w:uiPriority w:val="0"/>
    <w:qFormat/>
    <w:tblPr/>
  </w:style>
  <w:style w:type="table" w:styleId="955" w:customStyle="1">
    <w:name w:val="网格表 5 深色1"/>
    <w:basedOn w:val="865"/>
    <w:uiPriority w:val="0"/>
    <w:qFormat/>
    <w:tblPr/>
  </w:style>
  <w:style w:type="table" w:styleId="956" w:customStyle="1">
    <w:name w:val="Grid Table 5 Dark- Accent 1"/>
    <w:basedOn w:val="865"/>
    <w:uiPriority w:val="0"/>
    <w:qFormat/>
    <w:tblPr/>
  </w:style>
  <w:style w:type="table" w:styleId="957" w:customStyle="1">
    <w:name w:val="Grid Table 5 Dark - Accent 2"/>
    <w:basedOn w:val="865"/>
    <w:uiPriority w:val="0"/>
    <w:qFormat/>
    <w:tblPr/>
  </w:style>
  <w:style w:type="table" w:styleId="958" w:customStyle="1">
    <w:name w:val="Grid Table 5 Dark - Accent 3"/>
    <w:basedOn w:val="865"/>
    <w:uiPriority w:val="0"/>
    <w:qFormat/>
    <w:tblPr/>
  </w:style>
  <w:style w:type="table" w:styleId="959" w:customStyle="1">
    <w:name w:val="Grid Table 5 Dark- Accent 4"/>
    <w:basedOn w:val="865"/>
    <w:uiPriority w:val="0"/>
    <w:qFormat/>
    <w:tblPr/>
  </w:style>
  <w:style w:type="table" w:styleId="960" w:customStyle="1">
    <w:name w:val="Grid Table 5 Dark - Accent 5"/>
    <w:basedOn w:val="865"/>
    <w:uiPriority w:val="0"/>
    <w:qFormat/>
    <w:tblPr/>
  </w:style>
  <w:style w:type="table" w:styleId="961" w:customStyle="1">
    <w:name w:val="Grid Table 5 Dark - Accent 6"/>
    <w:basedOn w:val="865"/>
    <w:uiPriority w:val="0"/>
    <w:qFormat/>
    <w:tblPr/>
  </w:style>
  <w:style w:type="table" w:styleId="962" w:customStyle="1">
    <w:name w:val="网格表 6 彩色1"/>
    <w:basedOn w:val="865"/>
    <w:uiPriority w:val="0"/>
    <w:qFormat/>
    <w:tblPr/>
  </w:style>
  <w:style w:type="table" w:styleId="963" w:customStyle="1">
    <w:name w:val="Grid Table 6 Colorful - Accent 1"/>
    <w:basedOn w:val="865"/>
    <w:uiPriority w:val="0"/>
    <w:qFormat/>
    <w:tblPr/>
  </w:style>
  <w:style w:type="table" w:styleId="964" w:customStyle="1">
    <w:name w:val="Grid Table 6 Colorful - Accent 2"/>
    <w:basedOn w:val="865"/>
    <w:uiPriority w:val="0"/>
    <w:qFormat/>
    <w:tblPr/>
  </w:style>
  <w:style w:type="table" w:styleId="965" w:customStyle="1">
    <w:name w:val="Grid Table 6 Colorful - Accent 3"/>
    <w:basedOn w:val="865"/>
    <w:uiPriority w:val="0"/>
    <w:qFormat/>
    <w:tblPr/>
  </w:style>
  <w:style w:type="table" w:styleId="966" w:customStyle="1">
    <w:name w:val="Grid Table 6 Colorful - Accent 4"/>
    <w:basedOn w:val="865"/>
    <w:uiPriority w:val="0"/>
    <w:qFormat/>
    <w:tblPr/>
  </w:style>
  <w:style w:type="table" w:styleId="967" w:customStyle="1">
    <w:name w:val="Grid Table 6 Colorful - Accent 5"/>
    <w:basedOn w:val="865"/>
    <w:uiPriority w:val="0"/>
    <w:qFormat/>
    <w:tblPr/>
  </w:style>
  <w:style w:type="table" w:styleId="968" w:customStyle="1">
    <w:name w:val="Grid Table 6 Colorful - Accent 6"/>
    <w:basedOn w:val="865"/>
    <w:uiPriority w:val="0"/>
    <w:qFormat/>
    <w:tblPr/>
  </w:style>
  <w:style w:type="table" w:styleId="969" w:customStyle="1">
    <w:name w:val="网格表 7 彩色1"/>
    <w:basedOn w:val="865"/>
    <w:uiPriority w:val="0"/>
    <w:qFormat/>
    <w:tblPr/>
  </w:style>
  <w:style w:type="table" w:styleId="970" w:customStyle="1">
    <w:name w:val="Grid Table 7 Colorful - Accent 1"/>
    <w:basedOn w:val="865"/>
    <w:uiPriority w:val="0"/>
    <w:qFormat/>
    <w:tblPr/>
  </w:style>
  <w:style w:type="table" w:styleId="971" w:customStyle="1">
    <w:name w:val="Grid Table 7 Colorful - Accent 2"/>
    <w:basedOn w:val="865"/>
    <w:uiPriority w:val="0"/>
    <w:qFormat/>
    <w:tblPr/>
  </w:style>
  <w:style w:type="table" w:styleId="972" w:customStyle="1">
    <w:name w:val="Grid Table 7 Colorful - Accent 3"/>
    <w:basedOn w:val="865"/>
    <w:uiPriority w:val="0"/>
    <w:qFormat/>
    <w:tblPr/>
  </w:style>
  <w:style w:type="table" w:styleId="973" w:customStyle="1">
    <w:name w:val="Grid Table 7 Colorful - Accent 4"/>
    <w:basedOn w:val="865"/>
    <w:uiPriority w:val="0"/>
    <w:qFormat/>
    <w:tblPr/>
  </w:style>
  <w:style w:type="table" w:styleId="974" w:customStyle="1">
    <w:name w:val="Grid Table 7 Colorful - Accent 5"/>
    <w:basedOn w:val="865"/>
    <w:uiPriority w:val="0"/>
    <w:qFormat/>
    <w:tblPr/>
  </w:style>
  <w:style w:type="table" w:styleId="975" w:customStyle="1">
    <w:name w:val="Grid Table 7 Colorful - Accent 6"/>
    <w:basedOn w:val="865"/>
    <w:uiPriority w:val="0"/>
    <w:qFormat/>
    <w:tblPr/>
  </w:style>
  <w:style w:type="table" w:styleId="976" w:customStyle="1">
    <w:name w:val="清单表 1 浅色1"/>
    <w:basedOn w:val="865"/>
    <w:uiPriority w:val="0"/>
    <w:qFormat/>
    <w:tblPr/>
  </w:style>
  <w:style w:type="table" w:styleId="977" w:customStyle="1">
    <w:name w:val="List Table 1 Light - Accent 1"/>
    <w:basedOn w:val="865"/>
    <w:uiPriority w:val="0"/>
    <w:qFormat/>
    <w:tblPr/>
  </w:style>
  <w:style w:type="table" w:styleId="978" w:customStyle="1">
    <w:name w:val="List Table 1 Light - Accent 2"/>
    <w:basedOn w:val="865"/>
    <w:uiPriority w:val="0"/>
    <w:qFormat/>
    <w:tblPr/>
  </w:style>
  <w:style w:type="table" w:styleId="979" w:customStyle="1">
    <w:name w:val="List Table 1 Light - Accent 3"/>
    <w:basedOn w:val="865"/>
    <w:uiPriority w:val="0"/>
    <w:qFormat/>
    <w:tblPr/>
  </w:style>
  <w:style w:type="table" w:styleId="980" w:customStyle="1">
    <w:name w:val="List Table 1 Light - Accent 4"/>
    <w:basedOn w:val="865"/>
    <w:uiPriority w:val="0"/>
    <w:qFormat/>
    <w:tblPr/>
  </w:style>
  <w:style w:type="table" w:styleId="981" w:customStyle="1">
    <w:name w:val="List Table 1 Light - Accent 5"/>
    <w:basedOn w:val="865"/>
    <w:uiPriority w:val="0"/>
    <w:qFormat/>
    <w:tblPr/>
  </w:style>
  <w:style w:type="table" w:styleId="982" w:customStyle="1">
    <w:name w:val="List Table 1 Light - Accent 6"/>
    <w:basedOn w:val="865"/>
    <w:uiPriority w:val="0"/>
    <w:qFormat/>
    <w:tblPr/>
  </w:style>
  <w:style w:type="table" w:styleId="983" w:customStyle="1">
    <w:name w:val="清单表 21"/>
    <w:basedOn w:val="865"/>
    <w:uiPriority w:val="0"/>
    <w:qFormat/>
    <w:tblPr/>
  </w:style>
  <w:style w:type="table" w:styleId="984" w:customStyle="1">
    <w:name w:val="List Table 2 - Accent 1"/>
    <w:basedOn w:val="865"/>
    <w:uiPriority w:val="0"/>
    <w:qFormat/>
    <w:tblPr/>
  </w:style>
  <w:style w:type="table" w:styleId="985" w:customStyle="1">
    <w:name w:val="List Table 2 - Accent 2"/>
    <w:basedOn w:val="865"/>
    <w:uiPriority w:val="0"/>
    <w:qFormat/>
    <w:tblPr/>
  </w:style>
  <w:style w:type="table" w:styleId="986" w:customStyle="1">
    <w:name w:val="List Table 2 - Accent 3"/>
    <w:basedOn w:val="865"/>
    <w:uiPriority w:val="0"/>
    <w:qFormat/>
    <w:tblPr/>
  </w:style>
  <w:style w:type="table" w:styleId="987" w:customStyle="1">
    <w:name w:val="List Table 2 - Accent 4"/>
    <w:basedOn w:val="865"/>
    <w:uiPriority w:val="0"/>
    <w:qFormat/>
    <w:tblPr/>
  </w:style>
  <w:style w:type="table" w:styleId="988" w:customStyle="1">
    <w:name w:val="List Table 2 - Accent 5"/>
    <w:basedOn w:val="865"/>
    <w:uiPriority w:val="0"/>
    <w:qFormat/>
    <w:tblPr/>
  </w:style>
  <w:style w:type="table" w:styleId="989" w:customStyle="1">
    <w:name w:val="List Table 2 - Accent 6"/>
    <w:basedOn w:val="865"/>
    <w:uiPriority w:val="0"/>
    <w:qFormat/>
    <w:tblPr/>
  </w:style>
  <w:style w:type="table" w:styleId="990" w:customStyle="1">
    <w:name w:val="清单表 31"/>
    <w:basedOn w:val="865"/>
    <w:uiPriority w:val="0"/>
    <w:qFormat/>
    <w:tblPr/>
  </w:style>
  <w:style w:type="table" w:styleId="991" w:customStyle="1">
    <w:name w:val="List Table 3 - Accent 1"/>
    <w:basedOn w:val="865"/>
    <w:uiPriority w:val="0"/>
    <w:qFormat/>
    <w:tblPr/>
  </w:style>
  <w:style w:type="table" w:styleId="992" w:customStyle="1">
    <w:name w:val="List Table 3 - Accent 2"/>
    <w:basedOn w:val="865"/>
    <w:uiPriority w:val="0"/>
    <w:qFormat/>
    <w:tblPr/>
  </w:style>
  <w:style w:type="table" w:styleId="993" w:customStyle="1">
    <w:name w:val="List Table 3 - Accent 3"/>
    <w:basedOn w:val="865"/>
    <w:uiPriority w:val="0"/>
    <w:qFormat/>
    <w:tblPr/>
  </w:style>
  <w:style w:type="table" w:styleId="994" w:customStyle="1">
    <w:name w:val="List Table 3 - Accent 4"/>
    <w:basedOn w:val="865"/>
    <w:uiPriority w:val="0"/>
    <w:qFormat/>
    <w:tblPr/>
  </w:style>
  <w:style w:type="table" w:styleId="995" w:customStyle="1">
    <w:name w:val="List Table 3 - Accent 5"/>
    <w:basedOn w:val="865"/>
    <w:uiPriority w:val="0"/>
    <w:qFormat/>
    <w:tblPr/>
  </w:style>
  <w:style w:type="table" w:styleId="996" w:customStyle="1">
    <w:name w:val="List Table 3 - Accent 6"/>
    <w:basedOn w:val="865"/>
    <w:uiPriority w:val="0"/>
    <w:qFormat/>
    <w:tblPr/>
  </w:style>
  <w:style w:type="table" w:styleId="997" w:customStyle="1">
    <w:name w:val="清单表 41"/>
    <w:basedOn w:val="865"/>
    <w:uiPriority w:val="0"/>
    <w:qFormat/>
    <w:tblPr/>
  </w:style>
  <w:style w:type="table" w:styleId="998" w:customStyle="1">
    <w:name w:val="List Table 4 - Accent 1"/>
    <w:basedOn w:val="865"/>
    <w:uiPriority w:val="0"/>
    <w:qFormat/>
    <w:tblPr/>
  </w:style>
  <w:style w:type="table" w:styleId="999" w:customStyle="1">
    <w:name w:val="List Table 4 - Accent 2"/>
    <w:basedOn w:val="865"/>
    <w:uiPriority w:val="0"/>
    <w:qFormat/>
    <w:tblPr/>
  </w:style>
  <w:style w:type="table" w:styleId="1000" w:customStyle="1">
    <w:name w:val="List Table 4 - Accent 3"/>
    <w:basedOn w:val="865"/>
    <w:uiPriority w:val="0"/>
    <w:qFormat/>
    <w:tblPr/>
  </w:style>
  <w:style w:type="table" w:styleId="1001" w:customStyle="1">
    <w:name w:val="List Table 4 - Accent 4"/>
    <w:basedOn w:val="865"/>
    <w:uiPriority w:val="0"/>
    <w:qFormat/>
    <w:tblPr/>
  </w:style>
  <w:style w:type="table" w:styleId="1002" w:customStyle="1">
    <w:name w:val="List Table 4 - Accent 5"/>
    <w:basedOn w:val="865"/>
    <w:uiPriority w:val="0"/>
    <w:qFormat/>
    <w:tblPr/>
  </w:style>
  <w:style w:type="table" w:styleId="1003" w:customStyle="1">
    <w:name w:val="List Table 4 - Accent 6"/>
    <w:basedOn w:val="865"/>
    <w:uiPriority w:val="0"/>
    <w:qFormat/>
    <w:tblPr/>
  </w:style>
  <w:style w:type="table" w:styleId="1004" w:customStyle="1">
    <w:name w:val="清单表 5 深色1"/>
    <w:basedOn w:val="865"/>
    <w:uiPriority w:val="0"/>
    <w:qFormat/>
    <w:tblPr/>
  </w:style>
  <w:style w:type="table" w:styleId="1005" w:customStyle="1">
    <w:name w:val="List Table 5 Dark - Accent 1"/>
    <w:basedOn w:val="865"/>
    <w:uiPriority w:val="0"/>
    <w:qFormat/>
    <w:tblPr/>
  </w:style>
  <w:style w:type="table" w:styleId="1006" w:customStyle="1">
    <w:name w:val="List Table 5 Dark - Accent 2"/>
    <w:basedOn w:val="865"/>
    <w:uiPriority w:val="0"/>
    <w:qFormat/>
    <w:tblPr/>
  </w:style>
  <w:style w:type="table" w:styleId="1007" w:customStyle="1">
    <w:name w:val="List Table 5 Dark - Accent 3"/>
    <w:basedOn w:val="865"/>
    <w:uiPriority w:val="0"/>
    <w:qFormat/>
    <w:tblPr/>
  </w:style>
  <w:style w:type="table" w:styleId="1008" w:customStyle="1">
    <w:name w:val="List Table 5 Dark - Accent 4"/>
    <w:basedOn w:val="865"/>
    <w:uiPriority w:val="0"/>
    <w:qFormat/>
    <w:tblPr/>
  </w:style>
  <w:style w:type="table" w:styleId="1009" w:customStyle="1">
    <w:name w:val="List Table 5 Dark - Accent 5"/>
    <w:basedOn w:val="865"/>
    <w:uiPriority w:val="0"/>
    <w:qFormat/>
    <w:tblPr/>
  </w:style>
  <w:style w:type="table" w:styleId="1010" w:customStyle="1">
    <w:name w:val="List Table 5 Dark - Accent 6"/>
    <w:basedOn w:val="865"/>
    <w:uiPriority w:val="0"/>
    <w:qFormat/>
    <w:tblPr/>
  </w:style>
  <w:style w:type="table" w:styleId="1011" w:customStyle="1">
    <w:name w:val="清单表 6 彩色1"/>
    <w:basedOn w:val="865"/>
    <w:uiPriority w:val="0"/>
    <w:qFormat/>
    <w:tblPr/>
  </w:style>
  <w:style w:type="table" w:styleId="1012" w:customStyle="1">
    <w:name w:val="List Table 6 Colorful - Accent 1"/>
    <w:basedOn w:val="865"/>
    <w:uiPriority w:val="0"/>
    <w:qFormat/>
    <w:tblPr/>
  </w:style>
  <w:style w:type="table" w:styleId="1013" w:customStyle="1">
    <w:name w:val="List Table 6 Colorful - Accent 2"/>
    <w:basedOn w:val="865"/>
    <w:uiPriority w:val="0"/>
    <w:qFormat/>
    <w:tblPr/>
  </w:style>
  <w:style w:type="table" w:styleId="1014" w:customStyle="1">
    <w:name w:val="List Table 6 Colorful - Accent 3"/>
    <w:basedOn w:val="865"/>
    <w:uiPriority w:val="0"/>
    <w:qFormat/>
    <w:tblPr/>
  </w:style>
  <w:style w:type="table" w:styleId="1015" w:customStyle="1">
    <w:name w:val="List Table 6 Colorful - Accent 4"/>
    <w:basedOn w:val="865"/>
    <w:uiPriority w:val="0"/>
    <w:qFormat/>
    <w:tblPr/>
  </w:style>
  <w:style w:type="table" w:styleId="1016" w:customStyle="1">
    <w:name w:val="List Table 6 Colorful - Accent 5"/>
    <w:basedOn w:val="865"/>
    <w:uiPriority w:val="0"/>
    <w:qFormat/>
    <w:tblPr/>
  </w:style>
  <w:style w:type="table" w:styleId="1017" w:customStyle="1">
    <w:name w:val="List Table 6 Colorful - Accent 6"/>
    <w:basedOn w:val="865"/>
    <w:uiPriority w:val="0"/>
    <w:qFormat/>
    <w:tblPr/>
  </w:style>
  <w:style w:type="table" w:styleId="1018" w:customStyle="1">
    <w:name w:val="清单表 7 彩色1"/>
    <w:basedOn w:val="865"/>
    <w:uiPriority w:val="0"/>
    <w:qFormat/>
    <w:tblPr/>
  </w:style>
  <w:style w:type="table" w:styleId="1019" w:customStyle="1">
    <w:name w:val="List Table 7 Colorful - Accent 1"/>
    <w:basedOn w:val="865"/>
    <w:uiPriority w:val="0"/>
    <w:qFormat/>
    <w:tblPr/>
  </w:style>
  <w:style w:type="table" w:styleId="1020" w:customStyle="1">
    <w:name w:val="List Table 7 Colorful - Accent 2"/>
    <w:basedOn w:val="865"/>
    <w:uiPriority w:val="0"/>
    <w:qFormat/>
    <w:tblPr/>
  </w:style>
  <w:style w:type="table" w:styleId="1021" w:customStyle="1">
    <w:name w:val="List Table 7 Colorful - Accent 3"/>
    <w:basedOn w:val="865"/>
    <w:uiPriority w:val="0"/>
    <w:qFormat/>
    <w:tblPr/>
  </w:style>
  <w:style w:type="table" w:styleId="1022" w:customStyle="1">
    <w:name w:val="List Table 7 Colorful - Accent 4"/>
    <w:basedOn w:val="865"/>
    <w:uiPriority w:val="0"/>
    <w:qFormat/>
    <w:tblPr/>
  </w:style>
  <w:style w:type="table" w:styleId="1023" w:customStyle="1">
    <w:name w:val="List Table 7 Colorful - Accent 5"/>
    <w:basedOn w:val="865"/>
    <w:uiPriority w:val="0"/>
    <w:qFormat/>
    <w:tblPr/>
  </w:style>
  <w:style w:type="table" w:styleId="1024" w:customStyle="1">
    <w:name w:val="List Table 7 Colorful - Accent 6"/>
    <w:basedOn w:val="865"/>
    <w:uiPriority w:val="0"/>
    <w:qFormat/>
    <w:tblPr/>
  </w:style>
  <w:style w:type="table" w:styleId="1025" w:customStyle="1">
    <w:name w:val="Lined - Accent"/>
    <w:basedOn w:val="865"/>
    <w:uiPriority w:val="0"/>
    <w:qFormat/>
    <w:rPr>
      <w:color w:val="404040"/>
    </w:rPr>
    <w:tblPr/>
  </w:style>
  <w:style w:type="table" w:styleId="1026" w:customStyle="1">
    <w:name w:val="Lined - Accent 1"/>
    <w:basedOn w:val="865"/>
    <w:uiPriority w:val="0"/>
    <w:qFormat/>
    <w:rPr>
      <w:color w:val="404040"/>
    </w:rPr>
    <w:tblPr/>
  </w:style>
  <w:style w:type="table" w:styleId="1027" w:customStyle="1">
    <w:name w:val="Lined - Accent 2"/>
    <w:basedOn w:val="865"/>
    <w:uiPriority w:val="0"/>
    <w:qFormat/>
    <w:rPr>
      <w:color w:val="404040"/>
    </w:rPr>
    <w:tblPr/>
  </w:style>
  <w:style w:type="table" w:styleId="1028" w:customStyle="1">
    <w:name w:val="Lined - Accent 3"/>
    <w:basedOn w:val="865"/>
    <w:uiPriority w:val="0"/>
    <w:qFormat/>
    <w:rPr>
      <w:color w:val="404040"/>
    </w:rPr>
    <w:tblPr/>
  </w:style>
  <w:style w:type="table" w:styleId="1029" w:customStyle="1">
    <w:name w:val="Lined - Accent 4"/>
    <w:basedOn w:val="865"/>
    <w:uiPriority w:val="0"/>
    <w:qFormat/>
    <w:rPr>
      <w:color w:val="404040"/>
    </w:rPr>
    <w:tblPr/>
  </w:style>
  <w:style w:type="table" w:styleId="1030" w:customStyle="1">
    <w:name w:val="Lined - Accent 5"/>
    <w:basedOn w:val="865"/>
    <w:uiPriority w:val="0"/>
    <w:qFormat/>
    <w:rPr>
      <w:color w:val="404040"/>
    </w:rPr>
    <w:tblPr/>
  </w:style>
  <w:style w:type="table" w:styleId="1031" w:customStyle="1">
    <w:name w:val="Lined - Accent 6"/>
    <w:basedOn w:val="865"/>
    <w:uiPriority w:val="0"/>
    <w:qFormat/>
    <w:rPr>
      <w:color w:val="404040"/>
    </w:rPr>
    <w:tblPr/>
  </w:style>
  <w:style w:type="table" w:styleId="1032" w:customStyle="1">
    <w:name w:val="Bordered &amp; Lined - Accent"/>
    <w:basedOn w:val="865"/>
    <w:uiPriority w:val="0"/>
    <w:qFormat/>
    <w:rPr>
      <w:color w:val="404040"/>
    </w:rPr>
    <w:tblPr/>
  </w:style>
  <w:style w:type="table" w:styleId="1033" w:customStyle="1">
    <w:name w:val="Bordered &amp; Lined - Accent 1"/>
    <w:basedOn w:val="865"/>
    <w:uiPriority w:val="0"/>
    <w:qFormat/>
    <w:rPr>
      <w:color w:val="404040"/>
    </w:rPr>
    <w:tblPr/>
  </w:style>
  <w:style w:type="table" w:styleId="1034" w:customStyle="1">
    <w:name w:val="Bordered &amp; Lined - Accent 2"/>
    <w:basedOn w:val="865"/>
    <w:uiPriority w:val="0"/>
    <w:qFormat/>
    <w:rPr>
      <w:color w:val="404040"/>
    </w:rPr>
    <w:tblPr/>
  </w:style>
  <w:style w:type="table" w:styleId="1035" w:customStyle="1">
    <w:name w:val="Bordered &amp; Lined - Accent 3"/>
    <w:basedOn w:val="865"/>
    <w:uiPriority w:val="0"/>
    <w:qFormat/>
    <w:rPr>
      <w:color w:val="404040"/>
    </w:rPr>
    <w:tblPr/>
  </w:style>
  <w:style w:type="table" w:styleId="1036" w:customStyle="1">
    <w:name w:val="Bordered &amp; Lined - Accent 4"/>
    <w:basedOn w:val="865"/>
    <w:uiPriority w:val="0"/>
    <w:qFormat/>
    <w:rPr>
      <w:color w:val="404040"/>
    </w:rPr>
    <w:tblPr/>
  </w:style>
  <w:style w:type="table" w:styleId="1037" w:customStyle="1">
    <w:name w:val="Bordered &amp; Lined - Accent 5"/>
    <w:basedOn w:val="865"/>
    <w:uiPriority w:val="0"/>
    <w:qFormat/>
    <w:rPr>
      <w:color w:val="404040"/>
    </w:rPr>
    <w:tblPr/>
  </w:style>
  <w:style w:type="table" w:styleId="1038" w:customStyle="1">
    <w:name w:val="Bordered &amp; Lined - Accent 6"/>
    <w:basedOn w:val="865"/>
    <w:uiPriority w:val="0"/>
    <w:qFormat/>
    <w:rPr>
      <w:color w:val="404040"/>
    </w:rPr>
    <w:tblPr/>
  </w:style>
  <w:style w:type="table" w:styleId="1039" w:customStyle="1">
    <w:name w:val="Bordered"/>
    <w:basedOn w:val="865"/>
    <w:uiPriority w:val="0"/>
    <w:qFormat/>
    <w:tblPr/>
  </w:style>
  <w:style w:type="table" w:styleId="1040" w:customStyle="1">
    <w:name w:val="Bordered - Accent 1"/>
    <w:basedOn w:val="865"/>
    <w:uiPriority w:val="0"/>
    <w:qFormat/>
    <w:tblPr/>
  </w:style>
  <w:style w:type="table" w:styleId="1041" w:customStyle="1">
    <w:name w:val="Bordered - Accent 2"/>
    <w:basedOn w:val="865"/>
    <w:uiPriority w:val="0"/>
    <w:qFormat/>
    <w:tblPr/>
  </w:style>
  <w:style w:type="table" w:styleId="1042" w:customStyle="1">
    <w:name w:val="Bordered - Accent 3"/>
    <w:basedOn w:val="865"/>
    <w:uiPriority w:val="0"/>
    <w:qFormat/>
    <w:tblPr/>
  </w:style>
  <w:style w:type="table" w:styleId="1043" w:customStyle="1">
    <w:name w:val="Bordered - Accent 4"/>
    <w:basedOn w:val="865"/>
    <w:uiPriority w:val="0"/>
    <w:qFormat/>
    <w:tblPr/>
  </w:style>
  <w:style w:type="table" w:styleId="1044" w:customStyle="1">
    <w:name w:val="Bordered - Accent 5"/>
    <w:basedOn w:val="865"/>
    <w:uiPriority w:val="0"/>
    <w:qFormat/>
    <w:tblPr/>
  </w:style>
  <w:style w:type="table" w:styleId="1045" w:customStyle="1">
    <w:name w:val="Bordered - Accent 6"/>
    <w:basedOn w:val="865"/>
    <w:uiPriority w:val="0"/>
    <w:qFormat/>
    <w:tblPr/>
  </w:style>
  <w:style w:type="character" w:styleId="1046" w:customStyle="1">
    <w:name w:val="Footnote Text Char"/>
    <w:link w:val="704"/>
    <w:uiPriority w:val="0"/>
    <w:qFormat/>
    <w:rPr>
      <w:sz w:val="18"/>
    </w:rPr>
  </w:style>
  <w:style w:type="paragraph" w:styleId="1047" w:customStyle="1">
    <w:name w:val="TOC 标题1"/>
    <w:uiPriority w:val="0"/>
    <w:qFormat/>
    <w:rPr>
      <w:rFonts w:hint="default" w:ascii="Times New Roman" w:hAnsi="Times New Roman" w:eastAsia="宋体" w:cs="Times New Roman"/>
      <w:lang w:val="en-US" w:eastAsia="zh-CN" w:bidi="ar-SA"/>
    </w:rPr>
  </w:style>
  <w:style w:type="paragraph" w:styleId="1048" w:customStyle="1">
    <w:name w:val="一级条标题"/>
    <w:basedOn w:val="1049"/>
    <w:next w:val="105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9" w:customStyle="1">
    <w:name w:val="章标题"/>
    <w:next w:val="78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0" w:customStyle="1">
    <w:name w:val="段"/>
    <w:basedOn w:val="745"/>
    <w:next w:val="785"/>
    <w:uiPriority w:val="0"/>
    <w:qFormat/>
    <w:pPr>
      <w:ind w:firstLine="200"/>
      <w:widowControl/>
    </w:pPr>
    <w:rPr>
      <w:sz w:val="20"/>
    </w:rPr>
  </w:style>
  <w:style w:type="paragraph" w:styleId="1051" w:customStyle="1">
    <w:name w:val="索引 41"/>
    <w:basedOn w:val="745"/>
    <w:next w:val="745"/>
    <w:uiPriority w:val="0"/>
    <w:qFormat/>
    <w:pPr>
      <w:ind w:left="600"/>
    </w:pPr>
    <w:rPr>
      <w:rFonts w:ascii="Calibri"/>
      <w:sz w:val="22"/>
      <w:szCs w:val="22"/>
    </w:rPr>
  </w:style>
  <w:style w:type="paragraph" w:styleId="1052" w:customStyle="1">
    <w:name w:val="正文文本1"/>
    <w:basedOn w:val="745"/>
    <w:next w:val="785"/>
    <w:uiPriority w:val="0"/>
    <w:qFormat/>
    <w:pPr>
      <w:spacing w:after="120"/>
    </w:pPr>
    <w:rPr>
      <w:lang w:eastAsia="en-US"/>
    </w:rPr>
  </w:style>
  <w:style w:type="paragraph" w:styleId="1053" w:customStyle="1">
    <w:name w:val="p0"/>
    <w:basedOn w:val="744"/>
    <w:uiPriority w:val="0"/>
    <w:qFormat/>
    <w:pPr>
      <w:widowControl/>
    </w:pPr>
    <w:rPr>
      <w:szCs w:val="21"/>
    </w:rPr>
  </w:style>
  <w:style w:type="paragraph" w:styleId="1054">
    <w:name w:val="List Paragraph"/>
    <w:basedOn w:val="744"/>
    <w:uiPriority w:val="0"/>
    <w:qFormat/>
    <w:pPr>
      <w:ind w:firstLine="420"/>
    </w:pPr>
  </w:style>
  <w:style w:type="paragraph" w:styleId="105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56" w:customStyle="1">
    <w:name w:val="179"/>
    <w:basedOn w:val="744"/>
    <w:uiPriority w:val="0"/>
    <w:qFormat/>
    <w:pPr>
      <w:ind w:firstLine="420"/>
      <w:jc w:val="left"/>
      <w:widowControl/>
    </w:pPr>
    <w:rPr>
      <w:rFonts w:ascii="宋体" w:hAnsi="宋体"/>
      <w:sz w:val="24"/>
    </w:rPr>
  </w:style>
  <w:style w:type="paragraph" w:styleId="1057"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58" w:customStyle="1">
    <w:name w:val="标准"/>
    <w:basedOn w:val="744"/>
    <w:uiPriority w:val="0"/>
    <w:qFormat/>
    <w:pPr>
      <w:ind w:firstLine="200"/>
      <w:spacing w:line="360" w:lineRule="auto"/>
    </w:pPr>
    <w:rPr>
      <w:sz w:val="20"/>
      <w:szCs w:val="20"/>
    </w:rPr>
  </w:style>
  <w:style w:type="paragraph" w:styleId="1059" w:customStyle="1">
    <w:name w:val="_Style 11"/>
    <w:basedOn w:val="744"/>
    <w:next w:val="1054"/>
    <w:uiPriority w:val="0"/>
    <w:qFormat/>
    <w:pPr>
      <w:ind w:firstLine="420"/>
    </w:pPr>
    <w:rPr>
      <w:color w:val="000000"/>
      <w:szCs w:val="21"/>
    </w:rPr>
  </w:style>
  <w:style w:type="paragraph" w:styleId="1060" w:customStyle="1">
    <w:name w:val="BodyText1I21"/>
    <w:basedOn w:val="744"/>
    <w:uiPriority w:val="0"/>
    <w:qFormat/>
    <w:pPr>
      <w:ind w:firstLine="420"/>
      <w:spacing w:line="360" w:lineRule="auto"/>
      <w:widowControl/>
    </w:pPr>
    <w:rPr>
      <w:rFonts w:ascii="宋体" w:hAnsi="宋体"/>
      <w:sz w:val="20"/>
      <w:szCs w:val="20"/>
    </w:rPr>
  </w:style>
  <w:style w:type="paragraph" w:styleId="1061" w:customStyle="1">
    <w:name w:val="UserStyle_133"/>
    <w:basedOn w:val="744"/>
    <w:uiPriority w:val="0"/>
    <w:qFormat/>
    <w:pPr>
      <w:widowControl/>
    </w:pPr>
    <w:rPr>
      <w:rFonts w:ascii="Tahoma" w:hAnsi="Tahoma"/>
      <w:sz w:val="24"/>
    </w:rPr>
  </w:style>
  <w:style w:type="paragraph" w:styleId="1062" w:customStyle="1">
    <w:name w:val="AnnotationText1"/>
    <w:basedOn w:val="744"/>
    <w:link w:val="1063"/>
    <w:uiPriority w:val="0"/>
    <w:qFormat/>
    <w:pPr>
      <w:jc w:val="left"/>
      <w:widowControl/>
    </w:pPr>
  </w:style>
  <w:style w:type="character" w:styleId="1063" w:customStyle="1">
    <w:name w:val="UserStyle_12"/>
    <w:link w:val="1062"/>
    <w:uiPriority w:val="0"/>
    <w:qFormat/>
    <w:rPr>
      <w:rFonts w:ascii="Times New Roman" w:hAnsi="Times New Roman" w:eastAsia="宋体"/>
      <w:sz w:val="21"/>
      <w:szCs w:val="24"/>
    </w:rPr>
  </w:style>
  <w:style w:type="paragraph" w:styleId="1064"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065" w:customStyle="1">
    <w:name w:val="*正文-表格"/>
    <w:basedOn w:val="744"/>
    <w:uiPriority w:val="0"/>
    <w:qFormat/>
    <w:rPr>
      <w:sz w:val="24"/>
      <w:szCs w:val="20"/>
    </w:rPr>
  </w:style>
  <w:style w:type="paragraph" w:styleId="1066" w:customStyle="1">
    <w:name w:val="Table Paragraph"/>
    <w:basedOn w:val="787"/>
    <w:uiPriority w:val="0"/>
    <w:qFormat/>
    <w:rPr>
      <w:rFonts w:ascii="宋体;SimSun" w:hAnsi="宋体;SimSun"/>
      <w:lang w:val="zh-CN" w:bidi="zh-CN"/>
    </w:rPr>
  </w:style>
  <w:style w:type="paragraph" w:styleId="1067" w:customStyle="1">
    <w:name w:val="目录 11"/>
    <w:basedOn w:val="742"/>
    <w:next w:val="780"/>
    <w:uiPriority w:val="0"/>
    <w:qFormat/>
    <w:pPr>
      <w:jc w:val="left"/>
      <w:spacing w:before="120" w:after="120"/>
    </w:pPr>
    <w:rPr>
      <w:rFonts w:ascii="Calibri" w:hAnsi="Calibri"/>
      <w:b/>
      <w:bCs/>
      <w:caps/>
      <w:sz w:val="20"/>
      <w:szCs w:val="20"/>
    </w:rPr>
  </w:style>
  <w:style w:type="paragraph" w:styleId="1068" w:customStyle="1">
    <w:name w:val="正文首行缩进11"/>
    <w:basedOn w:val="1069"/>
    <w:uiPriority w:val="0"/>
    <w:qFormat/>
    <w:pPr>
      <w:ind w:firstLine="420"/>
    </w:pPr>
    <w:rPr>
      <w:sz w:val="24"/>
    </w:rPr>
  </w:style>
  <w:style w:type="paragraph" w:styleId="1069" w:customStyle="1">
    <w:name w:val="正文文本11"/>
    <w:basedOn w:val="742"/>
    <w:next w:val="780"/>
    <w:uiPriority w:val="0"/>
    <w:qFormat/>
    <w:pPr>
      <w:spacing w:after="120"/>
    </w:pPr>
  </w:style>
  <w:style w:type="paragraph" w:styleId="1070" w:customStyle="1">
    <w:name w:val="_HT_正文"/>
    <w:basedOn w:val="785"/>
    <w:uiPriority w:val="0"/>
    <w:qFormat/>
    <w:pPr>
      <w:ind w:firstLine="200"/>
      <w:jc w:val="both"/>
      <w:spacing w:line="360" w:lineRule="auto"/>
    </w:pPr>
    <w:rPr>
      <w:sz w:val="24"/>
    </w:rPr>
  </w:style>
  <w:style w:type="paragraph" w:styleId="1071" w:customStyle="1">
    <w:name w:val="正文 A"/>
    <w:uiPriority w:val="0"/>
    <w:qFormat/>
    <w:pPr>
      <w:jc w:val="both"/>
      <w:widowControl w:val="off"/>
    </w:pPr>
    <w:rPr>
      <w:rFonts w:hint="default" w:ascii="Times New Roman" w:hAnsi="Arial Unicode MS" w:eastAsia="Arial Unicode MS" w:cs="Times New Roman"/>
      <w:color w:val="000000"/>
      <w:sz w:val="21"/>
      <w:szCs w:val="21"/>
      <w:lang w:val="en-US" w:eastAsia="zh-CN" w:bidi="ar-SA"/>
    </w:rPr>
  </w:style>
  <w:style w:type="paragraph" w:styleId="1072" w:customStyle="1">
    <w:name w:val="Body text|1"/>
    <w:basedOn w:val="704"/>
    <w:uiPriority w:val="0"/>
    <w:qFormat/>
    <w:pPr>
      <w:ind w:firstLine="400"/>
      <w:spacing w:line="412" w:lineRule="auto"/>
    </w:pPr>
    <w:rPr>
      <w:rFonts w:ascii="宋体" w:hAnsi="宋体"/>
      <w:color w:val="000000"/>
      <w:sz w:val="30"/>
      <w:szCs w:val="30"/>
    </w:rPr>
  </w:style>
  <w:style w:type="paragraph" w:styleId="1073" w:customStyle="1">
    <w:name w:val="msonormal"/>
    <w:basedOn w:val="704"/>
    <w:uiPriority w:val="0"/>
    <w:qFormat/>
    <w:pPr>
      <w:spacing w:before="100" w:beforeAutospacing="1" w:after="100" w:afterAutospacing="1"/>
    </w:pPr>
    <w:rPr>
      <w:rFonts w:ascii="宋体" w:hAnsi="宋体" w:cs="宋体"/>
      <w:sz w:val="24"/>
      <w:szCs w:val="24"/>
    </w:rPr>
  </w:style>
  <w:style w:type="paragraph" w:styleId="1074" w:customStyle="1">
    <w:name w:val="font5"/>
    <w:basedOn w:val="704"/>
    <w:uiPriority w:val="0"/>
    <w:qFormat/>
    <w:pPr>
      <w:spacing w:before="100" w:beforeAutospacing="1" w:after="100" w:afterAutospacing="1"/>
    </w:pPr>
    <w:rPr>
      <w:rFonts w:ascii="宋体" w:hAnsi="宋体" w:cs="宋体"/>
      <w:color w:val="000000"/>
      <w:sz w:val="22"/>
      <w:szCs w:val="22"/>
    </w:rPr>
  </w:style>
  <w:style w:type="paragraph" w:styleId="1075" w:customStyle="1">
    <w:name w:val="font6"/>
    <w:basedOn w:val="704"/>
    <w:uiPriority w:val="0"/>
    <w:qFormat/>
    <w:pPr>
      <w:spacing w:before="100" w:beforeAutospacing="1" w:after="100" w:afterAutospacing="1"/>
    </w:pPr>
    <w:rPr>
      <w:rFonts w:ascii="宋体" w:hAnsi="宋体" w:cs="宋体"/>
      <w:b/>
      <w:bCs/>
      <w:color w:val="000000"/>
      <w:sz w:val="22"/>
      <w:szCs w:val="22"/>
    </w:rPr>
  </w:style>
  <w:style w:type="paragraph" w:styleId="1076" w:customStyle="1">
    <w:name w:val="xl65"/>
    <w:basedOn w:val="70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77" w:customStyle="1">
    <w:name w:val="xl66"/>
    <w:basedOn w:val="704"/>
    <w:uiPriority w:val="0"/>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078" w:customStyle="1">
    <w:name w:val="xl67"/>
    <w:basedOn w:val="704"/>
    <w:uiPriority w:val="0"/>
    <w:qFormat/>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079" w:customStyle="1">
    <w:name w:val="xl68"/>
    <w:basedOn w:val="704"/>
    <w:uiPriority w:val="0"/>
    <w:qFormat/>
    <w:pPr>
      <w:jc w:val="center"/>
      <w:spacing w:before="100" w:beforeAutospacing="1" w:after="100" w:afterAutospacing="1"/>
      <w:pBdr>
        <w:top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080" w:customStyle="1">
    <w:name w:val="xl69"/>
    <w:basedOn w:val="704"/>
    <w:uiPriority w:val="0"/>
    <w:qFormat/>
    <w:pPr>
      <w:jc w:val="center"/>
      <w:spacing w:before="100" w:beforeAutospacing="1" w:after="100" w:afterAutospacing="1"/>
      <w:pBdr>
        <w:left w:val="single" w:color="000000" w:sz="8" w:space="0"/>
        <w:bottom w:val="single" w:color="000000" w:sz="8" w:space="0"/>
        <w:right w:val="single" w:color="000000" w:sz="8" w:space="0"/>
      </w:pBdr>
    </w:pPr>
    <w:rPr>
      <w:rFonts w:ascii="宋体" w:hAnsi="宋体" w:cs="宋体"/>
      <w:color w:val="000000"/>
      <w:sz w:val="24"/>
      <w:szCs w:val="24"/>
    </w:rPr>
  </w:style>
  <w:style w:type="paragraph" w:styleId="1081" w:customStyle="1">
    <w:name w:val="xl70"/>
    <w:basedOn w:val="704"/>
    <w:uiPriority w:val="0"/>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082" w:customStyle="1">
    <w:name w:val="xl71"/>
    <w:basedOn w:val="70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83" w:customStyle="1">
    <w:name w:val="xl72"/>
    <w:basedOn w:val="70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4" w:customStyle="1">
    <w:name w:val="xl73"/>
    <w:basedOn w:val="704"/>
    <w:uiPriority w:val="0"/>
    <w:qFormat/>
    <w:pPr>
      <w:jc w:val="center"/>
      <w:spacing w:before="100" w:beforeAutospacing="1" w:after="100" w:afterAutospacing="1"/>
      <w:pBdr>
        <w:right w:val="single" w:color="000000" w:sz="8" w:space="0"/>
      </w:pBdr>
    </w:pPr>
    <w:rPr>
      <w:rFonts w:ascii="宋体" w:hAnsi="宋体" w:cs="宋体"/>
      <w:color w:val="000000"/>
      <w:sz w:val="24"/>
      <w:szCs w:val="24"/>
    </w:rPr>
  </w:style>
  <w:style w:type="paragraph" w:styleId="1085" w:customStyle="1">
    <w:name w:val="xl74"/>
    <w:basedOn w:val="704"/>
    <w:uiPriority w:val="0"/>
    <w:qFormat/>
    <w:pPr>
      <w:jc w:val="center"/>
      <w:spacing w:before="100" w:beforeAutospacing="1" w:after="100" w:afterAutospacing="1"/>
      <w:pBdr>
        <w:left w:val="single" w:color="000000" w:sz="8" w:space="0"/>
        <w:bottom w:val="single" w:color="000000" w:sz="8" w:space="0"/>
      </w:pBdr>
    </w:pPr>
    <w:rPr>
      <w:rFonts w:ascii="宋体" w:hAnsi="宋体" w:cs="宋体"/>
      <w:color w:val="000000"/>
      <w:sz w:val="24"/>
      <w:szCs w:val="24"/>
    </w:rPr>
  </w:style>
  <w:style w:type="paragraph" w:styleId="1086" w:customStyle="1">
    <w:name w:val="xl75"/>
    <w:basedOn w:val="704"/>
    <w:uiPriority w:val="0"/>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087" w:customStyle="1">
    <w:name w:val="xl76"/>
    <w:basedOn w:val="704"/>
    <w:uiPriority w:val="0"/>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088" w:customStyle="1">
    <w:name w:val="索引 5111"/>
    <w:basedOn w:val="704"/>
    <w:next w:val="704"/>
    <w:uiPriority w:val="0"/>
    <w:qFormat/>
    <w:pPr>
      <w:ind w:left="798"/>
      <w:jc w:val="left"/>
    </w:pPr>
    <w:rPr>
      <w:rFonts w:ascii="Calibri" w:hAnsi="Calibri"/>
    </w:rPr>
  </w:style>
  <w:style w:type="paragraph" w:styleId="1089" w:customStyle="1">
    <w:name w:val="目录 11112"/>
    <w:next w:val="704"/>
    <w:uiPriority w:val="39"/>
    <w:unhideWhenUsed/>
    <w:qFormat/>
    <w:pPr>
      <w:ind w:left="0" w:right="0" w:firstLine="0"/>
      <w:jc w:val="both"/>
      <w:spacing w:after="57"/>
      <w:widowControl w:val="off"/>
    </w:pPr>
    <w:rPr>
      <w:rFonts w:hint="default" w:ascii="Times New Roman" w:hAnsi="Times New Roman" w:eastAsia="宋体" w:cs="Times New Roman"/>
      <w:sz w:val="21"/>
      <w:szCs w:val="24"/>
      <w:lang w:val="en-US" w:eastAsia="zh-CN" w:bidi="ar-SA"/>
    </w:rPr>
  </w:style>
  <w:style w:type="character" w:styleId="1090" w:customStyle="1">
    <w:name w:val="要点1"/>
    <w:link w:val="704"/>
    <w:uiPriority w:val="22"/>
    <w:qFormat/>
    <w:rPr>
      <w:b/>
    </w:rPr>
  </w:style>
  <w:style w:type="character" w:styleId="1091" w:customStyle="1">
    <w:name w:val="默认段落字体13"/>
    <w:link w:val="704"/>
    <w:uiPriority w:val="1"/>
    <w:unhideWhenUsed/>
    <w:qFormat/>
  </w:style>
  <w:style w:type="character" w:styleId="1092" w:customStyle="1">
    <w:name w:val="强调1"/>
    <w:link w:val="704"/>
    <w:uiPriority w:val="20"/>
    <w:qFormat/>
    <w:rPr>
      <w:i/>
    </w:r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落雪</dc:creator>
  <cp:lastModifiedBy>闫星星</cp:lastModifiedBy>
  <cp:revision>19</cp:revision>
  <dcterms:created xsi:type="dcterms:W3CDTF">2024-07-06T03:15:00Z</dcterms:created>
  <dcterms:modified xsi:type="dcterms:W3CDTF">2026-09-15T07:26:09Z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eyJoZGlkIjoiZDdkYjEyZDkzNWNmN2QwZGU4YWU1NjZlYzZjYzNmNzMiLCJ1c2VySWQiOiI0MDI0OTQyNzcifQ==</vt:lpwstr>
  </property>
  <property fmtid="{D5CDD505-2E9C-101B-9397-08002B2CF9AE}" pid="3" name="KSOProductBuildVer">
    <vt:lpwstr>2052-12.1.0.28505</vt:lpwstr>
  </property>
  <property fmtid="{D5CDD505-2E9C-101B-9397-08002B2CF9AE}" pid="4" name="ICV">
    <vt:lpwstr>DD7C2857D7FE4B4A923E5F010E5735BF_13</vt:lpwstr>
  </property>
</Properties>
</file>