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eastAsia="宋体"/>
          <w:color w:val="auto"/>
          <w:highlight w:val="none"/>
        </w:rPr>
      </w:pPr>
      <w:r>
        <w:rPr>
          <w:rFonts w:hint="eastAsia" w:eastAsia="宋体"/>
          <w:color w:val="auto"/>
          <w:highlight w:val="none"/>
        </w:rPr>
        <w:t>如有建议或意见，请以书面形式并加盖公章、注明联系人、联系方式，于2026年9月1</w:t>
      </w:r>
      <w:r>
        <w:rPr>
          <w:rFonts w:hint="eastAsia"/>
          <w:color w:val="auto"/>
          <w:highlight w:val="none"/>
          <w:lang w:val="en-US" w:eastAsia="zh-CN"/>
        </w:rPr>
        <w:t>8</w:t>
      </w:r>
      <w:r>
        <w:rPr>
          <w:rFonts w:hint="eastAsia" w:eastAsia="宋体"/>
          <w:color w:val="auto"/>
          <w:highlight w:val="none"/>
        </w:rPr>
        <w:t>日17:00之前送至我单位，逾期不受理（如邮寄，2026年9月1</w:t>
      </w:r>
      <w:r>
        <w:rPr>
          <w:rFonts w:hint="eastAsia"/>
          <w:color w:val="auto"/>
          <w:highlight w:val="none"/>
          <w:lang w:val="en-US" w:eastAsia="zh-CN"/>
        </w:rPr>
        <w:t>8</w:t>
      </w:r>
      <w:r>
        <w:rPr>
          <w:rFonts w:hint="eastAsia" w:eastAsia="宋体"/>
          <w:color w:val="auto"/>
          <w:highlight w:val="none"/>
        </w:rPr>
        <w:t xml:space="preserve">日17：00之后到达本单位的邮件将不再受理）。 </w:t>
      </w:r>
      <w:r>
        <w:rPr>
          <w:rFonts w:eastAsia="宋体"/>
          <w:color w:val="auto"/>
          <w:highlight w:val="none"/>
        </w:rPr>
        <w:br w:type="page"/>
      </w:r>
    </w:p>
    <w:p>
      <w:pPr>
        <w:pStyle w:val="7"/>
        <w:ind w:left="0" w:firstLine="0"/>
        <w:jc w:val="center"/>
        <w:rPr>
          <w:rFonts w:hint="default" w:ascii="宋体" w:hAnsi="宋体" w:eastAsia="宋体" w:cs="宋体"/>
          <w:sz w:val="20"/>
          <w:szCs w:val="22"/>
          <w:highlight w:val="none"/>
        </w:rPr>
      </w:pPr>
      <w:r>
        <w:rPr>
          <w:rFonts w:eastAsia="宋体"/>
          <w:color w:val="auto"/>
          <w:highlight w:val="none"/>
        </w:rPr>
        <w:t>采购需求</w:t>
      </w:r>
      <w:bookmarkStart w:id="19" w:name="_GoBack"/>
      <w:bookmarkEnd w:id="19"/>
    </w:p>
    <w:p>
      <w:pPr>
        <w:keepNext w:val="0"/>
        <w:keepLines w:val="0"/>
        <w:pageBreakBefore w:val="0"/>
        <w:widowControl w:val="0"/>
        <w:numPr>
          <w:ilvl w:val="0"/>
          <w:numId w:val="0"/>
        </w:numPr>
        <w:spacing w:line="360" w:lineRule="auto"/>
        <w:jc w:val="both"/>
        <w:rPr>
          <w:rFonts w:hint="eastAsia" w:ascii="宋体" w:hAnsi="宋体" w:eastAsia="宋体" w:cs="宋体"/>
          <w:b/>
          <w:bCs/>
          <w:color w:val="auto"/>
          <w:sz w:val="28"/>
          <w:szCs w:val="28"/>
          <w:lang w:val="en-US" w:eastAsia="zh-CN" w:bidi="ar-SA"/>
        </w:rPr>
      </w:pPr>
      <w:r>
        <w:rPr>
          <w:rFonts w:hint="eastAsia" w:ascii="宋体" w:hAnsi="宋体" w:eastAsia="宋体" w:cs="宋体"/>
          <w:b/>
          <w:bCs/>
          <w:color w:val="auto"/>
          <w:sz w:val="28"/>
          <w:szCs w:val="28"/>
          <w:lang w:val="en-US" w:eastAsia="zh-CN" w:bidi="ar-SA"/>
        </w:rPr>
        <w:t>一、采购项目说明</w:t>
      </w:r>
    </w:p>
    <w:p>
      <w:pPr>
        <w:keepNext w:val="0"/>
        <w:keepLines w:val="0"/>
        <w:pageBreakBefore w:val="0"/>
        <w:widowControl w:val="0"/>
        <w:kinsoku/>
        <w:wordWrap/>
        <w:overflowPunct/>
        <w:topLinePunct w:val="0"/>
        <w:autoSpaceDE/>
        <w:autoSpaceDN/>
        <w:bidi w:val="0"/>
        <w:adjustRightInd/>
        <w:snapToGrid/>
        <w:spacing w:line="240" w:lineRule="auto"/>
        <w:ind w:firstLine="482"/>
        <w:jc w:val="both"/>
        <w:textAlignment w:val="auto"/>
        <w:outlineLvl w:val="9"/>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bidi="ar-SA"/>
        </w:rPr>
        <w:t>1</w:t>
      </w:r>
      <w:r>
        <w:rPr>
          <w:rFonts w:hint="eastAsia" w:ascii="宋体" w:hAnsi="宋体" w:eastAsia="宋体" w:cs="宋体"/>
          <w:b w:val="0"/>
          <w:bCs/>
          <w:color w:val="auto"/>
          <w:sz w:val="24"/>
          <w:szCs w:val="24"/>
          <w:highlight w:val="none"/>
          <w:lang w:val="en-US" w:eastAsia="zh-CN" w:bidi="ar-SA"/>
        </w:rPr>
        <w:t>.</w:t>
      </w:r>
      <w:r>
        <w:rPr>
          <w:rFonts w:hint="eastAsia" w:ascii="宋体" w:hAnsi="宋体" w:eastAsia="宋体" w:cs="宋体"/>
          <w:b w:val="0"/>
          <w:bCs/>
          <w:color w:val="auto"/>
          <w:sz w:val="24"/>
          <w:szCs w:val="24"/>
          <w:highlight w:val="none"/>
          <w:lang w:val="en-US" w:bidi="ar-SA"/>
        </w:rPr>
        <w:t>采购人：</w:t>
      </w:r>
      <w:r>
        <w:rPr>
          <w:rFonts w:hint="eastAsia" w:ascii="宋体" w:hAnsi="宋体" w:eastAsia="宋体" w:cs="宋体"/>
          <w:b w:val="0"/>
          <w:bCs/>
          <w:color w:val="auto"/>
          <w:sz w:val="24"/>
          <w:szCs w:val="24"/>
          <w:highlight w:val="none"/>
          <w:lang w:val="en-US" w:eastAsia="zh-CN" w:bidi="ar-SA"/>
        </w:rPr>
        <w:t>丰县城市管理局</w:t>
      </w:r>
    </w:p>
    <w:p>
      <w:pPr>
        <w:keepNext w:val="0"/>
        <w:keepLines w:val="0"/>
        <w:pageBreakBefore w:val="0"/>
        <w:widowControl w:val="0"/>
        <w:kinsoku/>
        <w:wordWrap/>
        <w:overflowPunct/>
        <w:topLinePunct w:val="0"/>
        <w:autoSpaceDE/>
        <w:autoSpaceDN/>
        <w:bidi w:val="0"/>
        <w:adjustRightInd/>
        <w:snapToGrid/>
        <w:spacing w:line="240" w:lineRule="auto"/>
        <w:ind w:firstLine="482"/>
        <w:jc w:val="both"/>
        <w:textAlignment w:val="auto"/>
        <w:outlineLvl w:val="9"/>
        <w:rPr>
          <w:rFonts w:hint="eastAsia" w:ascii="宋体" w:hAnsi="宋体" w:eastAsia="宋体" w:cs="宋体"/>
          <w:b w:val="0"/>
          <w:bCs/>
          <w:color w:val="auto"/>
          <w:sz w:val="24"/>
          <w:szCs w:val="24"/>
          <w:highlight w:val="none"/>
          <w:lang w:val="en-US" w:bidi="ar-SA"/>
        </w:rPr>
      </w:pPr>
      <w:r>
        <w:rPr>
          <w:rFonts w:hint="eastAsia" w:ascii="宋体" w:hAnsi="宋体" w:eastAsia="宋体" w:cs="宋体"/>
          <w:b w:val="0"/>
          <w:bCs/>
          <w:color w:val="auto"/>
          <w:sz w:val="24"/>
          <w:szCs w:val="24"/>
          <w:highlight w:val="none"/>
          <w:lang w:val="en-US" w:eastAsia="zh-CN" w:bidi="ar-SA"/>
        </w:rPr>
        <w:t>2.</w:t>
      </w:r>
      <w:r>
        <w:rPr>
          <w:rFonts w:hint="eastAsia" w:ascii="宋体" w:hAnsi="宋体" w:eastAsia="宋体" w:cs="宋体"/>
          <w:b w:val="0"/>
          <w:bCs/>
          <w:color w:val="auto"/>
          <w:sz w:val="24"/>
          <w:szCs w:val="24"/>
          <w:highlight w:val="none"/>
          <w:lang w:val="en-US" w:bidi="ar-SA"/>
        </w:rPr>
        <w:t>项目名称：</w:t>
      </w:r>
      <w:r>
        <w:rPr>
          <w:rFonts w:hint="eastAsia" w:ascii="宋体" w:hAnsi="宋体" w:cs="宋体"/>
          <w:b w:val="0"/>
          <w:bCs/>
          <w:color w:val="auto"/>
          <w:sz w:val="24"/>
          <w:szCs w:val="24"/>
          <w:highlight w:val="none"/>
          <w:lang w:val="en-US" w:eastAsia="zh-CN" w:bidi="ar-SA"/>
        </w:rPr>
        <w:t>丰县生活垃圾填埋场第三方日常运维政府购买服务项目</w:t>
      </w:r>
    </w:p>
    <w:p>
      <w:pPr>
        <w:keepNext w:val="0"/>
        <w:keepLines w:val="0"/>
        <w:pageBreakBefore w:val="0"/>
        <w:widowControl w:val="0"/>
        <w:kinsoku/>
        <w:wordWrap/>
        <w:overflowPunct/>
        <w:topLinePunct w:val="0"/>
        <w:autoSpaceDE/>
        <w:autoSpaceDN/>
        <w:bidi w:val="0"/>
        <w:adjustRightInd/>
        <w:snapToGrid/>
        <w:spacing w:line="240" w:lineRule="auto"/>
        <w:ind w:firstLine="482"/>
        <w:jc w:val="both"/>
        <w:textAlignment w:val="auto"/>
        <w:outlineLvl w:val="9"/>
        <w:rPr>
          <w:rFonts w:hint="eastAsia" w:ascii="宋体" w:hAnsi="宋体" w:eastAsia="宋体" w:cs="宋体"/>
          <w:b w:val="0"/>
          <w:bCs/>
          <w:color w:val="auto"/>
          <w:sz w:val="24"/>
          <w:szCs w:val="24"/>
          <w:highlight w:val="none"/>
          <w:lang w:val="en-US" w:bidi="ar-SA"/>
        </w:rPr>
      </w:pPr>
      <w:r>
        <w:rPr>
          <w:rFonts w:hint="eastAsia" w:ascii="宋体" w:hAnsi="宋体" w:eastAsia="宋体" w:cs="宋体"/>
          <w:b w:val="0"/>
          <w:bCs/>
          <w:color w:val="auto"/>
          <w:sz w:val="24"/>
          <w:szCs w:val="24"/>
          <w:highlight w:val="none"/>
          <w:lang w:val="en-US" w:eastAsia="zh-CN" w:bidi="ar-SA"/>
        </w:rPr>
        <w:t>3.</w:t>
      </w:r>
      <w:r>
        <w:rPr>
          <w:rFonts w:hint="eastAsia" w:ascii="宋体" w:hAnsi="宋体" w:eastAsia="宋体" w:cs="宋体"/>
          <w:b w:val="0"/>
          <w:bCs/>
          <w:color w:val="auto"/>
          <w:sz w:val="24"/>
          <w:szCs w:val="24"/>
          <w:highlight w:val="none"/>
          <w:lang w:val="en-US" w:bidi="ar-SA"/>
        </w:rPr>
        <w:t>本项目不接受超过</w:t>
      </w:r>
      <w:r>
        <w:rPr>
          <w:rFonts w:hint="eastAsia" w:ascii="宋体" w:hAnsi="宋体" w:eastAsia="宋体" w:cs="宋体"/>
          <w:b w:val="0"/>
          <w:bCs/>
          <w:color w:val="auto"/>
          <w:sz w:val="24"/>
          <w:szCs w:val="24"/>
          <w:highlight w:val="none"/>
          <w:lang w:val="en-US" w:eastAsia="zh-CN" w:bidi="ar-SA"/>
        </w:rPr>
        <w:t>249万</w:t>
      </w:r>
      <w:r>
        <w:rPr>
          <w:rFonts w:hint="eastAsia" w:ascii="宋体" w:hAnsi="宋体" w:eastAsia="宋体" w:cs="宋体"/>
          <w:b w:val="0"/>
          <w:bCs/>
          <w:color w:val="auto"/>
          <w:sz w:val="24"/>
          <w:szCs w:val="24"/>
          <w:highlight w:val="none"/>
          <w:lang w:val="en-US" w:bidi="ar-SA"/>
        </w:rPr>
        <w:t>元</w:t>
      </w:r>
      <w:r>
        <w:rPr>
          <w:rFonts w:hint="eastAsia" w:ascii="宋体" w:hAnsi="宋体" w:eastAsia="宋体" w:cs="宋体"/>
          <w:b w:val="0"/>
          <w:bCs/>
          <w:i w:val="0"/>
          <w:caps w:val="0"/>
          <w:color w:val="auto"/>
          <w:spacing w:val="0"/>
          <w:sz w:val="24"/>
          <w:szCs w:val="24"/>
          <w:highlight w:val="none"/>
          <w:lang w:val="en-US" w:eastAsia="zh-CN" w:bidi="ar-SA"/>
        </w:rPr>
        <w:t>（</w:t>
      </w:r>
      <w:r>
        <w:rPr>
          <w:rFonts w:hint="eastAsia" w:ascii="宋体" w:hAnsi="宋体" w:eastAsia="宋体" w:cs="宋体"/>
          <w:b w:val="0"/>
          <w:bCs/>
          <w:i w:val="0"/>
          <w:caps w:val="0"/>
          <w:color w:val="auto"/>
          <w:spacing w:val="0"/>
          <w:sz w:val="24"/>
          <w:szCs w:val="24"/>
          <w:highlight w:val="none"/>
          <w:lang w:val="en-US" w:bidi="ar-SA"/>
        </w:rPr>
        <w:t>采购</w:t>
      </w:r>
      <w:r>
        <w:rPr>
          <w:rFonts w:hint="eastAsia" w:ascii="宋体" w:hAnsi="宋体" w:eastAsia="宋体" w:cs="宋体"/>
          <w:b w:val="0"/>
          <w:bCs/>
          <w:i w:val="0"/>
          <w:caps w:val="0"/>
          <w:color w:val="auto"/>
          <w:spacing w:val="0"/>
          <w:sz w:val="24"/>
          <w:szCs w:val="24"/>
          <w:highlight w:val="none"/>
          <w:lang w:val="en-US" w:eastAsia="zh-CN" w:bidi="ar-SA"/>
        </w:rPr>
        <w:t>项目</w:t>
      </w:r>
      <w:r>
        <w:rPr>
          <w:rFonts w:hint="eastAsia" w:ascii="宋体" w:hAnsi="宋体" w:eastAsia="宋体" w:cs="宋体"/>
          <w:b w:val="0"/>
          <w:bCs/>
          <w:i w:val="0"/>
          <w:caps w:val="0"/>
          <w:color w:val="auto"/>
          <w:spacing w:val="0"/>
          <w:sz w:val="24"/>
          <w:szCs w:val="24"/>
          <w:highlight w:val="none"/>
          <w:lang w:val="en-US" w:bidi="ar-SA"/>
        </w:rPr>
        <w:t>预算金额</w:t>
      </w:r>
      <w:r>
        <w:rPr>
          <w:rFonts w:hint="eastAsia" w:ascii="宋体" w:hAnsi="宋体" w:eastAsia="宋体" w:cs="宋体"/>
          <w:b w:val="0"/>
          <w:bCs/>
          <w:i w:val="0"/>
          <w:caps w:val="0"/>
          <w:color w:val="auto"/>
          <w:spacing w:val="0"/>
          <w:sz w:val="24"/>
          <w:szCs w:val="24"/>
          <w:highlight w:val="none"/>
          <w:lang w:val="en-US" w:eastAsia="zh-CN" w:bidi="ar-SA"/>
        </w:rPr>
        <w:t>）</w:t>
      </w:r>
      <w:r>
        <w:rPr>
          <w:rFonts w:hint="eastAsia" w:ascii="宋体" w:hAnsi="宋体" w:eastAsia="宋体" w:cs="宋体"/>
          <w:b w:val="0"/>
          <w:bCs/>
          <w:color w:val="auto"/>
          <w:sz w:val="24"/>
          <w:szCs w:val="24"/>
          <w:highlight w:val="none"/>
          <w:lang w:val="en-US" w:bidi="ar-SA"/>
        </w:rPr>
        <w:t>的</w:t>
      </w:r>
      <w:r>
        <w:rPr>
          <w:rFonts w:hint="eastAsia" w:ascii="宋体" w:hAnsi="宋体" w:eastAsia="宋体" w:cs="宋体"/>
          <w:b w:val="0"/>
          <w:bCs/>
          <w:color w:val="auto"/>
          <w:sz w:val="24"/>
          <w:szCs w:val="24"/>
          <w:highlight w:val="none"/>
          <w:lang w:val="en-US" w:eastAsia="zh-CN" w:bidi="ar-SA"/>
        </w:rPr>
        <w:t>投标</w:t>
      </w:r>
      <w:r>
        <w:rPr>
          <w:rFonts w:hint="eastAsia" w:ascii="宋体" w:hAnsi="宋体" w:eastAsia="宋体" w:cs="宋体"/>
          <w:b w:val="0"/>
          <w:bCs/>
          <w:color w:val="auto"/>
          <w:sz w:val="24"/>
          <w:szCs w:val="24"/>
          <w:highlight w:val="none"/>
          <w:lang w:val="en-US" w:bidi="ar-SA"/>
        </w:rPr>
        <w:t>报价（报价包括完成项目的所有费用，采购人不再支付报价以外的任何费用）。</w:t>
      </w:r>
    </w:p>
    <w:p>
      <w:pPr>
        <w:keepNext w:val="0"/>
        <w:keepLines w:val="0"/>
        <w:pageBreakBefore w:val="0"/>
        <w:widowControl w:val="0"/>
        <w:kinsoku/>
        <w:wordWrap/>
        <w:overflowPunct/>
        <w:topLinePunct w:val="0"/>
        <w:autoSpaceDE/>
        <w:autoSpaceDN/>
        <w:bidi w:val="0"/>
        <w:adjustRightInd/>
        <w:snapToGrid/>
        <w:spacing w:line="240" w:lineRule="auto"/>
        <w:ind w:firstLine="482"/>
        <w:jc w:val="both"/>
        <w:textAlignment w:val="auto"/>
        <w:outlineLvl w:val="9"/>
        <w:rPr>
          <w:rFonts w:hint="eastAsia" w:ascii="宋体" w:hAnsi="宋体" w:eastAsia="宋体" w:cs="宋体"/>
          <w:b w:val="0"/>
          <w:bCs/>
          <w:color w:val="auto"/>
          <w:sz w:val="24"/>
          <w:szCs w:val="24"/>
          <w:highlight w:val="none"/>
          <w:lang w:val="en-US" w:bidi="ar-SA"/>
        </w:rPr>
      </w:pPr>
      <w:r>
        <w:rPr>
          <w:rFonts w:hint="eastAsia" w:ascii="宋体" w:hAnsi="宋体" w:eastAsia="宋体" w:cs="宋体"/>
          <w:b w:val="0"/>
          <w:bCs/>
          <w:color w:val="auto"/>
          <w:sz w:val="24"/>
          <w:szCs w:val="24"/>
          <w:highlight w:val="none"/>
          <w:lang w:val="en-US" w:eastAsia="zh-CN" w:bidi="ar-SA"/>
        </w:rPr>
        <w:t>4.</w:t>
      </w:r>
      <w:r>
        <w:rPr>
          <w:rFonts w:hint="eastAsia" w:ascii="宋体" w:hAnsi="宋体" w:eastAsia="宋体" w:cs="宋体"/>
          <w:b w:val="0"/>
          <w:bCs/>
          <w:color w:val="auto"/>
          <w:sz w:val="24"/>
          <w:szCs w:val="24"/>
          <w:highlight w:val="none"/>
          <w:lang w:val="en-US" w:bidi="ar-SA"/>
        </w:rPr>
        <w:t>本项目为专门面向中小企业的项目。</w:t>
      </w:r>
    </w:p>
    <w:p>
      <w:pPr>
        <w:keepNext w:val="0"/>
        <w:keepLines w:val="0"/>
        <w:pageBreakBefore w:val="0"/>
        <w:widowControl w:val="0"/>
        <w:kinsoku/>
        <w:wordWrap/>
        <w:overflowPunct/>
        <w:topLinePunct w:val="0"/>
        <w:autoSpaceDE/>
        <w:autoSpaceDN/>
        <w:bidi w:val="0"/>
        <w:adjustRightInd/>
        <w:snapToGrid/>
        <w:spacing w:line="240" w:lineRule="auto"/>
        <w:ind w:firstLine="482"/>
        <w:jc w:val="both"/>
        <w:textAlignment w:val="auto"/>
        <w:outlineLvl w:val="9"/>
        <w:rPr>
          <w:rFonts w:hint="eastAsia" w:ascii="宋体" w:hAnsi="宋体" w:eastAsia="宋体" w:cs="宋体"/>
          <w:b/>
          <w:bCs/>
          <w:color w:val="auto"/>
          <w:sz w:val="24"/>
          <w:szCs w:val="20"/>
          <w:highlight w:val="none"/>
        </w:rPr>
      </w:pPr>
      <w:r>
        <w:rPr>
          <w:rFonts w:hint="eastAsia" w:ascii="宋体" w:hAnsi="宋体" w:eastAsia="宋体" w:cs="宋体"/>
          <w:b w:val="0"/>
          <w:bCs/>
          <w:color w:val="auto"/>
          <w:sz w:val="24"/>
          <w:szCs w:val="24"/>
          <w:highlight w:val="none"/>
          <w:lang w:val="en-US" w:eastAsia="zh-CN" w:bidi="ar-SA"/>
        </w:rPr>
        <w:t>5.</w:t>
      </w:r>
      <w:r>
        <w:rPr>
          <w:rFonts w:hint="eastAsia" w:ascii="宋体" w:hAnsi="宋体" w:eastAsia="宋体" w:cs="宋体"/>
          <w:b w:val="0"/>
          <w:bCs/>
          <w:color w:val="auto"/>
          <w:sz w:val="24"/>
          <w:szCs w:val="24"/>
          <w:highlight w:val="none"/>
          <w:lang w:val="en-US" w:bidi="ar-SA"/>
        </w:rPr>
        <w:t>服务期限：</w:t>
      </w:r>
      <w:r>
        <w:rPr>
          <w:rFonts w:hint="eastAsia" w:ascii="宋体" w:hAnsi="宋体" w:eastAsia="宋体" w:cs="宋体"/>
          <w:b w:val="0"/>
          <w:bCs/>
          <w:color w:val="auto"/>
          <w:sz w:val="24"/>
          <w:szCs w:val="24"/>
          <w:highlight w:val="none"/>
          <w:lang w:val="en-US" w:eastAsia="zh-CN" w:bidi="ar-SA"/>
        </w:rPr>
        <w:t>自合同签订之日起三年</w:t>
      </w:r>
      <w:r>
        <w:rPr>
          <w:rFonts w:hint="eastAsia" w:ascii="宋体" w:hAnsi="宋体" w:eastAsia="宋体" w:cs="宋体"/>
          <w:b w:val="0"/>
          <w:bCs/>
          <w:color w:val="auto"/>
          <w:sz w:val="24"/>
          <w:szCs w:val="24"/>
          <w:highlight w:val="none"/>
          <w:lang w:val="en-US" w:bidi="ar-SA"/>
        </w:rPr>
        <w:t>。</w:t>
      </w:r>
    </w:p>
    <w:p>
      <w:pPr>
        <w:keepNext w:val="0"/>
        <w:keepLines w:val="0"/>
        <w:pageBreakBefore w:val="0"/>
        <w:widowControl w:val="0"/>
        <w:numPr>
          <w:ilvl w:val="0"/>
          <w:numId w:val="0"/>
        </w:numPr>
        <w:spacing w:line="360" w:lineRule="auto"/>
        <w:jc w:val="both"/>
        <w:rPr>
          <w:rFonts w:hint="eastAsia" w:ascii="宋体" w:hAnsi="宋体" w:eastAsia="宋体" w:cs="宋体"/>
          <w:b/>
          <w:bCs/>
          <w:color w:val="auto"/>
          <w:sz w:val="28"/>
          <w:szCs w:val="28"/>
          <w:lang w:val="en-US" w:eastAsia="zh-CN" w:bidi="ar-SA"/>
        </w:rPr>
      </w:pPr>
      <w:r>
        <w:rPr>
          <w:rFonts w:hint="eastAsia" w:ascii="宋体" w:hAnsi="宋体" w:eastAsia="宋体" w:cs="宋体"/>
          <w:b/>
          <w:bCs/>
          <w:color w:val="auto"/>
          <w:sz w:val="28"/>
          <w:szCs w:val="28"/>
          <w:lang w:val="en-US" w:eastAsia="zh-CN" w:bidi="ar-SA"/>
        </w:rPr>
        <w:t>二、服务内容</w:t>
      </w:r>
    </w:p>
    <w:p>
      <w:pPr>
        <w:keepNext w:val="0"/>
        <w:keepLines w:val="0"/>
        <w:pageBreakBefore w:val="0"/>
        <w:widowControl w:val="0"/>
        <w:kinsoku/>
        <w:wordWrap/>
        <w:overflowPunct/>
        <w:topLinePunct w:val="0"/>
        <w:autoSpaceDE/>
        <w:autoSpaceDN/>
        <w:bidi w:val="0"/>
        <w:adjustRightInd/>
        <w:snapToGrid/>
        <w:spacing w:line="240" w:lineRule="auto"/>
        <w:ind w:left="240" w:leftChars="100"/>
        <w:jc w:val="both"/>
        <w:textAlignment w:val="auto"/>
        <w:rPr>
          <w:rFonts w:hint="eastAsia" w:ascii="宋体" w:hAnsi="宋体" w:eastAsia="宋体" w:cs="宋体"/>
          <w:sz w:val="24"/>
          <w:szCs w:val="24"/>
        </w:rPr>
      </w:pPr>
      <w:r>
        <w:rPr>
          <w:rFonts w:hint="eastAsia" w:ascii="宋体" w:hAnsi="宋体" w:eastAsia="宋体" w:cs="宋体"/>
          <w:b/>
          <w:sz w:val="24"/>
          <w:szCs w:val="24"/>
        </w:rPr>
        <w:t>一、项目概况</w:t>
      </w:r>
    </w:p>
    <w:p>
      <w:pPr>
        <w:keepNext w:val="0"/>
        <w:keepLines w:val="0"/>
        <w:pageBreakBefore w:val="0"/>
        <w:widowControl w:val="0"/>
        <w:kinsoku/>
        <w:wordWrap/>
        <w:overflowPunct/>
        <w:topLinePunct w:val="0"/>
        <w:autoSpaceDE/>
        <w:autoSpaceDN/>
        <w:bidi w:val="0"/>
        <w:adjustRightInd/>
        <w:snapToGrid/>
        <w:spacing w:before="120" w:after="120" w:line="240" w:lineRule="auto"/>
        <w:ind w:left="240" w:leftChars="100"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丰县生活垃圾卫生填埋场、丰县生活垃圾应急填埋场两个场区，位于丰县支农北路路东、原国丰新能源西、北环路路北。全区域占地约 216 亩，丰县生活垃圾卫生填埋场 2021 年底启动生态修复封场项目，2023 年 1 月完成项目竣工验收；丰县生活垃圾应急填埋场为应急填埋库区备用，平时做好日常维护，做好应急接收生活垃圾的准备工作（如应急接收生活垃圾，费用另行结算）。</w:t>
      </w:r>
    </w:p>
    <w:p>
      <w:pPr>
        <w:keepNext w:val="0"/>
        <w:keepLines w:val="0"/>
        <w:pageBreakBefore w:val="0"/>
        <w:widowControl w:val="0"/>
        <w:kinsoku/>
        <w:wordWrap/>
        <w:overflowPunct/>
        <w:topLinePunct w:val="0"/>
        <w:autoSpaceDE/>
        <w:autoSpaceDN/>
        <w:bidi w:val="0"/>
        <w:adjustRightInd/>
        <w:snapToGrid/>
        <w:spacing w:line="240" w:lineRule="auto"/>
        <w:ind w:left="240" w:leftChars="100"/>
        <w:jc w:val="left"/>
        <w:textAlignment w:val="auto"/>
        <w:outlineLvl w:val="1"/>
        <w:rPr>
          <w:rFonts w:hint="eastAsia" w:ascii="宋体" w:hAnsi="宋体" w:eastAsia="宋体" w:cs="宋体"/>
          <w:sz w:val="24"/>
          <w:szCs w:val="24"/>
        </w:rPr>
      </w:pPr>
      <w:bookmarkStart w:id="0" w:name="heading_1"/>
      <w:r>
        <w:rPr>
          <w:rFonts w:hint="eastAsia" w:ascii="宋体" w:hAnsi="宋体" w:eastAsia="宋体" w:cs="宋体"/>
          <w:b/>
          <w:sz w:val="24"/>
          <w:szCs w:val="24"/>
        </w:rPr>
        <w:t>二、日常运营管理内容</w:t>
      </w:r>
      <w:bookmarkEnd w:id="0"/>
    </w:p>
    <w:p>
      <w:pPr>
        <w:keepNext w:val="0"/>
        <w:keepLines w:val="0"/>
        <w:pageBreakBefore w:val="0"/>
        <w:widowControl w:val="0"/>
        <w:kinsoku/>
        <w:wordWrap/>
        <w:overflowPunct/>
        <w:topLinePunct w:val="0"/>
        <w:autoSpaceDE/>
        <w:autoSpaceDN/>
        <w:bidi w:val="0"/>
        <w:adjustRightInd/>
        <w:snapToGrid/>
        <w:spacing w:before="120" w:after="120" w:line="240" w:lineRule="auto"/>
        <w:ind w:left="240" w:leftChars="10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负责丰县生活垃圾卫生填埋场、丰县生活垃圾应急填埋场的管理服务工作。工作内容按照国家和地方的相关法律、法规和标准进行，包括但不限于：《劳动法》《安全生产法》《环境保护法》《生活垃圾卫生填埋处理技术标准》GB 50869‑2013、《生活垃圾填埋场污染控制标准》GB16889‑2024 、《危险废物填埋污染控制标准》GB18598‑2019、《生活垃圾卫生填埋场运行维护技术规程》CJJ93‑2011、《生活垃圾卫生填埋场封场技术规范》GB51220‑2017、填埋场排污许可证等，符合相关主管部门和招标方制定的管理规范。工作范围包含</w:t>
      </w:r>
      <w:r>
        <w:rPr>
          <w:rFonts w:hint="eastAsia" w:ascii="宋体" w:hAnsi="宋体" w:eastAsia="宋体" w:cs="宋体"/>
          <w:sz w:val="24"/>
          <w:szCs w:val="24"/>
          <w:lang w:eastAsia="zh-CN"/>
        </w:rPr>
        <w:t>现场环境简易自行检测</w:t>
      </w:r>
      <w:r>
        <w:rPr>
          <w:rFonts w:hint="eastAsia" w:ascii="宋体" w:hAnsi="宋体" w:eastAsia="宋体" w:cs="宋体"/>
          <w:sz w:val="24"/>
          <w:szCs w:val="24"/>
        </w:rPr>
        <w:t>、渗滤液收集和</w:t>
      </w:r>
      <w:r>
        <w:rPr>
          <w:rFonts w:hint="eastAsia" w:ascii="宋体" w:hAnsi="宋体" w:eastAsia="宋体" w:cs="宋体"/>
          <w:sz w:val="24"/>
          <w:szCs w:val="24"/>
          <w:lang w:eastAsia="zh-CN"/>
        </w:rPr>
        <w:t>输</w:t>
      </w:r>
      <w:r>
        <w:rPr>
          <w:rFonts w:hint="eastAsia" w:ascii="宋体" w:hAnsi="宋体" w:eastAsia="宋体" w:cs="宋体"/>
          <w:sz w:val="24"/>
          <w:szCs w:val="24"/>
        </w:rPr>
        <w:t>送、填埋气体收集处理、雨水倒排系统维护、堆体管理养护、绿化养护、除草、雨污分流导排及雨季防汛、清扫保洁、运营台账记录及保管、配合技术改造、安保等。</w:t>
      </w:r>
    </w:p>
    <w:p>
      <w:pPr>
        <w:keepNext w:val="0"/>
        <w:keepLines w:val="0"/>
        <w:pageBreakBefore w:val="0"/>
        <w:widowControl w:val="0"/>
        <w:kinsoku/>
        <w:wordWrap/>
        <w:overflowPunct/>
        <w:topLinePunct w:val="0"/>
        <w:autoSpaceDE/>
        <w:autoSpaceDN/>
        <w:bidi w:val="0"/>
        <w:adjustRightInd/>
        <w:snapToGrid/>
        <w:spacing w:line="240" w:lineRule="auto"/>
        <w:ind w:left="240" w:leftChars="100"/>
        <w:jc w:val="left"/>
        <w:textAlignment w:val="auto"/>
        <w:outlineLvl w:val="2"/>
        <w:rPr>
          <w:rFonts w:hint="eastAsia" w:ascii="宋体" w:hAnsi="宋体" w:eastAsia="宋体" w:cs="宋体"/>
          <w:sz w:val="24"/>
          <w:szCs w:val="24"/>
        </w:rPr>
      </w:pPr>
      <w:bookmarkStart w:id="1" w:name="heading_2"/>
      <w:r>
        <w:rPr>
          <w:rFonts w:hint="eastAsia" w:ascii="宋体" w:hAnsi="宋体" w:eastAsia="宋体" w:cs="宋体"/>
          <w:b/>
          <w:sz w:val="24"/>
          <w:szCs w:val="24"/>
        </w:rPr>
        <w:t>2.1 渗滤液收集和运输</w:t>
      </w:r>
      <w:bookmarkEnd w:id="1"/>
    </w:p>
    <w:p>
      <w:pPr>
        <w:keepNext w:val="0"/>
        <w:keepLines w:val="0"/>
        <w:pageBreakBefore w:val="0"/>
        <w:widowControl w:val="0"/>
        <w:kinsoku/>
        <w:wordWrap/>
        <w:overflowPunct/>
        <w:topLinePunct w:val="0"/>
        <w:autoSpaceDE/>
        <w:autoSpaceDN/>
        <w:bidi w:val="0"/>
        <w:adjustRightInd/>
        <w:snapToGrid/>
        <w:spacing w:before="120" w:after="120" w:line="240" w:lineRule="auto"/>
        <w:ind w:left="240" w:leftChars="100" w:firstLine="480" w:firstLineChars="200"/>
        <w:jc w:val="left"/>
        <w:textAlignment w:val="auto"/>
        <w:rPr>
          <w:rFonts w:hint="eastAsia" w:ascii="宋体" w:hAnsi="宋体" w:eastAsia="宋体" w:cs="宋体"/>
          <w:sz w:val="24"/>
          <w:szCs w:val="24"/>
          <w:lang w:eastAsia="zh-CN"/>
        </w:rPr>
      </w:pPr>
      <w:r>
        <w:rPr>
          <w:rFonts w:hint="eastAsia" w:ascii="宋体" w:hAnsi="宋体" w:eastAsia="宋体" w:cs="宋体"/>
          <w:sz w:val="24"/>
          <w:szCs w:val="24"/>
        </w:rPr>
        <w:t>负责生活垃圾卫生填埋场封场 A、B 库区及应急填埋场渗滤液收集（包括渗滤液导排系统、提升泵、调节池、输送管道等附属设施）维护，渗滤液通过管道输送至光大垃圾焚烧厂处置，同时做好渗滤液台账资料。</w:t>
      </w:r>
    </w:p>
    <w:p>
      <w:pPr>
        <w:keepNext w:val="0"/>
        <w:keepLines w:val="0"/>
        <w:pageBreakBefore w:val="0"/>
        <w:widowControl w:val="0"/>
        <w:kinsoku/>
        <w:wordWrap/>
        <w:overflowPunct/>
        <w:topLinePunct w:val="0"/>
        <w:autoSpaceDE/>
        <w:autoSpaceDN/>
        <w:bidi w:val="0"/>
        <w:adjustRightInd/>
        <w:snapToGrid/>
        <w:spacing w:before="120" w:after="120" w:line="240" w:lineRule="auto"/>
        <w:ind w:left="240" w:leftChars="10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若光大垃圾焚烧厂无法接收渗滤液，乙方须第一时间启用场内调节池应急储存，做好台账，同步向采购人报告，严禁发生渗滤液外溢。</w:t>
      </w:r>
    </w:p>
    <w:p>
      <w:pPr>
        <w:keepNext w:val="0"/>
        <w:keepLines w:val="0"/>
        <w:pageBreakBefore w:val="0"/>
        <w:widowControl w:val="0"/>
        <w:kinsoku/>
        <w:wordWrap/>
        <w:overflowPunct/>
        <w:topLinePunct w:val="0"/>
        <w:autoSpaceDE/>
        <w:autoSpaceDN/>
        <w:bidi w:val="0"/>
        <w:adjustRightInd/>
        <w:snapToGrid/>
        <w:spacing w:before="120" w:after="120" w:line="240" w:lineRule="auto"/>
        <w:ind w:left="240" w:leftChars="100"/>
        <w:jc w:val="left"/>
        <w:textAlignment w:val="auto"/>
        <w:rPr>
          <w:rFonts w:hint="eastAsia" w:ascii="宋体" w:hAnsi="宋体" w:eastAsia="宋体" w:cs="宋体"/>
          <w:sz w:val="24"/>
          <w:szCs w:val="24"/>
        </w:rPr>
      </w:pPr>
      <w:r>
        <w:rPr>
          <w:rFonts w:hint="eastAsia" w:ascii="宋体" w:hAnsi="宋体" w:eastAsia="宋体" w:cs="宋体"/>
          <w:sz w:val="24"/>
          <w:szCs w:val="24"/>
        </w:rPr>
        <w:t>负责调节池及 1 号库区膜上雨水要及时进行抽排，抽排时应备有安全带、踏步、扶手、救生绳、挂钩、吊带等安全用品，确保安全，如发现膜破裂等要及时修补更换，防止雨水进入。</w:t>
      </w:r>
    </w:p>
    <w:p>
      <w:pPr>
        <w:keepNext w:val="0"/>
        <w:keepLines w:val="0"/>
        <w:pageBreakBefore w:val="0"/>
        <w:widowControl w:val="0"/>
        <w:kinsoku/>
        <w:wordWrap/>
        <w:overflowPunct/>
        <w:topLinePunct w:val="0"/>
        <w:autoSpaceDE/>
        <w:autoSpaceDN/>
        <w:bidi w:val="0"/>
        <w:adjustRightInd/>
        <w:snapToGrid/>
        <w:spacing w:line="240" w:lineRule="auto"/>
        <w:ind w:left="240" w:leftChars="100"/>
        <w:jc w:val="left"/>
        <w:textAlignment w:val="auto"/>
        <w:rPr>
          <w:rFonts w:hint="eastAsia" w:ascii="宋体" w:hAnsi="宋体" w:eastAsia="宋体" w:cs="宋体"/>
          <w:b/>
          <w:sz w:val="24"/>
          <w:szCs w:val="24"/>
          <w:lang w:eastAsia="zh-CN"/>
        </w:rPr>
      </w:pPr>
      <w:r>
        <w:rPr>
          <w:rFonts w:hint="eastAsia" w:ascii="宋体" w:hAnsi="宋体" w:eastAsia="宋体" w:cs="宋体"/>
          <w:b/>
          <w:sz w:val="24"/>
          <w:szCs w:val="24"/>
        </w:rPr>
        <w:t>安全操作</w:t>
      </w:r>
    </w:p>
    <w:p>
      <w:pPr>
        <w:keepNext w:val="0"/>
        <w:keepLines w:val="0"/>
        <w:pageBreakBefore w:val="0"/>
        <w:widowControl w:val="0"/>
        <w:kinsoku/>
        <w:wordWrap/>
        <w:overflowPunct/>
        <w:topLinePunct w:val="0"/>
        <w:autoSpaceDE/>
        <w:autoSpaceDN/>
        <w:bidi w:val="0"/>
        <w:adjustRightInd/>
        <w:snapToGrid/>
        <w:spacing w:line="240" w:lineRule="auto"/>
        <w:ind w:left="240" w:leftChars="100"/>
        <w:jc w:val="left"/>
        <w:textAlignment w:val="auto"/>
        <w:rPr>
          <w:rFonts w:hint="eastAsia" w:ascii="宋体" w:hAnsi="宋体" w:eastAsia="宋体" w:cs="宋体"/>
          <w:sz w:val="24"/>
          <w:szCs w:val="24"/>
        </w:rPr>
      </w:pPr>
      <w:r>
        <w:rPr>
          <w:rFonts w:hint="eastAsia" w:ascii="宋体" w:hAnsi="宋体" w:eastAsia="宋体" w:cs="宋体"/>
          <w:sz w:val="24"/>
          <w:szCs w:val="24"/>
        </w:rPr>
        <w:t>渗滤液导排管及压缩空气管维修前必须检测堆体上空 2m 以下范围内的甲烷气体浓度，浓度应小于 5%，避免维修器械产生火花引起闪爆；维修人员应穿戴防爆防护装备，严禁烟火。</w:t>
      </w:r>
    </w:p>
    <w:p>
      <w:pPr>
        <w:keepNext w:val="0"/>
        <w:keepLines w:val="0"/>
        <w:pageBreakBefore w:val="0"/>
        <w:widowControl w:val="0"/>
        <w:kinsoku/>
        <w:wordWrap/>
        <w:overflowPunct/>
        <w:topLinePunct w:val="0"/>
        <w:autoSpaceDE/>
        <w:autoSpaceDN/>
        <w:bidi w:val="0"/>
        <w:adjustRightInd/>
        <w:snapToGrid/>
        <w:spacing w:line="240" w:lineRule="auto"/>
        <w:ind w:left="240" w:leftChars="100"/>
        <w:jc w:val="left"/>
        <w:textAlignment w:val="auto"/>
        <w:outlineLvl w:val="2"/>
        <w:rPr>
          <w:rFonts w:hint="eastAsia" w:ascii="宋体" w:hAnsi="宋体" w:eastAsia="宋体" w:cs="宋体"/>
          <w:sz w:val="24"/>
          <w:szCs w:val="24"/>
        </w:rPr>
      </w:pPr>
      <w:bookmarkStart w:id="2" w:name="heading_3"/>
      <w:r>
        <w:rPr>
          <w:rFonts w:hint="eastAsia" w:ascii="宋体" w:hAnsi="宋体" w:eastAsia="宋体" w:cs="宋体"/>
          <w:b/>
          <w:sz w:val="24"/>
          <w:szCs w:val="24"/>
        </w:rPr>
        <w:t>2.2 填埋气收集和处理</w:t>
      </w:r>
      <w:bookmarkEnd w:id="2"/>
    </w:p>
    <w:p>
      <w:pPr>
        <w:keepNext w:val="0"/>
        <w:keepLines w:val="0"/>
        <w:pageBreakBefore w:val="0"/>
        <w:widowControl w:val="0"/>
        <w:kinsoku/>
        <w:wordWrap/>
        <w:overflowPunct/>
        <w:topLinePunct w:val="0"/>
        <w:autoSpaceDE/>
        <w:autoSpaceDN/>
        <w:bidi w:val="0"/>
        <w:adjustRightInd/>
        <w:snapToGrid/>
        <w:spacing w:before="120" w:after="120" w:line="240" w:lineRule="auto"/>
        <w:ind w:left="240" w:leftChars="10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负责填埋气导排系统和利用设施（燃烧火炬）的运行和维护，做好火炬燃烧日常运营台账记录。填埋气经处理后需满足《大气污染物综合排放标准》（GB 16297‑1996）。</w:t>
      </w:r>
    </w:p>
    <w:p>
      <w:pPr>
        <w:keepNext w:val="0"/>
        <w:keepLines w:val="0"/>
        <w:pageBreakBefore w:val="0"/>
        <w:widowControl w:val="0"/>
        <w:kinsoku/>
        <w:wordWrap/>
        <w:overflowPunct/>
        <w:topLinePunct w:val="0"/>
        <w:autoSpaceDE/>
        <w:autoSpaceDN/>
        <w:bidi w:val="0"/>
        <w:adjustRightInd/>
        <w:snapToGrid/>
        <w:spacing w:before="120" w:after="120" w:line="240" w:lineRule="auto"/>
        <w:ind w:left="240" w:leftChars="10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火炬燃烧系统：该填埋场填埋气体采用主动导排系统，气体抽排启动时抽风机流量应从小到大缓慢调整，直至抽气与产气基本平衡，防止抽入过多的空气。抽气流量与气体产生速率保持基本平衡可按以下条件综合判断：1 是负压管网气密性试验合格，无漏气发生；2 是气体氧含量保持在 1% 以下；3 是气体甲烷含量保持稳定。</w:t>
      </w:r>
    </w:p>
    <w:p>
      <w:pPr>
        <w:keepNext w:val="0"/>
        <w:keepLines w:val="0"/>
        <w:pageBreakBefore w:val="0"/>
        <w:widowControl w:val="0"/>
        <w:kinsoku/>
        <w:wordWrap/>
        <w:overflowPunct/>
        <w:topLinePunct w:val="0"/>
        <w:autoSpaceDE/>
        <w:autoSpaceDN/>
        <w:bidi w:val="0"/>
        <w:adjustRightInd/>
        <w:snapToGrid/>
        <w:spacing w:before="120" w:after="120" w:line="240" w:lineRule="auto"/>
        <w:ind w:left="240" w:leftChars="100"/>
        <w:jc w:val="left"/>
        <w:textAlignment w:val="auto"/>
        <w:rPr>
          <w:rFonts w:hint="eastAsia" w:ascii="宋体" w:hAnsi="宋体" w:eastAsia="宋体" w:cs="宋体"/>
          <w:sz w:val="24"/>
          <w:szCs w:val="24"/>
          <w:lang w:eastAsia="zh-CN"/>
        </w:rPr>
      </w:pPr>
      <w:r>
        <w:rPr>
          <w:rFonts w:hint="eastAsia" w:ascii="宋体" w:hAnsi="宋体" w:eastAsia="宋体" w:cs="宋体"/>
          <w:b/>
          <w:sz w:val="24"/>
          <w:szCs w:val="24"/>
        </w:rPr>
        <w:t>维护保养</w:t>
      </w:r>
      <w:r>
        <w:rPr>
          <w:rFonts w:hint="eastAsia" w:ascii="宋体" w:hAnsi="宋体" w:eastAsia="宋体" w:cs="宋体"/>
          <w:sz w:val="24"/>
          <w:szCs w:val="24"/>
        </w:rPr>
        <w:t>：封场后填埋堆体存在不同程度的沉降，应加强集气导排井及附属管网的巡查，发现沉降及时处置，防止拉裂管道；</w:t>
      </w:r>
    </w:p>
    <w:p>
      <w:pPr>
        <w:keepNext w:val="0"/>
        <w:keepLines w:val="0"/>
        <w:pageBreakBefore w:val="0"/>
        <w:widowControl w:val="0"/>
        <w:kinsoku/>
        <w:wordWrap/>
        <w:overflowPunct/>
        <w:topLinePunct w:val="0"/>
        <w:autoSpaceDE/>
        <w:autoSpaceDN/>
        <w:bidi w:val="0"/>
        <w:adjustRightInd/>
        <w:snapToGrid/>
        <w:spacing w:before="120" w:after="120" w:line="240" w:lineRule="auto"/>
        <w:ind w:left="240" w:leftChars="100"/>
        <w:jc w:val="left"/>
        <w:textAlignment w:val="auto"/>
        <w:rPr>
          <w:rFonts w:hint="eastAsia" w:ascii="宋体" w:hAnsi="宋体" w:eastAsia="宋体" w:cs="宋体"/>
          <w:sz w:val="24"/>
          <w:szCs w:val="24"/>
        </w:rPr>
      </w:pPr>
      <w:r>
        <w:rPr>
          <w:rFonts w:hint="eastAsia" w:ascii="宋体" w:hAnsi="宋体" w:eastAsia="宋体" w:cs="宋体"/>
          <w:sz w:val="24"/>
          <w:szCs w:val="24"/>
        </w:rPr>
        <w:t>填埋气体产生速率呈逐渐下降趋势，应定期调整抽气风机的流量，使抽气流量与气体产生速率保持基本动态平衡；可燃气体在线监测报警设备应定期校核和标定，保持其正常运行。气体收集未达到燃烧条件，须及时向采购人及属地生态环境主管部门报备，并留存报备记录。</w:t>
      </w:r>
    </w:p>
    <w:p>
      <w:pPr>
        <w:keepNext w:val="0"/>
        <w:keepLines w:val="0"/>
        <w:pageBreakBefore w:val="0"/>
        <w:widowControl w:val="0"/>
        <w:kinsoku/>
        <w:wordWrap/>
        <w:overflowPunct/>
        <w:topLinePunct w:val="0"/>
        <w:autoSpaceDE/>
        <w:autoSpaceDN/>
        <w:bidi w:val="0"/>
        <w:adjustRightInd/>
        <w:snapToGrid/>
        <w:spacing w:before="120" w:after="120" w:line="240" w:lineRule="auto"/>
        <w:ind w:left="240" w:leftChars="100"/>
        <w:jc w:val="left"/>
        <w:textAlignment w:val="auto"/>
        <w:rPr>
          <w:rFonts w:hint="eastAsia" w:ascii="宋体" w:hAnsi="宋体" w:eastAsia="宋体" w:cs="宋体"/>
          <w:b/>
          <w:sz w:val="24"/>
          <w:szCs w:val="24"/>
          <w:lang w:eastAsia="zh-CN"/>
        </w:rPr>
      </w:pPr>
      <w:r>
        <w:rPr>
          <w:rFonts w:hint="eastAsia" w:ascii="宋体" w:hAnsi="宋体" w:eastAsia="宋体" w:cs="宋体"/>
          <w:b/>
          <w:sz w:val="24"/>
          <w:szCs w:val="24"/>
        </w:rPr>
        <w:t>安全操作</w:t>
      </w:r>
    </w:p>
    <w:p>
      <w:pPr>
        <w:keepNext w:val="0"/>
        <w:keepLines w:val="0"/>
        <w:pageBreakBefore w:val="0"/>
        <w:widowControl w:val="0"/>
        <w:kinsoku/>
        <w:wordWrap/>
        <w:overflowPunct/>
        <w:topLinePunct w:val="0"/>
        <w:autoSpaceDE/>
        <w:autoSpaceDN/>
        <w:bidi w:val="0"/>
        <w:adjustRightInd/>
        <w:snapToGrid/>
        <w:spacing w:before="120" w:after="120" w:line="240" w:lineRule="auto"/>
        <w:ind w:left="240" w:leftChars="100"/>
        <w:jc w:val="lef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集气导液井及附属管道维修前必须检测堆体上空 2m 以下范围内的甲烷气体浓度，浓度应小于 5%；维修人员应穿戴防爆防护装备，严禁烟火；火炬燃烧系统启动、运行、关闭应严格按照产品说明书进行操作，严禁违规操作。</w:t>
      </w:r>
    </w:p>
    <w:p>
      <w:pPr>
        <w:keepNext w:val="0"/>
        <w:keepLines w:val="0"/>
        <w:pageBreakBefore w:val="0"/>
        <w:widowControl w:val="0"/>
        <w:kinsoku/>
        <w:wordWrap/>
        <w:overflowPunct/>
        <w:topLinePunct w:val="0"/>
        <w:autoSpaceDE/>
        <w:autoSpaceDN/>
        <w:bidi w:val="0"/>
        <w:adjustRightInd/>
        <w:snapToGrid/>
        <w:spacing w:line="240" w:lineRule="auto"/>
        <w:ind w:left="240" w:leftChars="100"/>
        <w:jc w:val="left"/>
        <w:textAlignment w:val="auto"/>
        <w:outlineLvl w:val="2"/>
        <w:rPr>
          <w:rFonts w:hint="eastAsia" w:ascii="宋体" w:hAnsi="宋体" w:eastAsia="宋体" w:cs="宋体"/>
          <w:sz w:val="24"/>
          <w:szCs w:val="24"/>
        </w:rPr>
      </w:pPr>
      <w:bookmarkStart w:id="3" w:name="heading_4"/>
      <w:r>
        <w:rPr>
          <w:rFonts w:hint="eastAsia" w:ascii="宋体" w:hAnsi="宋体" w:eastAsia="宋体" w:cs="宋体"/>
          <w:b/>
          <w:sz w:val="24"/>
          <w:szCs w:val="24"/>
        </w:rPr>
        <w:t>2.3 雨污分流导排及雨季防汛</w:t>
      </w:r>
      <w:bookmarkEnd w:id="3"/>
    </w:p>
    <w:p>
      <w:pPr>
        <w:keepNext w:val="0"/>
        <w:keepLines w:val="0"/>
        <w:pageBreakBefore w:val="0"/>
        <w:widowControl w:val="0"/>
        <w:kinsoku/>
        <w:wordWrap/>
        <w:overflowPunct/>
        <w:topLinePunct w:val="0"/>
        <w:autoSpaceDE/>
        <w:autoSpaceDN/>
        <w:bidi w:val="0"/>
        <w:adjustRightInd/>
        <w:snapToGrid/>
        <w:spacing w:line="240" w:lineRule="auto"/>
        <w:ind w:left="240" w:leftChars="100" w:firstLine="480" w:firstLineChars="200"/>
        <w:jc w:val="left"/>
        <w:textAlignment w:val="auto"/>
        <w:rPr>
          <w:rFonts w:hint="eastAsia" w:ascii="宋体" w:hAnsi="宋体" w:eastAsia="宋体" w:cs="宋体"/>
          <w:sz w:val="24"/>
          <w:szCs w:val="24"/>
          <w:lang w:eastAsia="zh-CN"/>
        </w:rPr>
      </w:pPr>
      <w:r>
        <w:rPr>
          <w:rFonts w:hint="eastAsia" w:ascii="宋体" w:hAnsi="宋体" w:eastAsia="宋体" w:cs="宋体"/>
          <w:sz w:val="24"/>
          <w:szCs w:val="24"/>
        </w:rPr>
        <w:t>负责场区所有雨污分流设施的维护，雨、污水的有序引排，确保所有设施时刻发挥有效功能，严禁雨水进入库区或污水泄漏出库区，造成雨污混流；对全场导排泵进行一周一次的清理维护，对场区雨水收集沟渠进行清淤。汛期前提前疏通排查雨水收集系统，对堆体的导排系统要规范安排，定期清除现有沟渠内的垃圾、杂物，对损坏之处进行维修加固防止坍塌，保证流水畅通。观察水流阻断，不通畅的区域，重新开挖沟渠。</w:t>
      </w:r>
    </w:p>
    <w:p>
      <w:pPr>
        <w:keepNext w:val="0"/>
        <w:keepLines w:val="0"/>
        <w:pageBreakBefore w:val="0"/>
        <w:widowControl w:val="0"/>
        <w:kinsoku/>
        <w:wordWrap/>
        <w:overflowPunct/>
        <w:topLinePunct w:val="0"/>
        <w:autoSpaceDE/>
        <w:autoSpaceDN/>
        <w:bidi w:val="0"/>
        <w:adjustRightInd/>
        <w:snapToGrid/>
        <w:spacing w:line="240" w:lineRule="auto"/>
        <w:ind w:left="240" w:leftChars="10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乙方编制汛期专项应急预案、汛期值班表，编制完成后报送采购人备案；汛期安排专人值班（不低于 2 人），降雨天气保证不间断检查雨水抽排系统是否正常运行；做好地下水倒排工作，防止防渗底膜漂浮。</w:t>
      </w:r>
    </w:p>
    <w:p>
      <w:pPr>
        <w:keepNext w:val="0"/>
        <w:keepLines w:val="0"/>
        <w:pageBreakBefore w:val="0"/>
        <w:widowControl w:val="0"/>
        <w:kinsoku/>
        <w:wordWrap/>
        <w:overflowPunct/>
        <w:topLinePunct w:val="0"/>
        <w:autoSpaceDE/>
        <w:autoSpaceDN/>
        <w:bidi w:val="0"/>
        <w:adjustRightInd/>
        <w:snapToGrid/>
        <w:spacing w:line="240" w:lineRule="auto"/>
        <w:ind w:left="240" w:leftChars="100"/>
        <w:jc w:val="left"/>
        <w:textAlignment w:val="auto"/>
        <w:rPr>
          <w:rFonts w:hint="eastAsia" w:ascii="宋体" w:hAnsi="宋体" w:eastAsia="宋体" w:cs="宋体"/>
          <w:b/>
          <w:sz w:val="24"/>
          <w:szCs w:val="24"/>
          <w:lang w:eastAsia="zh-CN"/>
        </w:rPr>
      </w:pPr>
      <w:r>
        <w:rPr>
          <w:rFonts w:hint="eastAsia" w:ascii="宋体" w:hAnsi="宋体" w:eastAsia="宋体" w:cs="宋体"/>
          <w:b/>
          <w:sz w:val="24"/>
          <w:szCs w:val="24"/>
        </w:rPr>
        <w:t>安全操作</w:t>
      </w:r>
    </w:p>
    <w:p>
      <w:pPr>
        <w:keepNext w:val="0"/>
        <w:keepLines w:val="0"/>
        <w:pageBreakBefore w:val="0"/>
        <w:widowControl w:val="0"/>
        <w:kinsoku/>
        <w:wordWrap/>
        <w:overflowPunct/>
        <w:topLinePunct w:val="0"/>
        <w:autoSpaceDE/>
        <w:autoSpaceDN/>
        <w:bidi w:val="0"/>
        <w:adjustRightInd/>
        <w:snapToGrid/>
        <w:spacing w:line="240" w:lineRule="auto"/>
        <w:ind w:left="240" w:leftChars="100"/>
        <w:jc w:val="left"/>
        <w:textAlignment w:val="auto"/>
        <w:rPr>
          <w:rFonts w:hint="eastAsia" w:ascii="宋体" w:hAnsi="宋体" w:eastAsia="宋体" w:cs="宋体"/>
          <w:sz w:val="24"/>
          <w:szCs w:val="24"/>
        </w:rPr>
      </w:pPr>
      <w:r>
        <w:rPr>
          <w:rFonts w:hint="eastAsia" w:ascii="宋体" w:hAnsi="宋体" w:eastAsia="宋体" w:cs="宋体"/>
          <w:sz w:val="24"/>
          <w:szCs w:val="24"/>
        </w:rPr>
        <w:t>排水设施维修前必须检测堆体上空 2m 以下范围内的甲烷气体浓度，浓度应小于 5%，避免维修器械产生火花引起闪爆；维修人员应穿戴防爆防护装备，严禁烟火。</w:t>
      </w:r>
    </w:p>
    <w:p>
      <w:pPr>
        <w:keepNext w:val="0"/>
        <w:keepLines w:val="0"/>
        <w:pageBreakBefore w:val="0"/>
        <w:widowControl w:val="0"/>
        <w:kinsoku/>
        <w:wordWrap/>
        <w:overflowPunct/>
        <w:topLinePunct w:val="0"/>
        <w:autoSpaceDE/>
        <w:autoSpaceDN/>
        <w:bidi w:val="0"/>
        <w:adjustRightInd/>
        <w:snapToGrid/>
        <w:spacing w:line="240" w:lineRule="auto"/>
        <w:ind w:left="240" w:leftChars="100"/>
        <w:jc w:val="left"/>
        <w:textAlignment w:val="auto"/>
        <w:outlineLvl w:val="2"/>
        <w:rPr>
          <w:rFonts w:hint="eastAsia" w:ascii="宋体" w:hAnsi="宋体" w:eastAsia="宋体" w:cs="宋体"/>
          <w:sz w:val="24"/>
          <w:szCs w:val="24"/>
        </w:rPr>
      </w:pPr>
      <w:bookmarkStart w:id="4" w:name="heading_5"/>
      <w:r>
        <w:rPr>
          <w:rFonts w:hint="eastAsia" w:ascii="宋体" w:hAnsi="宋体" w:eastAsia="宋体" w:cs="宋体"/>
          <w:b/>
          <w:sz w:val="24"/>
          <w:szCs w:val="24"/>
        </w:rPr>
        <w:t>2.4 堆体管理养护</w:t>
      </w:r>
      <w:bookmarkEnd w:id="4"/>
    </w:p>
    <w:p>
      <w:pPr>
        <w:keepNext w:val="0"/>
        <w:keepLines w:val="0"/>
        <w:pageBreakBefore w:val="0"/>
        <w:widowControl w:val="0"/>
        <w:kinsoku/>
        <w:wordWrap/>
        <w:overflowPunct/>
        <w:topLinePunct w:val="0"/>
        <w:autoSpaceDE/>
        <w:autoSpaceDN/>
        <w:bidi w:val="0"/>
        <w:adjustRightInd/>
        <w:snapToGrid/>
        <w:spacing w:line="240" w:lineRule="auto"/>
        <w:ind w:left="240" w:leftChars="100" w:firstLine="480" w:firstLineChars="200"/>
        <w:jc w:val="left"/>
        <w:textAlignment w:val="auto"/>
        <w:rPr>
          <w:rFonts w:hint="eastAsia" w:ascii="宋体" w:hAnsi="宋体" w:eastAsia="宋体" w:cs="宋体"/>
          <w:sz w:val="24"/>
          <w:szCs w:val="24"/>
          <w:lang w:eastAsia="zh-CN"/>
        </w:rPr>
      </w:pPr>
      <w:r>
        <w:rPr>
          <w:rFonts w:hint="eastAsia" w:ascii="宋体" w:hAnsi="宋体" w:eastAsia="宋体" w:cs="宋体"/>
          <w:sz w:val="24"/>
          <w:szCs w:val="24"/>
        </w:rPr>
        <w:t>做好日常巡查，对堆体、火炬、监测井等重点设施每日开展巡检并做好巡检台账记录，如发现安全隐患或设备故障等问题，需及时维修并落实整改措施。对堆体防渗工程进行维护，要定期开展堆体稳定性排查工作，按要求做好堆体沉降监测，防渗土工膜如有破损应及时修复。</w:t>
      </w:r>
    </w:p>
    <w:p>
      <w:pPr>
        <w:keepNext w:val="0"/>
        <w:keepLines w:val="0"/>
        <w:pageBreakBefore w:val="0"/>
        <w:widowControl w:val="0"/>
        <w:kinsoku/>
        <w:wordWrap/>
        <w:overflowPunct/>
        <w:topLinePunct w:val="0"/>
        <w:autoSpaceDE/>
        <w:autoSpaceDN/>
        <w:bidi w:val="0"/>
        <w:adjustRightInd/>
        <w:snapToGrid/>
        <w:spacing w:line="240" w:lineRule="auto"/>
        <w:ind w:left="240" w:leftChars="10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封场后填埋堆体存在不同程度的沉降，应及时对堆体进行巡查监测，如发生较大沉降的区域应对覆盖土层进行修复，防止形成积水点造成滑塌。</w:t>
      </w:r>
    </w:p>
    <w:p>
      <w:pPr>
        <w:keepNext w:val="0"/>
        <w:keepLines w:val="0"/>
        <w:pageBreakBefore w:val="0"/>
        <w:widowControl w:val="0"/>
        <w:kinsoku/>
        <w:wordWrap/>
        <w:overflowPunct/>
        <w:topLinePunct w:val="0"/>
        <w:autoSpaceDE/>
        <w:autoSpaceDN/>
        <w:bidi w:val="0"/>
        <w:adjustRightInd/>
        <w:snapToGrid/>
        <w:spacing w:line="240" w:lineRule="auto"/>
        <w:ind w:left="240" w:leftChars="100"/>
        <w:jc w:val="left"/>
        <w:textAlignment w:val="auto"/>
        <w:outlineLvl w:val="2"/>
        <w:rPr>
          <w:rFonts w:hint="eastAsia" w:ascii="宋体" w:hAnsi="宋体" w:eastAsia="宋体" w:cs="宋体"/>
          <w:sz w:val="24"/>
          <w:szCs w:val="24"/>
        </w:rPr>
      </w:pPr>
      <w:bookmarkStart w:id="5" w:name="heading_6"/>
      <w:r>
        <w:rPr>
          <w:rFonts w:hint="eastAsia" w:ascii="宋体" w:hAnsi="宋体" w:eastAsia="宋体" w:cs="宋体"/>
          <w:b/>
          <w:sz w:val="24"/>
          <w:szCs w:val="24"/>
        </w:rPr>
        <w:t>2.5 绿化养护</w:t>
      </w:r>
      <w:bookmarkEnd w:id="5"/>
    </w:p>
    <w:p>
      <w:pPr>
        <w:keepNext w:val="0"/>
        <w:keepLines w:val="0"/>
        <w:pageBreakBefore w:val="0"/>
        <w:widowControl w:val="0"/>
        <w:kinsoku/>
        <w:wordWrap/>
        <w:overflowPunct/>
        <w:topLinePunct w:val="0"/>
        <w:autoSpaceDE/>
        <w:autoSpaceDN/>
        <w:bidi w:val="0"/>
        <w:adjustRightInd/>
        <w:snapToGrid/>
        <w:spacing w:line="240" w:lineRule="auto"/>
        <w:ind w:leftChars="10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两个场区绿化面积约 58000 平方米，做好日常养护工作，草坪应及时修剪，保持整齐干净，及时清理杂草及有害生物，及时补种死亡植株，养护要求参照《绿化养护技术等级 DG‑TJ08‑702‑2011》规定的相应标准。灌木修剪应预留枝条长度大于 30cm，绿篱、色块及造型整形修剪应整齐。损伤断枝、枯枝及严重病虫苗木应及时清除并更换，更换及补栽的植物材料应和原植株的种类、规格一致</w:t>
      </w:r>
      <w:r>
        <w:rPr>
          <w:rFonts w:hint="eastAsia" w:ascii="宋体" w:hAnsi="宋体" w:eastAsia="宋体" w:cs="宋体"/>
          <w:sz w:val="24"/>
          <w:szCs w:val="24"/>
          <w:lang w:eastAsia="zh-CN"/>
        </w:rPr>
        <w:t>。</w:t>
      </w:r>
      <w:r>
        <w:rPr>
          <w:rFonts w:hint="eastAsia" w:ascii="宋体" w:hAnsi="宋体" w:eastAsia="宋体" w:cs="宋体"/>
          <w:sz w:val="24"/>
          <w:szCs w:val="24"/>
        </w:rPr>
        <w:t>定期进行植物病虫害防治，应采用生物防治方法和生物农药及高效低毒农药，严禁使用剧毒农药</w:t>
      </w:r>
      <w:r>
        <w:rPr>
          <w:rFonts w:hint="eastAsia" w:ascii="宋体" w:hAnsi="宋体" w:eastAsia="宋体" w:cs="宋体"/>
          <w:sz w:val="24"/>
          <w:szCs w:val="24"/>
          <w:lang w:eastAsia="zh-CN"/>
        </w:rPr>
        <w:t>。</w:t>
      </w:r>
      <w:r>
        <w:rPr>
          <w:rFonts w:hint="eastAsia" w:ascii="宋体" w:hAnsi="宋体" w:eastAsia="宋体" w:cs="宋体"/>
          <w:sz w:val="24"/>
          <w:szCs w:val="24"/>
        </w:rPr>
        <w:t>及时对草坪、绿植进行科学施肥、浇水。</w:t>
      </w:r>
    </w:p>
    <w:p>
      <w:pPr>
        <w:keepNext w:val="0"/>
        <w:keepLines w:val="0"/>
        <w:pageBreakBefore w:val="0"/>
        <w:widowControl w:val="0"/>
        <w:kinsoku/>
        <w:wordWrap/>
        <w:overflowPunct/>
        <w:topLinePunct w:val="0"/>
        <w:autoSpaceDE/>
        <w:autoSpaceDN/>
        <w:bidi w:val="0"/>
        <w:adjustRightInd/>
        <w:snapToGrid/>
        <w:spacing w:line="240" w:lineRule="auto"/>
        <w:ind w:left="240" w:leftChars="100"/>
        <w:jc w:val="left"/>
        <w:textAlignment w:val="auto"/>
        <w:outlineLvl w:val="2"/>
        <w:rPr>
          <w:rFonts w:hint="eastAsia" w:ascii="宋体" w:hAnsi="宋体" w:eastAsia="宋体" w:cs="宋体"/>
          <w:sz w:val="24"/>
          <w:szCs w:val="24"/>
        </w:rPr>
      </w:pPr>
      <w:bookmarkStart w:id="6" w:name="heading_7"/>
      <w:r>
        <w:rPr>
          <w:rFonts w:hint="eastAsia" w:ascii="宋体" w:hAnsi="宋体" w:eastAsia="宋体" w:cs="宋体"/>
          <w:b/>
          <w:sz w:val="24"/>
          <w:szCs w:val="24"/>
        </w:rPr>
        <w:t>2.6 运营和安全制度建立</w:t>
      </w:r>
      <w:bookmarkEnd w:id="6"/>
    </w:p>
    <w:p>
      <w:pPr>
        <w:keepNext w:val="0"/>
        <w:keepLines w:val="0"/>
        <w:pageBreakBefore w:val="0"/>
        <w:widowControl w:val="0"/>
        <w:kinsoku/>
        <w:wordWrap/>
        <w:overflowPunct/>
        <w:topLinePunct w:val="0"/>
        <w:autoSpaceDE/>
        <w:autoSpaceDN/>
        <w:bidi w:val="0"/>
        <w:adjustRightInd/>
        <w:snapToGrid/>
        <w:spacing w:line="240" w:lineRule="auto"/>
        <w:ind w:left="240" w:leftChars="10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根据《生活垃圾填埋场污染控制标准》（GB16889‑2024）、《生活垃圾卫生填埋场运行维护技术规程》（CJJ93‑2011）等规范要求，制定相应运营制度和安全制度，并严格按照制度执行。</w:t>
      </w:r>
    </w:p>
    <w:p>
      <w:pPr>
        <w:keepNext w:val="0"/>
        <w:keepLines w:val="0"/>
        <w:pageBreakBefore w:val="0"/>
        <w:widowControl w:val="0"/>
        <w:kinsoku/>
        <w:wordWrap/>
        <w:overflowPunct/>
        <w:topLinePunct w:val="0"/>
        <w:autoSpaceDE/>
        <w:autoSpaceDN/>
        <w:bidi w:val="0"/>
        <w:adjustRightInd/>
        <w:snapToGrid/>
        <w:spacing w:line="240" w:lineRule="auto"/>
        <w:ind w:left="240" w:leftChars="100"/>
        <w:jc w:val="left"/>
        <w:textAlignment w:val="auto"/>
        <w:outlineLvl w:val="2"/>
        <w:rPr>
          <w:rFonts w:hint="eastAsia" w:ascii="宋体" w:hAnsi="宋体" w:eastAsia="宋体" w:cs="宋体"/>
          <w:sz w:val="24"/>
          <w:szCs w:val="24"/>
        </w:rPr>
      </w:pPr>
      <w:bookmarkStart w:id="7" w:name="heading_8"/>
      <w:r>
        <w:rPr>
          <w:rFonts w:hint="eastAsia" w:ascii="宋体" w:hAnsi="宋体" w:eastAsia="宋体" w:cs="宋体"/>
          <w:b/>
          <w:sz w:val="24"/>
          <w:szCs w:val="24"/>
        </w:rPr>
        <w:t>2.7 场区其他附属设施维护</w:t>
      </w:r>
      <w:bookmarkEnd w:id="7"/>
    </w:p>
    <w:p>
      <w:pPr>
        <w:keepNext w:val="0"/>
        <w:keepLines w:val="0"/>
        <w:pageBreakBefore w:val="0"/>
        <w:widowControl w:val="0"/>
        <w:kinsoku/>
        <w:wordWrap/>
        <w:overflowPunct/>
        <w:topLinePunct w:val="0"/>
        <w:autoSpaceDE/>
        <w:autoSpaceDN/>
        <w:bidi w:val="0"/>
        <w:adjustRightInd/>
        <w:snapToGrid/>
        <w:spacing w:line="240" w:lineRule="auto"/>
        <w:ind w:left="240" w:leftChars="100"/>
        <w:jc w:val="left"/>
        <w:textAlignment w:val="auto"/>
        <w:outlineLvl w:val="3"/>
        <w:rPr>
          <w:rFonts w:hint="eastAsia" w:ascii="宋体" w:hAnsi="宋体" w:eastAsia="宋体" w:cs="宋体"/>
          <w:sz w:val="24"/>
          <w:szCs w:val="24"/>
        </w:rPr>
      </w:pPr>
      <w:bookmarkStart w:id="8" w:name="heading_9"/>
      <w:r>
        <w:rPr>
          <w:rFonts w:hint="eastAsia" w:ascii="宋体" w:hAnsi="宋体" w:eastAsia="宋体" w:cs="宋体"/>
          <w:b/>
          <w:sz w:val="24"/>
          <w:szCs w:val="24"/>
        </w:rPr>
        <w:t>2.7.1 运行管理</w:t>
      </w:r>
      <w:bookmarkEnd w:id="8"/>
    </w:p>
    <w:p>
      <w:pPr>
        <w:keepNext w:val="0"/>
        <w:keepLines w:val="0"/>
        <w:pageBreakBefore w:val="0"/>
        <w:widowControl w:val="0"/>
        <w:kinsoku/>
        <w:wordWrap/>
        <w:overflowPunct/>
        <w:topLinePunct w:val="0"/>
        <w:autoSpaceDE/>
        <w:autoSpaceDN/>
        <w:bidi w:val="0"/>
        <w:adjustRightInd/>
        <w:snapToGrid/>
        <w:spacing w:line="240" w:lineRule="auto"/>
        <w:ind w:left="240" w:leftChars="10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场区其他设施包括场内道路、公厕、空地、围墙、铁艺围栏、围挡、供电、供水、照明及消防等。应建立定期巡查制度，及时发现问题并修复，对场内供电、供水、照明及消防设施建立检修台账，及时更换过期或老化设施。</w:t>
      </w:r>
    </w:p>
    <w:p>
      <w:pPr>
        <w:keepNext w:val="0"/>
        <w:keepLines w:val="0"/>
        <w:pageBreakBefore w:val="0"/>
        <w:widowControl w:val="0"/>
        <w:kinsoku/>
        <w:wordWrap/>
        <w:overflowPunct/>
        <w:topLinePunct w:val="0"/>
        <w:autoSpaceDE/>
        <w:autoSpaceDN/>
        <w:bidi w:val="0"/>
        <w:adjustRightInd/>
        <w:snapToGrid/>
        <w:spacing w:line="240" w:lineRule="auto"/>
        <w:ind w:left="240" w:leftChars="100" w:firstLine="0" w:firstLineChars="0"/>
        <w:jc w:val="left"/>
        <w:textAlignment w:val="auto"/>
        <w:outlineLvl w:val="3"/>
        <w:rPr>
          <w:rFonts w:hint="eastAsia" w:ascii="宋体" w:hAnsi="宋体" w:eastAsia="宋体" w:cs="宋体"/>
          <w:sz w:val="24"/>
          <w:szCs w:val="24"/>
        </w:rPr>
      </w:pPr>
      <w:bookmarkStart w:id="9" w:name="heading_10"/>
      <w:r>
        <w:rPr>
          <w:rFonts w:hint="eastAsia" w:ascii="宋体" w:hAnsi="宋体" w:eastAsia="宋体" w:cs="宋体"/>
          <w:b/>
          <w:sz w:val="24"/>
          <w:szCs w:val="24"/>
        </w:rPr>
        <w:t>2.7.2 维护保养</w:t>
      </w:r>
      <w:bookmarkEnd w:id="9"/>
    </w:p>
    <w:p>
      <w:pPr>
        <w:keepNext w:val="0"/>
        <w:keepLines w:val="0"/>
        <w:pageBreakBefore w:val="0"/>
        <w:widowControl w:val="0"/>
        <w:kinsoku/>
        <w:wordWrap/>
        <w:overflowPunct/>
        <w:topLinePunct w:val="0"/>
        <w:autoSpaceDE/>
        <w:autoSpaceDN/>
        <w:bidi w:val="0"/>
        <w:adjustRightInd/>
        <w:snapToGrid/>
        <w:spacing w:line="240" w:lineRule="auto"/>
        <w:ind w:left="240" w:leftChars="10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对封场库区和一号库区场围栏周围每周巡检不少于两次，发现基础沉降、围界破损应及时修复，防止外来人员非法闯入，避免造成设施损坏及安全事故。</w:t>
      </w:r>
    </w:p>
    <w:p>
      <w:pPr>
        <w:keepNext w:val="0"/>
        <w:keepLines w:val="0"/>
        <w:pageBreakBefore w:val="0"/>
        <w:widowControl w:val="0"/>
        <w:kinsoku/>
        <w:wordWrap/>
        <w:overflowPunct/>
        <w:topLinePunct w:val="0"/>
        <w:autoSpaceDE/>
        <w:autoSpaceDN/>
        <w:bidi w:val="0"/>
        <w:adjustRightInd/>
        <w:snapToGrid/>
        <w:spacing w:line="240" w:lineRule="auto"/>
        <w:ind w:left="240" w:leftChars="10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场区公厕、道路、护坡、绿化带应做到每日清扫保洁，捡拾漂浮垃圾及杂物，对于道路、路基、护坡发生沉降、裂缝或塌陷的区域及时进行修复，保持道路畅通和整洁。</w:t>
      </w:r>
    </w:p>
    <w:p>
      <w:pPr>
        <w:keepNext w:val="0"/>
        <w:keepLines w:val="0"/>
        <w:pageBreakBefore w:val="0"/>
        <w:widowControl w:val="0"/>
        <w:kinsoku/>
        <w:wordWrap/>
        <w:overflowPunct/>
        <w:topLinePunct w:val="0"/>
        <w:autoSpaceDE/>
        <w:autoSpaceDN/>
        <w:bidi w:val="0"/>
        <w:adjustRightInd/>
        <w:snapToGrid/>
        <w:spacing w:line="240" w:lineRule="auto"/>
        <w:ind w:left="240" w:leftChars="10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填埋库区、火炬燃烧系统及管理区应配置足量的消防沙袋及灭火器等消防设施，并对破损的消防沙袋及时更换，过期的灭火器应及时替换。</w:t>
      </w:r>
    </w:p>
    <w:p>
      <w:pPr>
        <w:keepNext w:val="0"/>
        <w:keepLines w:val="0"/>
        <w:pageBreakBefore w:val="0"/>
        <w:widowControl w:val="0"/>
        <w:kinsoku/>
        <w:wordWrap/>
        <w:overflowPunct/>
        <w:topLinePunct w:val="0"/>
        <w:autoSpaceDE/>
        <w:autoSpaceDN/>
        <w:bidi w:val="0"/>
        <w:adjustRightInd/>
        <w:snapToGrid/>
        <w:spacing w:line="240" w:lineRule="auto"/>
        <w:ind w:left="240" w:leftChars="10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调节池和应急库区覆盖膜定期巡检，发现破损、渗漏及时修补更换。及时抽排膜上积水，漂浮物、垃圾清理等。</w:t>
      </w:r>
    </w:p>
    <w:p>
      <w:pPr>
        <w:keepNext w:val="0"/>
        <w:keepLines w:val="0"/>
        <w:pageBreakBefore w:val="0"/>
        <w:widowControl w:val="0"/>
        <w:kinsoku/>
        <w:wordWrap/>
        <w:overflowPunct/>
        <w:topLinePunct w:val="0"/>
        <w:autoSpaceDE/>
        <w:autoSpaceDN/>
        <w:bidi w:val="0"/>
        <w:adjustRightInd/>
        <w:snapToGrid/>
        <w:spacing w:line="240" w:lineRule="auto"/>
        <w:ind w:left="240" w:leftChars="100" w:firstLine="0" w:firstLineChars="0"/>
        <w:jc w:val="left"/>
        <w:textAlignment w:val="auto"/>
        <w:outlineLvl w:val="3"/>
        <w:rPr>
          <w:rFonts w:hint="eastAsia" w:ascii="宋体" w:hAnsi="宋体" w:eastAsia="宋体" w:cs="宋体"/>
          <w:sz w:val="24"/>
          <w:szCs w:val="24"/>
        </w:rPr>
      </w:pPr>
      <w:bookmarkStart w:id="10" w:name="heading_11"/>
      <w:r>
        <w:rPr>
          <w:rFonts w:hint="eastAsia" w:ascii="宋体" w:hAnsi="宋体" w:eastAsia="宋体" w:cs="宋体"/>
          <w:b/>
          <w:sz w:val="24"/>
          <w:szCs w:val="24"/>
        </w:rPr>
        <w:t>2.7.3 安全操作</w:t>
      </w:r>
      <w:bookmarkEnd w:id="10"/>
    </w:p>
    <w:p>
      <w:pPr>
        <w:keepNext w:val="0"/>
        <w:keepLines w:val="0"/>
        <w:pageBreakBefore w:val="0"/>
        <w:widowControl w:val="0"/>
        <w:kinsoku/>
        <w:wordWrap/>
        <w:overflowPunct/>
        <w:topLinePunct w:val="0"/>
        <w:autoSpaceDE/>
        <w:autoSpaceDN/>
        <w:bidi w:val="0"/>
        <w:adjustRightInd/>
        <w:snapToGrid/>
        <w:spacing w:line="240" w:lineRule="auto"/>
        <w:ind w:left="240" w:leftChars="10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场区供电线缆、用电设施维修时应穿戴防触电装备，先关闭电源再进行维修作业，供水管线维修应关闭阀门，维修操作过</w:t>
      </w:r>
      <w:r>
        <w:rPr>
          <w:rFonts w:hint="eastAsia" w:ascii="宋体" w:hAnsi="宋体" w:eastAsia="宋体" w:cs="宋体"/>
          <w:sz w:val="24"/>
          <w:szCs w:val="24"/>
          <w:lang w:eastAsia="zh-CN"/>
        </w:rPr>
        <w:t>程中</w:t>
      </w:r>
      <w:r>
        <w:rPr>
          <w:rFonts w:hint="eastAsia" w:ascii="宋体" w:hAnsi="宋体" w:eastAsia="宋体" w:cs="宋体"/>
          <w:sz w:val="24"/>
          <w:szCs w:val="24"/>
        </w:rPr>
        <w:t>防止水污染。</w:t>
      </w:r>
    </w:p>
    <w:p>
      <w:pPr>
        <w:keepNext w:val="0"/>
        <w:keepLines w:val="0"/>
        <w:pageBreakBefore w:val="0"/>
        <w:widowControl w:val="0"/>
        <w:kinsoku/>
        <w:wordWrap/>
        <w:overflowPunct/>
        <w:topLinePunct w:val="0"/>
        <w:autoSpaceDE/>
        <w:autoSpaceDN/>
        <w:bidi w:val="0"/>
        <w:adjustRightInd/>
        <w:snapToGrid/>
        <w:spacing w:line="240" w:lineRule="auto"/>
        <w:ind w:left="240" w:leftChars="100" w:firstLine="0" w:firstLineChars="0"/>
        <w:jc w:val="left"/>
        <w:textAlignment w:val="auto"/>
        <w:outlineLvl w:val="2"/>
        <w:rPr>
          <w:rFonts w:hint="eastAsia" w:ascii="宋体" w:hAnsi="宋体" w:eastAsia="宋体" w:cs="宋体"/>
          <w:sz w:val="24"/>
          <w:szCs w:val="24"/>
        </w:rPr>
      </w:pPr>
      <w:bookmarkStart w:id="11" w:name="heading_12"/>
      <w:r>
        <w:rPr>
          <w:rFonts w:hint="eastAsia" w:ascii="宋体" w:hAnsi="宋体" w:eastAsia="宋体" w:cs="宋体"/>
          <w:b/>
          <w:sz w:val="24"/>
          <w:szCs w:val="24"/>
        </w:rPr>
        <w:t>2.8 环境自行检测</w:t>
      </w:r>
      <w:bookmarkEnd w:id="11"/>
    </w:p>
    <w:p>
      <w:pPr>
        <w:keepNext w:val="0"/>
        <w:keepLines w:val="0"/>
        <w:pageBreakBefore w:val="0"/>
        <w:widowControl w:val="0"/>
        <w:kinsoku/>
        <w:wordWrap/>
        <w:overflowPunct/>
        <w:topLinePunct w:val="0"/>
        <w:autoSpaceDE/>
        <w:autoSpaceDN/>
        <w:bidi w:val="0"/>
        <w:adjustRightInd/>
        <w:snapToGrid/>
        <w:spacing w:line="240" w:lineRule="auto"/>
        <w:ind w:left="240" w:leftChars="10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填埋场现场自行检测是以强化日常管理和污染控制为目的。本项目运维单位仅负责现场简易观测类监测工作，实验室分析类检测（需出具CMA正式报告的项目）不属于本运维服务范围，由采购人另行单独委托具备CMA资质的第三方检测机构开展实施。</w:t>
      </w:r>
    </w:p>
    <w:p>
      <w:pPr>
        <w:keepNext w:val="0"/>
        <w:keepLines w:val="0"/>
        <w:pageBreakBefore w:val="0"/>
        <w:widowControl w:val="0"/>
        <w:kinsoku/>
        <w:wordWrap/>
        <w:overflowPunct/>
        <w:topLinePunct w:val="0"/>
        <w:autoSpaceDE/>
        <w:autoSpaceDN/>
        <w:bidi w:val="0"/>
        <w:adjustRightInd/>
        <w:snapToGrid/>
        <w:spacing w:line="240" w:lineRule="auto"/>
        <w:ind w:left="240" w:leftChars="10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 乙方（运维单位）现场自行检测工作内容：气象条件、填埋气体现场甲烷浓度检测、降水记录、堆体沉降观测、垃圾堆体内渗沥液水位监测、边坡稳定性巡查评估、苍蝇密度调查统计等。</w:t>
      </w:r>
    </w:p>
    <w:p>
      <w:pPr>
        <w:keepNext w:val="0"/>
        <w:keepLines w:val="0"/>
        <w:pageBreakBefore w:val="0"/>
        <w:widowControl w:val="0"/>
        <w:kinsoku/>
        <w:wordWrap/>
        <w:overflowPunct/>
        <w:topLinePunct w:val="0"/>
        <w:autoSpaceDE/>
        <w:autoSpaceDN/>
        <w:bidi w:val="0"/>
        <w:adjustRightInd/>
        <w:snapToGrid/>
        <w:spacing w:line="240" w:lineRule="auto"/>
        <w:ind w:left="240" w:leftChars="10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2. 乙方须配备合格的现场检测仪器设备，按规范频次开展现场观测，做好原始记录，建立完整监测台账，台账资料保存不少于5年；各监测点做好维护，保障监测点位完好可用，各检测点及易燃易爆物、化学品、药品等储存点应设置醒目安全标识。</w:t>
      </w:r>
    </w:p>
    <w:p>
      <w:pPr>
        <w:keepNext w:val="0"/>
        <w:keepLines w:val="0"/>
        <w:pageBreakBefore w:val="0"/>
        <w:widowControl w:val="0"/>
        <w:kinsoku/>
        <w:wordWrap/>
        <w:overflowPunct/>
        <w:topLinePunct w:val="0"/>
        <w:autoSpaceDE/>
        <w:autoSpaceDN/>
        <w:bidi w:val="0"/>
        <w:adjustRightInd/>
        <w:snapToGrid/>
        <w:spacing w:line="240" w:lineRule="auto"/>
        <w:ind w:left="240" w:leftChars="100" w:firstLine="480" w:firstLineChars="200"/>
        <w:jc w:val="left"/>
        <w:textAlignment w:val="auto"/>
        <w:rPr>
          <w:rFonts w:hint="eastAsia" w:ascii="宋体" w:hAnsi="宋体" w:eastAsia="宋体" w:cs="宋体"/>
          <w:sz w:val="24"/>
          <w:szCs w:val="24"/>
          <w:lang w:eastAsia="zh-CN"/>
        </w:rPr>
      </w:pPr>
      <w:r>
        <w:rPr>
          <w:rFonts w:hint="eastAsia" w:ascii="宋体" w:hAnsi="宋体" w:eastAsia="宋体" w:cs="宋体"/>
          <w:sz w:val="24"/>
          <w:szCs w:val="24"/>
        </w:rPr>
        <w:t>3. 乙方配合第三方检测义务：采购人另行委托的CMA第三方机构进场采样检测时，乙方须无条件予以配合：负责打开监测井、落实现场安全防护、提供现场工况资料、协助采样，提供作业便利，不得设置障碍；对监测井、采样点位进行日常管护，保证采样点位可正常使用</w:t>
      </w:r>
      <w:r>
        <w:rPr>
          <w:rFonts w:hint="eastAsia" w:ascii="宋体" w:hAnsi="宋体" w:eastAsia="宋体" w:cs="宋体"/>
          <w:sz w:val="24"/>
          <w:szCs w:val="24"/>
          <w:lang w:eastAsia="zh-CN"/>
        </w:rPr>
        <w:t>。梳理、保存检测报告，及时向甲方汇报检测结果。</w:t>
      </w:r>
    </w:p>
    <w:p>
      <w:pPr>
        <w:keepNext w:val="0"/>
        <w:keepLines w:val="0"/>
        <w:pageBreakBefore w:val="0"/>
        <w:widowControl w:val="0"/>
        <w:kinsoku/>
        <w:wordWrap/>
        <w:overflowPunct/>
        <w:topLinePunct w:val="0"/>
        <w:autoSpaceDE/>
        <w:autoSpaceDN/>
        <w:bidi w:val="0"/>
        <w:adjustRightInd/>
        <w:snapToGrid/>
        <w:spacing w:line="240" w:lineRule="auto"/>
        <w:ind w:left="240" w:leftChars="10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4. 排污许可证、相关规范要求需要实验室化验、出具CMA检测报告的指标（渗滤液水质、地下水水质、场界废气、臭气等），由采购人另行采购第三方检测服务，相关费用不含在本项目合同总价内。</w:t>
      </w:r>
    </w:p>
    <w:p>
      <w:pPr>
        <w:keepNext w:val="0"/>
        <w:keepLines w:val="0"/>
        <w:pageBreakBefore w:val="0"/>
        <w:widowControl w:val="0"/>
        <w:kinsoku/>
        <w:wordWrap/>
        <w:overflowPunct/>
        <w:topLinePunct w:val="0"/>
        <w:autoSpaceDE/>
        <w:autoSpaceDN/>
        <w:bidi w:val="0"/>
        <w:adjustRightInd/>
        <w:snapToGrid/>
        <w:spacing w:line="240" w:lineRule="auto"/>
        <w:ind w:left="240" w:leftChars="100" w:firstLine="0" w:firstLineChars="0"/>
        <w:jc w:val="left"/>
        <w:textAlignment w:val="auto"/>
        <w:outlineLvl w:val="2"/>
        <w:rPr>
          <w:rFonts w:hint="eastAsia" w:ascii="宋体" w:hAnsi="宋体" w:eastAsia="宋体" w:cs="宋体"/>
          <w:sz w:val="24"/>
          <w:szCs w:val="24"/>
        </w:rPr>
      </w:pPr>
      <w:bookmarkStart w:id="12" w:name="heading_13"/>
      <w:r>
        <w:rPr>
          <w:rFonts w:hint="eastAsia" w:ascii="宋体" w:hAnsi="宋体" w:eastAsia="宋体" w:cs="宋体"/>
          <w:b/>
          <w:sz w:val="24"/>
          <w:szCs w:val="24"/>
        </w:rPr>
        <w:t>2.9 人员要求</w:t>
      </w:r>
      <w:bookmarkEnd w:id="12"/>
    </w:p>
    <w:p>
      <w:pPr>
        <w:keepNext w:val="0"/>
        <w:keepLines w:val="0"/>
        <w:pageBreakBefore w:val="0"/>
        <w:widowControl w:val="0"/>
        <w:kinsoku/>
        <w:wordWrap/>
        <w:overflowPunct/>
        <w:topLinePunct w:val="0"/>
        <w:autoSpaceDE/>
        <w:autoSpaceDN/>
        <w:bidi w:val="0"/>
        <w:adjustRightInd/>
        <w:snapToGrid/>
        <w:spacing w:line="240" w:lineRule="auto"/>
        <w:ind w:left="240" w:leftChars="100" w:firstLine="480" w:firstLineChars="200"/>
        <w:jc w:val="left"/>
        <w:textAlignment w:val="auto"/>
        <w:rPr>
          <w:rFonts w:hint="eastAsia" w:ascii="宋体" w:hAnsi="宋体" w:eastAsia="宋体" w:cs="宋体"/>
          <w:sz w:val="24"/>
          <w:szCs w:val="24"/>
          <w:lang w:eastAsia="zh-CN"/>
        </w:rPr>
      </w:pPr>
      <w:r>
        <w:rPr>
          <w:rFonts w:hint="eastAsia" w:ascii="宋体" w:hAnsi="宋体" w:eastAsia="宋体" w:cs="宋体"/>
          <w:sz w:val="24"/>
          <w:szCs w:val="24"/>
        </w:rPr>
        <w:t>本项目要求全年值班，驻厂运营负责人 1 名（专科及以上学历，3 年及以上相关运营管理资历）；技术员（兼职资料员）1 名（具有环境、环保、安全等专业中级职称证书）；电工 1 人（需持证上岗）；维护和清扫保洁人员 6 名；门岗安保人员 1 名。</w:t>
      </w:r>
    </w:p>
    <w:p>
      <w:pPr>
        <w:keepNext w:val="0"/>
        <w:keepLines w:val="0"/>
        <w:pageBreakBefore w:val="0"/>
        <w:widowControl w:val="0"/>
        <w:kinsoku/>
        <w:wordWrap/>
        <w:overflowPunct/>
        <w:topLinePunct w:val="0"/>
        <w:autoSpaceDE/>
        <w:autoSpaceDN/>
        <w:bidi w:val="0"/>
        <w:adjustRightInd/>
        <w:snapToGrid/>
        <w:spacing w:line="240" w:lineRule="auto"/>
        <w:ind w:left="240" w:leftChars="10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投标阶段须提供技术员职称证书复印件；合同履约期内关键岗位人员不得擅自更换；确需更换人员，替代人员资质条件不得低于原岗位。采购人有权对关键岗位人员进行在岗核查。</w:t>
      </w:r>
    </w:p>
    <w:p>
      <w:pPr>
        <w:keepNext w:val="0"/>
        <w:keepLines w:val="0"/>
        <w:pageBreakBefore w:val="0"/>
        <w:widowControl w:val="0"/>
        <w:kinsoku/>
        <w:wordWrap/>
        <w:overflowPunct/>
        <w:topLinePunct w:val="0"/>
        <w:autoSpaceDE/>
        <w:autoSpaceDN/>
        <w:bidi w:val="0"/>
        <w:adjustRightInd/>
        <w:snapToGrid/>
        <w:spacing w:line="240" w:lineRule="auto"/>
        <w:ind w:left="240" w:leftChars="100" w:firstLine="0" w:firstLineChars="0"/>
        <w:jc w:val="left"/>
        <w:textAlignment w:val="auto"/>
        <w:outlineLvl w:val="2"/>
        <w:rPr>
          <w:rFonts w:hint="eastAsia" w:ascii="宋体" w:hAnsi="宋体" w:eastAsia="宋体" w:cs="宋体"/>
          <w:sz w:val="24"/>
          <w:szCs w:val="24"/>
        </w:rPr>
      </w:pPr>
      <w:bookmarkStart w:id="13" w:name="heading_14"/>
      <w:r>
        <w:rPr>
          <w:rFonts w:hint="eastAsia" w:ascii="宋体" w:hAnsi="宋体" w:eastAsia="宋体" w:cs="宋体"/>
          <w:b/>
          <w:sz w:val="24"/>
          <w:szCs w:val="24"/>
        </w:rPr>
        <w:t>2.10 主要设施设备配备</w:t>
      </w:r>
      <w:bookmarkEnd w:id="13"/>
    </w:p>
    <w:p>
      <w:pPr>
        <w:keepNext w:val="0"/>
        <w:keepLines w:val="0"/>
        <w:pageBreakBefore w:val="0"/>
        <w:widowControl w:val="0"/>
        <w:kinsoku/>
        <w:wordWrap/>
        <w:overflowPunct/>
        <w:topLinePunct w:val="0"/>
        <w:autoSpaceDE/>
        <w:autoSpaceDN/>
        <w:bidi w:val="0"/>
        <w:adjustRightInd/>
        <w:snapToGrid/>
        <w:spacing w:line="240" w:lineRule="auto"/>
        <w:ind w:left="240" w:leftChars="100" w:firstLine="480" w:firstLineChars="200"/>
        <w:jc w:val="left"/>
        <w:textAlignment w:val="auto"/>
        <w:rPr>
          <w:rFonts w:hint="eastAsia" w:ascii="宋体" w:hAnsi="宋体" w:eastAsia="宋体" w:cs="宋体"/>
          <w:sz w:val="24"/>
          <w:szCs w:val="24"/>
          <w:lang w:eastAsia="zh-CN"/>
        </w:rPr>
      </w:pPr>
      <w:r>
        <w:rPr>
          <w:rFonts w:hint="eastAsia" w:ascii="宋体" w:hAnsi="宋体" w:eastAsia="宋体" w:cs="宋体"/>
          <w:sz w:val="24"/>
          <w:szCs w:val="24"/>
        </w:rPr>
        <w:t>配置充足的雨水抽排泵，确保能满足丰雨期连续暴雨时雨水抽排工作，配备厂区照明和移动照明设备。配备应急和移动电源。</w:t>
      </w:r>
    </w:p>
    <w:p>
      <w:pPr>
        <w:keepNext w:val="0"/>
        <w:keepLines w:val="0"/>
        <w:pageBreakBefore w:val="0"/>
        <w:widowControl w:val="0"/>
        <w:kinsoku/>
        <w:wordWrap/>
        <w:overflowPunct/>
        <w:topLinePunct w:val="0"/>
        <w:autoSpaceDE/>
        <w:autoSpaceDN/>
        <w:bidi w:val="0"/>
        <w:adjustRightInd/>
        <w:snapToGrid/>
        <w:spacing w:line="240" w:lineRule="auto"/>
        <w:ind w:left="240" w:leftChars="10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乙方负责采购、安装场区监控设备，保障两个场区全覆盖；监控设备产权归属采购人，服务期内乙方负责维护维修，合同期满完好移交甲方。</w:t>
      </w:r>
    </w:p>
    <w:p>
      <w:pPr>
        <w:keepNext w:val="0"/>
        <w:keepLines w:val="0"/>
        <w:pageBreakBefore w:val="0"/>
        <w:widowControl w:val="0"/>
        <w:kinsoku/>
        <w:wordWrap/>
        <w:overflowPunct/>
        <w:topLinePunct w:val="0"/>
        <w:autoSpaceDE/>
        <w:autoSpaceDN/>
        <w:bidi w:val="0"/>
        <w:adjustRightInd/>
        <w:snapToGrid/>
        <w:spacing w:line="240" w:lineRule="auto"/>
        <w:ind w:left="240" w:leftChars="100" w:firstLine="480" w:firstLineChars="200"/>
        <w:jc w:val="left"/>
        <w:textAlignment w:val="auto"/>
        <w:rPr>
          <w:rFonts w:hint="eastAsia" w:ascii="宋体" w:hAnsi="宋体" w:eastAsia="宋体" w:cs="宋体"/>
          <w:sz w:val="24"/>
          <w:szCs w:val="24"/>
          <w:lang w:eastAsia="zh-CN"/>
        </w:rPr>
      </w:pPr>
      <w:r>
        <w:rPr>
          <w:rFonts w:hint="eastAsia" w:ascii="宋体" w:hAnsi="宋体" w:eastAsia="宋体" w:cs="宋体"/>
          <w:sz w:val="24"/>
          <w:szCs w:val="24"/>
        </w:rPr>
        <w:t>根据《安全标志及其使用导则》（GB2894‑2008）等规范要求，制作安装标识牌；根据《消防设施通用规范》（GB 55036‑2022）等消防规范要求，配备消防设备设施。并保证仓库有足够备用品。</w:t>
      </w:r>
      <w:r>
        <w:rPr>
          <w:rFonts w:hint="eastAsia" w:ascii="宋体" w:hAnsi="宋体" w:eastAsia="宋体" w:cs="宋体"/>
          <w:sz w:val="24"/>
          <w:szCs w:val="24"/>
          <w:lang w:eastAsia="zh-CN"/>
        </w:rPr>
        <w:t>按照相关要求配备各项应急物资。</w:t>
      </w:r>
    </w:p>
    <w:p>
      <w:pPr>
        <w:keepNext w:val="0"/>
        <w:keepLines w:val="0"/>
        <w:pageBreakBefore w:val="0"/>
        <w:widowControl w:val="0"/>
        <w:kinsoku/>
        <w:wordWrap/>
        <w:overflowPunct/>
        <w:topLinePunct w:val="0"/>
        <w:autoSpaceDE/>
        <w:autoSpaceDN/>
        <w:bidi w:val="0"/>
        <w:adjustRightInd/>
        <w:snapToGrid/>
        <w:spacing w:line="240" w:lineRule="auto"/>
        <w:ind w:left="240" w:leftChars="100" w:firstLine="0" w:firstLineChars="0"/>
        <w:jc w:val="left"/>
        <w:textAlignment w:val="auto"/>
        <w:outlineLvl w:val="2"/>
        <w:rPr>
          <w:rFonts w:hint="eastAsia" w:ascii="宋体" w:hAnsi="宋体" w:eastAsia="宋体" w:cs="宋体"/>
          <w:sz w:val="24"/>
          <w:szCs w:val="24"/>
        </w:rPr>
      </w:pPr>
      <w:bookmarkStart w:id="14" w:name="heading_15"/>
      <w:r>
        <w:rPr>
          <w:rFonts w:hint="eastAsia" w:ascii="宋体" w:hAnsi="宋体" w:eastAsia="宋体" w:cs="宋体"/>
          <w:b/>
          <w:sz w:val="24"/>
          <w:szCs w:val="24"/>
        </w:rPr>
        <w:t>2.11 填埋场现有设备清单</w:t>
      </w:r>
      <w:bookmarkEnd w:id="14"/>
    </w:p>
    <w:p>
      <w:pPr>
        <w:keepNext w:val="0"/>
        <w:keepLines w:val="0"/>
        <w:pageBreakBefore w:val="0"/>
        <w:widowControl w:val="0"/>
        <w:kinsoku/>
        <w:wordWrap/>
        <w:overflowPunct/>
        <w:topLinePunct w:val="0"/>
        <w:autoSpaceDE/>
        <w:autoSpaceDN/>
        <w:bidi w:val="0"/>
        <w:adjustRightInd/>
        <w:snapToGrid/>
        <w:spacing w:line="240" w:lineRule="auto"/>
        <w:ind w:left="240" w:leftChars="10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250 千瓦箱变 1 套、污水提升泵 </w:t>
      </w:r>
      <w:r>
        <w:rPr>
          <w:rFonts w:hint="eastAsia" w:ascii="宋体" w:hAnsi="宋体" w:eastAsia="宋体" w:cs="宋体"/>
          <w:sz w:val="24"/>
          <w:szCs w:val="24"/>
          <w:lang w:val="en-US" w:eastAsia="zh-CN"/>
        </w:rPr>
        <w:t>9</w:t>
      </w:r>
      <w:r>
        <w:rPr>
          <w:rFonts w:hint="eastAsia" w:ascii="宋体" w:hAnsi="宋体" w:eastAsia="宋体" w:cs="宋体"/>
          <w:sz w:val="24"/>
          <w:szCs w:val="24"/>
        </w:rPr>
        <w:t xml:space="preserve"> 台、地下水提升泵 </w:t>
      </w:r>
      <w:r>
        <w:rPr>
          <w:rFonts w:hint="eastAsia" w:ascii="宋体" w:hAnsi="宋体" w:eastAsia="宋体" w:cs="宋体"/>
          <w:sz w:val="24"/>
          <w:szCs w:val="24"/>
          <w:lang w:val="en-US" w:eastAsia="zh-CN"/>
        </w:rPr>
        <w:t>3</w:t>
      </w:r>
      <w:r>
        <w:rPr>
          <w:rFonts w:hint="eastAsia" w:ascii="宋体" w:hAnsi="宋体" w:eastAsia="宋体" w:cs="宋体"/>
          <w:sz w:val="24"/>
          <w:szCs w:val="24"/>
        </w:rPr>
        <w:t>台、清水泵</w:t>
      </w:r>
      <w:r>
        <w:rPr>
          <w:rFonts w:hint="eastAsia" w:ascii="宋体" w:hAnsi="宋体" w:eastAsia="宋体" w:cs="宋体"/>
          <w:sz w:val="24"/>
          <w:szCs w:val="24"/>
          <w:lang w:val="en-US" w:eastAsia="zh-CN"/>
        </w:rPr>
        <w:t>18</w:t>
      </w:r>
      <w:r>
        <w:rPr>
          <w:rFonts w:hint="eastAsia" w:ascii="宋体" w:hAnsi="宋体" w:eastAsia="宋体" w:cs="宋体"/>
          <w:sz w:val="24"/>
          <w:szCs w:val="24"/>
        </w:rPr>
        <w:t>台</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11台损坏</w:t>
      </w:r>
      <w:r>
        <w:rPr>
          <w:rFonts w:hint="eastAsia" w:ascii="宋体" w:hAnsi="宋体" w:eastAsia="宋体" w:cs="宋体"/>
          <w:sz w:val="24"/>
          <w:szCs w:val="24"/>
          <w:lang w:eastAsia="zh-CN"/>
        </w:rPr>
        <w:t>）</w:t>
      </w:r>
      <w:r>
        <w:rPr>
          <w:rFonts w:hint="eastAsia" w:ascii="宋体" w:hAnsi="宋体" w:eastAsia="宋体" w:cs="宋体"/>
          <w:sz w:val="24"/>
          <w:szCs w:val="24"/>
        </w:rPr>
        <w:t>，预制定做板房</w:t>
      </w:r>
      <w:r>
        <w:rPr>
          <w:rFonts w:hint="eastAsia" w:ascii="宋体" w:hAnsi="宋体" w:eastAsia="宋体" w:cs="宋体"/>
          <w:sz w:val="24"/>
          <w:szCs w:val="24"/>
          <w:lang w:val="en-US" w:eastAsia="zh-CN"/>
        </w:rPr>
        <w:t>5</w:t>
      </w:r>
      <w:r>
        <w:rPr>
          <w:rFonts w:hint="eastAsia" w:ascii="宋体" w:hAnsi="宋体" w:eastAsia="宋体" w:cs="宋体"/>
          <w:sz w:val="24"/>
          <w:szCs w:val="24"/>
        </w:rPr>
        <w:t>间。</w:t>
      </w:r>
    </w:p>
    <w:p>
      <w:pPr>
        <w:keepNext w:val="0"/>
        <w:keepLines w:val="0"/>
        <w:pageBreakBefore w:val="0"/>
        <w:widowControl w:val="0"/>
        <w:kinsoku/>
        <w:wordWrap/>
        <w:overflowPunct/>
        <w:topLinePunct w:val="0"/>
        <w:autoSpaceDE/>
        <w:autoSpaceDN/>
        <w:bidi w:val="0"/>
        <w:adjustRightInd/>
        <w:snapToGrid/>
        <w:spacing w:line="240" w:lineRule="auto"/>
        <w:ind w:left="240" w:leftChars="100" w:firstLine="0" w:firstLineChars="0"/>
        <w:jc w:val="left"/>
        <w:textAlignment w:val="auto"/>
        <w:outlineLvl w:val="2"/>
        <w:rPr>
          <w:rFonts w:hint="eastAsia" w:ascii="宋体" w:hAnsi="宋体" w:eastAsia="宋体" w:cs="宋体"/>
          <w:sz w:val="24"/>
          <w:szCs w:val="24"/>
        </w:rPr>
      </w:pPr>
      <w:bookmarkStart w:id="15" w:name="heading_16"/>
      <w:r>
        <w:rPr>
          <w:rFonts w:hint="eastAsia" w:ascii="宋体" w:hAnsi="宋体" w:eastAsia="宋体" w:cs="宋体"/>
          <w:b/>
          <w:sz w:val="24"/>
          <w:szCs w:val="24"/>
        </w:rPr>
        <w:t>2.12、项目运营管理要求</w:t>
      </w:r>
      <w:bookmarkEnd w:id="15"/>
    </w:p>
    <w:p>
      <w:pPr>
        <w:keepNext w:val="0"/>
        <w:keepLines w:val="0"/>
        <w:pageBreakBefore w:val="0"/>
        <w:widowControl w:val="0"/>
        <w:kinsoku/>
        <w:wordWrap/>
        <w:overflowPunct/>
        <w:topLinePunct w:val="0"/>
        <w:autoSpaceDE/>
        <w:autoSpaceDN/>
        <w:bidi w:val="0"/>
        <w:adjustRightInd/>
        <w:snapToGrid/>
        <w:spacing w:line="240" w:lineRule="auto"/>
        <w:ind w:left="240" w:leftChars="10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派遣有能力、有经验的管理团队负责填埋场运营管理，岗位编制和组织构架满足运行管理需要。</w:t>
      </w:r>
    </w:p>
    <w:p>
      <w:pPr>
        <w:keepNext w:val="0"/>
        <w:keepLines w:val="0"/>
        <w:pageBreakBefore w:val="0"/>
        <w:widowControl w:val="0"/>
        <w:kinsoku/>
        <w:wordWrap/>
        <w:overflowPunct/>
        <w:topLinePunct w:val="0"/>
        <w:autoSpaceDE/>
        <w:autoSpaceDN/>
        <w:bidi w:val="0"/>
        <w:adjustRightInd/>
        <w:snapToGrid/>
        <w:spacing w:line="240" w:lineRule="auto"/>
        <w:ind w:left="240" w:leftChars="10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负责填埋场运营和建立健全各项安全制度，编制填埋场应急预案，报送采购人备案，定期开展安全演练，提高操作人员处理突发情况能力。</w:t>
      </w:r>
    </w:p>
    <w:p>
      <w:pPr>
        <w:keepNext w:val="0"/>
        <w:keepLines w:val="0"/>
        <w:pageBreakBefore w:val="0"/>
        <w:widowControl w:val="0"/>
        <w:kinsoku/>
        <w:wordWrap/>
        <w:overflowPunct/>
        <w:topLinePunct w:val="0"/>
        <w:autoSpaceDE/>
        <w:autoSpaceDN/>
        <w:bidi w:val="0"/>
        <w:adjustRightInd/>
        <w:snapToGrid/>
        <w:spacing w:line="240" w:lineRule="auto"/>
        <w:ind w:left="240" w:leftChars="10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负责操作人员的培训管理，操作人员应具备一定专业知识和实践操作技能（特殊工种需有技能作业证），负责运行人员的各种保险及福利，符合国家有关法律。</w:t>
      </w:r>
    </w:p>
    <w:p>
      <w:pPr>
        <w:keepNext w:val="0"/>
        <w:keepLines w:val="0"/>
        <w:pageBreakBefore w:val="0"/>
        <w:widowControl w:val="0"/>
        <w:kinsoku/>
        <w:wordWrap/>
        <w:overflowPunct/>
        <w:topLinePunct w:val="0"/>
        <w:autoSpaceDE/>
        <w:autoSpaceDN/>
        <w:bidi w:val="0"/>
        <w:adjustRightInd/>
        <w:snapToGrid/>
        <w:spacing w:line="240" w:lineRule="auto"/>
        <w:ind w:left="240" w:leftChars="10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负责填埋场安全管理，危险化学品管理，危废的外委处置。需符合相关危化品管理规定。检修记录、实验检测，运营报表等相关台账资料保存</w:t>
      </w:r>
      <w:r>
        <w:rPr>
          <w:rFonts w:hint="eastAsia" w:ascii="宋体" w:hAnsi="宋体" w:eastAsia="宋体" w:cs="宋体"/>
          <w:b/>
          <w:sz w:val="24"/>
          <w:szCs w:val="24"/>
        </w:rPr>
        <w:t>不少于 5 年</w:t>
      </w:r>
      <w:r>
        <w:rPr>
          <w:rFonts w:hint="eastAsia" w:ascii="宋体" w:hAnsi="宋体" w:eastAsia="宋体" w:cs="宋体"/>
          <w:sz w:val="24"/>
          <w:szCs w:val="24"/>
        </w:rPr>
        <w:t>。</w:t>
      </w:r>
    </w:p>
    <w:p>
      <w:pPr>
        <w:keepNext w:val="0"/>
        <w:keepLines w:val="0"/>
        <w:pageBreakBefore w:val="0"/>
        <w:widowControl w:val="0"/>
        <w:kinsoku/>
        <w:wordWrap/>
        <w:overflowPunct/>
        <w:topLinePunct w:val="0"/>
        <w:autoSpaceDE/>
        <w:autoSpaceDN/>
        <w:bidi w:val="0"/>
        <w:adjustRightInd/>
        <w:snapToGrid/>
        <w:spacing w:line="240" w:lineRule="auto"/>
        <w:ind w:left="240" w:leftChars="10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负责填埋场道路清洁，场区内的绿化种植及养护；负责填埋场的水电费缴纳（包含驻场监管人员水电费）及变压器等设备的维护保养工作。</w:t>
      </w:r>
    </w:p>
    <w:p>
      <w:pPr>
        <w:keepNext w:val="0"/>
        <w:keepLines w:val="0"/>
        <w:pageBreakBefore w:val="0"/>
        <w:widowControl w:val="0"/>
        <w:kinsoku/>
        <w:wordWrap/>
        <w:overflowPunct/>
        <w:topLinePunct w:val="0"/>
        <w:autoSpaceDE/>
        <w:autoSpaceDN/>
        <w:bidi w:val="0"/>
        <w:adjustRightInd/>
        <w:snapToGrid/>
        <w:spacing w:line="240" w:lineRule="auto"/>
        <w:ind w:left="240" w:leftChars="10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定期及时开展清扫保洁、除草、灭蝇，确保环境整洁， 办公区域需每天进行保洁，配合例行监督检查。</w:t>
      </w:r>
    </w:p>
    <w:p>
      <w:pPr>
        <w:keepNext w:val="0"/>
        <w:keepLines w:val="0"/>
        <w:pageBreakBefore w:val="0"/>
        <w:widowControl w:val="0"/>
        <w:kinsoku/>
        <w:wordWrap/>
        <w:overflowPunct/>
        <w:topLinePunct w:val="0"/>
        <w:autoSpaceDE/>
        <w:autoSpaceDN/>
        <w:bidi w:val="0"/>
        <w:adjustRightInd/>
        <w:snapToGrid/>
        <w:spacing w:line="240" w:lineRule="auto"/>
        <w:ind w:left="240" w:leftChars="100" w:firstLine="0" w:firstLineChars="0"/>
        <w:jc w:val="left"/>
        <w:textAlignment w:val="auto"/>
        <w:outlineLvl w:val="2"/>
        <w:rPr>
          <w:rFonts w:hint="eastAsia" w:ascii="宋体" w:hAnsi="宋体" w:eastAsia="宋体" w:cs="宋体"/>
          <w:sz w:val="24"/>
          <w:szCs w:val="24"/>
        </w:rPr>
      </w:pPr>
      <w:bookmarkStart w:id="16" w:name="heading_17"/>
      <w:r>
        <w:rPr>
          <w:rFonts w:hint="eastAsia" w:ascii="宋体" w:hAnsi="宋体" w:eastAsia="宋体" w:cs="宋体"/>
          <w:b/>
          <w:sz w:val="24"/>
          <w:szCs w:val="24"/>
        </w:rPr>
        <w:t>2.13、安保要求</w:t>
      </w:r>
      <w:bookmarkEnd w:id="16"/>
    </w:p>
    <w:p>
      <w:pPr>
        <w:keepNext w:val="0"/>
        <w:keepLines w:val="0"/>
        <w:pageBreakBefore w:val="0"/>
        <w:widowControl w:val="0"/>
        <w:kinsoku/>
        <w:wordWrap/>
        <w:overflowPunct/>
        <w:topLinePunct w:val="0"/>
        <w:autoSpaceDE/>
        <w:autoSpaceDN/>
        <w:bidi w:val="0"/>
        <w:adjustRightInd/>
        <w:snapToGrid/>
        <w:spacing w:line="240" w:lineRule="auto"/>
        <w:ind w:left="240" w:leftChars="100" w:firstLine="0" w:firstLineChars="0"/>
        <w:jc w:val="left"/>
        <w:textAlignment w:val="auto"/>
        <w:rPr>
          <w:rFonts w:hint="eastAsia" w:ascii="宋体" w:hAnsi="宋体" w:eastAsia="宋体" w:cs="宋体"/>
          <w:sz w:val="24"/>
          <w:szCs w:val="24"/>
        </w:rPr>
      </w:pPr>
      <w:r>
        <w:rPr>
          <w:rFonts w:hint="eastAsia" w:ascii="宋体" w:hAnsi="宋体" w:eastAsia="宋体" w:cs="宋体"/>
          <w:b/>
          <w:bCs/>
          <w:sz w:val="24"/>
          <w:szCs w:val="24"/>
        </w:rPr>
        <w:t>2.13.1</w:t>
      </w:r>
      <w:r>
        <w:rPr>
          <w:rFonts w:hint="eastAsia" w:ascii="宋体" w:hAnsi="宋体" w:eastAsia="宋体" w:cs="宋体"/>
          <w:sz w:val="24"/>
          <w:szCs w:val="24"/>
        </w:rPr>
        <w:t xml:space="preserve"> 按照标准要求配备安全消防设施，落实专人加强日常巡查，及时消除安全隐患，场区围栏出现破损及时修复；</w:t>
      </w:r>
    </w:p>
    <w:p>
      <w:pPr>
        <w:keepNext w:val="0"/>
        <w:keepLines w:val="0"/>
        <w:pageBreakBefore w:val="0"/>
        <w:widowControl w:val="0"/>
        <w:kinsoku/>
        <w:wordWrap/>
        <w:overflowPunct/>
        <w:topLinePunct w:val="0"/>
        <w:autoSpaceDE/>
        <w:autoSpaceDN/>
        <w:bidi w:val="0"/>
        <w:adjustRightInd/>
        <w:snapToGrid/>
        <w:spacing w:line="240" w:lineRule="auto"/>
        <w:ind w:left="240" w:leftChars="100" w:firstLine="0" w:firstLineChars="0"/>
        <w:jc w:val="left"/>
        <w:textAlignment w:val="auto"/>
        <w:rPr>
          <w:rFonts w:hint="eastAsia" w:ascii="宋体" w:hAnsi="宋体" w:eastAsia="宋体" w:cs="宋体"/>
          <w:sz w:val="24"/>
          <w:szCs w:val="24"/>
        </w:rPr>
      </w:pPr>
      <w:r>
        <w:rPr>
          <w:rFonts w:hint="eastAsia" w:ascii="宋体" w:hAnsi="宋体" w:eastAsia="宋体" w:cs="宋体"/>
          <w:b/>
          <w:bCs/>
          <w:sz w:val="24"/>
          <w:szCs w:val="24"/>
        </w:rPr>
        <w:t>2.13.2</w:t>
      </w:r>
      <w:r>
        <w:rPr>
          <w:rFonts w:hint="eastAsia" w:ascii="宋体" w:hAnsi="宋体" w:eastAsia="宋体" w:cs="宋体"/>
          <w:sz w:val="24"/>
          <w:szCs w:val="24"/>
        </w:rPr>
        <w:t xml:space="preserve"> 建立《安保服务管理制度》《安保人员管理制度》《安保岗位责任制度》等，保障全年 365 天 24 小时值班和定时巡逻，做好详细的交接班记录、值班巡逻记录。白天大门开启，出入</w:t>
      </w:r>
      <w:r>
        <w:rPr>
          <w:rFonts w:hint="eastAsia" w:ascii="宋体" w:hAnsi="宋体" w:eastAsia="宋体" w:cs="宋体"/>
          <w:sz w:val="24"/>
          <w:szCs w:val="24"/>
          <w:lang w:eastAsia="zh-CN"/>
        </w:rPr>
        <w:t>场</w:t>
      </w:r>
      <w:r>
        <w:rPr>
          <w:rFonts w:hint="eastAsia" w:ascii="宋体" w:hAnsi="宋体" w:eastAsia="宋体" w:cs="宋体"/>
          <w:sz w:val="24"/>
          <w:szCs w:val="24"/>
        </w:rPr>
        <w:t>区人员有台账记录。晚上大门关闭，值班人员能及时联系。严禁无关人员入内，防止闲杂人员进入场内偷窃。夜间对场内所有地方巡查，防止明火、漏电等安全事故发生，并做好记录。</w:t>
      </w:r>
    </w:p>
    <w:p>
      <w:pPr>
        <w:keepNext w:val="0"/>
        <w:keepLines w:val="0"/>
        <w:pageBreakBefore w:val="0"/>
        <w:widowControl w:val="0"/>
        <w:kinsoku/>
        <w:wordWrap/>
        <w:overflowPunct/>
        <w:topLinePunct w:val="0"/>
        <w:autoSpaceDE/>
        <w:autoSpaceDN/>
        <w:bidi w:val="0"/>
        <w:adjustRightInd/>
        <w:snapToGrid/>
        <w:spacing w:line="240" w:lineRule="auto"/>
        <w:ind w:left="240" w:leftChars="100" w:firstLine="0" w:firstLineChars="0"/>
        <w:jc w:val="left"/>
        <w:textAlignment w:val="auto"/>
        <w:outlineLvl w:val="2"/>
        <w:rPr>
          <w:rFonts w:hint="eastAsia" w:ascii="宋体" w:hAnsi="宋体" w:eastAsia="宋体" w:cs="宋体"/>
          <w:sz w:val="24"/>
          <w:szCs w:val="24"/>
        </w:rPr>
      </w:pPr>
      <w:bookmarkStart w:id="17" w:name="heading_18"/>
      <w:r>
        <w:rPr>
          <w:rFonts w:hint="eastAsia" w:ascii="宋体" w:hAnsi="宋体" w:eastAsia="宋体" w:cs="宋体"/>
          <w:b/>
          <w:sz w:val="24"/>
          <w:szCs w:val="24"/>
        </w:rPr>
        <w:t>2.14、办公及后勤保障</w:t>
      </w:r>
      <w:bookmarkEnd w:id="17"/>
    </w:p>
    <w:p>
      <w:pPr>
        <w:keepNext w:val="0"/>
        <w:keepLines w:val="0"/>
        <w:pageBreakBefore w:val="0"/>
        <w:widowControl w:val="0"/>
        <w:kinsoku/>
        <w:wordWrap/>
        <w:overflowPunct/>
        <w:topLinePunct w:val="0"/>
        <w:autoSpaceDE/>
        <w:autoSpaceDN/>
        <w:bidi w:val="0"/>
        <w:adjustRightInd/>
        <w:snapToGrid/>
        <w:spacing w:line="240" w:lineRule="auto"/>
        <w:ind w:left="240" w:leftChars="10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运行期内，供应商负责项目运行所需的电脑、空调、打印机等办公用品保障；负责项目内管理人员和作业人员的食宿、劳保等后勤保障。</w:t>
      </w:r>
    </w:p>
    <w:p>
      <w:pPr>
        <w:keepNext w:val="0"/>
        <w:keepLines w:val="0"/>
        <w:pageBreakBefore w:val="0"/>
        <w:widowControl w:val="0"/>
        <w:kinsoku/>
        <w:wordWrap/>
        <w:overflowPunct/>
        <w:topLinePunct w:val="0"/>
        <w:autoSpaceDE/>
        <w:autoSpaceDN/>
        <w:bidi w:val="0"/>
        <w:adjustRightInd/>
        <w:snapToGrid/>
        <w:spacing w:line="240" w:lineRule="auto"/>
        <w:ind w:left="240" w:leftChars="10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遇重大迎检活动时，需积极配合采购方做好迎检工作，做到参观厂区路线有标识引导，进入厂区有标牌、内容讲解详细、技术资料齐全，树立填埋场良好的公众形象。因乙方运营不当引发周边群众投诉、纠纷，由乙方牵头处置，承担由此产生全部直接费用及责任；因第三方、不可抗力造成的矛盾除外。</w:t>
      </w:r>
    </w:p>
    <w:p>
      <w:pPr>
        <w:widowControl w:val="0"/>
        <w:spacing w:before="300" w:after="120" w:line="288" w:lineRule="auto"/>
        <w:ind w:left="240" w:leftChars="100"/>
        <w:jc w:val="left"/>
        <w:outlineLvl w:val="2"/>
        <w:rPr>
          <w:rFonts w:hint="eastAsia" w:ascii="宋体" w:hAnsi="宋体" w:eastAsia="宋体" w:cs="宋体"/>
          <w:sz w:val="24"/>
          <w:szCs w:val="24"/>
        </w:rPr>
      </w:pPr>
      <w:bookmarkStart w:id="18" w:name="heading_19"/>
      <w:r>
        <w:rPr>
          <w:rFonts w:hint="eastAsia" w:ascii="宋体" w:hAnsi="宋体" w:eastAsia="宋体" w:cs="宋体"/>
          <w:b/>
          <w:sz w:val="24"/>
          <w:szCs w:val="24"/>
        </w:rPr>
        <w:t>2.15 附件：填埋场日常运营项目考核表</w:t>
      </w:r>
      <w:bookmarkEnd w:id="18"/>
    </w:p>
    <w:tbl>
      <w:tblPr>
        <w:tblStyle w:val="6"/>
        <w:tblW w:w="9840" w:type="dxa"/>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1097"/>
        <w:gridCol w:w="967"/>
        <w:gridCol w:w="3542"/>
        <w:gridCol w:w="3148"/>
        <w:gridCol w:w="1086"/>
      </w:tblGrid>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Ex>
        <w:trPr>
          <w:trHeight w:val="327" w:hRule="atLeast"/>
        </w:trPr>
        <w:tc>
          <w:tcPr>
            <w:tcW w:w="1097" w:type="dxa"/>
            <w:tcMar>
              <w:top w:w="60" w:type="dxa"/>
              <w:left w:w="120" w:type="dxa"/>
              <w:bottom w:w="30" w:type="dxa"/>
              <w:right w:w="120" w:type="dxa"/>
            </w:tcMar>
            <w:vAlign w:val="top"/>
          </w:tcPr>
          <w:p>
            <w:pPr>
              <w:widowControl w:val="0"/>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序号</w:t>
            </w:r>
          </w:p>
        </w:tc>
        <w:tc>
          <w:tcPr>
            <w:tcW w:w="967" w:type="dxa"/>
            <w:tcMar>
              <w:top w:w="60" w:type="dxa"/>
              <w:left w:w="120" w:type="dxa"/>
              <w:bottom w:w="30" w:type="dxa"/>
              <w:right w:w="120" w:type="dxa"/>
            </w:tcMar>
            <w:vAlign w:val="top"/>
          </w:tcPr>
          <w:p>
            <w:pPr>
              <w:widowControl w:val="0"/>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考评项目</w:t>
            </w:r>
          </w:p>
        </w:tc>
        <w:tc>
          <w:tcPr>
            <w:tcW w:w="3542" w:type="dxa"/>
            <w:tcMar>
              <w:top w:w="60" w:type="dxa"/>
              <w:left w:w="120" w:type="dxa"/>
              <w:bottom w:w="30" w:type="dxa"/>
              <w:right w:w="120" w:type="dxa"/>
            </w:tcMar>
            <w:vAlign w:val="top"/>
          </w:tcPr>
          <w:p>
            <w:pPr>
              <w:widowControl w:val="0"/>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考评内容</w:t>
            </w:r>
          </w:p>
        </w:tc>
        <w:tc>
          <w:tcPr>
            <w:tcW w:w="3148" w:type="dxa"/>
            <w:tcMar>
              <w:top w:w="60" w:type="dxa"/>
              <w:left w:w="120" w:type="dxa"/>
              <w:bottom w:w="30" w:type="dxa"/>
              <w:right w:w="120" w:type="dxa"/>
            </w:tcMar>
            <w:vAlign w:val="top"/>
          </w:tcPr>
          <w:p>
            <w:pPr>
              <w:widowControl w:val="0"/>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扣分标准</w:t>
            </w:r>
          </w:p>
        </w:tc>
        <w:tc>
          <w:tcPr>
            <w:tcW w:w="1086" w:type="dxa"/>
            <w:tcMar>
              <w:top w:w="60" w:type="dxa"/>
              <w:left w:w="120" w:type="dxa"/>
              <w:bottom w:w="30" w:type="dxa"/>
              <w:right w:w="120" w:type="dxa"/>
            </w:tcMar>
            <w:vAlign w:val="top"/>
          </w:tcPr>
          <w:p>
            <w:pPr>
              <w:widowControl w:val="0"/>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考核分值</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Ex>
        <w:trPr>
          <w:trHeight w:val="3478" w:hRule="atLeast"/>
        </w:trPr>
        <w:tc>
          <w:tcPr>
            <w:tcW w:w="1097" w:type="dxa"/>
            <w:tcMar>
              <w:top w:w="60" w:type="dxa"/>
              <w:left w:w="120" w:type="dxa"/>
              <w:bottom w:w="30" w:type="dxa"/>
              <w:right w:w="120" w:type="dxa"/>
            </w:tcMar>
            <w:vAlign w:val="top"/>
          </w:tcPr>
          <w:p>
            <w:pPr>
              <w:widowControl w:val="0"/>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1</w:t>
            </w:r>
          </w:p>
        </w:tc>
        <w:tc>
          <w:tcPr>
            <w:tcW w:w="967" w:type="dxa"/>
            <w:tcMar>
              <w:top w:w="60" w:type="dxa"/>
              <w:left w:w="120" w:type="dxa"/>
              <w:bottom w:w="30" w:type="dxa"/>
              <w:right w:w="120" w:type="dxa"/>
            </w:tcMar>
            <w:vAlign w:val="top"/>
          </w:tcPr>
          <w:p>
            <w:pPr>
              <w:widowControl w:val="0"/>
              <w:spacing w:before="120" w:after="120" w:line="288" w:lineRule="auto"/>
              <w:ind w:left="0"/>
              <w:jc w:val="center"/>
              <w:rPr>
                <w:rFonts w:hint="eastAsia" w:ascii="宋体" w:hAnsi="宋体" w:eastAsia="宋体" w:cs="宋体"/>
                <w:sz w:val="22"/>
                <w:szCs w:val="22"/>
              </w:rPr>
            </w:pPr>
            <w:r>
              <w:rPr>
                <w:rFonts w:hint="eastAsia" w:ascii="宋体" w:hAnsi="宋体" w:eastAsia="宋体" w:cs="宋体"/>
                <w:sz w:val="22"/>
                <w:szCs w:val="22"/>
              </w:rPr>
              <w:t>渗沥液管理（20 分）</w:t>
            </w:r>
          </w:p>
        </w:tc>
        <w:tc>
          <w:tcPr>
            <w:tcW w:w="3542" w:type="dxa"/>
            <w:tcMar>
              <w:top w:w="60" w:type="dxa"/>
              <w:left w:w="120" w:type="dxa"/>
              <w:bottom w:w="30" w:type="dxa"/>
              <w:right w:w="120" w:type="dxa"/>
            </w:tcMar>
            <w:vAlign w:val="top"/>
          </w:tcPr>
          <w:p>
            <w:pPr>
              <w:widowControl w:val="0"/>
              <w:spacing w:before="120" w:after="120" w:line="288" w:lineRule="auto"/>
              <w:ind w:left="0"/>
              <w:jc w:val="left"/>
              <w:rPr>
                <w:rFonts w:hint="eastAsia" w:ascii="宋体" w:hAnsi="宋体" w:eastAsia="宋体" w:cs="宋体"/>
                <w:sz w:val="22"/>
                <w:szCs w:val="22"/>
                <w:lang w:eastAsia="zh-CN"/>
              </w:rPr>
            </w:pPr>
            <w:r>
              <w:rPr>
                <w:rFonts w:hint="eastAsia" w:ascii="宋体" w:hAnsi="宋体" w:eastAsia="宋体" w:cs="宋体"/>
                <w:sz w:val="22"/>
                <w:szCs w:val="22"/>
              </w:rPr>
              <w:t>1、每日及时抽送渗滤液；</w:t>
            </w:r>
          </w:p>
          <w:p>
            <w:pPr>
              <w:widowControl w:val="0"/>
              <w:spacing w:before="120" w:after="120" w:line="288" w:lineRule="auto"/>
              <w:ind w:left="0"/>
              <w:jc w:val="left"/>
              <w:rPr>
                <w:rFonts w:hint="eastAsia" w:ascii="宋体" w:hAnsi="宋体" w:eastAsia="宋体" w:cs="宋体"/>
                <w:sz w:val="22"/>
                <w:szCs w:val="22"/>
                <w:lang w:eastAsia="zh-CN"/>
              </w:rPr>
            </w:pPr>
            <w:r>
              <w:rPr>
                <w:rFonts w:hint="eastAsia" w:ascii="宋体" w:hAnsi="宋体" w:eastAsia="宋体" w:cs="宋体"/>
                <w:sz w:val="22"/>
                <w:szCs w:val="22"/>
              </w:rPr>
              <w:t>2、定期检查渗滤液输送管道，无破损、堵塞、跑冒滴漏，无臭味</w:t>
            </w:r>
            <w:r>
              <w:rPr>
                <w:rFonts w:hint="eastAsia" w:ascii="宋体" w:hAnsi="宋体" w:eastAsia="宋体" w:cs="宋体"/>
                <w:sz w:val="22"/>
                <w:szCs w:val="22"/>
                <w:lang w:eastAsia="zh-CN"/>
              </w:rPr>
              <w:t>外溢</w:t>
            </w:r>
            <w:r>
              <w:rPr>
                <w:rFonts w:hint="eastAsia" w:ascii="宋体" w:hAnsi="宋体" w:eastAsia="宋体" w:cs="宋体"/>
                <w:sz w:val="22"/>
                <w:szCs w:val="22"/>
              </w:rPr>
              <w:t>；</w:t>
            </w:r>
          </w:p>
          <w:p>
            <w:pPr>
              <w:widowControl w:val="0"/>
              <w:spacing w:before="120" w:after="120" w:line="288" w:lineRule="auto"/>
              <w:ind w:left="0"/>
              <w:jc w:val="left"/>
              <w:rPr>
                <w:rFonts w:hint="eastAsia" w:ascii="宋体" w:hAnsi="宋体" w:eastAsia="宋体" w:cs="宋体"/>
                <w:sz w:val="22"/>
                <w:szCs w:val="22"/>
                <w:lang w:eastAsia="zh-CN"/>
              </w:rPr>
            </w:pPr>
            <w:r>
              <w:rPr>
                <w:rFonts w:hint="eastAsia" w:ascii="宋体" w:hAnsi="宋体" w:eastAsia="宋体" w:cs="宋体"/>
                <w:sz w:val="22"/>
                <w:szCs w:val="22"/>
              </w:rPr>
              <w:t>3、渗滤液运输台账齐全，数据统计准确无误；</w:t>
            </w:r>
          </w:p>
          <w:p>
            <w:pPr>
              <w:widowControl w:val="0"/>
              <w:spacing w:before="120" w:after="120" w:line="288" w:lineRule="auto"/>
              <w:ind w:left="0"/>
              <w:jc w:val="left"/>
              <w:rPr>
                <w:rFonts w:hint="eastAsia" w:ascii="宋体" w:hAnsi="宋体" w:eastAsia="宋体" w:cs="宋体"/>
                <w:sz w:val="22"/>
                <w:szCs w:val="22"/>
                <w:lang w:eastAsia="zh-CN"/>
              </w:rPr>
            </w:pPr>
            <w:r>
              <w:rPr>
                <w:rFonts w:hint="eastAsia" w:ascii="宋体" w:hAnsi="宋体" w:eastAsia="宋体" w:cs="宋体"/>
                <w:sz w:val="22"/>
                <w:szCs w:val="22"/>
              </w:rPr>
              <w:t>4、场内流量计、记录仪等过程监管设备运行正常，传输数据正确、有效；</w:t>
            </w:r>
          </w:p>
          <w:p>
            <w:pPr>
              <w:widowControl w:val="0"/>
              <w:spacing w:before="120" w:after="120" w:line="288" w:lineRule="auto"/>
              <w:ind w:left="0"/>
              <w:jc w:val="left"/>
              <w:rPr>
                <w:rFonts w:hint="eastAsia" w:ascii="宋体" w:hAnsi="宋体" w:eastAsia="宋体" w:cs="宋体"/>
                <w:sz w:val="22"/>
                <w:szCs w:val="22"/>
                <w:lang w:eastAsia="zh-CN"/>
              </w:rPr>
            </w:pPr>
            <w:r>
              <w:rPr>
                <w:rFonts w:hint="eastAsia" w:ascii="宋体" w:hAnsi="宋体" w:eastAsia="宋体" w:cs="宋体"/>
                <w:sz w:val="22"/>
                <w:szCs w:val="22"/>
              </w:rPr>
              <w:t>5、保证设施平稳运营，发生设施故障或事故时，按相关规定及时上报；</w:t>
            </w:r>
          </w:p>
          <w:p>
            <w:pPr>
              <w:widowControl w:val="0"/>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6、场区内照明、事故照明、警示牌、指示灯完善无损坏。</w:t>
            </w:r>
          </w:p>
        </w:tc>
        <w:tc>
          <w:tcPr>
            <w:tcW w:w="3148" w:type="dxa"/>
            <w:tcMar>
              <w:top w:w="60" w:type="dxa"/>
              <w:left w:w="120" w:type="dxa"/>
              <w:bottom w:w="30" w:type="dxa"/>
              <w:right w:w="120" w:type="dxa"/>
            </w:tcMar>
            <w:vAlign w:val="top"/>
          </w:tcPr>
          <w:p>
            <w:pPr>
              <w:widowControl w:val="0"/>
              <w:spacing w:before="120" w:after="120" w:line="288" w:lineRule="auto"/>
              <w:ind w:left="0"/>
              <w:jc w:val="left"/>
              <w:rPr>
                <w:rFonts w:hint="eastAsia" w:ascii="宋体" w:hAnsi="宋体" w:eastAsia="宋体" w:cs="宋体"/>
                <w:sz w:val="22"/>
                <w:szCs w:val="22"/>
                <w:lang w:eastAsia="zh-CN"/>
              </w:rPr>
            </w:pPr>
            <w:r>
              <w:rPr>
                <w:rFonts w:hint="eastAsia" w:ascii="宋体" w:hAnsi="宋体" w:eastAsia="宋体" w:cs="宋体"/>
                <w:sz w:val="22"/>
                <w:szCs w:val="22"/>
              </w:rPr>
              <w:t>1、渗滤液无故未抽送的，发现一次扣 5 分；</w:t>
            </w:r>
          </w:p>
          <w:p>
            <w:pPr>
              <w:widowControl w:val="0"/>
              <w:spacing w:before="120" w:after="120" w:line="288" w:lineRule="auto"/>
              <w:ind w:left="0"/>
              <w:jc w:val="left"/>
              <w:rPr>
                <w:rFonts w:hint="eastAsia" w:ascii="宋体" w:hAnsi="宋体" w:eastAsia="宋体" w:cs="宋体"/>
                <w:sz w:val="22"/>
                <w:szCs w:val="22"/>
                <w:lang w:eastAsia="zh-CN"/>
              </w:rPr>
            </w:pPr>
            <w:r>
              <w:rPr>
                <w:rFonts w:hint="eastAsia" w:ascii="宋体" w:hAnsi="宋体" w:eastAsia="宋体" w:cs="宋体"/>
                <w:sz w:val="22"/>
                <w:szCs w:val="22"/>
              </w:rPr>
              <w:t>2、管道损坏、堵塞未及时维修处置影响渗滤液转运的，发现一次扣 5 分；</w:t>
            </w:r>
          </w:p>
          <w:p>
            <w:pPr>
              <w:widowControl w:val="0"/>
              <w:spacing w:before="120" w:after="120" w:line="288" w:lineRule="auto"/>
              <w:ind w:left="0"/>
              <w:jc w:val="left"/>
              <w:rPr>
                <w:rFonts w:hint="eastAsia" w:ascii="宋体" w:hAnsi="宋体" w:eastAsia="宋体" w:cs="宋体"/>
                <w:sz w:val="22"/>
                <w:szCs w:val="22"/>
                <w:lang w:eastAsia="zh-CN"/>
              </w:rPr>
            </w:pPr>
            <w:r>
              <w:rPr>
                <w:rFonts w:hint="eastAsia" w:ascii="宋体" w:hAnsi="宋体" w:eastAsia="宋体" w:cs="宋体"/>
                <w:sz w:val="22"/>
                <w:szCs w:val="22"/>
              </w:rPr>
              <w:t>3、未建立渗滤液转运台账的，扣 5 分；数据记录失实的，每发现一次扣 1 分；</w:t>
            </w:r>
          </w:p>
          <w:p>
            <w:pPr>
              <w:widowControl w:val="0"/>
              <w:spacing w:before="120" w:after="120" w:line="288" w:lineRule="auto"/>
              <w:ind w:left="0"/>
              <w:jc w:val="left"/>
              <w:rPr>
                <w:rFonts w:hint="eastAsia" w:ascii="宋体" w:hAnsi="宋体" w:eastAsia="宋体" w:cs="宋体"/>
                <w:sz w:val="22"/>
                <w:szCs w:val="22"/>
                <w:lang w:eastAsia="zh-CN"/>
              </w:rPr>
            </w:pPr>
            <w:r>
              <w:rPr>
                <w:rFonts w:hint="eastAsia" w:ascii="宋体" w:hAnsi="宋体" w:eastAsia="宋体" w:cs="宋体"/>
                <w:sz w:val="22"/>
                <w:szCs w:val="22"/>
              </w:rPr>
              <w:t>4、如监管设备出现故障，运营方应及时向监管方报备，如未向监管方报备的每次扣 1 分，24 小时内未修复的扣 2 分；计量设备需进行年度校准，未进行年度校准，发现一次扣 2 分；</w:t>
            </w:r>
          </w:p>
          <w:p>
            <w:pPr>
              <w:widowControl w:val="0"/>
              <w:spacing w:before="120" w:after="120" w:line="288" w:lineRule="auto"/>
              <w:ind w:left="0"/>
              <w:jc w:val="left"/>
              <w:rPr>
                <w:rFonts w:hint="eastAsia" w:ascii="宋体" w:hAnsi="宋体" w:eastAsia="宋体" w:cs="宋体"/>
                <w:sz w:val="22"/>
                <w:szCs w:val="22"/>
                <w:lang w:eastAsia="zh-CN"/>
              </w:rPr>
            </w:pPr>
            <w:r>
              <w:rPr>
                <w:rFonts w:hint="eastAsia" w:ascii="宋体" w:hAnsi="宋体" w:eastAsia="宋体" w:cs="宋体"/>
                <w:sz w:val="22"/>
                <w:szCs w:val="22"/>
              </w:rPr>
              <w:t>5、处置设施在运行过程中且在工作时段内发生一般故障或事故应在 30 分钟以内上报，未按时上报扣 1 分；发生影响生产等重大故障或事故时，应立即上报，未按时上报的扣 3 分。发现不报或瞒报情况时，直接扣 5 分（在考核年份内，可追溯）；</w:t>
            </w:r>
          </w:p>
          <w:p>
            <w:pPr>
              <w:widowControl w:val="0"/>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6、发现照明、事故照明、警示牌、指示灯有损坏，未及时修复的，每次扣 1 分。</w:t>
            </w:r>
          </w:p>
        </w:tc>
        <w:tc>
          <w:tcPr>
            <w:tcW w:w="1086" w:type="dxa"/>
            <w:tcMar>
              <w:top w:w="60" w:type="dxa"/>
              <w:left w:w="120" w:type="dxa"/>
              <w:bottom w:w="30" w:type="dxa"/>
              <w:right w:w="120" w:type="dxa"/>
            </w:tcMar>
            <w:vAlign w:val="top"/>
          </w:tcPr>
          <w:p>
            <w:pPr>
              <w:widowControl w:val="0"/>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20</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Ex>
        <w:trPr>
          <w:trHeight w:val="1114" w:hRule="atLeast"/>
        </w:trPr>
        <w:tc>
          <w:tcPr>
            <w:tcW w:w="1097" w:type="dxa"/>
            <w:tcMar>
              <w:top w:w="60" w:type="dxa"/>
              <w:left w:w="120" w:type="dxa"/>
              <w:bottom w:w="30" w:type="dxa"/>
              <w:right w:w="120" w:type="dxa"/>
            </w:tcMar>
            <w:vAlign w:val="top"/>
          </w:tcPr>
          <w:p>
            <w:pPr>
              <w:widowControl w:val="0"/>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2</w:t>
            </w:r>
          </w:p>
        </w:tc>
        <w:tc>
          <w:tcPr>
            <w:tcW w:w="967" w:type="dxa"/>
            <w:tcMar>
              <w:top w:w="60" w:type="dxa"/>
              <w:left w:w="120" w:type="dxa"/>
              <w:bottom w:w="30" w:type="dxa"/>
              <w:right w:w="120" w:type="dxa"/>
            </w:tcMar>
            <w:vAlign w:val="top"/>
          </w:tcPr>
          <w:p>
            <w:pPr>
              <w:widowControl w:val="0"/>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沼气收集与运行（10 分）</w:t>
            </w:r>
          </w:p>
        </w:tc>
        <w:tc>
          <w:tcPr>
            <w:tcW w:w="3542" w:type="dxa"/>
            <w:tcMar>
              <w:top w:w="60" w:type="dxa"/>
              <w:left w:w="120" w:type="dxa"/>
              <w:bottom w:w="30" w:type="dxa"/>
              <w:right w:w="120" w:type="dxa"/>
            </w:tcMar>
            <w:vAlign w:val="top"/>
          </w:tcPr>
          <w:p>
            <w:pPr>
              <w:widowControl w:val="0"/>
              <w:spacing w:before="120" w:after="120" w:line="288" w:lineRule="auto"/>
              <w:ind w:left="0"/>
              <w:jc w:val="left"/>
              <w:rPr>
                <w:rFonts w:hint="eastAsia" w:ascii="宋体" w:hAnsi="宋体" w:eastAsia="宋体" w:cs="宋体"/>
                <w:sz w:val="22"/>
                <w:szCs w:val="22"/>
                <w:lang w:eastAsia="zh-CN"/>
              </w:rPr>
            </w:pPr>
            <w:r>
              <w:rPr>
                <w:rFonts w:hint="eastAsia" w:ascii="宋体" w:hAnsi="宋体" w:eastAsia="宋体" w:cs="宋体"/>
                <w:sz w:val="22"/>
                <w:szCs w:val="22"/>
              </w:rPr>
              <w:t>1、场内沼气收集管网设施设备完好，沼气收集燃烧系统正常作业；</w:t>
            </w:r>
          </w:p>
          <w:p>
            <w:pPr>
              <w:widowControl w:val="0"/>
              <w:spacing w:before="120" w:after="120" w:line="288" w:lineRule="auto"/>
              <w:ind w:left="0"/>
              <w:jc w:val="left"/>
              <w:rPr>
                <w:rFonts w:hint="eastAsia" w:ascii="宋体" w:hAnsi="宋体" w:eastAsia="宋体" w:cs="宋体"/>
                <w:sz w:val="22"/>
                <w:szCs w:val="22"/>
                <w:lang w:eastAsia="zh-CN"/>
              </w:rPr>
            </w:pPr>
            <w:r>
              <w:rPr>
                <w:rFonts w:hint="eastAsia" w:ascii="宋体" w:hAnsi="宋体" w:eastAsia="宋体" w:cs="宋体"/>
                <w:sz w:val="22"/>
                <w:szCs w:val="22"/>
              </w:rPr>
              <w:t>2、落实沼气收集系统的巡检及定期维护，保障系统正常运行；</w:t>
            </w:r>
          </w:p>
          <w:p>
            <w:pPr>
              <w:widowControl w:val="0"/>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3、气体浓度未达到运行条件应及时向采购人及属地生态环境主管部门申请报备。</w:t>
            </w:r>
          </w:p>
        </w:tc>
        <w:tc>
          <w:tcPr>
            <w:tcW w:w="3148" w:type="dxa"/>
            <w:tcMar>
              <w:top w:w="60" w:type="dxa"/>
              <w:left w:w="120" w:type="dxa"/>
              <w:bottom w:w="30" w:type="dxa"/>
              <w:right w:w="120" w:type="dxa"/>
            </w:tcMar>
            <w:vAlign w:val="top"/>
          </w:tcPr>
          <w:p>
            <w:pPr>
              <w:widowControl w:val="0"/>
              <w:spacing w:before="120" w:after="120" w:line="288" w:lineRule="auto"/>
              <w:ind w:left="0"/>
              <w:jc w:val="left"/>
              <w:rPr>
                <w:rFonts w:hint="eastAsia" w:ascii="宋体" w:hAnsi="宋体" w:eastAsia="宋体" w:cs="宋体"/>
                <w:sz w:val="22"/>
                <w:szCs w:val="22"/>
                <w:lang w:eastAsia="zh-CN"/>
              </w:rPr>
            </w:pPr>
            <w:r>
              <w:rPr>
                <w:rFonts w:hint="eastAsia" w:ascii="宋体" w:hAnsi="宋体" w:eastAsia="宋体" w:cs="宋体"/>
                <w:sz w:val="22"/>
                <w:szCs w:val="22"/>
              </w:rPr>
              <w:t>1、未按照标准操作沼气收集燃烧系统作业的，每起扣 5 分；</w:t>
            </w:r>
          </w:p>
          <w:p>
            <w:pPr>
              <w:widowControl w:val="0"/>
              <w:spacing w:before="120" w:after="120" w:line="288" w:lineRule="auto"/>
              <w:ind w:left="0"/>
              <w:jc w:val="left"/>
              <w:rPr>
                <w:rFonts w:hint="eastAsia" w:ascii="宋体" w:hAnsi="宋体" w:eastAsia="宋体" w:cs="宋体"/>
                <w:sz w:val="22"/>
                <w:szCs w:val="22"/>
                <w:lang w:eastAsia="zh-CN"/>
              </w:rPr>
            </w:pPr>
            <w:r>
              <w:rPr>
                <w:rFonts w:hint="eastAsia" w:ascii="宋体" w:hAnsi="宋体" w:eastAsia="宋体" w:cs="宋体"/>
                <w:sz w:val="22"/>
                <w:szCs w:val="22"/>
              </w:rPr>
              <w:t>2、运营方未进行巡检与定期维护的，发现一次扣 1 分；因此操作不当导致系统不能正常运行的，发现一次扣 1 分；</w:t>
            </w:r>
          </w:p>
          <w:p>
            <w:pPr>
              <w:widowControl w:val="0"/>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3、未及时报备扣 5 分。</w:t>
            </w:r>
          </w:p>
        </w:tc>
        <w:tc>
          <w:tcPr>
            <w:tcW w:w="1086" w:type="dxa"/>
            <w:tcMar>
              <w:top w:w="60" w:type="dxa"/>
              <w:left w:w="120" w:type="dxa"/>
              <w:bottom w:w="30" w:type="dxa"/>
              <w:right w:w="120" w:type="dxa"/>
            </w:tcMar>
            <w:vAlign w:val="top"/>
          </w:tcPr>
          <w:p>
            <w:pPr>
              <w:widowControl w:val="0"/>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10</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Ex>
        <w:trPr>
          <w:trHeight w:val="1186" w:hRule="atLeast"/>
        </w:trPr>
        <w:tc>
          <w:tcPr>
            <w:tcW w:w="1097" w:type="dxa"/>
            <w:tcMar>
              <w:top w:w="60" w:type="dxa"/>
              <w:left w:w="120" w:type="dxa"/>
              <w:bottom w:w="30" w:type="dxa"/>
              <w:right w:w="120" w:type="dxa"/>
            </w:tcMar>
            <w:vAlign w:val="top"/>
          </w:tcPr>
          <w:p>
            <w:pPr>
              <w:widowControl w:val="0"/>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3</w:t>
            </w:r>
          </w:p>
        </w:tc>
        <w:tc>
          <w:tcPr>
            <w:tcW w:w="967" w:type="dxa"/>
            <w:tcMar>
              <w:top w:w="60" w:type="dxa"/>
              <w:left w:w="120" w:type="dxa"/>
              <w:bottom w:w="30" w:type="dxa"/>
              <w:right w:w="120" w:type="dxa"/>
            </w:tcMar>
            <w:vAlign w:val="top"/>
          </w:tcPr>
          <w:p>
            <w:pPr>
              <w:widowControl w:val="0"/>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自行检测（5 分）</w:t>
            </w:r>
          </w:p>
        </w:tc>
        <w:tc>
          <w:tcPr>
            <w:tcW w:w="3542" w:type="dxa"/>
            <w:tcMar>
              <w:top w:w="60" w:type="dxa"/>
              <w:left w:w="120" w:type="dxa"/>
              <w:bottom w:w="30" w:type="dxa"/>
              <w:right w:w="120" w:type="dxa"/>
            </w:tcMar>
            <w:vAlign w:val="top"/>
          </w:tcPr>
          <w:p>
            <w:pPr>
              <w:widowControl w:val="0"/>
              <w:numPr>
                <w:ilvl w:val="0"/>
                <w:numId w:val="1"/>
              </w:numPr>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 xml:space="preserve">按规范落实本合同约定的现场简易自行观测检测工作； </w:t>
            </w:r>
          </w:p>
          <w:p>
            <w:pPr>
              <w:widowControl w:val="0"/>
              <w:numPr>
                <w:ilvl w:val="0"/>
                <w:numId w:val="0"/>
              </w:numPr>
              <w:spacing w:before="120" w:after="120" w:line="288" w:lineRule="auto"/>
              <w:jc w:val="left"/>
              <w:rPr>
                <w:rFonts w:hint="eastAsia" w:ascii="宋体" w:hAnsi="宋体" w:eastAsia="宋体" w:cs="宋体"/>
                <w:sz w:val="22"/>
                <w:szCs w:val="22"/>
              </w:rPr>
            </w:pPr>
            <w:r>
              <w:rPr>
                <w:rFonts w:hint="eastAsia" w:ascii="宋体" w:hAnsi="宋体" w:eastAsia="宋体" w:cs="宋体"/>
                <w:sz w:val="22"/>
                <w:szCs w:val="22"/>
              </w:rPr>
              <w:t>2、落实观测井、监测点位巡检维护，保障采购人委托第三方机构可正常开展采样工作。</w:t>
            </w:r>
          </w:p>
        </w:tc>
        <w:tc>
          <w:tcPr>
            <w:tcW w:w="3148" w:type="dxa"/>
            <w:tcMar>
              <w:top w:w="60" w:type="dxa"/>
              <w:left w:w="120" w:type="dxa"/>
              <w:bottom w:w="30" w:type="dxa"/>
              <w:right w:w="120" w:type="dxa"/>
            </w:tcMar>
            <w:vAlign w:val="top"/>
          </w:tcPr>
          <w:p>
            <w:pPr>
              <w:widowControl w:val="0"/>
              <w:spacing w:before="120" w:after="120" w:line="288" w:lineRule="auto"/>
              <w:ind w:left="0"/>
              <w:jc w:val="left"/>
              <w:rPr>
                <w:rFonts w:hint="eastAsia" w:ascii="宋体" w:hAnsi="宋体" w:eastAsia="宋体" w:cs="宋体"/>
                <w:sz w:val="22"/>
                <w:szCs w:val="22"/>
                <w:lang w:val="en-US" w:eastAsia="zh-CN"/>
              </w:rPr>
            </w:pPr>
            <w:r>
              <w:rPr>
                <w:rFonts w:hint="eastAsia" w:ascii="宋体" w:hAnsi="宋体" w:eastAsia="宋体" w:cs="宋体"/>
                <w:sz w:val="22"/>
                <w:szCs w:val="22"/>
              </w:rPr>
              <w:t>1、未按时</w:t>
            </w:r>
            <w:r>
              <w:rPr>
                <w:rFonts w:hint="eastAsia" w:ascii="宋体" w:hAnsi="宋体" w:eastAsia="宋体" w:cs="宋体"/>
                <w:sz w:val="22"/>
                <w:szCs w:val="22"/>
                <w:lang w:eastAsia="zh-CN"/>
              </w:rPr>
              <w:t>开展现场观测检测，每发现一次扣</w:t>
            </w:r>
            <w:r>
              <w:rPr>
                <w:rFonts w:hint="eastAsia" w:ascii="宋体" w:hAnsi="宋体" w:eastAsia="宋体" w:cs="宋体"/>
                <w:sz w:val="22"/>
                <w:szCs w:val="22"/>
                <w:lang w:val="en-US" w:eastAsia="zh-CN"/>
              </w:rPr>
              <w:t>2分；现场监测项目缺失每一项扣1分；</w:t>
            </w:r>
          </w:p>
          <w:p>
            <w:pPr>
              <w:widowControl w:val="0"/>
              <w:spacing w:before="120" w:after="120" w:line="288" w:lineRule="auto"/>
              <w:ind w:left="0"/>
              <w:jc w:val="lef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2.监测点位未巡检维护，造成第三方无法采样，没发现一次扣2分。</w:t>
            </w:r>
          </w:p>
          <w:p>
            <w:pPr>
              <w:widowControl w:val="0"/>
              <w:spacing w:before="120" w:after="120" w:line="288" w:lineRule="auto"/>
              <w:ind w:left="0"/>
              <w:jc w:val="lef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3.监测定位设施损坏，未及时修复扣1分。</w:t>
            </w:r>
          </w:p>
        </w:tc>
        <w:tc>
          <w:tcPr>
            <w:tcW w:w="1086" w:type="dxa"/>
            <w:tcMar>
              <w:top w:w="60" w:type="dxa"/>
              <w:left w:w="120" w:type="dxa"/>
              <w:bottom w:w="30" w:type="dxa"/>
              <w:right w:w="120" w:type="dxa"/>
            </w:tcMar>
            <w:vAlign w:val="top"/>
          </w:tcPr>
          <w:p>
            <w:pPr>
              <w:widowControl w:val="0"/>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5</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Ex>
        <w:trPr>
          <w:trHeight w:val="1227" w:hRule="atLeast"/>
        </w:trPr>
        <w:tc>
          <w:tcPr>
            <w:tcW w:w="1097" w:type="dxa"/>
            <w:tcMar>
              <w:top w:w="60" w:type="dxa"/>
              <w:left w:w="120" w:type="dxa"/>
              <w:bottom w:w="30" w:type="dxa"/>
              <w:right w:w="120" w:type="dxa"/>
            </w:tcMar>
            <w:vAlign w:val="top"/>
          </w:tcPr>
          <w:p>
            <w:pPr>
              <w:widowControl w:val="0"/>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4</w:t>
            </w:r>
          </w:p>
        </w:tc>
        <w:tc>
          <w:tcPr>
            <w:tcW w:w="967" w:type="dxa"/>
            <w:tcMar>
              <w:top w:w="60" w:type="dxa"/>
              <w:left w:w="120" w:type="dxa"/>
              <w:bottom w:w="30" w:type="dxa"/>
              <w:right w:w="120" w:type="dxa"/>
            </w:tcMar>
            <w:vAlign w:val="top"/>
          </w:tcPr>
          <w:p>
            <w:pPr>
              <w:widowControl w:val="0"/>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绿化管理（15 分）</w:t>
            </w:r>
          </w:p>
        </w:tc>
        <w:tc>
          <w:tcPr>
            <w:tcW w:w="3542" w:type="dxa"/>
            <w:tcMar>
              <w:top w:w="60" w:type="dxa"/>
              <w:left w:w="120" w:type="dxa"/>
              <w:bottom w:w="30" w:type="dxa"/>
              <w:right w:w="120" w:type="dxa"/>
            </w:tcMar>
            <w:vAlign w:val="top"/>
          </w:tcPr>
          <w:p>
            <w:pPr>
              <w:widowControl w:val="0"/>
              <w:spacing w:before="120" w:after="120" w:line="288" w:lineRule="auto"/>
              <w:ind w:left="0"/>
              <w:jc w:val="left"/>
              <w:rPr>
                <w:rFonts w:hint="eastAsia" w:ascii="宋体" w:hAnsi="宋体" w:eastAsia="宋体" w:cs="宋体"/>
                <w:sz w:val="22"/>
                <w:szCs w:val="22"/>
                <w:lang w:eastAsia="zh-CN"/>
              </w:rPr>
            </w:pPr>
            <w:r>
              <w:rPr>
                <w:rFonts w:hint="eastAsia" w:ascii="宋体" w:hAnsi="宋体" w:eastAsia="宋体" w:cs="宋体"/>
                <w:sz w:val="22"/>
                <w:szCs w:val="22"/>
              </w:rPr>
              <w:t>1、按照季节对填埋区进行绿化、修剪、养护；</w:t>
            </w:r>
          </w:p>
          <w:p>
            <w:pPr>
              <w:widowControl w:val="0"/>
              <w:spacing w:before="120" w:after="120" w:line="288" w:lineRule="auto"/>
              <w:ind w:left="0"/>
              <w:jc w:val="left"/>
              <w:rPr>
                <w:rFonts w:hint="eastAsia" w:ascii="宋体" w:hAnsi="宋体" w:eastAsia="宋体" w:cs="宋体"/>
                <w:sz w:val="22"/>
                <w:szCs w:val="22"/>
                <w:lang w:eastAsia="zh-CN"/>
              </w:rPr>
            </w:pPr>
            <w:r>
              <w:rPr>
                <w:rFonts w:hint="eastAsia" w:ascii="宋体" w:hAnsi="宋体" w:eastAsia="宋体" w:cs="宋体"/>
                <w:sz w:val="22"/>
                <w:szCs w:val="22"/>
              </w:rPr>
              <w:t>2、落实专人进行绿化养护；</w:t>
            </w:r>
          </w:p>
          <w:p>
            <w:pPr>
              <w:widowControl w:val="0"/>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3、绿化保存率、病虫害防治、施肥浇水、养护人员及设施管理。</w:t>
            </w:r>
          </w:p>
        </w:tc>
        <w:tc>
          <w:tcPr>
            <w:tcW w:w="3148" w:type="dxa"/>
            <w:tcMar>
              <w:top w:w="60" w:type="dxa"/>
              <w:left w:w="120" w:type="dxa"/>
              <w:bottom w:w="30" w:type="dxa"/>
              <w:right w:w="120" w:type="dxa"/>
            </w:tcMar>
            <w:vAlign w:val="top"/>
          </w:tcPr>
          <w:p>
            <w:pPr>
              <w:widowControl w:val="0"/>
              <w:spacing w:before="120" w:after="120" w:line="288" w:lineRule="auto"/>
              <w:ind w:left="0"/>
              <w:jc w:val="left"/>
              <w:rPr>
                <w:rFonts w:hint="eastAsia" w:ascii="宋体" w:hAnsi="宋体" w:eastAsia="宋体" w:cs="宋体"/>
                <w:sz w:val="22"/>
                <w:szCs w:val="22"/>
                <w:lang w:eastAsia="zh-CN"/>
              </w:rPr>
            </w:pPr>
            <w:r>
              <w:rPr>
                <w:rFonts w:hint="eastAsia" w:ascii="宋体" w:hAnsi="宋体" w:eastAsia="宋体" w:cs="宋体"/>
                <w:sz w:val="22"/>
                <w:szCs w:val="22"/>
              </w:rPr>
              <w:t>1、未进行该项工作的，发现一次扣 2 分；</w:t>
            </w:r>
          </w:p>
          <w:p>
            <w:pPr>
              <w:widowControl w:val="0"/>
              <w:spacing w:before="120" w:after="120" w:line="288" w:lineRule="auto"/>
              <w:ind w:left="0"/>
              <w:jc w:val="left"/>
              <w:rPr>
                <w:rFonts w:hint="eastAsia" w:ascii="宋体" w:hAnsi="宋体" w:eastAsia="宋体" w:cs="宋体"/>
                <w:sz w:val="22"/>
                <w:szCs w:val="22"/>
                <w:lang w:eastAsia="zh-CN"/>
              </w:rPr>
            </w:pPr>
            <w:r>
              <w:rPr>
                <w:rFonts w:hint="eastAsia" w:ascii="宋体" w:hAnsi="宋体" w:eastAsia="宋体" w:cs="宋体"/>
                <w:sz w:val="22"/>
                <w:szCs w:val="22"/>
              </w:rPr>
              <w:t>2、未有专人进行绿化养护的，发现一次扣 2 分；</w:t>
            </w:r>
          </w:p>
          <w:p>
            <w:pPr>
              <w:widowControl w:val="0"/>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3、绿化保存率≤95%、杂草多、有病虫害危害迹象、干旱萎蔫、作业清场不及时、设施不干净不整洁，养护人员需做好个人安全防护，每起扣 2 分。</w:t>
            </w:r>
          </w:p>
        </w:tc>
        <w:tc>
          <w:tcPr>
            <w:tcW w:w="1086" w:type="dxa"/>
            <w:tcMar>
              <w:top w:w="60" w:type="dxa"/>
              <w:left w:w="120" w:type="dxa"/>
              <w:bottom w:w="30" w:type="dxa"/>
              <w:right w:w="120" w:type="dxa"/>
            </w:tcMar>
            <w:vAlign w:val="top"/>
          </w:tcPr>
          <w:p>
            <w:pPr>
              <w:widowControl w:val="0"/>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15</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Ex>
        <w:trPr>
          <w:trHeight w:val="777" w:hRule="atLeast"/>
        </w:trPr>
        <w:tc>
          <w:tcPr>
            <w:tcW w:w="1097" w:type="dxa"/>
            <w:tcMar>
              <w:top w:w="60" w:type="dxa"/>
              <w:left w:w="120" w:type="dxa"/>
              <w:bottom w:w="30" w:type="dxa"/>
              <w:right w:w="120" w:type="dxa"/>
            </w:tcMar>
            <w:vAlign w:val="top"/>
          </w:tcPr>
          <w:p>
            <w:pPr>
              <w:widowControl w:val="0"/>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5</w:t>
            </w:r>
          </w:p>
        </w:tc>
        <w:tc>
          <w:tcPr>
            <w:tcW w:w="967" w:type="dxa"/>
            <w:tcMar>
              <w:top w:w="60" w:type="dxa"/>
              <w:left w:w="120" w:type="dxa"/>
              <w:bottom w:w="30" w:type="dxa"/>
              <w:right w:w="120" w:type="dxa"/>
            </w:tcMar>
            <w:vAlign w:val="top"/>
          </w:tcPr>
          <w:p>
            <w:pPr>
              <w:widowControl w:val="0"/>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人员管理（5 分）</w:t>
            </w:r>
          </w:p>
        </w:tc>
        <w:tc>
          <w:tcPr>
            <w:tcW w:w="3542" w:type="dxa"/>
            <w:tcMar>
              <w:top w:w="60" w:type="dxa"/>
              <w:left w:w="120" w:type="dxa"/>
              <w:bottom w:w="30" w:type="dxa"/>
              <w:right w:w="120" w:type="dxa"/>
            </w:tcMar>
            <w:vAlign w:val="top"/>
          </w:tcPr>
          <w:p>
            <w:pPr>
              <w:widowControl w:val="0"/>
              <w:spacing w:before="120" w:after="120" w:line="288" w:lineRule="auto"/>
              <w:ind w:left="0"/>
              <w:jc w:val="left"/>
              <w:rPr>
                <w:rFonts w:hint="eastAsia" w:ascii="宋体" w:hAnsi="宋体" w:eastAsia="宋体" w:cs="宋体"/>
                <w:sz w:val="22"/>
                <w:szCs w:val="22"/>
                <w:lang w:eastAsia="zh-CN"/>
              </w:rPr>
            </w:pPr>
            <w:r>
              <w:rPr>
                <w:rFonts w:hint="eastAsia" w:ascii="宋体" w:hAnsi="宋体" w:eastAsia="宋体" w:cs="宋体"/>
                <w:sz w:val="22"/>
                <w:szCs w:val="22"/>
              </w:rPr>
              <w:t>1、按照合同要求定额配备人员。</w:t>
            </w:r>
          </w:p>
          <w:p>
            <w:pPr>
              <w:widowControl w:val="0"/>
              <w:spacing w:before="120" w:after="120" w:line="288" w:lineRule="auto"/>
              <w:ind w:left="0"/>
              <w:jc w:val="left"/>
              <w:rPr>
                <w:rFonts w:hint="eastAsia" w:ascii="宋体" w:hAnsi="宋体" w:eastAsia="宋体" w:cs="宋体"/>
                <w:sz w:val="22"/>
                <w:szCs w:val="22"/>
                <w:lang w:eastAsia="zh-CN"/>
              </w:rPr>
            </w:pPr>
            <w:r>
              <w:rPr>
                <w:rFonts w:hint="eastAsia" w:ascii="宋体" w:hAnsi="宋体" w:eastAsia="宋体" w:cs="宋体"/>
                <w:sz w:val="22"/>
                <w:szCs w:val="22"/>
              </w:rPr>
              <w:t>2、保证场区全年 24 小时有值班人员，汛期增加值班人手。</w:t>
            </w:r>
          </w:p>
          <w:p>
            <w:pPr>
              <w:widowControl w:val="0"/>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3、遵守《中华人民共和国劳动法》。</w:t>
            </w:r>
          </w:p>
        </w:tc>
        <w:tc>
          <w:tcPr>
            <w:tcW w:w="3148" w:type="dxa"/>
            <w:tcMar>
              <w:top w:w="60" w:type="dxa"/>
              <w:left w:w="120" w:type="dxa"/>
              <w:bottom w:w="30" w:type="dxa"/>
              <w:right w:w="120" w:type="dxa"/>
            </w:tcMar>
            <w:vAlign w:val="top"/>
          </w:tcPr>
          <w:p>
            <w:pPr>
              <w:widowControl w:val="0"/>
              <w:spacing w:before="120" w:after="120" w:line="288" w:lineRule="auto"/>
              <w:ind w:left="0"/>
              <w:jc w:val="left"/>
              <w:rPr>
                <w:rFonts w:hint="eastAsia" w:ascii="宋体" w:hAnsi="宋体" w:eastAsia="宋体" w:cs="宋体"/>
                <w:sz w:val="22"/>
                <w:szCs w:val="22"/>
                <w:lang w:eastAsia="zh-CN"/>
              </w:rPr>
            </w:pPr>
            <w:r>
              <w:rPr>
                <w:rFonts w:hint="eastAsia" w:ascii="宋体" w:hAnsi="宋体" w:eastAsia="宋体" w:cs="宋体"/>
                <w:sz w:val="22"/>
                <w:szCs w:val="22"/>
              </w:rPr>
              <w:t>1、未足额配备作业人员的，每人次扣 2 分；</w:t>
            </w:r>
          </w:p>
          <w:p>
            <w:pPr>
              <w:widowControl w:val="0"/>
              <w:spacing w:before="120" w:after="120" w:line="288" w:lineRule="auto"/>
              <w:ind w:left="0"/>
              <w:jc w:val="left"/>
              <w:rPr>
                <w:rFonts w:hint="eastAsia" w:ascii="宋体" w:hAnsi="宋体" w:eastAsia="宋体" w:cs="宋体"/>
                <w:sz w:val="22"/>
                <w:szCs w:val="22"/>
                <w:lang w:eastAsia="zh-CN"/>
              </w:rPr>
            </w:pPr>
            <w:r>
              <w:rPr>
                <w:rFonts w:hint="eastAsia" w:ascii="宋体" w:hAnsi="宋体" w:eastAsia="宋体" w:cs="宋体"/>
                <w:sz w:val="22"/>
                <w:szCs w:val="22"/>
              </w:rPr>
              <w:t>2、人员缺岗的，每发现一次扣 2 分。</w:t>
            </w:r>
          </w:p>
          <w:p>
            <w:pPr>
              <w:widowControl w:val="0"/>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3、未按照劳动法为作业人员购买社保、组织定期体检的，每人次扣 1 分。</w:t>
            </w:r>
          </w:p>
        </w:tc>
        <w:tc>
          <w:tcPr>
            <w:tcW w:w="1086" w:type="dxa"/>
            <w:tcMar>
              <w:top w:w="60" w:type="dxa"/>
              <w:left w:w="120" w:type="dxa"/>
              <w:bottom w:w="30" w:type="dxa"/>
              <w:right w:w="120" w:type="dxa"/>
            </w:tcMar>
            <w:vAlign w:val="top"/>
          </w:tcPr>
          <w:p>
            <w:pPr>
              <w:widowControl w:val="0"/>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5</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Ex>
        <w:trPr>
          <w:trHeight w:val="2127" w:hRule="atLeast"/>
        </w:trPr>
        <w:tc>
          <w:tcPr>
            <w:tcW w:w="1097" w:type="dxa"/>
            <w:tcMar>
              <w:top w:w="60" w:type="dxa"/>
              <w:left w:w="120" w:type="dxa"/>
              <w:bottom w:w="30" w:type="dxa"/>
              <w:right w:w="120" w:type="dxa"/>
            </w:tcMar>
            <w:vAlign w:val="top"/>
          </w:tcPr>
          <w:p>
            <w:pPr>
              <w:widowControl w:val="0"/>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6</w:t>
            </w:r>
          </w:p>
        </w:tc>
        <w:tc>
          <w:tcPr>
            <w:tcW w:w="967" w:type="dxa"/>
            <w:tcMar>
              <w:top w:w="60" w:type="dxa"/>
              <w:left w:w="120" w:type="dxa"/>
              <w:bottom w:w="30" w:type="dxa"/>
              <w:right w:w="120" w:type="dxa"/>
            </w:tcMar>
            <w:vAlign w:val="top"/>
          </w:tcPr>
          <w:p>
            <w:pPr>
              <w:widowControl w:val="0"/>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场区管理（15 分）</w:t>
            </w:r>
          </w:p>
        </w:tc>
        <w:tc>
          <w:tcPr>
            <w:tcW w:w="3542" w:type="dxa"/>
            <w:tcMar>
              <w:top w:w="60" w:type="dxa"/>
              <w:left w:w="120" w:type="dxa"/>
              <w:bottom w:w="30" w:type="dxa"/>
              <w:right w:w="120" w:type="dxa"/>
            </w:tcMar>
            <w:vAlign w:val="top"/>
          </w:tcPr>
          <w:p>
            <w:pPr>
              <w:widowControl w:val="0"/>
              <w:spacing w:before="120" w:after="120" w:line="288" w:lineRule="auto"/>
              <w:ind w:left="0"/>
              <w:jc w:val="left"/>
              <w:rPr>
                <w:rFonts w:hint="eastAsia" w:ascii="宋体" w:hAnsi="宋体" w:eastAsia="宋体" w:cs="宋体"/>
                <w:sz w:val="22"/>
                <w:szCs w:val="22"/>
                <w:lang w:eastAsia="zh-CN"/>
              </w:rPr>
            </w:pPr>
            <w:r>
              <w:rPr>
                <w:rFonts w:hint="eastAsia" w:ascii="宋体" w:hAnsi="宋体" w:eastAsia="宋体" w:cs="宋体"/>
                <w:sz w:val="22"/>
                <w:szCs w:val="22"/>
              </w:rPr>
              <w:t>1、场区雨水明沟及雨水口定期清理，保障排水通畅；</w:t>
            </w:r>
          </w:p>
          <w:p>
            <w:pPr>
              <w:widowControl w:val="0"/>
              <w:spacing w:before="120" w:after="120" w:line="288" w:lineRule="auto"/>
              <w:ind w:left="0"/>
              <w:jc w:val="left"/>
              <w:rPr>
                <w:rFonts w:hint="eastAsia" w:ascii="宋体" w:hAnsi="宋体" w:eastAsia="宋体" w:cs="宋体"/>
                <w:sz w:val="22"/>
                <w:szCs w:val="22"/>
                <w:lang w:eastAsia="zh-CN"/>
              </w:rPr>
            </w:pPr>
            <w:r>
              <w:rPr>
                <w:rFonts w:hint="eastAsia" w:ascii="宋体" w:hAnsi="宋体" w:eastAsia="宋体" w:cs="宋体"/>
                <w:sz w:val="22"/>
                <w:szCs w:val="22"/>
              </w:rPr>
              <w:t>2、场区雨水沟裂缝、漏点需及时维修，雨水沟内无明显积水；</w:t>
            </w:r>
          </w:p>
          <w:p>
            <w:pPr>
              <w:widowControl w:val="0"/>
              <w:spacing w:before="120" w:after="120" w:line="288" w:lineRule="auto"/>
              <w:ind w:left="0"/>
              <w:jc w:val="left"/>
              <w:rPr>
                <w:rFonts w:hint="eastAsia" w:ascii="宋体" w:hAnsi="宋体" w:eastAsia="宋体" w:cs="宋体"/>
                <w:sz w:val="22"/>
                <w:szCs w:val="22"/>
                <w:lang w:eastAsia="zh-CN"/>
              </w:rPr>
            </w:pPr>
            <w:r>
              <w:rPr>
                <w:rFonts w:hint="eastAsia" w:ascii="宋体" w:hAnsi="宋体" w:eastAsia="宋体" w:cs="宋体"/>
                <w:sz w:val="22"/>
                <w:szCs w:val="22"/>
              </w:rPr>
              <w:t>3、场区围栏无破损，出现破损及时修复，严禁外人随意进出；</w:t>
            </w:r>
          </w:p>
          <w:p>
            <w:pPr>
              <w:widowControl w:val="0"/>
              <w:spacing w:before="120" w:after="120" w:line="288" w:lineRule="auto"/>
              <w:ind w:left="0"/>
              <w:jc w:val="left"/>
              <w:rPr>
                <w:rFonts w:hint="eastAsia" w:ascii="宋体" w:hAnsi="宋体" w:eastAsia="宋体" w:cs="宋体"/>
                <w:sz w:val="22"/>
                <w:szCs w:val="22"/>
                <w:lang w:eastAsia="zh-CN"/>
              </w:rPr>
            </w:pPr>
            <w:r>
              <w:rPr>
                <w:rFonts w:hint="eastAsia" w:ascii="宋体" w:hAnsi="宋体" w:eastAsia="宋体" w:cs="宋体"/>
                <w:sz w:val="22"/>
                <w:szCs w:val="22"/>
              </w:rPr>
              <w:t>4、场区内道路需干净、整洁；</w:t>
            </w:r>
          </w:p>
          <w:p>
            <w:pPr>
              <w:widowControl w:val="0"/>
              <w:spacing w:before="120" w:after="120" w:line="288" w:lineRule="auto"/>
              <w:ind w:left="0"/>
              <w:jc w:val="left"/>
              <w:rPr>
                <w:rFonts w:hint="eastAsia" w:ascii="宋体" w:hAnsi="宋体" w:eastAsia="宋体" w:cs="宋体"/>
                <w:sz w:val="22"/>
                <w:szCs w:val="22"/>
                <w:lang w:eastAsia="zh-CN"/>
              </w:rPr>
            </w:pPr>
            <w:r>
              <w:rPr>
                <w:rFonts w:hint="eastAsia" w:ascii="宋体" w:hAnsi="宋体" w:eastAsia="宋体" w:cs="宋体"/>
                <w:sz w:val="22"/>
                <w:szCs w:val="22"/>
              </w:rPr>
              <w:t>5、场区内干净、整洁，无杂物堆积；</w:t>
            </w:r>
          </w:p>
          <w:p>
            <w:pPr>
              <w:widowControl w:val="0"/>
              <w:spacing w:before="120" w:after="120" w:line="288" w:lineRule="auto"/>
              <w:ind w:left="0"/>
              <w:jc w:val="left"/>
              <w:rPr>
                <w:rFonts w:hint="eastAsia" w:ascii="宋体" w:hAnsi="宋体" w:eastAsia="宋体" w:cs="宋体"/>
                <w:sz w:val="22"/>
                <w:szCs w:val="22"/>
                <w:lang w:eastAsia="zh-CN"/>
              </w:rPr>
            </w:pPr>
            <w:r>
              <w:rPr>
                <w:rFonts w:hint="eastAsia" w:ascii="宋体" w:hAnsi="宋体" w:eastAsia="宋体" w:cs="宋体"/>
                <w:sz w:val="22"/>
                <w:szCs w:val="22"/>
              </w:rPr>
              <w:t>6、调节池上无明显垃圾；</w:t>
            </w:r>
          </w:p>
          <w:p>
            <w:pPr>
              <w:widowControl w:val="0"/>
              <w:spacing w:before="120" w:after="120" w:line="288" w:lineRule="auto"/>
              <w:ind w:left="0"/>
              <w:jc w:val="left"/>
              <w:rPr>
                <w:rFonts w:hint="eastAsia" w:ascii="宋体" w:hAnsi="宋体" w:eastAsia="宋体" w:cs="宋体"/>
                <w:sz w:val="22"/>
                <w:szCs w:val="22"/>
                <w:lang w:eastAsia="zh-CN"/>
              </w:rPr>
            </w:pPr>
            <w:r>
              <w:rPr>
                <w:rFonts w:hint="eastAsia" w:ascii="宋体" w:hAnsi="宋体" w:eastAsia="宋体" w:cs="宋体"/>
                <w:sz w:val="22"/>
                <w:szCs w:val="22"/>
              </w:rPr>
              <w:t>7、场区无明显臭味；</w:t>
            </w:r>
          </w:p>
          <w:p>
            <w:pPr>
              <w:widowControl w:val="0"/>
              <w:spacing w:before="120" w:after="120" w:line="288" w:lineRule="auto"/>
              <w:ind w:left="0"/>
              <w:jc w:val="left"/>
              <w:rPr>
                <w:rFonts w:hint="eastAsia" w:ascii="宋体" w:hAnsi="宋体" w:eastAsia="宋体" w:cs="宋体"/>
                <w:sz w:val="22"/>
                <w:szCs w:val="22"/>
                <w:lang w:eastAsia="zh-CN"/>
              </w:rPr>
            </w:pPr>
            <w:r>
              <w:rPr>
                <w:rFonts w:hint="eastAsia" w:ascii="宋体" w:hAnsi="宋体" w:eastAsia="宋体" w:cs="宋体"/>
                <w:sz w:val="22"/>
                <w:szCs w:val="22"/>
              </w:rPr>
              <w:t>8、场区内沟渠盖板、格栅等需完好无损。</w:t>
            </w:r>
          </w:p>
          <w:p>
            <w:pPr>
              <w:widowControl w:val="0"/>
              <w:spacing w:before="120" w:after="120" w:line="288" w:lineRule="auto"/>
              <w:ind w:left="0"/>
              <w:jc w:val="left"/>
              <w:rPr>
                <w:rFonts w:hint="eastAsia" w:ascii="宋体" w:hAnsi="宋体" w:eastAsia="宋体" w:cs="宋体"/>
                <w:sz w:val="22"/>
                <w:szCs w:val="22"/>
                <w:lang w:eastAsia="zh-CN"/>
              </w:rPr>
            </w:pPr>
            <w:r>
              <w:rPr>
                <w:rFonts w:hint="eastAsia" w:ascii="宋体" w:hAnsi="宋体" w:eastAsia="宋体" w:cs="宋体"/>
                <w:sz w:val="22"/>
                <w:szCs w:val="22"/>
              </w:rPr>
              <w:t>9、场区无明显蚊蝇。</w:t>
            </w:r>
          </w:p>
          <w:p>
            <w:pPr>
              <w:widowControl w:val="0"/>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10、地下水未倒排，造成膜漂浮。</w:t>
            </w:r>
          </w:p>
        </w:tc>
        <w:tc>
          <w:tcPr>
            <w:tcW w:w="3148" w:type="dxa"/>
            <w:tcMar>
              <w:top w:w="60" w:type="dxa"/>
              <w:left w:w="120" w:type="dxa"/>
              <w:bottom w:w="30" w:type="dxa"/>
              <w:right w:w="120" w:type="dxa"/>
            </w:tcMar>
            <w:vAlign w:val="top"/>
          </w:tcPr>
          <w:p>
            <w:pPr>
              <w:widowControl w:val="0"/>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运营方未达到要求的，每次扣 1 分。</w:t>
            </w:r>
          </w:p>
        </w:tc>
        <w:tc>
          <w:tcPr>
            <w:tcW w:w="1086" w:type="dxa"/>
            <w:tcMar>
              <w:top w:w="60" w:type="dxa"/>
              <w:left w:w="120" w:type="dxa"/>
              <w:bottom w:w="30" w:type="dxa"/>
              <w:right w:w="120" w:type="dxa"/>
            </w:tcMar>
            <w:vAlign w:val="top"/>
          </w:tcPr>
          <w:p>
            <w:pPr>
              <w:widowControl w:val="0"/>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15</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Ex>
        <w:trPr>
          <w:trHeight w:val="1416" w:hRule="atLeast"/>
        </w:trPr>
        <w:tc>
          <w:tcPr>
            <w:tcW w:w="1097" w:type="dxa"/>
            <w:tcMar>
              <w:top w:w="60" w:type="dxa"/>
              <w:left w:w="120" w:type="dxa"/>
              <w:bottom w:w="30" w:type="dxa"/>
              <w:right w:w="120" w:type="dxa"/>
            </w:tcMar>
            <w:vAlign w:val="top"/>
          </w:tcPr>
          <w:p>
            <w:pPr>
              <w:widowControl w:val="0"/>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7</w:t>
            </w:r>
          </w:p>
        </w:tc>
        <w:tc>
          <w:tcPr>
            <w:tcW w:w="967" w:type="dxa"/>
            <w:tcMar>
              <w:top w:w="60" w:type="dxa"/>
              <w:left w:w="120" w:type="dxa"/>
              <w:bottom w:w="30" w:type="dxa"/>
              <w:right w:w="120" w:type="dxa"/>
            </w:tcMar>
            <w:vAlign w:val="top"/>
          </w:tcPr>
          <w:p>
            <w:pPr>
              <w:widowControl w:val="0"/>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安全管理（20 分）</w:t>
            </w:r>
          </w:p>
        </w:tc>
        <w:tc>
          <w:tcPr>
            <w:tcW w:w="3542" w:type="dxa"/>
            <w:tcMar>
              <w:top w:w="60" w:type="dxa"/>
              <w:left w:w="120" w:type="dxa"/>
              <w:bottom w:w="30" w:type="dxa"/>
              <w:right w:w="120" w:type="dxa"/>
            </w:tcMar>
            <w:vAlign w:val="top"/>
          </w:tcPr>
          <w:p>
            <w:pPr>
              <w:widowControl w:val="0"/>
              <w:spacing w:before="120" w:after="120" w:line="288" w:lineRule="auto"/>
              <w:ind w:left="0"/>
              <w:jc w:val="left"/>
              <w:rPr>
                <w:rFonts w:hint="eastAsia" w:ascii="宋体" w:hAnsi="宋体" w:eastAsia="宋体" w:cs="宋体"/>
                <w:sz w:val="22"/>
                <w:szCs w:val="22"/>
                <w:lang w:eastAsia="zh-CN"/>
              </w:rPr>
            </w:pPr>
            <w:r>
              <w:rPr>
                <w:rFonts w:hint="eastAsia" w:ascii="宋体" w:hAnsi="宋体" w:eastAsia="宋体" w:cs="宋体"/>
                <w:sz w:val="22"/>
                <w:szCs w:val="22"/>
              </w:rPr>
              <w:t>1、建立安全管理制度并严格落实；建立并备案环保预案，安全预案，突发应急演练等。</w:t>
            </w:r>
          </w:p>
          <w:p>
            <w:pPr>
              <w:widowControl w:val="0"/>
              <w:spacing w:before="120" w:after="120" w:line="288" w:lineRule="auto"/>
              <w:ind w:left="0"/>
              <w:jc w:val="left"/>
              <w:rPr>
                <w:rFonts w:hint="eastAsia" w:ascii="宋体" w:hAnsi="宋体" w:eastAsia="宋体" w:cs="宋体"/>
                <w:sz w:val="22"/>
                <w:szCs w:val="22"/>
                <w:lang w:eastAsia="zh-CN"/>
              </w:rPr>
            </w:pPr>
            <w:r>
              <w:rPr>
                <w:rFonts w:hint="eastAsia" w:ascii="宋体" w:hAnsi="宋体" w:eastAsia="宋体" w:cs="宋体"/>
                <w:sz w:val="22"/>
                <w:szCs w:val="22"/>
              </w:rPr>
              <w:t>2、各类消防安全设施保持完好，定期消防安全检查应贯彻落实；</w:t>
            </w:r>
          </w:p>
          <w:p>
            <w:pPr>
              <w:widowControl w:val="0"/>
              <w:spacing w:before="120" w:after="120" w:line="288" w:lineRule="auto"/>
              <w:ind w:left="0"/>
              <w:jc w:val="left"/>
              <w:rPr>
                <w:rFonts w:hint="eastAsia" w:ascii="宋体" w:hAnsi="宋体" w:eastAsia="宋体" w:cs="宋体"/>
                <w:sz w:val="22"/>
                <w:szCs w:val="22"/>
                <w:lang w:eastAsia="zh-CN"/>
              </w:rPr>
            </w:pPr>
            <w:r>
              <w:rPr>
                <w:rFonts w:hint="eastAsia" w:ascii="宋体" w:hAnsi="宋体" w:eastAsia="宋体" w:cs="宋体"/>
                <w:sz w:val="22"/>
                <w:szCs w:val="22"/>
              </w:rPr>
              <w:t>3、作业区域禁止吸烟和携带火种进入；</w:t>
            </w:r>
          </w:p>
          <w:p>
            <w:pPr>
              <w:widowControl w:val="0"/>
              <w:spacing w:before="120" w:after="120" w:line="288" w:lineRule="auto"/>
              <w:ind w:left="0"/>
              <w:jc w:val="left"/>
              <w:rPr>
                <w:rFonts w:hint="eastAsia" w:ascii="宋体" w:hAnsi="宋体" w:eastAsia="宋体" w:cs="宋体"/>
                <w:sz w:val="22"/>
                <w:szCs w:val="22"/>
                <w:lang w:eastAsia="zh-CN"/>
              </w:rPr>
            </w:pPr>
            <w:r>
              <w:rPr>
                <w:rFonts w:hint="eastAsia" w:ascii="宋体" w:hAnsi="宋体" w:eastAsia="宋体" w:cs="宋体"/>
                <w:sz w:val="22"/>
                <w:szCs w:val="22"/>
              </w:rPr>
              <w:t>4、严格执行安全生产检查、安全教育等制度；</w:t>
            </w:r>
          </w:p>
          <w:p>
            <w:pPr>
              <w:widowControl w:val="0"/>
              <w:spacing w:before="120" w:after="120" w:line="288" w:lineRule="auto"/>
              <w:ind w:left="0"/>
              <w:jc w:val="left"/>
              <w:rPr>
                <w:rFonts w:hint="eastAsia" w:ascii="宋体" w:hAnsi="宋体" w:eastAsia="宋体" w:cs="宋体"/>
                <w:sz w:val="22"/>
                <w:szCs w:val="22"/>
                <w:lang w:eastAsia="zh-CN"/>
              </w:rPr>
            </w:pPr>
            <w:r>
              <w:rPr>
                <w:rFonts w:hint="eastAsia" w:ascii="宋体" w:hAnsi="宋体" w:eastAsia="宋体" w:cs="宋体"/>
                <w:sz w:val="22"/>
                <w:szCs w:val="22"/>
              </w:rPr>
              <w:t>5、运营方应每年举行一次突发事件应急处置演习；</w:t>
            </w:r>
          </w:p>
          <w:p>
            <w:pPr>
              <w:widowControl w:val="0"/>
              <w:spacing w:before="120" w:after="120" w:line="288" w:lineRule="auto"/>
              <w:ind w:left="0"/>
              <w:jc w:val="left"/>
              <w:rPr>
                <w:rFonts w:hint="eastAsia" w:ascii="宋体" w:hAnsi="宋体" w:eastAsia="宋体" w:cs="宋体"/>
                <w:sz w:val="22"/>
                <w:szCs w:val="22"/>
                <w:lang w:eastAsia="zh-CN"/>
              </w:rPr>
            </w:pPr>
            <w:r>
              <w:rPr>
                <w:rFonts w:hint="eastAsia" w:ascii="宋体" w:hAnsi="宋体" w:eastAsia="宋体" w:cs="宋体"/>
                <w:sz w:val="22"/>
                <w:szCs w:val="22"/>
              </w:rPr>
              <w:t>6、严格遵守工作操作规程。</w:t>
            </w:r>
          </w:p>
          <w:p>
            <w:pPr>
              <w:widowControl w:val="0"/>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7、人员作业时应遵守各项操作规程及安全规定。</w:t>
            </w:r>
          </w:p>
        </w:tc>
        <w:tc>
          <w:tcPr>
            <w:tcW w:w="3148" w:type="dxa"/>
            <w:tcMar>
              <w:top w:w="60" w:type="dxa"/>
              <w:left w:w="120" w:type="dxa"/>
              <w:bottom w:w="30" w:type="dxa"/>
              <w:right w:w="120" w:type="dxa"/>
            </w:tcMar>
            <w:vAlign w:val="top"/>
          </w:tcPr>
          <w:p>
            <w:pPr>
              <w:widowControl w:val="0"/>
              <w:spacing w:before="120" w:after="120" w:line="288" w:lineRule="auto"/>
              <w:ind w:left="0"/>
              <w:jc w:val="left"/>
              <w:rPr>
                <w:rFonts w:hint="eastAsia" w:ascii="宋体" w:hAnsi="宋体" w:eastAsia="宋体" w:cs="宋体"/>
                <w:sz w:val="22"/>
                <w:szCs w:val="22"/>
                <w:lang w:eastAsia="zh-CN"/>
              </w:rPr>
            </w:pPr>
            <w:r>
              <w:rPr>
                <w:rFonts w:hint="eastAsia" w:ascii="宋体" w:hAnsi="宋体" w:eastAsia="宋体" w:cs="宋体"/>
                <w:sz w:val="22"/>
                <w:szCs w:val="22"/>
              </w:rPr>
              <w:t>1、安全制度缺失扣 3 分。安全管理制度未落实的，发现一次扣 1 分；</w:t>
            </w:r>
          </w:p>
          <w:p>
            <w:pPr>
              <w:widowControl w:val="0"/>
              <w:spacing w:before="120" w:after="120" w:line="288" w:lineRule="auto"/>
              <w:ind w:left="0"/>
              <w:jc w:val="left"/>
              <w:rPr>
                <w:rFonts w:hint="eastAsia" w:ascii="宋体" w:hAnsi="宋体" w:eastAsia="宋体" w:cs="宋体"/>
                <w:sz w:val="22"/>
                <w:szCs w:val="22"/>
                <w:lang w:eastAsia="zh-CN"/>
              </w:rPr>
            </w:pPr>
            <w:r>
              <w:rPr>
                <w:rFonts w:hint="eastAsia" w:ascii="宋体" w:hAnsi="宋体" w:eastAsia="宋体" w:cs="宋体"/>
                <w:sz w:val="22"/>
                <w:szCs w:val="22"/>
              </w:rPr>
              <w:t>2、消防安全设施损坏未及时修复的、未定期消防安全检查的，每起扣 1 分；</w:t>
            </w:r>
          </w:p>
          <w:p>
            <w:pPr>
              <w:widowControl w:val="0"/>
              <w:spacing w:before="120" w:after="120" w:line="288" w:lineRule="auto"/>
              <w:ind w:left="0"/>
              <w:jc w:val="left"/>
              <w:rPr>
                <w:rFonts w:hint="eastAsia" w:ascii="宋体" w:hAnsi="宋体" w:eastAsia="宋体" w:cs="宋体"/>
                <w:sz w:val="22"/>
                <w:szCs w:val="22"/>
                <w:lang w:eastAsia="zh-CN"/>
              </w:rPr>
            </w:pPr>
            <w:r>
              <w:rPr>
                <w:rFonts w:hint="eastAsia" w:ascii="宋体" w:hAnsi="宋体" w:eastAsia="宋体" w:cs="宋体"/>
                <w:sz w:val="22"/>
                <w:szCs w:val="22"/>
              </w:rPr>
              <w:t>3、作业区域有吸烟行为的，每起扣 1 分；</w:t>
            </w:r>
          </w:p>
          <w:p>
            <w:pPr>
              <w:widowControl w:val="0"/>
              <w:spacing w:before="120" w:after="120" w:line="288" w:lineRule="auto"/>
              <w:ind w:left="0"/>
              <w:jc w:val="left"/>
              <w:rPr>
                <w:rFonts w:hint="eastAsia" w:ascii="宋体" w:hAnsi="宋体" w:eastAsia="宋体" w:cs="宋体"/>
                <w:sz w:val="22"/>
                <w:szCs w:val="22"/>
                <w:lang w:eastAsia="zh-CN"/>
              </w:rPr>
            </w:pPr>
            <w:r>
              <w:rPr>
                <w:rFonts w:hint="eastAsia" w:ascii="宋体" w:hAnsi="宋体" w:eastAsia="宋体" w:cs="宋体"/>
                <w:sz w:val="22"/>
                <w:szCs w:val="22"/>
              </w:rPr>
              <w:t>4、安全生产检查、安全教育制度执行不到位，发现一次扣 1 分；</w:t>
            </w:r>
          </w:p>
          <w:p>
            <w:pPr>
              <w:widowControl w:val="0"/>
              <w:spacing w:before="120" w:after="120" w:line="288" w:lineRule="auto"/>
              <w:ind w:left="0"/>
              <w:jc w:val="left"/>
              <w:rPr>
                <w:rFonts w:hint="eastAsia" w:ascii="宋体" w:hAnsi="宋体" w:eastAsia="宋体" w:cs="宋体"/>
                <w:sz w:val="22"/>
                <w:szCs w:val="22"/>
                <w:lang w:eastAsia="zh-CN"/>
              </w:rPr>
            </w:pPr>
            <w:r>
              <w:rPr>
                <w:rFonts w:hint="eastAsia" w:ascii="宋体" w:hAnsi="宋体" w:eastAsia="宋体" w:cs="宋体"/>
                <w:sz w:val="22"/>
                <w:szCs w:val="22"/>
              </w:rPr>
              <w:t>5、未按时举行演习的，于当年度扣 2 分。</w:t>
            </w:r>
          </w:p>
          <w:p>
            <w:pPr>
              <w:widowControl w:val="0"/>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6、未遵守工作操作规程，包括不限于未正确佩戴安全防护器具、未正确使用相关工具、未确保临时用电安全等，每起扣 1 分。</w:t>
            </w:r>
          </w:p>
        </w:tc>
        <w:tc>
          <w:tcPr>
            <w:tcW w:w="1086" w:type="dxa"/>
            <w:tcMar>
              <w:top w:w="60" w:type="dxa"/>
              <w:left w:w="120" w:type="dxa"/>
              <w:bottom w:w="30" w:type="dxa"/>
              <w:right w:w="120" w:type="dxa"/>
            </w:tcMar>
            <w:vAlign w:val="top"/>
          </w:tcPr>
          <w:p>
            <w:pPr>
              <w:widowControl w:val="0"/>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20</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Ex>
        <w:trPr>
          <w:trHeight w:val="2465" w:hRule="atLeast"/>
        </w:trPr>
        <w:tc>
          <w:tcPr>
            <w:tcW w:w="1097" w:type="dxa"/>
            <w:tcMar>
              <w:top w:w="60" w:type="dxa"/>
              <w:left w:w="120" w:type="dxa"/>
              <w:bottom w:w="30" w:type="dxa"/>
              <w:right w:w="120" w:type="dxa"/>
            </w:tcMar>
            <w:vAlign w:val="top"/>
          </w:tcPr>
          <w:p>
            <w:pPr>
              <w:widowControl w:val="0"/>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8</w:t>
            </w:r>
          </w:p>
        </w:tc>
        <w:tc>
          <w:tcPr>
            <w:tcW w:w="967" w:type="dxa"/>
            <w:tcMar>
              <w:top w:w="60" w:type="dxa"/>
              <w:left w:w="120" w:type="dxa"/>
              <w:bottom w:w="30" w:type="dxa"/>
              <w:right w:w="120" w:type="dxa"/>
            </w:tcMar>
            <w:vAlign w:val="top"/>
          </w:tcPr>
          <w:p>
            <w:pPr>
              <w:widowControl w:val="0"/>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管理制度（5 分）</w:t>
            </w:r>
          </w:p>
        </w:tc>
        <w:tc>
          <w:tcPr>
            <w:tcW w:w="3542" w:type="dxa"/>
            <w:tcMar>
              <w:top w:w="60" w:type="dxa"/>
              <w:left w:w="120" w:type="dxa"/>
              <w:bottom w:w="30" w:type="dxa"/>
              <w:right w:w="120" w:type="dxa"/>
            </w:tcMar>
            <w:vAlign w:val="top"/>
          </w:tcPr>
          <w:p>
            <w:pPr>
              <w:widowControl w:val="0"/>
              <w:spacing w:before="120" w:after="120" w:line="288" w:lineRule="auto"/>
              <w:ind w:left="0"/>
              <w:jc w:val="left"/>
              <w:rPr>
                <w:rFonts w:hint="eastAsia" w:ascii="宋体" w:hAnsi="宋体" w:eastAsia="宋体" w:cs="宋体"/>
                <w:sz w:val="22"/>
                <w:szCs w:val="22"/>
                <w:lang w:eastAsia="zh-CN"/>
              </w:rPr>
            </w:pPr>
            <w:r>
              <w:rPr>
                <w:rFonts w:hint="eastAsia" w:ascii="宋体" w:hAnsi="宋体" w:eastAsia="宋体" w:cs="宋体"/>
                <w:sz w:val="22"/>
                <w:szCs w:val="22"/>
              </w:rPr>
              <w:t>1、制定各项管理制度并上墙公示，如：管理守则、安全生产制度、文明生产制度、岗位责任制度以及内部管理考核制度等；</w:t>
            </w:r>
          </w:p>
          <w:p>
            <w:pPr>
              <w:widowControl w:val="0"/>
              <w:spacing w:before="120" w:after="120" w:line="288" w:lineRule="auto"/>
              <w:ind w:left="0"/>
              <w:jc w:val="left"/>
              <w:rPr>
                <w:rFonts w:hint="eastAsia" w:ascii="宋体" w:hAnsi="宋体" w:eastAsia="宋体" w:cs="宋体"/>
                <w:sz w:val="22"/>
                <w:szCs w:val="22"/>
                <w:lang w:eastAsia="zh-CN"/>
              </w:rPr>
            </w:pPr>
            <w:r>
              <w:rPr>
                <w:rFonts w:hint="eastAsia" w:ascii="宋体" w:hAnsi="宋体" w:eastAsia="宋体" w:cs="宋体"/>
                <w:sz w:val="22"/>
                <w:szCs w:val="22"/>
              </w:rPr>
              <w:t>2、制定各项应急处置预案，确保正常运转；</w:t>
            </w:r>
          </w:p>
          <w:p>
            <w:pPr>
              <w:widowControl w:val="0"/>
              <w:spacing w:before="120" w:after="120" w:line="288" w:lineRule="auto"/>
              <w:ind w:left="0"/>
              <w:jc w:val="left"/>
              <w:rPr>
                <w:rFonts w:hint="eastAsia" w:ascii="宋体" w:hAnsi="宋体" w:eastAsia="宋体" w:cs="宋体"/>
                <w:sz w:val="22"/>
                <w:szCs w:val="22"/>
                <w:lang w:eastAsia="zh-CN"/>
              </w:rPr>
            </w:pPr>
            <w:r>
              <w:rPr>
                <w:rFonts w:hint="eastAsia" w:ascii="宋体" w:hAnsi="宋体" w:eastAsia="宋体" w:cs="宋体"/>
                <w:sz w:val="22"/>
                <w:szCs w:val="22"/>
              </w:rPr>
              <w:t>3、建立相关（运营、安全、环保、培训及演练）台账，并确保记录齐全，真实可靠；</w:t>
            </w:r>
          </w:p>
          <w:p>
            <w:pPr>
              <w:widowControl w:val="0"/>
              <w:spacing w:before="120" w:after="120" w:line="288" w:lineRule="auto"/>
              <w:ind w:left="0"/>
              <w:jc w:val="left"/>
              <w:rPr>
                <w:rFonts w:hint="eastAsia" w:ascii="宋体" w:hAnsi="宋体" w:eastAsia="宋体" w:cs="宋体"/>
                <w:sz w:val="22"/>
                <w:szCs w:val="22"/>
                <w:lang w:eastAsia="zh-CN"/>
              </w:rPr>
            </w:pPr>
            <w:r>
              <w:rPr>
                <w:rFonts w:hint="eastAsia" w:ascii="宋体" w:hAnsi="宋体" w:eastAsia="宋体" w:cs="宋体"/>
                <w:sz w:val="22"/>
                <w:szCs w:val="22"/>
              </w:rPr>
              <w:t>4、定期检查及维护相关标识标牌，无缺失损坏；</w:t>
            </w:r>
          </w:p>
          <w:p>
            <w:pPr>
              <w:widowControl w:val="0"/>
              <w:spacing w:before="120" w:after="120" w:line="288" w:lineRule="auto"/>
              <w:ind w:left="0"/>
              <w:jc w:val="left"/>
              <w:rPr>
                <w:rFonts w:hint="eastAsia" w:ascii="宋体" w:hAnsi="宋体" w:eastAsia="宋体" w:cs="宋体"/>
                <w:sz w:val="22"/>
                <w:szCs w:val="22"/>
                <w:lang w:eastAsia="zh-CN"/>
              </w:rPr>
            </w:pPr>
            <w:r>
              <w:rPr>
                <w:rFonts w:hint="eastAsia" w:ascii="宋体" w:hAnsi="宋体" w:eastAsia="宋体" w:cs="宋体"/>
                <w:sz w:val="22"/>
                <w:szCs w:val="22"/>
              </w:rPr>
              <w:t>5、运营方应制定年度总结及年度计划并提交环卫处及监管方；</w:t>
            </w:r>
          </w:p>
          <w:p>
            <w:pPr>
              <w:widowControl w:val="0"/>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6、每季度进行技术及安全培训。</w:t>
            </w:r>
          </w:p>
        </w:tc>
        <w:tc>
          <w:tcPr>
            <w:tcW w:w="3148" w:type="dxa"/>
            <w:tcMar>
              <w:top w:w="60" w:type="dxa"/>
              <w:left w:w="120" w:type="dxa"/>
              <w:bottom w:w="30" w:type="dxa"/>
              <w:right w:w="120" w:type="dxa"/>
            </w:tcMar>
            <w:vAlign w:val="top"/>
          </w:tcPr>
          <w:p>
            <w:pPr>
              <w:widowControl w:val="0"/>
              <w:spacing w:before="120" w:after="120" w:line="288" w:lineRule="auto"/>
              <w:ind w:left="0"/>
              <w:jc w:val="left"/>
              <w:rPr>
                <w:rFonts w:hint="eastAsia" w:ascii="宋体" w:hAnsi="宋体" w:eastAsia="宋体" w:cs="宋体"/>
                <w:sz w:val="22"/>
                <w:szCs w:val="22"/>
                <w:lang w:eastAsia="zh-CN"/>
              </w:rPr>
            </w:pPr>
            <w:r>
              <w:rPr>
                <w:rFonts w:hint="eastAsia" w:ascii="宋体" w:hAnsi="宋体" w:eastAsia="宋体" w:cs="宋体"/>
                <w:sz w:val="22"/>
                <w:szCs w:val="22"/>
              </w:rPr>
              <w:t>1、每缺一项规章制度的扣 3 分；</w:t>
            </w:r>
          </w:p>
          <w:p>
            <w:pPr>
              <w:widowControl w:val="0"/>
              <w:spacing w:before="120" w:after="120" w:line="288" w:lineRule="auto"/>
              <w:ind w:left="0"/>
              <w:jc w:val="left"/>
              <w:rPr>
                <w:rFonts w:hint="eastAsia" w:ascii="宋体" w:hAnsi="宋体" w:eastAsia="宋体" w:cs="宋体"/>
                <w:sz w:val="22"/>
                <w:szCs w:val="22"/>
                <w:lang w:eastAsia="zh-CN"/>
              </w:rPr>
            </w:pPr>
            <w:r>
              <w:rPr>
                <w:rFonts w:hint="eastAsia" w:ascii="宋体" w:hAnsi="宋体" w:eastAsia="宋体" w:cs="宋体"/>
                <w:sz w:val="22"/>
                <w:szCs w:val="22"/>
              </w:rPr>
              <w:t>2、未制定应急处置预案的，每项扣 2 分；应急预案落实不到位的，每起扣 1 分；未定期更新应急预案每次扣 2 分（3 年）；</w:t>
            </w:r>
          </w:p>
          <w:p>
            <w:pPr>
              <w:widowControl w:val="0"/>
              <w:spacing w:before="120" w:after="120" w:line="288" w:lineRule="auto"/>
              <w:ind w:left="0"/>
              <w:jc w:val="left"/>
              <w:rPr>
                <w:rFonts w:hint="eastAsia" w:ascii="宋体" w:hAnsi="宋体" w:eastAsia="宋体" w:cs="宋体"/>
                <w:sz w:val="22"/>
                <w:szCs w:val="22"/>
                <w:lang w:eastAsia="zh-CN"/>
              </w:rPr>
            </w:pPr>
            <w:r>
              <w:rPr>
                <w:rFonts w:hint="eastAsia" w:ascii="宋体" w:hAnsi="宋体" w:eastAsia="宋体" w:cs="宋体"/>
                <w:sz w:val="22"/>
                <w:szCs w:val="22"/>
              </w:rPr>
              <w:t>3、未建立相关台帐的扣 5 分；记录不齐的，每起扣 1 分；记录错误的，每起扣 0.5 分；数据作假的，每起扣 5 分；</w:t>
            </w:r>
          </w:p>
          <w:p>
            <w:pPr>
              <w:widowControl w:val="0"/>
              <w:spacing w:before="120" w:after="120" w:line="288" w:lineRule="auto"/>
              <w:ind w:left="0"/>
              <w:jc w:val="left"/>
              <w:rPr>
                <w:rFonts w:hint="eastAsia" w:ascii="宋体" w:hAnsi="宋体" w:eastAsia="宋体" w:cs="宋体"/>
                <w:sz w:val="22"/>
                <w:szCs w:val="22"/>
                <w:lang w:eastAsia="zh-CN"/>
              </w:rPr>
            </w:pPr>
            <w:r>
              <w:rPr>
                <w:rFonts w:hint="eastAsia" w:ascii="宋体" w:hAnsi="宋体" w:eastAsia="宋体" w:cs="宋体"/>
                <w:sz w:val="22"/>
                <w:szCs w:val="22"/>
              </w:rPr>
              <w:t>4、标识标牌脱落或损坏未及时修整，每次扣 1 分；标识标牌缺失，未及时进行补缺的，每次扣 2 分；</w:t>
            </w:r>
          </w:p>
          <w:p>
            <w:pPr>
              <w:widowControl w:val="0"/>
              <w:spacing w:before="120" w:after="120" w:line="288" w:lineRule="auto"/>
              <w:ind w:left="0"/>
              <w:jc w:val="left"/>
              <w:rPr>
                <w:rFonts w:hint="eastAsia" w:ascii="宋体" w:hAnsi="宋体" w:eastAsia="宋体" w:cs="宋体"/>
                <w:sz w:val="22"/>
                <w:szCs w:val="22"/>
                <w:lang w:eastAsia="zh-CN"/>
              </w:rPr>
            </w:pPr>
            <w:r>
              <w:rPr>
                <w:rFonts w:hint="eastAsia" w:ascii="宋体" w:hAnsi="宋体" w:eastAsia="宋体" w:cs="宋体"/>
                <w:sz w:val="22"/>
                <w:szCs w:val="22"/>
              </w:rPr>
              <w:t>5、未制定年度总结及年度计划每次扣 1 分，未及时提交的每次扣 1 分；</w:t>
            </w:r>
          </w:p>
          <w:p>
            <w:pPr>
              <w:widowControl w:val="0"/>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6、未定期进行技术及安全培训的，每次扣 1 分。</w:t>
            </w:r>
          </w:p>
        </w:tc>
        <w:tc>
          <w:tcPr>
            <w:tcW w:w="1086" w:type="dxa"/>
            <w:tcMar>
              <w:top w:w="60" w:type="dxa"/>
              <w:left w:w="120" w:type="dxa"/>
              <w:bottom w:w="30" w:type="dxa"/>
              <w:right w:w="120" w:type="dxa"/>
            </w:tcMar>
            <w:vAlign w:val="top"/>
          </w:tcPr>
          <w:p>
            <w:pPr>
              <w:widowControl w:val="0"/>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5</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Ex>
        <w:trPr>
          <w:trHeight w:val="1564" w:hRule="atLeast"/>
        </w:trPr>
        <w:tc>
          <w:tcPr>
            <w:tcW w:w="1097" w:type="dxa"/>
            <w:tcMar>
              <w:top w:w="60" w:type="dxa"/>
              <w:left w:w="120" w:type="dxa"/>
              <w:bottom w:w="30" w:type="dxa"/>
              <w:right w:w="120" w:type="dxa"/>
            </w:tcMar>
            <w:vAlign w:val="top"/>
          </w:tcPr>
          <w:p>
            <w:pPr>
              <w:widowControl w:val="0"/>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9</w:t>
            </w:r>
          </w:p>
        </w:tc>
        <w:tc>
          <w:tcPr>
            <w:tcW w:w="967" w:type="dxa"/>
            <w:tcMar>
              <w:top w:w="60" w:type="dxa"/>
              <w:left w:w="120" w:type="dxa"/>
              <w:bottom w:w="30" w:type="dxa"/>
              <w:right w:w="120" w:type="dxa"/>
            </w:tcMar>
            <w:vAlign w:val="top"/>
          </w:tcPr>
          <w:p>
            <w:pPr>
              <w:widowControl w:val="0"/>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监督管理（5 分）</w:t>
            </w:r>
          </w:p>
        </w:tc>
        <w:tc>
          <w:tcPr>
            <w:tcW w:w="3542" w:type="dxa"/>
            <w:tcMar>
              <w:top w:w="60" w:type="dxa"/>
              <w:left w:w="120" w:type="dxa"/>
              <w:bottom w:w="30" w:type="dxa"/>
              <w:right w:w="120" w:type="dxa"/>
            </w:tcMar>
            <w:vAlign w:val="top"/>
          </w:tcPr>
          <w:p>
            <w:pPr>
              <w:widowControl w:val="0"/>
              <w:spacing w:before="120" w:after="120" w:line="288" w:lineRule="auto"/>
              <w:ind w:left="0"/>
              <w:jc w:val="left"/>
              <w:rPr>
                <w:rFonts w:hint="eastAsia" w:ascii="宋体" w:hAnsi="宋体" w:eastAsia="宋体" w:cs="宋体"/>
                <w:sz w:val="22"/>
                <w:szCs w:val="22"/>
                <w:lang w:eastAsia="zh-CN"/>
              </w:rPr>
            </w:pPr>
            <w:r>
              <w:rPr>
                <w:rFonts w:hint="eastAsia" w:ascii="宋体" w:hAnsi="宋体" w:eastAsia="宋体" w:cs="宋体"/>
                <w:sz w:val="22"/>
                <w:szCs w:val="22"/>
              </w:rPr>
              <w:t>1、建立投诉处理和舆情处理快速反应机制，及时落实整改措施，提高市民满意度；</w:t>
            </w:r>
          </w:p>
          <w:p>
            <w:pPr>
              <w:widowControl w:val="0"/>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2、配合相关管理部门开展日常监督检查与执法工作，确保各类环保要求落实。</w:t>
            </w:r>
          </w:p>
        </w:tc>
        <w:tc>
          <w:tcPr>
            <w:tcW w:w="3148" w:type="dxa"/>
            <w:tcMar>
              <w:top w:w="60" w:type="dxa"/>
              <w:left w:w="120" w:type="dxa"/>
              <w:bottom w:w="30" w:type="dxa"/>
              <w:right w:w="120" w:type="dxa"/>
            </w:tcMar>
            <w:vAlign w:val="top"/>
          </w:tcPr>
          <w:p>
            <w:pPr>
              <w:widowControl w:val="0"/>
              <w:spacing w:before="120" w:after="120" w:line="288" w:lineRule="auto"/>
              <w:ind w:left="0"/>
              <w:jc w:val="left"/>
              <w:rPr>
                <w:rFonts w:hint="eastAsia" w:ascii="宋体" w:hAnsi="宋体" w:eastAsia="宋体" w:cs="宋体"/>
                <w:sz w:val="22"/>
                <w:szCs w:val="22"/>
                <w:lang w:eastAsia="zh-CN"/>
              </w:rPr>
            </w:pPr>
            <w:r>
              <w:rPr>
                <w:rFonts w:hint="eastAsia" w:ascii="宋体" w:hAnsi="宋体" w:eastAsia="宋体" w:cs="宋体"/>
                <w:sz w:val="22"/>
                <w:szCs w:val="22"/>
              </w:rPr>
              <w:t>1、出现垃圾渗滤液擅自外排等责任投诉的，每起扣 5 分</w:t>
            </w:r>
            <w:r>
              <w:rPr>
                <w:rFonts w:hint="eastAsia" w:ascii="宋体" w:hAnsi="宋体" w:eastAsia="宋体" w:cs="宋体"/>
                <w:sz w:val="22"/>
                <w:szCs w:val="22"/>
                <w:lang w:eastAsia="zh-CN"/>
              </w:rPr>
              <w:t>，情节严重或造成重大影响的按照相关法律法规移交相关部门处理</w:t>
            </w:r>
            <w:r>
              <w:rPr>
                <w:rFonts w:hint="eastAsia" w:ascii="宋体" w:hAnsi="宋体" w:eastAsia="宋体" w:cs="宋体"/>
                <w:sz w:val="22"/>
                <w:szCs w:val="22"/>
              </w:rPr>
              <w:t>；对投诉处理与舆情处理等反映迟缓、整改落实不及时的，每起扣 3 分；</w:t>
            </w:r>
          </w:p>
          <w:p>
            <w:pPr>
              <w:widowControl w:val="0"/>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2、出现不配合相关管理部门开展日常监督检查与执法工作的，每起扣 5 分；相关环保要求落实不到位的，每起扣 2 分。</w:t>
            </w:r>
          </w:p>
        </w:tc>
        <w:tc>
          <w:tcPr>
            <w:tcW w:w="1086" w:type="dxa"/>
            <w:tcMar>
              <w:top w:w="60" w:type="dxa"/>
              <w:left w:w="120" w:type="dxa"/>
              <w:bottom w:w="30" w:type="dxa"/>
              <w:right w:w="120" w:type="dxa"/>
            </w:tcMar>
            <w:vAlign w:val="top"/>
          </w:tcPr>
          <w:p>
            <w:pPr>
              <w:widowControl w:val="0"/>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5</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Ex>
        <w:trPr>
          <w:trHeight w:val="215" w:hRule="atLeast"/>
        </w:trPr>
        <w:tc>
          <w:tcPr>
            <w:tcW w:w="1097" w:type="dxa"/>
            <w:tcMar>
              <w:top w:w="60" w:type="dxa"/>
              <w:left w:w="120" w:type="dxa"/>
              <w:bottom w:w="30" w:type="dxa"/>
              <w:right w:w="120" w:type="dxa"/>
            </w:tcMar>
            <w:vAlign w:val="top"/>
          </w:tcPr>
          <w:p>
            <w:pPr>
              <w:widowControl w:val="0"/>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合计</w:t>
            </w:r>
          </w:p>
        </w:tc>
        <w:tc>
          <w:tcPr>
            <w:tcW w:w="967" w:type="dxa"/>
            <w:tcMar>
              <w:top w:w="60" w:type="dxa"/>
              <w:left w:w="120" w:type="dxa"/>
              <w:bottom w:w="30" w:type="dxa"/>
              <w:right w:w="120" w:type="dxa"/>
            </w:tcMar>
            <w:vAlign w:val="top"/>
          </w:tcPr>
          <w:p>
            <w:pPr>
              <w:widowControl w:val="0"/>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w:t>
            </w:r>
          </w:p>
        </w:tc>
        <w:tc>
          <w:tcPr>
            <w:tcW w:w="3542" w:type="dxa"/>
            <w:tcMar>
              <w:top w:w="60" w:type="dxa"/>
              <w:left w:w="120" w:type="dxa"/>
              <w:bottom w:w="30" w:type="dxa"/>
              <w:right w:w="120" w:type="dxa"/>
            </w:tcMar>
            <w:vAlign w:val="top"/>
          </w:tcPr>
          <w:p>
            <w:pPr>
              <w:widowControl w:val="0"/>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w:t>
            </w:r>
          </w:p>
        </w:tc>
        <w:tc>
          <w:tcPr>
            <w:tcW w:w="3148" w:type="dxa"/>
            <w:tcMar>
              <w:top w:w="60" w:type="dxa"/>
              <w:left w:w="120" w:type="dxa"/>
              <w:bottom w:w="30" w:type="dxa"/>
              <w:right w:w="120" w:type="dxa"/>
            </w:tcMar>
            <w:vAlign w:val="top"/>
          </w:tcPr>
          <w:p>
            <w:pPr>
              <w:widowControl w:val="0"/>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w:t>
            </w:r>
          </w:p>
        </w:tc>
        <w:tc>
          <w:tcPr>
            <w:tcW w:w="1086" w:type="dxa"/>
            <w:tcMar>
              <w:top w:w="60" w:type="dxa"/>
              <w:left w:w="120" w:type="dxa"/>
              <w:bottom w:w="30" w:type="dxa"/>
              <w:right w:w="120" w:type="dxa"/>
            </w:tcMar>
            <w:vAlign w:val="top"/>
          </w:tcPr>
          <w:p>
            <w:pPr>
              <w:widowControl w:val="0"/>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100</w:t>
            </w:r>
          </w:p>
        </w:tc>
      </w:tr>
    </w:tbl>
    <w:p>
      <w:pPr>
        <w:widowControl w:val="0"/>
        <w:spacing w:line="240" w:lineRule="auto"/>
        <w:jc w:val="both"/>
        <w:rPr>
          <w:rFonts w:hint="eastAsia" w:ascii="宋体" w:hAnsi="宋体" w:eastAsia="宋体" w:cs="宋体"/>
          <w:sz w:val="24"/>
          <w:szCs w:val="24"/>
        </w:rPr>
      </w:pPr>
    </w:p>
    <w:tbl>
      <w:tblPr>
        <w:tblStyle w:val="6"/>
        <w:tblW w:w="984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 w:type="dxa"/>
          <w:bottom w:w="0" w:type="dxa"/>
          <w:right w:w="10" w:type="dxa"/>
        </w:tblCellMar>
      </w:tblPr>
      <w:tblGrid>
        <w:gridCol w:w="984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 w:type="dxa"/>
            <w:bottom w:w="0" w:type="dxa"/>
            <w:right w:w="10" w:type="dxa"/>
          </w:tblCellMar>
        </w:tblPrEx>
        <w:trPr>
          <w:trHeight w:val="5003" w:hRule="atLeast"/>
        </w:trPr>
        <w:tc>
          <w:tcPr>
            <w:tcW w:w="984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pPr>
              <w:widowControl w:val="0"/>
              <w:spacing w:before="120" w:after="120" w:line="288" w:lineRule="auto"/>
              <w:ind w:left="0"/>
              <w:jc w:val="left"/>
              <w:rPr>
                <w:rFonts w:hint="eastAsia" w:ascii="宋体" w:hAnsi="宋体" w:eastAsia="宋体" w:cs="宋体"/>
                <w:b/>
                <w:bCs w:val="0"/>
                <w:i w:val="0"/>
                <w:iCs w:val="0"/>
                <w:color w:val="646A73"/>
                <w:sz w:val="24"/>
                <w:szCs w:val="24"/>
                <w:lang w:eastAsia="zh-CN"/>
              </w:rPr>
            </w:pPr>
            <w:r>
              <w:rPr>
                <w:rFonts w:hint="eastAsia" w:ascii="宋体" w:hAnsi="宋体" w:eastAsia="宋体" w:cs="宋体"/>
                <w:b/>
                <w:bCs w:val="0"/>
                <w:i w:val="0"/>
                <w:iCs w:val="0"/>
                <w:color w:val="646A73"/>
                <w:sz w:val="24"/>
                <w:szCs w:val="24"/>
              </w:rPr>
              <w:t>考核扣款规则</w:t>
            </w:r>
          </w:p>
          <w:p>
            <w:pPr>
              <w:widowControl w:val="0"/>
              <w:spacing w:before="120" w:after="120" w:line="288" w:lineRule="auto"/>
              <w:ind w:left="0"/>
              <w:jc w:val="left"/>
              <w:rPr>
                <w:rFonts w:hint="eastAsia" w:ascii="宋体" w:hAnsi="宋体" w:eastAsia="宋体" w:cs="宋体"/>
                <w:b/>
                <w:bCs w:val="0"/>
                <w:i w:val="0"/>
                <w:iCs w:val="0"/>
                <w:color w:val="646A73"/>
                <w:sz w:val="24"/>
                <w:szCs w:val="24"/>
                <w:lang w:eastAsia="zh-CN"/>
              </w:rPr>
            </w:pPr>
            <w:r>
              <w:rPr>
                <w:rFonts w:hint="eastAsia" w:ascii="宋体" w:hAnsi="宋体" w:eastAsia="宋体" w:cs="宋体"/>
                <w:b/>
                <w:bCs w:val="0"/>
                <w:i w:val="0"/>
                <w:iCs w:val="0"/>
                <w:color w:val="646A73"/>
                <w:sz w:val="24"/>
                <w:szCs w:val="24"/>
              </w:rPr>
              <w:t>月考核基础分为 100 分，月考核得分为基础分减去当月随机检查中发现的考核扣分项累计分数。</w:t>
            </w:r>
          </w:p>
          <w:p>
            <w:pPr>
              <w:widowControl w:val="0"/>
              <w:spacing w:before="120" w:after="120" w:line="288" w:lineRule="auto"/>
              <w:ind w:left="0"/>
              <w:jc w:val="left"/>
              <w:rPr>
                <w:rFonts w:hint="eastAsia" w:ascii="宋体" w:hAnsi="宋体" w:eastAsia="宋体" w:cs="宋体"/>
                <w:b/>
                <w:bCs w:val="0"/>
                <w:i w:val="0"/>
                <w:iCs w:val="0"/>
                <w:color w:val="646A73"/>
                <w:sz w:val="24"/>
                <w:szCs w:val="24"/>
                <w:lang w:eastAsia="zh-CN"/>
              </w:rPr>
            </w:pPr>
            <w:r>
              <w:rPr>
                <w:rFonts w:hint="eastAsia" w:ascii="宋体" w:hAnsi="宋体" w:eastAsia="宋体" w:cs="宋体"/>
                <w:b/>
                <w:bCs w:val="0"/>
                <w:i w:val="0"/>
                <w:iCs w:val="0"/>
                <w:color w:val="646A73"/>
                <w:sz w:val="24"/>
                <w:szCs w:val="24"/>
              </w:rPr>
              <w:t>中标人实施进场运行前 3 个月，80 分 (含) 以上为良好，无需扣款；79 分以下每扣 1 分扣减运行费 3000 元，70 分以下每扣 1 分扣减运行费 5000 元，60 分以下每扣 1 分扣减运行费 10000 元，另外采购人要求中标人进行整改，并将整改情况报采购人审核。</w:t>
            </w:r>
          </w:p>
          <w:p>
            <w:pPr>
              <w:widowControl w:val="0"/>
              <w:spacing w:before="120" w:after="120" w:line="288" w:lineRule="auto"/>
              <w:ind w:left="0"/>
              <w:jc w:val="left"/>
              <w:rPr>
                <w:rFonts w:hint="eastAsia" w:ascii="宋体" w:hAnsi="宋体" w:eastAsia="宋体" w:cs="宋体"/>
                <w:b/>
                <w:bCs w:val="0"/>
                <w:i w:val="0"/>
                <w:iCs w:val="0"/>
                <w:color w:val="646A73"/>
                <w:sz w:val="24"/>
                <w:szCs w:val="24"/>
                <w:lang w:eastAsia="zh-CN"/>
              </w:rPr>
            </w:pPr>
            <w:r>
              <w:rPr>
                <w:rFonts w:hint="eastAsia" w:ascii="宋体" w:hAnsi="宋体" w:eastAsia="宋体" w:cs="宋体"/>
                <w:b/>
                <w:bCs w:val="0"/>
                <w:i w:val="0"/>
                <w:iCs w:val="0"/>
                <w:color w:val="646A73"/>
                <w:sz w:val="24"/>
                <w:szCs w:val="24"/>
              </w:rPr>
              <w:t>从第四个月开始，90 分 (含) 以上为良好，无需扣款；90 分以下每扣 1 分则扣减运行费 1000 元；80 分以下每扣 1 分则扣减运行费 5000 元，60 分以下每扣 1 分扣减运行费 10000 元，另外采购人要求中标人进行整改，并将整改情况报采购人审核。</w:t>
            </w:r>
          </w:p>
          <w:p>
            <w:pPr>
              <w:widowControl w:val="0"/>
              <w:spacing w:before="120" w:after="120" w:line="288" w:lineRule="auto"/>
              <w:ind w:left="0"/>
              <w:jc w:val="left"/>
              <w:rPr>
                <w:rFonts w:hint="eastAsia" w:ascii="宋体" w:hAnsi="宋体" w:eastAsia="宋体" w:cs="宋体"/>
                <w:b/>
                <w:bCs w:val="0"/>
                <w:i w:val="0"/>
                <w:iCs w:val="0"/>
                <w:color w:val="646A73"/>
                <w:sz w:val="24"/>
                <w:szCs w:val="24"/>
                <w:lang w:eastAsia="zh-CN"/>
              </w:rPr>
            </w:pPr>
            <w:r>
              <w:rPr>
                <w:rFonts w:hint="eastAsia" w:ascii="宋体" w:hAnsi="宋体" w:eastAsia="宋体" w:cs="宋体"/>
                <w:b/>
                <w:bCs w:val="0"/>
                <w:i w:val="0"/>
                <w:iCs w:val="0"/>
                <w:color w:val="646A73"/>
                <w:sz w:val="24"/>
                <w:szCs w:val="24"/>
              </w:rPr>
              <w:t>月度考核扣款最高不超过当月应付运维服务费总额。</w:t>
            </w:r>
          </w:p>
          <w:p>
            <w:pPr>
              <w:widowControl w:val="0"/>
              <w:spacing w:before="120" w:after="120" w:line="288" w:lineRule="auto"/>
              <w:ind w:left="0"/>
              <w:jc w:val="left"/>
              <w:rPr>
                <w:rFonts w:hint="eastAsia" w:ascii="宋体" w:hAnsi="宋体" w:eastAsia="宋体" w:cs="宋体"/>
                <w:b/>
                <w:bCs w:val="0"/>
                <w:i w:val="0"/>
                <w:iCs w:val="0"/>
                <w:color w:val="646A73"/>
                <w:sz w:val="24"/>
                <w:szCs w:val="24"/>
                <w:lang w:eastAsia="zh-CN"/>
              </w:rPr>
            </w:pPr>
            <w:r>
              <w:rPr>
                <w:rFonts w:hint="eastAsia" w:ascii="宋体" w:hAnsi="宋体" w:eastAsia="宋体" w:cs="宋体"/>
                <w:b/>
                <w:bCs w:val="0"/>
                <w:i w:val="0"/>
                <w:iCs w:val="0"/>
                <w:color w:val="646A73"/>
                <w:sz w:val="24"/>
                <w:szCs w:val="24"/>
              </w:rPr>
              <w:t>连续三个月月度考核得分均低于 60 分，采购人有权不予支付对应不合格月份运维服务费，并有权单方解除合同。</w:t>
            </w:r>
          </w:p>
          <w:p>
            <w:pPr>
              <w:widowControl w:val="0"/>
              <w:spacing w:before="120" w:after="120" w:line="288" w:lineRule="auto"/>
              <w:ind w:left="0"/>
              <w:jc w:val="left"/>
              <w:rPr>
                <w:rFonts w:hint="eastAsia" w:ascii="宋体" w:hAnsi="宋体" w:eastAsia="宋体" w:cs="宋体"/>
                <w:b/>
                <w:bCs w:val="0"/>
                <w:i w:val="0"/>
                <w:iCs w:val="0"/>
                <w:color w:val="646A73"/>
                <w:sz w:val="24"/>
                <w:szCs w:val="24"/>
                <w:lang w:eastAsia="zh-CN"/>
              </w:rPr>
            </w:pPr>
            <w:r>
              <w:rPr>
                <w:rFonts w:hint="eastAsia" w:ascii="宋体" w:hAnsi="宋体" w:eastAsia="宋体" w:cs="宋体"/>
                <w:b/>
                <w:bCs w:val="0"/>
                <w:i w:val="0"/>
                <w:iCs w:val="0"/>
                <w:color w:val="646A73"/>
                <w:sz w:val="24"/>
                <w:szCs w:val="24"/>
              </w:rPr>
              <w:t>由于成交供应商未能发出相关预警，出现 2 次重大或 1 次特大安全生产事故或环境污染事故的，采购人有权单方终止合同。事故等级按照《生产安全事故报告和调查处理条例》界定。</w:t>
            </w:r>
          </w:p>
          <w:p>
            <w:pPr>
              <w:widowControl w:val="0"/>
              <w:spacing w:before="120" w:after="120" w:line="288" w:lineRule="auto"/>
              <w:ind w:left="0"/>
              <w:jc w:val="left"/>
              <w:rPr>
                <w:rFonts w:hint="eastAsia" w:ascii="宋体" w:hAnsi="宋体" w:eastAsia="宋体" w:cs="宋体"/>
                <w:b/>
                <w:bCs w:val="0"/>
                <w:i w:val="0"/>
                <w:iCs w:val="0"/>
                <w:sz w:val="24"/>
                <w:szCs w:val="24"/>
              </w:rPr>
            </w:pPr>
            <w:r>
              <w:rPr>
                <w:rFonts w:hint="eastAsia" w:ascii="宋体" w:hAnsi="宋体" w:eastAsia="宋体" w:cs="宋体"/>
                <w:b/>
                <w:bCs w:val="0"/>
                <w:i w:val="0"/>
                <w:iCs w:val="0"/>
                <w:color w:val="646A73"/>
                <w:sz w:val="24"/>
                <w:szCs w:val="24"/>
              </w:rPr>
              <w:t>遭遇不可抗力情形，经采购人确认后，对应考核项可酌情予以豁免。</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ADFB237"/>
    <w:multiLevelType w:val="singleLevel"/>
    <w:tmpl w:val="CADFB237"/>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B96958"/>
    <w:rsid w:val="17B96958"/>
    <w:rsid w:val="24942FAB"/>
    <w:rsid w:val="30913803"/>
    <w:rsid w:val="65970976"/>
    <w:rsid w:val="71B86C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Arial" w:hAnsi="Arial"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12" w:lineRule="auto"/>
    </w:pPr>
    <w:rPr>
      <w:rFonts w:hint="default" w:ascii="Arial" w:hAnsi="Arial" w:eastAsia="宋体" w:cs="Times New Roman"/>
      <w:sz w:val="24"/>
      <w:lang w:eastAsia="zh-CN"/>
    </w:rPr>
  </w:style>
  <w:style w:type="character" w:default="1" w:styleId="5">
    <w:name w:val="Default Paragraph Font"/>
    <w:semiHidden/>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Body Text"/>
    <w:next w:val="3"/>
    <w:qFormat/>
    <w:uiPriority w:val="0"/>
    <w:pPr>
      <w:tabs>
        <w:tab w:val="left" w:pos="420"/>
      </w:tabs>
      <w:spacing w:after="120" w:line="312" w:lineRule="auto"/>
    </w:pPr>
    <w:rPr>
      <w:rFonts w:hint="default" w:ascii="Arial" w:hAnsi="Arial" w:eastAsia="宋体" w:cs="Times New Roman"/>
      <w:sz w:val="24"/>
      <w:lang w:eastAsia="zh-CN"/>
    </w:rPr>
  </w:style>
  <w:style w:type="paragraph" w:styleId="3">
    <w:name w:val="toc 5"/>
    <w:next w:val="1"/>
    <w:unhideWhenUsed/>
    <w:qFormat/>
    <w:uiPriority w:val="39"/>
    <w:pPr>
      <w:spacing w:after="57" w:line="312" w:lineRule="auto"/>
      <w:ind w:left="1134"/>
    </w:pPr>
    <w:rPr>
      <w:rFonts w:hint="default" w:ascii="Arial" w:hAnsi="Arial" w:eastAsia="宋体" w:cs="Times New Roman"/>
      <w:sz w:val="24"/>
      <w:lang w:eastAsia="zh-CN"/>
    </w:rPr>
  </w:style>
  <w:style w:type="paragraph" w:styleId="4">
    <w:name w:val="Block Text"/>
    <w:next w:val="1"/>
    <w:qFormat/>
    <w:uiPriority w:val="0"/>
    <w:pPr>
      <w:spacing w:after="120" w:line="312" w:lineRule="auto"/>
      <w:ind w:left="1440"/>
    </w:pPr>
    <w:rPr>
      <w:rFonts w:hint="default" w:ascii="Arial" w:hAnsi="Arial" w:eastAsia="宋体" w:cs="Times New Roman"/>
      <w:sz w:val="24"/>
      <w:lang w:eastAsia="zh-CN"/>
    </w:rPr>
  </w:style>
  <w:style w:type="paragraph" w:customStyle="1" w:styleId="7">
    <w:name w:val="Heading 1"/>
    <w:next w:val="4"/>
    <w:qFormat/>
    <w:uiPriority w:val="0"/>
    <w:pPr>
      <w:keepNext/>
      <w:keepLines/>
      <w:spacing w:after="120" w:line="360" w:lineRule="auto"/>
      <w:ind w:left="1440"/>
      <w:jc w:val="center"/>
      <w:outlineLvl w:val="0"/>
    </w:pPr>
    <w:rPr>
      <w:rFonts w:hint="default" w:ascii="Arial" w:hAnsi="Arial" w:eastAsia="宋体" w:cs="Arial"/>
      <w:b/>
      <w:sz w:val="36"/>
      <w:szCs w:val="40"/>
      <w:lang w:eastAsia="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Office_10.8.2.7072_F1E327BC-269C-435d-A152-05C5408002CA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2026-09-03T12:39:00Z</dcterms:created>
  <dc:creator>Administrator</dc:creator>
  <cp:lastModifiedBy>Administrator</cp:lastModifiedBy>
  <dcterms:modified xsi:type="dcterms:W3CDTF">2026-09-15T03:08:38Z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2052-10.8.2.7072</vt:lpwstr>
  </property>
</Properties>
</file>