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35697">
      <w:pPr>
        <w:widowControl w:val="0"/>
        <w:spacing w:before="0" w:after="0" w:line="360" w:lineRule="auto"/>
        <w:ind w:firstLine="0" w:firstLineChars="0"/>
        <w:jc w:val="both"/>
        <w:rPr>
          <w:rFonts w:hint="default" w:ascii="宋体" w:hAnsi="宋体" w:eastAsia="宋体" w:cs="Times New Roman"/>
          <w:color w:val="auto"/>
          <w:kern w:val="2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Times New Roman"/>
          <w:color w:val="auto"/>
          <w:kern w:val="2"/>
          <w:sz w:val="28"/>
          <w:szCs w:val="28"/>
          <w:highlight w:val="none"/>
          <w:lang w:eastAsia="zh-CN"/>
        </w:rPr>
        <w:t>附件：</w:t>
      </w:r>
    </w:p>
    <w:p w14:paraId="684F0960">
      <w:pPr>
        <w:spacing w:line="360" w:lineRule="auto"/>
        <w:rPr>
          <w:rFonts w:hint="default" w:ascii="宋体" w:hAnsi="宋体" w:eastAsia="宋体"/>
          <w:color w:val="auto"/>
          <w:sz w:val="28"/>
          <w:szCs w:val="28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 w:eastAsia="宋体" w:cs="Times New Roman"/>
          <w:color w:val="auto"/>
          <w:kern w:val="2"/>
          <w:sz w:val="28"/>
          <w:szCs w:val="28"/>
          <w:highlight w:val="none"/>
          <w:lang w:eastAsia="zh-CN"/>
        </w:rPr>
        <w:t>如有建议或意见，请以书面形式并加盖公章、注明联系人、联系方式，于202</w:t>
      </w:r>
      <w:r>
        <w:rPr>
          <w:rFonts w:hint="eastAsia" w:ascii="宋体" w:hAnsi="宋体" w:eastAsia="宋体" w:cs="Times New Roman"/>
          <w:color w:val="auto"/>
          <w:kern w:val="2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eastAsia="宋体" w:cs="Times New Roman"/>
          <w:color w:val="auto"/>
          <w:kern w:val="2"/>
          <w:sz w:val="28"/>
          <w:szCs w:val="28"/>
          <w:highlight w:val="none"/>
          <w:lang w:eastAsia="zh-CN"/>
        </w:rPr>
        <w:t>年</w:t>
      </w:r>
      <w:r>
        <w:rPr>
          <w:rFonts w:hint="eastAsia" w:ascii="宋体" w:hAnsi="宋体" w:eastAsia="宋体" w:cs="Times New Roman"/>
          <w:color w:val="auto"/>
          <w:kern w:val="2"/>
          <w:sz w:val="28"/>
          <w:szCs w:val="28"/>
          <w:highlight w:val="none"/>
          <w:lang w:val="en-US" w:eastAsia="zh-CN"/>
        </w:rPr>
        <w:t>09</w:t>
      </w:r>
      <w:r>
        <w:rPr>
          <w:rFonts w:hint="eastAsia" w:ascii="宋体" w:hAnsi="宋体" w:eastAsia="宋体" w:cs="Times New Roman"/>
          <w:color w:val="auto"/>
          <w:kern w:val="2"/>
          <w:sz w:val="28"/>
          <w:szCs w:val="28"/>
          <w:highlight w:val="none"/>
          <w:lang w:eastAsia="zh-CN"/>
        </w:rPr>
        <w:t>月</w:t>
      </w:r>
      <w:r>
        <w:rPr>
          <w:rFonts w:hint="eastAsia" w:ascii="宋体" w:hAnsi="宋体" w:eastAsia="宋体" w:cs="Times New Roman"/>
          <w:color w:val="auto"/>
          <w:kern w:val="2"/>
          <w:sz w:val="28"/>
          <w:szCs w:val="28"/>
          <w:highlight w:val="none"/>
          <w:lang w:val="en-US" w:eastAsia="zh-CN"/>
        </w:rPr>
        <w:t>20</w:t>
      </w:r>
      <w:r>
        <w:rPr>
          <w:rFonts w:hint="eastAsia" w:ascii="宋体" w:hAnsi="宋体" w:eastAsia="宋体" w:cs="Times New Roman"/>
          <w:color w:val="auto"/>
          <w:kern w:val="2"/>
          <w:sz w:val="28"/>
          <w:szCs w:val="28"/>
          <w:highlight w:val="none"/>
          <w:lang w:eastAsia="zh-CN"/>
        </w:rPr>
        <w:t>日1</w:t>
      </w:r>
      <w:r>
        <w:rPr>
          <w:rFonts w:hint="eastAsia" w:ascii="宋体" w:hAnsi="宋体" w:eastAsia="宋体" w:cs="Times New Roman"/>
          <w:color w:val="auto"/>
          <w:kern w:val="2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宋体" w:hAnsi="宋体" w:eastAsia="宋体" w:cs="Times New Roman"/>
          <w:color w:val="auto"/>
          <w:kern w:val="2"/>
          <w:sz w:val="28"/>
          <w:szCs w:val="28"/>
          <w:highlight w:val="none"/>
          <w:lang w:eastAsia="zh-CN"/>
        </w:rPr>
        <w:t>:00之前送至我单位，逾期不受理（如邮寄，02</w:t>
      </w:r>
      <w:r>
        <w:rPr>
          <w:rFonts w:hint="eastAsia" w:ascii="宋体" w:hAnsi="宋体" w:eastAsia="宋体" w:cs="Times New Roman"/>
          <w:color w:val="auto"/>
          <w:kern w:val="2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eastAsia="宋体" w:cs="Times New Roman"/>
          <w:color w:val="auto"/>
          <w:kern w:val="2"/>
          <w:sz w:val="28"/>
          <w:szCs w:val="28"/>
          <w:highlight w:val="none"/>
          <w:lang w:eastAsia="zh-CN"/>
        </w:rPr>
        <w:t>年</w:t>
      </w:r>
      <w:r>
        <w:rPr>
          <w:rFonts w:hint="eastAsia" w:ascii="宋体" w:hAnsi="宋体" w:eastAsia="宋体" w:cs="Times New Roman"/>
          <w:color w:val="auto"/>
          <w:kern w:val="2"/>
          <w:sz w:val="28"/>
          <w:szCs w:val="28"/>
          <w:highlight w:val="none"/>
          <w:lang w:val="en-US" w:eastAsia="zh-CN"/>
        </w:rPr>
        <w:t>09</w:t>
      </w:r>
      <w:r>
        <w:rPr>
          <w:rFonts w:hint="eastAsia" w:ascii="宋体" w:hAnsi="宋体" w:eastAsia="宋体" w:cs="Times New Roman"/>
          <w:color w:val="auto"/>
          <w:kern w:val="2"/>
          <w:sz w:val="28"/>
          <w:szCs w:val="28"/>
          <w:highlight w:val="none"/>
          <w:lang w:eastAsia="zh-CN"/>
        </w:rPr>
        <w:t>月</w:t>
      </w:r>
      <w:r>
        <w:rPr>
          <w:rFonts w:hint="eastAsia" w:ascii="宋体" w:hAnsi="宋体" w:eastAsia="宋体" w:cs="Times New Roman"/>
          <w:color w:val="auto"/>
          <w:kern w:val="2"/>
          <w:sz w:val="28"/>
          <w:szCs w:val="28"/>
          <w:highlight w:val="none"/>
          <w:lang w:val="en-US" w:eastAsia="zh-CN"/>
        </w:rPr>
        <w:t>20</w:t>
      </w:r>
      <w:r>
        <w:rPr>
          <w:rFonts w:hint="eastAsia" w:ascii="宋体" w:hAnsi="宋体" w:eastAsia="宋体" w:cs="Times New Roman"/>
          <w:color w:val="auto"/>
          <w:kern w:val="2"/>
          <w:sz w:val="28"/>
          <w:szCs w:val="28"/>
          <w:highlight w:val="none"/>
          <w:lang w:eastAsia="zh-CN"/>
        </w:rPr>
        <w:t>日1</w:t>
      </w:r>
      <w:r>
        <w:rPr>
          <w:rFonts w:hint="eastAsia" w:ascii="宋体" w:hAnsi="宋体" w:eastAsia="宋体" w:cs="Times New Roman"/>
          <w:color w:val="auto"/>
          <w:kern w:val="2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宋体" w:hAnsi="宋体" w:eastAsia="宋体" w:cs="Times New Roman"/>
          <w:color w:val="auto"/>
          <w:kern w:val="2"/>
          <w:sz w:val="28"/>
          <w:szCs w:val="28"/>
          <w:highlight w:val="none"/>
          <w:lang w:eastAsia="zh-CN"/>
        </w:rPr>
        <w:t>:00之后到达本公司的邮件将不再受理。）</w:t>
      </w:r>
    </w:p>
    <w:p w14:paraId="7AEB1825">
      <w:pPr>
        <w:pStyle w:val="3"/>
        <w:ind w:left="0" w:firstLine="0"/>
        <w:jc w:val="center"/>
        <w:rPr>
          <w:rFonts w:hint="default" w:ascii="宋体" w:hAnsi="宋体" w:cs="宋体"/>
          <w:sz w:val="20"/>
          <w:szCs w:val="22"/>
          <w:highlight w:val="none"/>
        </w:rPr>
      </w:pPr>
      <w:bookmarkStart w:id="1" w:name="_GoBack"/>
      <w:bookmarkEnd w:id="1"/>
      <w:r>
        <w:rPr>
          <w:color w:val="auto"/>
          <w:highlight w:val="none"/>
        </w:rPr>
        <w:t>采购需求</w:t>
      </w:r>
    </w:p>
    <w:p w14:paraId="5DC49FD5">
      <w:pPr>
        <w:tabs>
          <w:tab w:val="left" w:pos="2280"/>
        </w:tabs>
        <w:spacing w:line="360" w:lineRule="auto"/>
        <w:ind w:firstLine="480"/>
        <w:contextualSpacing/>
        <w:jc w:val="both"/>
        <w:rPr>
          <w:rFonts w:hint="eastAsia" w:ascii="宋体" w:hAnsi="宋体" w:eastAsia="宋体" w:cs="Times New Roman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/>
          <w:sz w:val="24"/>
          <w:szCs w:val="24"/>
          <w:lang w:val="en-US" w:eastAsia="zh-CN"/>
        </w:rPr>
        <w:t>一、项目概况</w:t>
      </w:r>
    </w:p>
    <w:p w14:paraId="199F633E">
      <w:pPr>
        <w:spacing w:line="360" w:lineRule="auto"/>
        <w:ind w:firstLine="480"/>
        <w:jc w:val="both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1.1 采购人：徐州市丰县生态环境局。</w:t>
      </w:r>
    </w:p>
    <w:p w14:paraId="697CA55F">
      <w:pPr>
        <w:spacing w:line="360" w:lineRule="auto"/>
        <w:ind w:left="2136" w:hanging="1680"/>
        <w:jc w:val="both"/>
        <w:rPr>
          <w:rFonts w:hint="eastAsia" w:ascii="宋体" w:hAnsi="宋体" w:eastAsia="宋体" w:cs="宋体"/>
          <w:bCs/>
          <w:sz w:val="24"/>
          <w:szCs w:val="24"/>
          <w:highlight w:val="green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1.2 项目名称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</w:rPr>
        <w:t>：</w:t>
      </w:r>
      <w:r>
        <w:rPr>
          <w:rFonts w:hint="eastAsia" w:ascii="宋体" w:hAnsi="宋体" w:cs="宋体"/>
          <w:bCs/>
          <w:sz w:val="24"/>
          <w:szCs w:val="24"/>
          <w:highlight w:val="none"/>
          <w:lang w:eastAsia="zh-CN"/>
        </w:rPr>
        <w:t>丰县2026年入河排污口规范化（EPC）项目32个点位在线监测运维项目</w:t>
      </w:r>
    </w:p>
    <w:p w14:paraId="09AF0709">
      <w:pPr>
        <w:spacing w:line="360" w:lineRule="auto"/>
        <w:ind w:firstLine="480"/>
        <w:jc w:val="both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1.3 服务期限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</w:rPr>
        <w:t>：自合同签订日起1年。</w:t>
      </w:r>
    </w:p>
    <w:p w14:paraId="35C9AD2C">
      <w:pPr>
        <w:tabs>
          <w:tab w:val="left" w:pos="2280"/>
        </w:tabs>
        <w:spacing w:line="360" w:lineRule="auto"/>
        <w:ind w:firstLine="480"/>
        <w:contextualSpacing/>
        <w:jc w:val="both"/>
        <w:rPr>
          <w:rFonts w:hint="eastAsia" w:ascii="宋体" w:hAnsi="宋体" w:eastAsia="宋体" w:cs="Times New Roman"/>
          <w:b/>
          <w:sz w:val="24"/>
          <w:szCs w:val="24"/>
          <w:lang w:val="en-US" w:eastAsia="en-US"/>
        </w:rPr>
      </w:pPr>
      <w:r>
        <w:rPr>
          <w:rFonts w:hint="eastAsia" w:ascii="宋体" w:hAnsi="宋体" w:eastAsia="宋体" w:cs="Times New Roman"/>
          <w:b/>
          <w:sz w:val="24"/>
          <w:szCs w:val="24"/>
          <w:lang w:val="en-US" w:eastAsia="zh-CN"/>
        </w:rPr>
        <w:t>二、</w:t>
      </w:r>
      <w:bookmarkStart w:id="0" w:name="_Hlk106788088"/>
      <w:r>
        <w:rPr>
          <w:rFonts w:hint="eastAsia" w:ascii="宋体" w:hAnsi="宋体" w:eastAsia="宋体" w:cs="Times New Roman"/>
          <w:b/>
          <w:sz w:val="24"/>
          <w:szCs w:val="24"/>
          <w:lang w:val="en-US" w:eastAsia="en-US"/>
        </w:rPr>
        <w:t>采购内容</w:t>
      </w:r>
      <w:bookmarkEnd w:id="0"/>
    </w:p>
    <w:p w14:paraId="209401C3">
      <w:pPr>
        <w:spacing w:line="360" w:lineRule="auto"/>
        <w:ind w:left="2136" w:hanging="1680"/>
        <w:jc w:val="both"/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1、 目的：实施入河排污口规范化整治（EPC）项目在线监控运维项目，提升监测</w:t>
      </w:r>
    </w:p>
    <w:p w14:paraId="2DB3E0FA">
      <w:pPr>
        <w:spacing w:line="360" w:lineRule="auto"/>
        <w:jc w:val="both"/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效率和准确性，强化污染源管控，提高管理效率。</w:t>
      </w:r>
    </w:p>
    <w:p w14:paraId="5B824065">
      <w:pPr>
        <w:spacing w:line="360" w:lineRule="auto"/>
        <w:ind w:left="2136" w:hanging="1680"/>
        <w:jc w:val="both"/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2、运维内容：</w:t>
      </w:r>
    </w:p>
    <w:tbl>
      <w:tblPr>
        <w:tblStyle w:val="6"/>
        <w:tblW w:w="9517" w:type="dxa"/>
        <w:tblInd w:w="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5300"/>
        <w:gridCol w:w="933"/>
        <w:gridCol w:w="1184"/>
        <w:gridCol w:w="1250"/>
      </w:tblGrid>
      <w:tr w14:paraId="53596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50" w:type="dxa"/>
            <w:noWrap w:val="0"/>
            <w:vAlign w:val="center"/>
          </w:tcPr>
          <w:p w14:paraId="1918299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u w:val="none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5300" w:type="dxa"/>
            <w:noWrap w:val="0"/>
            <w:vAlign w:val="center"/>
          </w:tcPr>
          <w:p w14:paraId="05731A1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u w:val="none"/>
                <w:vertAlign w:val="baseline"/>
                <w:lang w:val="en-US" w:eastAsia="zh-CN" w:bidi="ar"/>
              </w:rPr>
              <w:t>运维项目名称</w:t>
            </w:r>
          </w:p>
        </w:tc>
        <w:tc>
          <w:tcPr>
            <w:tcW w:w="933" w:type="dxa"/>
            <w:noWrap w:val="0"/>
            <w:vAlign w:val="center"/>
          </w:tcPr>
          <w:p w14:paraId="492E5BC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u w:val="none"/>
                <w:vertAlign w:val="baseline"/>
                <w:lang w:val="en-US" w:eastAsia="zh-CN" w:bidi="ar"/>
              </w:rPr>
              <w:t>单位</w:t>
            </w:r>
          </w:p>
        </w:tc>
        <w:tc>
          <w:tcPr>
            <w:tcW w:w="1184" w:type="dxa"/>
            <w:noWrap w:val="0"/>
            <w:vAlign w:val="center"/>
          </w:tcPr>
          <w:p w14:paraId="2DF02D1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u w:val="none"/>
                <w:vertAlign w:val="baseline"/>
                <w:lang w:val="en-US" w:eastAsia="zh-CN" w:bidi="ar"/>
              </w:rPr>
              <w:t>数量</w:t>
            </w:r>
          </w:p>
        </w:tc>
        <w:tc>
          <w:tcPr>
            <w:tcW w:w="1250" w:type="dxa"/>
            <w:noWrap w:val="0"/>
            <w:vAlign w:val="center"/>
          </w:tcPr>
          <w:p w14:paraId="5AA3477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u w:val="none"/>
                <w:vertAlign w:val="baseline"/>
                <w:lang w:val="en-US" w:eastAsia="zh-CN" w:bidi="ar"/>
              </w:rPr>
              <w:t>备注</w:t>
            </w:r>
          </w:p>
        </w:tc>
      </w:tr>
      <w:tr w14:paraId="4656B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50" w:type="dxa"/>
            <w:noWrap w:val="0"/>
            <w:vAlign w:val="center"/>
          </w:tcPr>
          <w:p w14:paraId="461E9B5F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5300" w:type="dxa"/>
            <w:noWrap w:val="0"/>
            <w:vAlign w:val="center"/>
          </w:tcPr>
          <w:p w14:paraId="74DACA5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微型水质监测站（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监测 pH、电导率、溶解氧、浊度、温度、COD、 氨氮、总氮、总磷、高锰酸盐指数、生化需氧量等 11 项污染指标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933" w:type="dxa"/>
            <w:noWrap w:val="0"/>
            <w:vAlign w:val="center"/>
          </w:tcPr>
          <w:p w14:paraId="023737D2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vertAlign w:val="baseline"/>
                <w:lang w:val="en-US" w:eastAsia="zh-CN" w:bidi="ar"/>
              </w:rPr>
              <w:t>套</w:t>
            </w:r>
          </w:p>
        </w:tc>
        <w:tc>
          <w:tcPr>
            <w:tcW w:w="1184" w:type="dxa"/>
            <w:noWrap w:val="0"/>
            <w:vAlign w:val="center"/>
          </w:tcPr>
          <w:p w14:paraId="4203CB03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vertAlign w:val="baseline"/>
                <w:lang w:val="en-US" w:eastAsia="zh-CN" w:bidi="ar"/>
              </w:rPr>
              <w:t>32</w:t>
            </w:r>
          </w:p>
        </w:tc>
        <w:tc>
          <w:tcPr>
            <w:tcW w:w="1250" w:type="dxa"/>
            <w:noWrap w:val="0"/>
            <w:vAlign w:val="center"/>
          </w:tcPr>
          <w:p w14:paraId="4057F63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604C8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50" w:type="dxa"/>
            <w:noWrap w:val="0"/>
            <w:vAlign w:val="center"/>
          </w:tcPr>
          <w:p w14:paraId="51ED2FF0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5300" w:type="dxa"/>
            <w:noWrap w:val="0"/>
            <w:vAlign w:val="center"/>
          </w:tcPr>
          <w:p w14:paraId="3AF71D98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丰县入河排污口动态管理平台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运行维护</w:t>
            </w:r>
          </w:p>
        </w:tc>
        <w:tc>
          <w:tcPr>
            <w:tcW w:w="933" w:type="dxa"/>
            <w:noWrap w:val="0"/>
            <w:vAlign w:val="center"/>
          </w:tcPr>
          <w:p w14:paraId="3513B165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vertAlign w:val="baseline"/>
                <w:lang w:val="en-US" w:eastAsia="zh-CN" w:bidi="ar"/>
              </w:rPr>
              <w:t>项</w:t>
            </w:r>
          </w:p>
        </w:tc>
        <w:tc>
          <w:tcPr>
            <w:tcW w:w="1184" w:type="dxa"/>
            <w:noWrap w:val="0"/>
            <w:vAlign w:val="center"/>
          </w:tcPr>
          <w:p w14:paraId="773B16F2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250" w:type="dxa"/>
            <w:noWrap w:val="0"/>
            <w:vAlign w:val="center"/>
          </w:tcPr>
          <w:p w14:paraId="4B7B070B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 w14:paraId="1B17D559"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DDAF482">
      <w:pPr>
        <w:numPr>
          <w:ilvl w:val="0"/>
          <w:numId w:val="0"/>
        </w:numPr>
        <w:spacing w:line="240" w:lineRule="auto"/>
        <w:ind w:firstLine="24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4"/>
          <w:szCs w:val="24"/>
          <w:lang w:val="en-US" w:eastAsia="zh-CN" w:bidi="ar"/>
        </w:rPr>
        <w:t>3、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z w:val="24"/>
          <w:szCs w:val="24"/>
          <w:u w:val="none"/>
          <w:lang w:val="en-US" w:eastAsia="zh-CN" w:bidi="ar"/>
        </w:rPr>
        <w:t>微型水质监测站技术指标（单个监测站）如下：</w:t>
      </w:r>
    </w:p>
    <w:tbl>
      <w:tblPr>
        <w:tblStyle w:val="5"/>
        <w:tblW w:w="951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2556"/>
        <w:gridCol w:w="4335"/>
        <w:gridCol w:w="651"/>
        <w:gridCol w:w="467"/>
        <w:gridCol w:w="866"/>
      </w:tblGrid>
      <w:tr w14:paraId="0257B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E98F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4876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CC9C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规格型号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FFFA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7BC2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1DB0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1CEFF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6B74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 xml:space="preserve">1 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A915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光学法水质监测仪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DEB6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支持监测参数pH、电导率、溶解氧、浊度、温度、COD、氨氮、总氮、总磷。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0071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套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D4ED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 xml:space="preserve">1 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B6D9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</w:p>
        </w:tc>
      </w:tr>
      <w:tr w14:paraId="7EF6C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1DC9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 xml:space="preserve">2 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47CA2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一体化水质监测站房柜体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32C7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1.25米(长)*0.9米(宽)*2米(高)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52E6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套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331D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 xml:space="preserve">1 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2C13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</w:p>
        </w:tc>
      </w:tr>
      <w:tr w14:paraId="69AAD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F021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 xml:space="preserve">3 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75E5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集成控制系统及数据传输系统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5D50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物联网智慧运营系统；兼容各类有线及无线传输方式，支持数据一点多传。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A544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套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3939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 xml:space="preserve">1 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E72F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</w:p>
        </w:tc>
      </w:tr>
      <w:tr w14:paraId="0F83B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BA61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 xml:space="preserve">4 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3D20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采配水及预处理系统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E7BC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双管路采样系统，支持潜水泵/自吸泵远程采水、自动冲洗单元，采配水及预处理系统控制器。</w:t>
            </w: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B502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套</w:t>
            </w:r>
          </w:p>
        </w:tc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418A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 xml:space="preserve">1 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46AA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</w:pPr>
          </w:p>
        </w:tc>
      </w:tr>
    </w:tbl>
    <w:p w14:paraId="21DB6F20">
      <w:pPr>
        <w:numPr>
          <w:ilvl w:val="0"/>
          <w:numId w:val="0"/>
        </w:numPr>
        <w:spacing w:line="240" w:lineRule="auto"/>
        <w:jc w:val="both"/>
        <w:rPr>
          <w:rFonts w:ascii="Times New Roman" w:hAnsi="Times New Roman" w:eastAsia="宋体" w:cs="Times New Roman"/>
          <w:sz w:val="20"/>
        </w:rPr>
      </w:pPr>
    </w:p>
    <w:p w14:paraId="751F67EA">
      <w:pPr>
        <w:tabs>
          <w:tab w:val="left" w:pos="2280"/>
        </w:tabs>
        <w:spacing w:line="560" w:lineRule="exact"/>
        <w:ind w:firstLine="480"/>
        <w:contextualSpacing/>
        <w:jc w:val="both"/>
        <w:rPr>
          <w:rFonts w:hint="eastAsia" w:ascii="宋体" w:hAnsi="宋体" w:eastAsia="宋体" w:cs="Times New Roman"/>
          <w:i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iCs/>
          <w:sz w:val="24"/>
          <w:szCs w:val="24"/>
          <w:highlight w:val="none"/>
          <w:lang w:val="en-US" w:eastAsia="zh-CN"/>
        </w:rPr>
        <w:t>为便于潜在供应商全面、准确了解项目现场实际情况，合理编制响应文件，建议潜在供应商对项目现场进行勘察</w:t>
      </w:r>
      <w:r>
        <w:rPr>
          <w:rFonts w:hint="default" w:ascii="宋体" w:hAnsi="宋体" w:eastAsia="宋体" w:cs="Times New Roman"/>
          <w:iCs/>
          <w:sz w:val="24"/>
          <w:szCs w:val="24"/>
          <w:highlight w:val="none"/>
          <w:lang w:val="en-US" w:eastAsia="zh-CN"/>
        </w:rPr>
        <w:t>。</w:t>
      </w:r>
    </w:p>
    <w:p w14:paraId="645488EB">
      <w:pPr>
        <w:tabs>
          <w:tab w:val="left" w:pos="2280"/>
        </w:tabs>
        <w:spacing w:line="360" w:lineRule="auto"/>
        <w:ind w:firstLine="480"/>
        <w:contextualSpacing/>
        <w:jc w:val="both"/>
        <w:rPr>
          <w:rFonts w:hint="default" w:ascii="宋体" w:hAnsi="宋体" w:eastAsia="宋体" w:cs="Times New Roman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/>
          <w:sz w:val="24"/>
          <w:szCs w:val="24"/>
          <w:lang w:val="en-US" w:eastAsia="zh-CN"/>
        </w:rPr>
        <w:t>三、运维要求</w:t>
      </w:r>
    </w:p>
    <w:p w14:paraId="087EAA37">
      <w:pPr>
        <w:keepNext/>
        <w:keepLines/>
        <w:pageBreakBefore w:val="0"/>
        <w:widowControl/>
        <w:numPr>
          <w:ilvl w:val="0"/>
          <w:numId w:val="0"/>
        </w:numPr>
        <w:spacing w:before="0" w:after="0" w:line="480" w:lineRule="auto"/>
        <w:ind w:left="0" w:right="0"/>
        <w:outlineLvl w:val="1"/>
        <w:rPr>
          <w:rFonts w:hint="eastAsia" w:ascii="宋体" w:hAnsi="宋体" w:eastAsia="宋体" w:cs="宋体"/>
          <w:b/>
          <w:bCs/>
          <w:sz w:val="24"/>
          <w:szCs w:val="24"/>
          <w:lang w:val="en-US" w:eastAsia="zh-CN" w:bidi="ar-SA"/>
        </w:rPr>
      </w:pPr>
      <w:r>
        <w:rPr>
          <w:rFonts w:hint="eastAsia" w:ascii="宋体" w:hAnsi="宋体" w:eastAsia="Arial" w:cs="宋体"/>
          <w:b/>
          <w:bCs/>
          <w:sz w:val="24"/>
          <w:szCs w:val="24"/>
          <w:lang w:val="en-US" w:eastAsia="zh-CN" w:bidi="ar-SA"/>
        </w:rPr>
        <w:t>（一）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 w:bidi="ar-SA"/>
        </w:rPr>
        <w:t>总体要求</w:t>
      </w:r>
    </w:p>
    <w:p w14:paraId="32C5460D">
      <w:pPr>
        <w:keepNext w:val="0"/>
        <w:keepLines w:val="0"/>
        <w:pageBreakBefore w:val="0"/>
        <w:widowControl/>
        <w:suppressLineNumbers w:val="0"/>
        <w:spacing w:before="0" w:beforeAutospacing="0" w:after="0" w:afterAutospacing="0" w:line="460" w:lineRule="exact"/>
        <w:ind w:left="0" w:right="0" w:firstLine="480"/>
        <w:jc w:val="left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 w:bidi="ar"/>
        </w:rPr>
        <w:t>1、具有规范的运行维护流程和较为完善的运行维护管理体系。</w:t>
      </w:r>
    </w:p>
    <w:p w14:paraId="05735A49">
      <w:pPr>
        <w:keepNext w:val="0"/>
        <w:keepLines w:val="0"/>
        <w:pageBreakBefore w:val="0"/>
        <w:widowControl/>
        <w:suppressLineNumbers w:val="0"/>
        <w:spacing w:before="0" w:beforeAutospacing="0" w:after="0" w:afterAutospacing="0" w:line="460" w:lineRule="exact"/>
        <w:ind w:left="0" w:right="0" w:firstLine="480"/>
        <w:jc w:val="left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 w:bidi="ar"/>
        </w:rPr>
        <w:t>2、加强大数据运行保障、监控预警能力建设，能依托网络、计算、存储、基础软件、安全设备等大数据基础设施实施统一运维，实现系统快速部署更新、资源合理高效调度、网络实时动态监控和等。</w:t>
      </w:r>
    </w:p>
    <w:p w14:paraId="5BA12DC2">
      <w:pPr>
        <w:pageBreakBefore w:val="0"/>
        <w:widowControl/>
        <w:tabs>
          <w:tab w:val="left" w:pos="2280"/>
        </w:tabs>
        <w:spacing w:line="560" w:lineRule="exact"/>
        <w:ind w:left="0" w:right="0" w:firstLine="480"/>
        <w:contextualSpacing/>
        <w:jc w:val="both"/>
        <w:rPr>
          <w:rFonts w:hint="default" w:ascii="Times New Roman" w:hAnsi="Times New Roman" w:eastAsia="宋体" w:cs="Times New Roman"/>
          <w:iCs/>
          <w:sz w:val="24"/>
          <w:szCs w:val="24"/>
        </w:rPr>
      </w:pPr>
      <w:r>
        <w:rPr>
          <w:rFonts w:hint="eastAsia" w:ascii="宋体" w:hAnsi="宋体" w:eastAsia="宋体" w:cs="Times New Roman"/>
          <w:iCs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Times New Roman"/>
          <w:iCs/>
          <w:sz w:val="24"/>
          <w:szCs w:val="24"/>
        </w:rPr>
        <w:t>应有足够的</w:t>
      </w:r>
      <w:r>
        <w:rPr>
          <w:rFonts w:hint="default" w:ascii="宋体" w:hAnsi="宋体" w:eastAsia="宋体" w:cs="Times New Roman"/>
          <w:iCs/>
          <w:sz w:val="24"/>
          <w:szCs w:val="24"/>
        </w:rPr>
        <w:t>资金</w:t>
      </w:r>
      <w:r>
        <w:rPr>
          <w:rFonts w:hint="eastAsia" w:ascii="宋体" w:hAnsi="宋体" w:eastAsia="宋体" w:cs="Times New Roman"/>
          <w:iCs/>
          <w:sz w:val="24"/>
          <w:szCs w:val="24"/>
        </w:rPr>
        <w:t>保障</w:t>
      </w:r>
      <w:r>
        <w:rPr>
          <w:rFonts w:hint="default" w:ascii="宋体" w:hAnsi="宋体" w:eastAsia="宋体" w:cs="Times New Roman"/>
          <w:iCs/>
          <w:sz w:val="24"/>
          <w:szCs w:val="24"/>
        </w:rPr>
        <w:t>。</w:t>
      </w:r>
    </w:p>
    <w:p w14:paraId="30943932">
      <w:pPr>
        <w:pageBreakBefore w:val="0"/>
        <w:widowControl/>
        <w:tabs>
          <w:tab w:val="left" w:pos="2280"/>
        </w:tabs>
        <w:spacing w:line="560" w:lineRule="exact"/>
        <w:ind w:left="0" w:right="0" w:firstLine="480"/>
        <w:contextualSpacing/>
        <w:jc w:val="both"/>
        <w:rPr>
          <w:rFonts w:hint="default" w:ascii="Times New Roman" w:hAnsi="Times New Roman" w:eastAsia="宋体" w:cs="Times New Roman"/>
          <w:iCs/>
          <w:sz w:val="24"/>
          <w:szCs w:val="24"/>
        </w:rPr>
      </w:pPr>
      <w:r>
        <w:rPr>
          <w:rFonts w:hint="eastAsia" w:ascii="宋体" w:hAnsi="宋体" w:eastAsia="宋体" w:cs="Times New Roman"/>
          <w:iCs/>
          <w:sz w:val="24"/>
          <w:szCs w:val="24"/>
          <w:lang w:val="en-US" w:eastAsia="zh-CN"/>
        </w:rPr>
        <w:t>4、</w:t>
      </w:r>
      <w:r>
        <w:rPr>
          <w:rFonts w:hint="default" w:ascii="宋体" w:hAnsi="宋体" w:eastAsia="宋体" w:cs="Times New Roman"/>
          <w:iCs/>
          <w:sz w:val="24"/>
          <w:szCs w:val="24"/>
        </w:rPr>
        <w:t>在运维及管理期间，在合同约束范围内成交单位拥有管理自主权；不能以任何形式外包合同规定的运行维护任务。</w:t>
      </w:r>
    </w:p>
    <w:p w14:paraId="232CC78C">
      <w:pPr>
        <w:pageBreakBefore w:val="0"/>
        <w:widowControl/>
        <w:tabs>
          <w:tab w:val="left" w:pos="2280"/>
        </w:tabs>
        <w:spacing w:line="560" w:lineRule="exact"/>
        <w:ind w:left="0" w:right="0" w:firstLine="480"/>
        <w:contextualSpacing/>
        <w:jc w:val="both"/>
        <w:rPr>
          <w:rFonts w:hint="default" w:ascii="Times New Roman" w:hAnsi="Times New Roman" w:eastAsia="宋体" w:cs="Times New Roman"/>
          <w:iCs/>
          <w:sz w:val="24"/>
          <w:szCs w:val="24"/>
        </w:rPr>
      </w:pPr>
      <w:r>
        <w:rPr>
          <w:rFonts w:hint="eastAsia" w:ascii="宋体" w:hAnsi="宋体" w:eastAsia="宋体" w:cs="Times New Roman"/>
          <w:iCs/>
          <w:sz w:val="24"/>
          <w:szCs w:val="24"/>
          <w:lang w:val="en-US" w:eastAsia="zh-CN"/>
        </w:rPr>
        <w:t>5、</w:t>
      </w:r>
      <w:r>
        <w:rPr>
          <w:rFonts w:hint="default" w:ascii="宋体" w:hAnsi="宋体" w:eastAsia="宋体" w:cs="Times New Roman"/>
          <w:iCs/>
          <w:sz w:val="24"/>
          <w:szCs w:val="24"/>
        </w:rPr>
        <w:t>在运维及管理期间，成交单位应严格按照业主制订的操作规范和规章制度，对所管理的系统及仪器</w:t>
      </w:r>
      <w:r>
        <w:rPr>
          <w:rFonts w:hint="eastAsia" w:ascii="宋体" w:hAnsi="宋体" w:cs="Times New Roman"/>
          <w:iCs/>
          <w:sz w:val="24"/>
          <w:szCs w:val="24"/>
          <w:lang w:eastAsia="zh-CN"/>
        </w:rPr>
        <w:t>、</w:t>
      </w:r>
      <w:r>
        <w:rPr>
          <w:rFonts w:hint="default" w:ascii="宋体" w:hAnsi="宋体" w:eastAsia="宋体" w:cs="Times New Roman"/>
          <w:iCs/>
          <w:sz w:val="24"/>
          <w:szCs w:val="24"/>
        </w:rPr>
        <w:t>设备进行规范操作和精心维护及必要维修，保证系统及仪器</w:t>
      </w:r>
      <w:r>
        <w:rPr>
          <w:rFonts w:hint="eastAsia" w:ascii="宋体" w:hAnsi="宋体" w:cs="Times New Roman"/>
          <w:iCs/>
          <w:sz w:val="24"/>
          <w:szCs w:val="24"/>
          <w:lang w:eastAsia="zh-CN"/>
        </w:rPr>
        <w:t>、</w:t>
      </w:r>
      <w:r>
        <w:rPr>
          <w:rFonts w:hint="default" w:ascii="宋体" w:hAnsi="宋体" w:eastAsia="宋体" w:cs="Times New Roman"/>
          <w:iCs/>
          <w:sz w:val="24"/>
          <w:szCs w:val="24"/>
        </w:rPr>
        <w:t>设备的正常运行，达到业主提出的系统及仪器</w:t>
      </w:r>
      <w:r>
        <w:rPr>
          <w:rFonts w:hint="eastAsia" w:ascii="宋体" w:hAnsi="宋体" w:cs="Times New Roman"/>
          <w:iCs/>
          <w:sz w:val="24"/>
          <w:szCs w:val="24"/>
          <w:lang w:eastAsia="zh-CN"/>
        </w:rPr>
        <w:t>、</w:t>
      </w:r>
      <w:r>
        <w:rPr>
          <w:rFonts w:hint="default" w:ascii="宋体" w:hAnsi="宋体" w:eastAsia="宋体" w:cs="Times New Roman"/>
          <w:iCs/>
          <w:sz w:val="24"/>
          <w:szCs w:val="24"/>
        </w:rPr>
        <w:t>设备考核指标要求。成交单位必须接受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徐州市丰县生态环境局</w:t>
      </w:r>
      <w:r>
        <w:rPr>
          <w:rFonts w:hint="eastAsia" w:ascii="宋体" w:hAnsi="宋体" w:eastAsia="宋体" w:cs="Times New Roman"/>
          <w:iCs/>
          <w:sz w:val="24"/>
          <w:szCs w:val="24"/>
        </w:rPr>
        <w:t>、</w:t>
      </w:r>
      <w:r>
        <w:rPr>
          <w:rFonts w:hint="default" w:ascii="宋体" w:hAnsi="宋体" w:eastAsia="宋体" w:cs="Times New Roman"/>
          <w:iCs/>
          <w:sz w:val="24"/>
          <w:szCs w:val="24"/>
        </w:rPr>
        <w:t>驻市监测中心等单位的定期、不定期检查和考核。</w:t>
      </w:r>
    </w:p>
    <w:p w14:paraId="108220DD">
      <w:pPr>
        <w:pageBreakBefore w:val="0"/>
        <w:widowControl/>
        <w:tabs>
          <w:tab w:val="left" w:pos="2280"/>
        </w:tabs>
        <w:spacing w:line="560" w:lineRule="exact"/>
        <w:ind w:left="0" w:right="0" w:firstLine="480"/>
        <w:contextualSpacing/>
        <w:jc w:val="both"/>
        <w:rPr>
          <w:rFonts w:hint="eastAsia" w:ascii="宋体" w:hAnsi="宋体" w:eastAsia="宋体" w:cs="Times New Roman"/>
          <w:iCs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iCs/>
          <w:sz w:val="24"/>
          <w:szCs w:val="24"/>
          <w:lang w:val="en-US" w:eastAsia="zh-CN"/>
        </w:rPr>
        <w:t>6、供应商</w:t>
      </w:r>
      <w:r>
        <w:rPr>
          <w:rFonts w:hint="default" w:ascii="宋体" w:hAnsi="宋体" w:eastAsia="宋体" w:cs="Times New Roman"/>
          <w:iCs/>
          <w:sz w:val="24"/>
          <w:szCs w:val="24"/>
          <w:lang w:val="en-US" w:eastAsia="zh-CN"/>
        </w:rPr>
        <w:t>具备一定的监测数据分析能力，能配合</w:t>
      </w:r>
      <w:r>
        <w:rPr>
          <w:rFonts w:hint="eastAsia" w:ascii="宋体" w:hAnsi="宋体" w:eastAsia="宋体" w:cs="Times New Roman"/>
          <w:iCs/>
          <w:sz w:val="24"/>
          <w:szCs w:val="24"/>
          <w:lang w:val="en-US" w:eastAsia="zh-CN"/>
        </w:rPr>
        <w:t>徐州市丰县生态环境局</w:t>
      </w:r>
      <w:r>
        <w:rPr>
          <w:rFonts w:hint="default" w:ascii="宋体" w:hAnsi="宋体" w:eastAsia="宋体" w:cs="Times New Roman"/>
          <w:iCs/>
          <w:sz w:val="24"/>
          <w:szCs w:val="24"/>
          <w:lang w:val="en-US" w:eastAsia="zh-CN"/>
        </w:rPr>
        <w:t>完成各类分析报告的编制工作</w:t>
      </w:r>
      <w:r>
        <w:rPr>
          <w:rFonts w:hint="eastAsia" w:ascii="宋体" w:hAnsi="宋体" w:eastAsia="宋体" w:cs="Times New Roman"/>
          <w:iCs/>
          <w:sz w:val="24"/>
          <w:szCs w:val="24"/>
          <w:lang w:val="en-US" w:eastAsia="zh-CN"/>
        </w:rPr>
        <w:t>，可为环境管理提供技术支撑。</w:t>
      </w:r>
    </w:p>
    <w:p w14:paraId="4C0567F3">
      <w:pPr>
        <w:pageBreakBefore w:val="0"/>
        <w:widowControl/>
        <w:tabs>
          <w:tab w:val="left" w:pos="2280"/>
        </w:tabs>
        <w:spacing w:line="560" w:lineRule="exact"/>
        <w:ind w:left="0" w:right="0" w:firstLine="480"/>
        <w:contextualSpacing/>
        <w:jc w:val="both"/>
        <w:rPr>
          <w:rFonts w:hint="eastAsia" w:ascii="宋体" w:hAnsi="宋体" w:eastAsia="宋体" w:cs="Times New Roman"/>
          <w:iCs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iCs/>
          <w:sz w:val="24"/>
          <w:szCs w:val="24"/>
          <w:lang w:val="en-US" w:eastAsia="zh-CN"/>
        </w:rPr>
        <w:t>7、成交单位须承诺成交后1个月（30日历天）内配齐本技术要求中所涉及的仪器</w:t>
      </w:r>
      <w:r>
        <w:rPr>
          <w:rFonts w:hint="eastAsia" w:ascii="宋体" w:hAnsi="宋体" w:cs="Times New Roman"/>
          <w:iCs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Times New Roman"/>
          <w:iCs/>
          <w:sz w:val="24"/>
          <w:szCs w:val="24"/>
          <w:lang w:val="en-US" w:eastAsia="zh-CN"/>
        </w:rPr>
        <w:t>设备、</w:t>
      </w:r>
      <w:r>
        <w:rPr>
          <w:rFonts w:hint="eastAsia" w:ascii="宋体" w:hAnsi="宋体" w:cs="Times New Roman"/>
          <w:iCs/>
          <w:sz w:val="24"/>
          <w:szCs w:val="24"/>
          <w:lang w:val="en-US" w:eastAsia="zh-CN"/>
        </w:rPr>
        <w:t>试剂、</w:t>
      </w:r>
      <w:r>
        <w:rPr>
          <w:rFonts w:hint="eastAsia" w:ascii="宋体" w:hAnsi="宋体" w:eastAsia="宋体" w:cs="Times New Roman"/>
          <w:iCs/>
          <w:sz w:val="24"/>
          <w:szCs w:val="24"/>
          <w:lang w:val="en-US" w:eastAsia="zh-CN"/>
        </w:rPr>
        <w:t>耗材和备件。耗材按照不少于半年的消耗量配置，备件按照至少1年使用量配置。必须使用原厂生产的备品备件和耗材（若无原厂生产的，则应使用经权威机构检定合格的），严禁使用未经权威机构检定合格或劣质备品备件和耗材（</w:t>
      </w:r>
      <w:r>
        <w:rPr>
          <w:rFonts w:hint="eastAsia" w:ascii="宋体" w:hAnsi="宋体" w:eastAsia="宋体" w:cs="Times New Roman"/>
          <w:b/>
          <w:bCs/>
          <w:iCs/>
          <w:sz w:val="24"/>
          <w:szCs w:val="24"/>
          <w:lang w:val="en-US" w:eastAsia="zh-CN"/>
        </w:rPr>
        <w:t>响应文件中提供承诺书，承诺书格式自拟</w:t>
      </w:r>
      <w:r>
        <w:rPr>
          <w:rFonts w:hint="eastAsia" w:ascii="宋体" w:hAnsi="宋体" w:eastAsia="宋体" w:cs="Times New Roman"/>
          <w:iCs/>
          <w:sz w:val="24"/>
          <w:szCs w:val="24"/>
          <w:lang w:val="en-US" w:eastAsia="zh-CN"/>
        </w:rPr>
        <w:t>）。</w:t>
      </w:r>
    </w:p>
    <w:p w14:paraId="55E0C8D6">
      <w:pPr>
        <w:pageBreakBefore w:val="0"/>
        <w:widowControl/>
        <w:ind w:left="0" w:right="0" w:firstLine="420"/>
        <w:rPr>
          <w:rFonts w:hint="eastAsia" w:ascii="Times New Roman" w:hAnsi="Times New Roman" w:eastAsia="宋体" w:cs="Times New Roman"/>
          <w:lang w:val="en-US" w:eastAsia="zh-CN" w:bidi="ar-SA"/>
        </w:rPr>
      </w:pPr>
    </w:p>
    <w:p w14:paraId="7D999B28">
      <w:pPr>
        <w:keepNext/>
        <w:keepLines/>
        <w:pageBreakBefore w:val="0"/>
        <w:widowControl/>
        <w:numPr>
          <w:ilvl w:val="0"/>
          <w:numId w:val="0"/>
        </w:numPr>
        <w:spacing w:before="0" w:after="0" w:line="480" w:lineRule="auto"/>
        <w:ind w:left="0" w:right="0"/>
        <w:outlineLvl w:val="1"/>
        <w:rPr>
          <w:rFonts w:hint="eastAsia" w:ascii="宋体" w:hAnsi="宋体" w:eastAsia="宋体" w:cs="宋体"/>
          <w:b/>
          <w:bCs/>
          <w:sz w:val="24"/>
          <w:szCs w:val="24"/>
          <w:lang w:val="en-US" w:eastAsia="zh-CN" w:bidi="ar-SA"/>
        </w:rPr>
      </w:pPr>
      <w:r>
        <w:rPr>
          <w:rFonts w:hint="eastAsia" w:ascii="宋体" w:hAnsi="宋体" w:eastAsia="Arial" w:cs="宋体"/>
          <w:b/>
          <w:bCs/>
          <w:sz w:val="24"/>
          <w:szCs w:val="24"/>
          <w:lang w:val="en-US" w:eastAsia="zh-CN" w:bidi="ar-SA"/>
        </w:rPr>
        <w:t>（二）具体内容</w:t>
      </w:r>
    </w:p>
    <w:p w14:paraId="4A52185E">
      <w:pPr>
        <w:keepNext/>
        <w:keepLines/>
        <w:pageBreakBefore w:val="0"/>
        <w:widowControl/>
        <w:numPr>
          <w:ilvl w:val="0"/>
          <w:numId w:val="0"/>
        </w:numPr>
        <w:spacing w:before="0" w:after="0" w:line="480" w:lineRule="auto"/>
        <w:ind w:left="0" w:right="0"/>
        <w:outlineLvl w:val="2"/>
        <w:rPr>
          <w:rFonts w:hint="eastAsia" w:ascii="宋体" w:hAnsi="宋体" w:eastAsia="宋体" w:cs="宋体"/>
          <w:b/>
          <w:bCs/>
          <w:sz w:val="24"/>
          <w:szCs w:val="24"/>
          <w:lang w:val="en-US" w:eastAsia="zh-CN" w:bidi="ar-SA"/>
        </w:rPr>
      </w:pPr>
      <w:r>
        <w:rPr>
          <w:rFonts w:hint="eastAsia" w:ascii="宋体" w:hAnsi="宋体" w:eastAsia="Arial" w:cs="宋体"/>
          <w:b/>
          <w:bCs/>
          <w:sz w:val="24"/>
          <w:szCs w:val="24"/>
          <w:lang w:val="en-US" w:eastAsia="zh-CN" w:bidi="ar-SA"/>
        </w:rPr>
        <w:t>1、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 w:bidi="ar-SA"/>
        </w:rPr>
        <w:t>现场例行巡检</w:t>
      </w:r>
    </w:p>
    <w:p w14:paraId="52EA9F38">
      <w:pPr>
        <w:keepNext w:val="0"/>
        <w:keepLines w:val="0"/>
        <w:pageBreakBefore w:val="0"/>
        <w:widowControl/>
        <w:spacing w:line="360" w:lineRule="auto"/>
        <w:ind w:left="0" w:right="0" w:firstLine="48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1.1检查监测设备是否可以正常使用、是否存在故障；确保设备可正常运行，避免日光直射各类分析仪器；</w:t>
      </w:r>
    </w:p>
    <w:p w14:paraId="3ED8E607">
      <w:pPr>
        <w:keepNext w:val="0"/>
        <w:keepLines w:val="0"/>
        <w:pageBreakBefore w:val="0"/>
        <w:widowControl/>
        <w:spacing w:line="360" w:lineRule="auto"/>
        <w:ind w:left="0" w:right="0" w:firstLine="48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1.2检查采配水单元是否正常，如采水浮筒固定情况，自吸泵运行情况等；定期清洗采配水系统，包括采水头、泵体、水样杯、阀门、管路等，对于无法清洗干净的须及时更换；</w:t>
      </w:r>
    </w:p>
    <w:p w14:paraId="44A7DF17">
      <w:pPr>
        <w:keepNext w:val="0"/>
        <w:keepLines w:val="0"/>
        <w:pageBreakBefore w:val="0"/>
        <w:widowControl/>
        <w:spacing w:line="360" w:lineRule="auto"/>
        <w:ind w:left="0" w:right="0" w:firstLine="48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1.3在封冻期来临前做好采水管路和保温等维护工作。</w:t>
      </w:r>
    </w:p>
    <w:p w14:paraId="7A66ED1D">
      <w:pPr>
        <w:keepNext/>
        <w:keepLines/>
        <w:pageBreakBefore w:val="0"/>
        <w:widowControl/>
        <w:numPr>
          <w:ilvl w:val="0"/>
          <w:numId w:val="0"/>
        </w:numPr>
        <w:spacing w:before="0" w:after="0" w:line="480" w:lineRule="auto"/>
        <w:ind w:left="0" w:right="0"/>
        <w:outlineLvl w:val="2"/>
        <w:rPr>
          <w:rFonts w:hint="eastAsia" w:ascii="宋体" w:hAnsi="宋体" w:eastAsia="宋体" w:cs="宋体"/>
          <w:b/>
          <w:bCs/>
          <w:sz w:val="24"/>
          <w:szCs w:val="24"/>
          <w:lang w:val="en-US" w:eastAsia="zh-CN" w:bidi="ar-SA"/>
        </w:rPr>
      </w:pPr>
      <w:r>
        <w:rPr>
          <w:rFonts w:hint="eastAsia" w:ascii="宋体" w:hAnsi="宋体" w:eastAsia="Arial" w:cs="宋体"/>
          <w:b/>
          <w:bCs/>
          <w:sz w:val="24"/>
          <w:szCs w:val="24"/>
          <w:lang w:val="en-US" w:eastAsia="zh-CN" w:bidi="ar-SA"/>
        </w:rPr>
        <w:t>2、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 w:bidi="ar-SA"/>
        </w:rPr>
        <w:t>远程运行维护</w:t>
      </w:r>
    </w:p>
    <w:p w14:paraId="00FCF66D">
      <w:pPr>
        <w:keepNext w:val="0"/>
        <w:keepLines w:val="0"/>
        <w:pageBreakBefore w:val="0"/>
        <w:widowControl/>
        <w:spacing w:line="360" w:lineRule="auto"/>
        <w:ind w:left="0" w:right="0" w:firstLine="48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2.1每日对监测数据进行远程审核,检查数据采集与传输状况，确认是否获取了相应设备的监测数据，对数据的真实准确性进行审核；</w:t>
      </w:r>
    </w:p>
    <w:p w14:paraId="364C15A7">
      <w:pPr>
        <w:keepNext w:val="0"/>
        <w:keepLines w:val="0"/>
        <w:pageBreakBefore w:val="0"/>
        <w:widowControl/>
        <w:spacing w:line="360" w:lineRule="auto"/>
        <w:ind w:left="0" w:right="0" w:firstLine="48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2.2当监测数据出现异常时，运维人员发送标样核查等质控指令，根据测试结果综合判断数据有效性，并将数据有效性判断结果提交至平台，实现远程质控；</w:t>
      </w:r>
    </w:p>
    <w:p w14:paraId="0AAD014E">
      <w:pPr>
        <w:keepNext w:val="0"/>
        <w:keepLines w:val="0"/>
        <w:pageBreakBefore w:val="0"/>
        <w:widowControl/>
        <w:spacing w:line="360" w:lineRule="auto"/>
        <w:ind w:left="0" w:right="0" w:firstLine="48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2.3对设备的整体运行状况进行远程监控，获取仪器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设备的关键参数，根据关键参数判断仪器运行情况，根据运行状态进行相应远程调试，如校时、复位、测试、校准等；</w:t>
      </w:r>
    </w:p>
    <w:p w14:paraId="32B24BC5">
      <w:pPr>
        <w:keepNext w:val="0"/>
        <w:keepLines w:val="0"/>
        <w:pageBreakBefore w:val="0"/>
        <w:widowControl/>
        <w:spacing w:line="360" w:lineRule="auto"/>
        <w:ind w:left="0" w:right="0" w:firstLine="48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2.4远程监视采水设施、水位、流量、站房内外等现场情况，如发现异常，做到及时响应。</w:t>
      </w:r>
    </w:p>
    <w:p w14:paraId="24E56940">
      <w:pPr>
        <w:keepNext/>
        <w:keepLines/>
        <w:pageBreakBefore w:val="0"/>
        <w:widowControl/>
        <w:numPr>
          <w:ilvl w:val="2"/>
          <w:numId w:val="0"/>
        </w:numPr>
        <w:spacing w:before="0" w:after="0" w:line="480" w:lineRule="auto"/>
        <w:ind w:left="0" w:right="0"/>
        <w:outlineLvl w:val="2"/>
        <w:rPr>
          <w:rFonts w:hint="eastAsia" w:ascii="宋体" w:hAnsi="宋体" w:eastAsia="宋体" w:cs="宋体"/>
          <w:b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 w:bidi="ar-SA"/>
        </w:rPr>
        <w:t>3、数据平台管理</w:t>
      </w:r>
    </w:p>
    <w:p w14:paraId="5F2E9545">
      <w:pPr>
        <w:keepNext w:val="0"/>
        <w:keepLines w:val="0"/>
        <w:pageBreakBefore w:val="0"/>
        <w:widowControl/>
        <w:spacing w:line="360" w:lineRule="auto"/>
        <w:ind w:left="0" w:right="0" w:firstLine="48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3.1系统调优：根据系统正常运行时的数据、系统调优前的各项数据、业主希望达到的各组件所占的性能消耗比例和允许调整空间，明确调优的优先级，完成系统性能调优，以适应新的业务规模和交易量。</w:t>
      </w:r>
    </w:p>
    <w:p w14:paraId="6FB2E728">
      <w:pPr>
        <w:keepNext w:val="0"/>
        <w:keepLines w:val="0"/>
        <w:pageBreakBefore w:val="0"/>
        <w:widowControl/>
        <w:spacing w:line="360" w:lineRule="auto"/>
        <w:ind w:left="0" w:right="0" w:firstLine="48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3.2故障排除：提供故障排除应急预案，并协助解决运行中所遇到的系统故障，使系统能尽快恢复正常运行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；提供电话、邮件、网络远程、现场故障服务受理；对重大故障提供现场支援，并提供系统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（除服务器外）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所需更换的备件。</w:t>
      </w:r>
    </w:p>
    <w:p w14:paraId="1EAE8587">
      <w:pPr>
        <w:keepNext w:val="0"/>
        <w:keepLines w:val="0"/>
        <w:pageBreakBefore w:val="0"/>
        <w:widowControl/>
        <w:spacing w:line="360" w:lineRule="auto"/>
        <w:ind w:left="0" w:right="0" w:firstLine="48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3.3系统迁移：根据需求，进行软件的升级和调整、提供系统迁移方案、相应的文档资料和技术支持。提供软件工作需要的各种数据集成和接口，根据系统迁移操作规范和系统迁移方案完成系统迁移，并提交相应系统迁移记录报告。</w:t>
      </w:r>
    </w:p>
    <w:p w14:paraId="0C8D0E62">
      <w:pPr>
        <w:keepNext w:val="0"/>
        <w:keepLines w:val="0"/>
        <w:pageBreakBefore w:val="0"/>
        <w:widowControl/>
        <w:spacing w:line="360" w:lineRule="auto"/>
        <w:ind w:left="0" w:right="0" w:firstLine="48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3.4健康监测：对系统进行定期健康检查，提交检查报告。</w:t>
      </w:r>
    </w:p>
    <w:p w14:paraId="3DDDD3EA">
      <w:pPr>
        <w:keepNext w:val="0"/>
        <w:keepLines w:val="0"/>
        <w:pageBreakBefore w:val="0"/>
        <w:widowControl/>
        <w:spacing w:line="360" w:lineRule="auto"/>
        <w:ind w:left="0" w:right="0" w:firstLine="48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3.5安全管理：对数据平台进行等保备案，加强生态环境网络安全。</w:t>
      </w:r>
    </w:p>
    <w:p w14:paraId="58276C6A">
      <w:pPr>
        <w:keepNext/>
        <w:keepLines/>
        <w:pageBreakBefore w:val="0"/>
        <w:widowControl/>
        <w:numPr>
          <w:ilvl w:val="2"/>
          <w:numId w:val="0"/>
        </w:numPr>
        <w:spacing w:before="0" w:after="0" w:line="480" w:lineRule="auto"/>
        <w:ind w:left="0" w:right="0"/>
        <w:outlineLvl w:val="2"/>
        <w:rPr>
          <w:rFonts w:hint="default" w:ascii="宋体" w:hAnsi="宋体" w:eastAsia="宋体" w:cs="宋体"/>
          <w:b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 w:bidi="ar-SA"/>
        </w:rPr>
        <w:t>4.</w:t>
      </w:r>
      <w:r>
        <w:rPr>
          <w:rFonts w:hint="default" w:ascii="宋体" w:hAnsi="宋体" w:eastAsia="宋体" w:cs="宋体"/>
          <w:b/>
          <w:sz w:val="24"/>
          <w:szCs w:val="24"/>
          <w:highlight w:val="none"/>
          <w:lang w:val="en-US" w:eastAsia="zh-CN" w:bidi="ar-SA"/>
        </w:rPr>
        <w:t>运维过程中主要完成以下工作</w:t>
      </w:r>
    </w:p>
    <w:p w14:paraId="56A7E781">
      <w:pPr>
        <w:pageBreakBefore w:val="0"/>
        <w:widowControl/>
        <w:tabs>
          <w:tab w:val="left" w:pos="567"/>
          <w:tab w:val="left" w:pos="993"/>
          <w:tab w:val="left" w:pos="2280"/>
        </w:tabs>
        <w:spacing w:line="480" w:lineRule="exact"/>
        <w:ind w:left="0" w:right="0" w:firstLine="480"/>
        <w:contextualSpacing/>
        <w:jc w:val="both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4.1</w:t>
      </w:r>
      <w:r>
        <w:rPr>
          <w:rFonts w:hint="default" w:ascii="宋体" w:hAnsi="宋体" w:eastAsia="宋体" w:cs="Times New Roman"/>
          <w:sz w:val="24"/>
          <w:szCs w:val="24"/>
          <w:highlight w:val="none"/>
        </w:rPr>
        <w:t>日常运行维护。提供、配制并定期更换监测仪器所需试剂、气体和标样；根据仪器运行状况和类型，定期对溶解氧电极、氨氮电极、pH电极、高锰酸盐指数电极、总磷UV等耗材进行更换，其余备品备件根据江苏省有关备品备件管理制度的要求按期更换。所有备品备件均由成交单位提供</w:t>
      </w:r>
      <w:r>
        <w:rPr>
          <w:rFonts w:hint="eastAsia" w:ascii="宋体" w:hAnsi="宋体" w:cs="Times New Roman"/>
          <w:sz w:val="24"/>
          <w:szCs w:val="24"/>
          <w:highlight w:val="none"/>
          <w:lang w:eastAsia="zh-CN"/>
        </w:rPr>
        <w:t>；承担监控设备的运行维护和故障维修</w:t>
      </w:r>
      <w:r>
        <w:rPr>
          <w:rFonts w:hint="default" w:ascii="宋体" w:hAnsi="宋体" w:eastAsia="宋体" w:cs="Times New Roman"/>
          <w:sz w:val="24"/>
          <w:szCs w:val="24"/>
          <w:highlight w:val="none"/>
        </w:rPr>
        <w:t>。</w:t>
      </w:r>
    </w:p>
    <w:p w14:paraId="11E8C94F">
      <w:pPr>
        <w:pageBreakBefore w:val="0"/>
        <w:widowControl/>
        <w:tabs>
          <w:tab w:val="left" w:pos="567"/>
          <w:tab w:val="left" w:pos="1800"/>
        </w:tabs>
        <w:spacing w:line="480" w:lineRule="exact"/>
        <w:ind w:left="0" w:right="0" w:firstLine="480"/>
        <w:contextualSpacing/>
        <w:jc w:val="both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4.2</w:t>
      </w:r>
      <w:r>
        <w:rPr>
          <w:rFonts w:hint="default" w:ascii="宋体" w:hAnsi="宋体" w:eastAsia="宋体" w:cs="Times New Roman"/>
          <w:sz w:val="24"/>
          <w:szCs w:val="24"/>
          <w:highlight w:val="none"/>
        </w:rPr>
        <w:t>日常质量管理。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仪器</w:t>
      </w:r>
      <w:r>
        <w:rPr>
          <w:rFonts w:hint="default" w:ascii="宋体" w:hAnsi="宋体" w:eastAsia="宋体" w:cs="Times New Roman"/>
          <w:sz w:val="24"/>
          <w:szCs w:val="24"/>
          <w:highlight w:val="none"/>
        </w:rPr>
        <w:t>仪表进行定期校准、核查、比对、性能测试。配合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highlight w:val="none"/>
        </w:rPr>
        <w:t>徐州市丰县生态环境局</w:t>
      </w:r>
      <w:r>
        <w:rPr>
          <w:rFonts w:hint="default" w:ascii="宋体" w:hAnsi="宋体" w:eastAsia="宋体" w:cs="Times New Roman"/>
          <w:sz w:val="24"/>
          <w:szCs w:val="24"/>
          <w:highlight w:val="none"/>
        </w:rPr>
        <w:t>进行质量保证和质量质控工作。</w:t>
      </w:r>
    </w:p>
    <w:p w14:paraId="656F6B89">
      <w:pPr>
        <w:pageBreakBefore w:val="0"/>
        <w:widowControl/>
        <w:tabs>
          <w:tab w:val="left" w:pos="567"/>
          <w:tab w:val="left" w:pos="2280"/>
        </w:tabs>
        <w:spacing w:line="480" w:lineRule="exact"/>
        <w:ind w:left="0" w:right="0" w:firstLine="480"/>
        <w:contextualSpacing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4.3</w:t>
      </w:r>
      <w:r>
        <w:rPr>
          <w:rFonts w:hint="default" w:ascii="宋体" w:hAnsi="宋体" w:eastAsia="宋体" w:cs="Times New Roman"/>
          <w:sz w:val="24"/>
          <w:szCs w:val="24"/>
        </w:rPr>
        <w:t>日常安全管</w:t>
      </w:r>
      <w:r>
        <w:rPr>
          <w:rFonts w:hint="default" w:ascii="宋体" w:hAnsi="宋体" w:eastAsia="宋体" w:cs="Times New Roman"/>
          <w:sz w:val="24"/>
          <w:szCs w:val="24"/>
          <w:highlight w:val="none"/>
        </w:rPr>
        <w:t>理。运营维护期间所需水电、通讯费用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微型站网络流量费和萤石云系统云空间服务费</w:t>
      </w:r>
      <w:r>
        <w:rPr>
          <w:rFonts w:hint="default" w:ascii="宋体" w:hAnsi="宋体" w:eastAsia="宋体" w:cs="Times New Roman"/>
          <w:sz w:val="24"/>
          <w:szCs w:val="24"/>
          <w:highlight w:val="none"/>
        </w:rPr>
        <w:t>由成交单位负责，委托运营维护及管理的全部资产（包括全部产权和建筑物、设备、软件、配套设施、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微型站</w:t>
      </w:r>
      <w:r>
        <w:rPr>
          <w:rFonts w:hint="default" w:ascii="宋体" w:hAnsi="宋体" w:eastAsia="宋体" w:cs="Times New Roman"/>
          <w:sz w:val="24"/>
          <w:szCs w:val="24"/>
        </w:rPr>
        <w:t>站和配套系统产生的各类数据信息及相关文档资料）属业主方所有。成交人不得以任何方式对各类财产进行出售、抵押或转移；同时，在委托运营及管理期间，成交单位有责任保证上述全部资产的完整、安全并处于良好状态。</w:t>
      </w:r>
    </w:p>
    <w:p w14:paraId="5CEE8A5C">
      <w:pPr>
        <w:pageBreakBefore w:val="0"/>
        <w:widowControl/>
        <w:tabs>
          <w:tab w:val="left" w:pos="567"/>
          <w:tab w:val="left" w:pos="2280"/>
        </w:tabs>
        <w:spacing w:line="480" w:lineRule="exact"/>
        <w:ind w:left="0" w:right="0" w:firstLine="360"/>
        <w:contextualSpacing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4.3</w:t>
      </w:r>
      <w:r>
        <w:rPr>
          <w:rFonts w:hint="default" w:ascii="宋体" w:hAnsi="宋体" w:eastAsia="宋体" w:cs="Times New Roman"/>
          <w:sz w:val="24"/>
          <w:szCs w:val="24"/>
        </w:rPr>
        <w:t>运维记录的规范、上报。认真、及时做好运行维护记录，汇总各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站</w:t>
      </w:r>
      <w:r>
        <w:rPr>
          <w:rFonts w:hint="default" w:ascii="宋体" w:hAnsi="宋体" w:eastAsia="宋体" w:cs="Times New Roman"/>
          <w:sz w:val="24"/>
          <w:szCs w:val="24"/>
        </w:rPr>
        <w:t>每周维护记录，每月以书面形式报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徐州市丰县生态环境局</w:t>
      </w:r>
      <w:r>
        <w:rPr>
          <w:rFonts w:hint="default" w:ascii="宋体" w:hAnsi="宋体" w:eastAsia="宋体" w:cs="Times New Roman"/>
          <w:sz w:val="24"/>
          <w:szCs w:val="24"/>
        </w:rPr>
        <w:t>，书面报告作为运行维护考核依据之一，具体包括：</w:t>
      </w:r>
    </w:p>
    <w:p w14:paraId="30B314F5">
      <w:pPr>
        <w:pageBreakBefore w:val="0"/>
        <w:widowControl/>
        <w:tabs>
          <w:tab w:val="left" w:pos="567"/>
          <w:tab w:val="left" w:pos="993"/>
          <w:tab w:val="left" w:pos="2280"/>
        </w:tabs>
        <w:spacing w:line="480" w:lineRule="exact"/>
        <w:ind w:left="0" w:right="0" w:firstLine="480"/>
        <w:contextualSpacing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4.3.1</w:t>
      </w:r>
      <w:r>
        <w:rPr>
          <w:rFonts w:hint="default" w:ascii="宋体" w:hAnsi="宋体" w:eastAsia="宋体" w:cs="Times New Roman"/>
          <w:sz w:val="24"/>
          <w:szCs w:val="24"/>
        </w:rPr>
        <w:t>每日运行数据情况统计</w:t>
      </w:r>
    </w:p>
    <w:p w14:paraId="2E9DA79A">
      <w:pPr>
        <w:pageBreakBefore w:val="0"/>
        <w:widowControl/>
        <w:tabs>
          <w:tab w:val="left" w:pos="567"/>
          <w:tab w:val="left" w:pos="993"/>
          <w:tab w:val="left" w:pos="2280"/>
        </w:tabs>
        <w:spacing w:line="480" w:lineRule="exact"/>
        <w:ind w:left="0" w:right="0" w:firstLine="480"/>
        <w:contextualSpacing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4.3.2</w:t>
      </w:r>
      <w:r>
        <w:rPr>
          <w:rFonts w:hint="default" w:ascii="宋体" w:hAnsi="宋体" w:eastAsia="宋体" w:cs="Times New Roman"/>
          <w:sz w:val="24"/>
          <w:szCs w:val="24"/>
        </w:rPr>
        <w:t>现场维护记录</w:t>
      </w:r>
    </w:p>
    <w:p w14:paraId="3D856606">
      <w:pPr>
        <w:pageBreakBefore w:val="0"/>
        <w:widowControl/>
        <w:tabs>
          <w:tab w:val="left" w:pos="567"/>
          <w:tab w:val="left" w:pos="993"/>
          <w:tab w:val="left" w:pos="2280"/>
        </w:tabs>
        <w:spacing w:line="480" w:lineRule="exact"/>
        <w:ind w:left="0" w:right="0" w:firstLine="480"/>
        <w:contextualSpacing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4.3.3</w:t>
      </w:r>
      <w:r>
        <w:rPr>
          <w:rFonts w:hint="default" w:ascii="宋体" w:hAnsi="宋体" w:eastAsia="宋体" w:cs="Times New Roman"/>
          <w:sz w:val="24"/>
          <w:szCs w:val="24"/>
        </w:rPr>
        <w:t>仪器设备故障及排除情况登记表</w:t>
      </w:r>
    </w:p>
    <w:p w14:paraId="37F42C82">
      <w:pPr>
        <w:pageBreakBefore w:val="0"/>
        <w:widowControl/>
        <w:tabs>
          <w:tab w:val="left" w:pos="567"/>
          <w:tab w:val="left" w:pos="993"/>
          <w:tab w:val="left" w:pos="2280"/>
        </w:tabs>
        <w:spacing w:line="480" w:lineRule="exact"/>
        <w:ind w:left="0" w:right="0" w:firstLine="480"/>
        <w:contextualSpacing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4.3.4</w:t>
      </w:r>
      <w:r>
        <w:rPr>
          <w:rFonts w:hint="default" w:ascii="宋体" w:hAnsi="宋体" w:eastAsia="宋体" w:cs="Times New Roman"/>
          <w:sz w:val="24"/>
          <w:szCs w:val="24"/>
        </w:rPr>
        <w:t>每月运行情况</w:t>
      </w:r>
    </w:p>
    <w:p w14:paraId="388907DF">
      <w:pPr>
        <w:pageBreakBefore w:val="0"/>
        <w:widowControl/>
        <w:tabs>
          <w:tab w:val="left" w:pos="567"/>
          <w:tab w:val="left" w:pos="993"/>
          <w:tab w:val="left" w:pos="2280"/>
        </w:tabs>
        <w:spacing w:line="480" w:lineRule="exact"/>
        <w:ind w:left="0" w:right="0" w:firstLine="480"/>
        <w:contextualSpacing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4.3.5</w:t>
      </w:r>
      <w:r>
        <w:rPr>
          <w:rFonts w:hint="default" w:ascii="宋体" w:hAnsi="宋体" w:eastAsia="宋体" w:cs="Times New Roman"/>
          <w:sz w:val="24"/>
          <w:szCs w:val="24"/>
        </w:rPr>
        <w:t>备品备件管理登记表</w:t>
      </w:r>
    </w:p>
    <w:p w14:paraId="6B3D9548">
      <w:pPr>
        <w:pageBreakBefore w:val="0"/>
        <w:widowControl/>
        <w:tabs>
          <w:tab w:val="left" w:pos="567"/>
          <w:tab w:val="left" w:pos="709"/>
          <w:tab w:val="left" w:pos="750"/>
        </w:tabs>
        <w:spacing w:line="480" w:lineRule="exact"/>
        <w:ind w:left="0" w:right="0" w:firstLine="480"/>
        <w:contextualSpacing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4.4</w:t>
      </w:r>
      <w:r>
        <w:rPr>
          <w:rFonts w:hint="default" w:ascii="宋体" w:hAnsi="宋体" w:eastAsia="宋体" w:cs="Times New Roman"/>
          <w:sz w:val="24"/>
          <w:szCs w:val="24"/>
        </w:rPr>
        <w:t>仪器设备及其他相关辅助设备设施的维护保养及故障维修。成交单位须针对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设备</w:t>
      </w:r>
      <w:r>
        <w:rPr>
          <w:rFonts w:hint="default" w:ascii="宋体" w:hAnsi="宋体" w:eastAsia="宋体" w:cs="Times New Roman"/>
          <w:sz w:val="24"/>
          <w:szCs w:val="24"/>
        </w:rPr>
        <w:t>系统和仪表制定年度保养检修计划并按期进行。保养检修包括系统的清洗和检修、仪器管路清洗、主要备件的更换、仪器的性能测试检查等内容。按照《江苏省环境水质（地表水）自动监测预警系统运行管理办法（试行）》要求，及时排除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设备</w:t>
      </w:r>
      <w:r>
        <w:rPr>
          <w:rFonts w:hint="default" w:ascii="宋体" w:hAnsi="宋体" w:eastAsia="宋体" w:cs="Times New Roman"/>
          <w:sz w:val="24"/>
          <w:szCs w:val="24"/>
        </w:rPr>
        <w:t>系统和仪表出现的故障，并对各种原因造成的仪器故障进行维修（由于地震、洪水和战争等不可预防和不可抗拒因素造成的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设备</w:t>
      </w:r>
      <w:r>
        <w:rPr>
          <w:rFonts w:hint="default" w:ascii="宋体" w:hAnsi="宋体" w:eastAsia="宋体" w:cs="Times New Roman"/>
          <w:sz w:val="24"/>
          <w:szCs w:val="24"/>
        </w:rPr>
        <w:t>系统及仪器损坏除外）。</w:t>
      </w:r>
    </w:p>
    <w:p w14:paraId="2CF42D90">
      <w:pPr>
        <w:pageBreakBefore w:val="0"/>
        <w:widowControl/>
        <w:tabs>
          <w:tab w:val="left" w:pos="567"/>
          <w:tab w:val="left" w:pos="709"/>
          <w:tab w:val="left" w:pos="750"/>
        </w:tabs>
        <w:spacing w:line="480" w:lineRule="exact"/>
        <w:ind w:left="0" w:right="0" w:firstLine="480"/>
        <w:contextualSpacing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4.5</w:t>
      </w:r>
      <w:r>
        <w:rPr>
          <w:rFonts w:hint="default" w:ascii="宋体" w:hAnsi="宋体" w:eastAsia="宋体" w:cs="Times New Roman"/>
          <w:sz w:val="24"/>
          <w:szCs w:val="24"/>
        </w:rPr>
        <w:t>数据采集及传输系统的维护及维修，保证通讯正常。</w:t>
      </w:r>
    </w:p>
    <w:p w14:paraId="4CD3DE17">
      <w:pPr>
        <w:pageBreakBefore w:val="0"/>
        <w:widowControl/>
        <w:tabs>
          <w:tab w:val="left" w:pos="567"/>
          <w:tab w:val="left" w:pos="709"/>
          <w:tab w:val="left" w:pos="750"/>
        </w:tabs>
        <w:spacing w:line="480" w:lineRule="exact"/>
        <w:ind w:left="0" w:right="0" w:firstLine="480"/>
        <w:contextualSpacing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4.6</w:t>
      </w:r>
      <w:r>
        <w:rPr>
          <w:rFonts w:hint="default" w:ascii="宋体" w:hAnsi="宋体" w:eastAsia="宋体" w:cs="Times New Roman"/>
          <w:sz w:val="24"/>
          <w:szCs w:val="24"/>
        </w:rPr>
        <w:t>当仪器出现故障不能及时修复时，应在24小时之内使用备机开展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工作。</w:t>
      </w:r>
    </w:p>
    <w:p w14:paraId="5B1C5DBB">
      <w:pPr>
        <w:pageBreakBefore w:val="0"/>
        <w:widowControl/>
        <w:tabs>
          <w:tab w:val="left" w:pos="567"/>
          <w:tab w:val="left" w:pos="709"/>
          <w:tab w:val="left" w:pos="750"/>
        </w:tabs>
        <w:spacing w:line="480" w:lineRule="exact"/>
        <w:ind w:left="0" w:right="0" w:firstLine="480"/>
        <w:contextualSpacing/>
        <w:jc w:val="both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4.7</w:t>
      </w:r>
      <w:r>
        <w:rPr>
          <w:rFonts w:hint="default" w:ascii="宋体" w:hAnsi="宋体" w:eastAsia="宋体" w:cs="Times New Roman"/>
          <w:sz w:val="24"/>
          <w:szCs w:val="24"/>
        </w:rPr>
        <w:t>仪器报废后（因洪水、地震、台风、站房外部火灾、爆炸、恐怖袭击、武装冲突、蓄意破坏等不可抗力导致），运维单位须先行及时使用备机开展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工作</w:t>
      </w:r>
      <w:r>
        <w:rPr>
          <w:rFonts w:hint="default" w:ascii="宋体" w:hAnsi="宋体" w:eastAsia="宋体" w:cs="Times New Roman"/>
          <w:sz w:val="24"/>
          <w:szCs w:val="24"/>
        </w:rPr>
        <w:t>，同时报告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徐州市丰县生态环境局</w:t>
      </w:r>
      <w:r>
        <w:rPr>
          <w:rFonts w:hint="default" w:ascii="宋体" w:hAnsi="宋体" w:eastAsia="宋体" w:cs="Times New Roman"/>
          <w:sz w:val="24"/>
          <w:szCs w:val="24"/>
        </w:rPr>
        <w:t>。</w:t>
      </w:r>
    </w:p>
    <w:p w14:paraId="4B8AECC6">
      <w:pPr>
        <w:pageBreakBefore w:val="0"/>
        <w:widowControl/>
        <w:tabs>
          <w:tab w:val="left" w:pos="567"/>
          <w:tab w:val="left" w:pos="709"/>
          <w:tab w:val="left" w:pos="993"/>
        </w:tabs>
        <w:spacing w:line="480" w:lineRule="exact"/>
        <w:ind w:left="0" w:right="0" w:firstLine="480"/>
        <w:contextualSpacing/>
        <w:jc w:val="both"/>
        <w:rPr>
          <w:rFonts w:hint="default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4.8</w:t>
      </w:r>
      <w:r>
        <w:rPr>
          <w:rFonts w:hint="default" w:ascii="宋体" w:hAnsi="宋体" w:eastAsia="宋体" w:cs="Times New Roman"/>
          <w:sz w:val="24"/>
          <w:szCs w:val="24"/>
        </w:rPr>
        <w:t>当点位需要新增、撤销、变更时，由所在地城市生态环境部门按照点位管理程序向省生态环境厅报批。涉及站点迁移的，运维单位应做好迁移前后仪器设备检查工作并做好相关记录。</w:t>
      </w:r>
    </w:p>
    <w:p w14:paraId="612BC043">
      <w:pPr>
        <w:pageBreakBefore w:val="0"/>
        <w:widowControl/>
        <w:tabs>
          <w:tab w:val="left" w:pos="2280"/>
        </w:tabs>
        <w:spacing w:line="480" w:lineRule="exact"/>
        <w:ind w:left="0" w:right="0" w:firstLine="480"/>
        <w:contextualSpacing/>
        <w:jc w:val="both"/>
        <w:rPr>
          <w:rFonts w:hint="eastAsia" w:ascii="宋体" w:hAnsi="宋体" w:eastAsia="宋体" w:cs="Times New Roman"/>
          <w:iCs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Times New Roman"/>
          <w:iCs/>
          <w:sz w:val="24"/>
          <w:szCs w:val="24"/>
        </w:rPr>
        <w:t>供应商应制定</w:t>
      </w:r>
      <w:r>
        <w:rPr>
          <w:rFonts w:hint="default" w:ascii="宋体" w:hAnsi="宋体" w:eastAsia="宋体" w:cs="Times New Roman"/>
          <w:iCs/>
          <w:sz w:val="24"/>
          <w:szCs w:val="24"/>
        </w:rPr>
        <w:t>应急事故处理方案</w:t>
      </w:r>
      <w:r>
        <w:rPr>
          <w:rFonts w:hint="eastAsia" w:ascii="宋体" w:hAnsi="宋体" w:eastAsia="宋体" w:cs="Times New Roman"/>
          <w:iCs/>
          <w:sz w:val="24"/>
          <w:szCs w:val="24"/>
        </w:rPr>
        <w:t>，</w:t>
      </w:r>
      <w:r>
        <w:rPr>
          <w:rFonts w:hint="default" w:ascii="宋体" w:hAnsi="宋体" w:eastAsia="宋体" w:cs="Times New Roman"/>
          <w:iCs/>
          <w:sz w:val="24"/>
          <w:szCs w:val="24"/>
        </w:rPr>
        <w:t>内容包括突发性水质污染、特殊时期（丰水期、枯水期）、自然灾害、水电检修、临时停电或节假日、重大活动或被破坏情况</w:t>
      </w:r>
      <w:r>
        <w:rPr>
          <w:rFonts w:hint="eastAsia" w:ascii="宋体" w:hAnsi="宋体" w:eastAsia="宋体" w:cs="Times New Roman"/>
          <w:iCs/>
          <w:sz w:val="24"/>
          <w:szCs w:val="24"/>
        </w:rPr>
        <w:t>。</w:t>
      </w:r>
    </w:p>
    <w:p w14:paraId="0D85D765">
      <w:pPr>
        <w:pageBreakBefore w:val="0"/>
        <w:widowControl/>
        <w:tabs>
          <w:tab w:val="left" w:pos="2280"/>
        </w:tabs>
        <w:spacing w:line="480" w:lineRule="exact"/>
        <w:ind w:left="0" w:right="0" w:firstLine="480"/>
        <w:contextualSpacing/>
        <w:jc w:val="both"/>
        <w:rPr>
          <w:rFonts w:hint="eastAsia" w:ascii="Times New Roman" w:hAnsi="Times New Roman" w:eastAsia="宋体" w:cs="Times New Roman"/>
          <w:sz w:val="20"/>
          <w:lang w:val="en-US" w:eastAsia="zh-CN"/>
        </w:rPr>
      </w:pPr>
      <w:r>
        <w:rPr>
          <w:rFonts w:hint="eastAsia" w:ascii="宋体" w:hAnsi="宋体" w:eastAsia="宋体" w:cs="Times New Roman"/>
          <w:iCs/>
          <w:sz w:val="24"/>
          <w:szCs w:val="24"/>
          <w:lang w:val="en-US" w:eastAsia="zh-CN"/>
        </w:rPr>
        <w:t>6、</w:t>
      </w:r>
      <w:r>
        <w:rPr>
          <w:rFonts w:hint="default" w:ascii="宋体" w:hAnsi="宋体" w:eastAsia="宋体" w:cs="Times New Roman"/>
          <w:sz w:val="24"/>
          <w:szCs w:val="24"/>
        </w:rPr>
        <w:t>当水站数据发现异常或发现所在断面发生污染事故时，须2小时内到达站点核查仪器运行状态，保证系统仪器正常运行，数据准确，传输畅通，并协助进行手工监测复核。</w:t>
      </w:r>
    </w:p>
    <w:p w14:paraId="706386B7">
      <w:pPr>
        <w:pageBreakBefore w:val="0"/>
        <w:widowControl/>
        <w:tabs>
          <w:tab w:val="left" w:pos="2280"/>
        </w:tabs>
        <w:spacing w:line="480" w:lineRule="exact"/>
        <w:ind w:left="0" w:right="0" w:firstLine="480"/>
        <w:contextualSpacing/>
        <w:jc w:val="both"/>
        <w:rPr>
          <w:rFonts w:hint="eastAsia" w:ascii="Times New Roman" w:hAnsi="Times New Roman" w:eastAsia="宋体" w:cs="Times New Roman"/>
          <w:sz w:val="20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7、</w:t>
      </w:r>
      <w:r>
        <w:rPr>
          <w:rFonts w:hint="default" w:ascii="宋体" w:hAnsi="宋体" w:eastAsia="宋体" w:cs="Times New Roman"/>
          <w:sz w:val="24"/>
          <w:szCs w:val="24"/>
        </w:rPr>
        <w:t>当水质自动站系统仪器出现故障、停运时，成交单位应保证在2小时内到达现场检修，如24小时内无法排除故障，导致水站主要监测指标无法连续监测时，须在48小时内更换备机；因水电中断或采水故障，水站无法正常运行的，应委托有资质的检测机构进行检测以确保数据的完整性，实验室检测数据不少于每周两组（不得为同一天监测）。并及时用电话与书面形式报告业主，协商处理方案。</w:t>
      </w:r>
    </w:p>
    <w:p w14:paraId="55BCADE6">
      <w:pPr>
        <w:tabs>
          <w:tab w:val="left" w:pos="2280"/>
        </w:tabs>
        <w:spacing w:line="360" w:lineRule="auto"/>
        <w:ind w:firstLine="480"/>
        <w:contextualSpacing/>
        <w:jc w:val="both"/>
        <w:rPr>
          <w:rFonts w:hint="eastAsia" w:ascii="宋体" w:hAnsi="宋体" w:eastAsia="宋体" w:cs="Times New Roman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/>
          <w:sz w:val="24"/>
          <w:szCs w:val="24"/>
          <w:lang w:val="en-US" w:eastAsia="zh-CN"/>
        </w:rPr>
        <w:t>四、人员及车辆要求</w:t>
      </w:r>
    </w:p>
    <w:p w14:paraId="5BCCDEF4">
      <w:pPr>
        <w:keepNext w:val="0"/>
        <w:keepLines w:val="0"/>
        <w:pageBreakBefore w:val="0"/>
        <w:widowControl/>
        <w:spacing w:line="360" w:lineRule="auto"/>
        <w:ind w:firstLine="48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1、派驻现场的运维团队需要拥有明确的组织架构和工作分工，服务商须指派1名针对本项目的总协调人，保障本项目资源协调和统筹运维工作；指派1名针对本项目的技术负责人，保障本项目技术支持工作。</w:t>
      </w:r>
    </w:p>
    <w:p w14:paraId="2F072C23">
      <w:pPr>
        <w:keepNext w:val="0"/>
        <w:keepLines w:val="0"/>
        <w:pageBreakBefore w:val="0"/>
        <w:widowControl/>
        <w:spacing w:line="360" w:lineRule="auto"/>
        <w:ind w:firstLine="48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运维期间配备运维人员4名，其中现场运维人员2名、远程管理人员1名、运维报告编制人员1名，负责设备巡检、数据核对校准、突发事件应急巡查、设备及监测数据的远程维护、运维报告编制等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。以上人员要求身体健康，无残疾，具有能顺利完成本项目拟任岗位的能力。</w:t>
      </w:r>
    </w:p>
    <w:p w14:paraId="4889D939">
      <w:pPr>
        <w:keepNext w:val="0"/>
        <w:keepLines w:val="0"/>
        <w:pageBreakBefore w:val="0"/>
        <w:widowControl/>
        <w:spacing w:line="360" w:lineRule="auto"/>
        <w:ind w:firstLine="48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3、运维期间须至少提供1辆汽车用于现场巡查等工作。</w:t>
      </w:r>
    </w:p>
    <w:p w14:paraId="24AF00E5">
      <w:pPr>
        <w:tabs>
          <w:tab w:val="left" w:pos="2280"/>
        </w:tabs>
        <w:spacing w:line="360" w:lineRule="auto"/>
        <w:ind w:firstLine="480"/>
        <w:contextualSpacing/>
        <w:jc w:val="both"/>
        <w:rPr>
          <w:rFonts w:hint="eastAsia" w:ascii="宋体" w:hAnsi="宋体" w:eastAsia="宋体" w:cs="Times New Roman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/>
          <w:sz w:val="24"/>
          <w:szCs w:val="24"/>
          <w:lang w:val="en-US" w:eastAsia="zh-CN"/>
        </w:rPr>
        <w:t>五、其他要求</w:t>
      </w:r>
    </w:p>
    <w:p w14:paraId="401104B9">
      <w:pPr>
        <w:keepNext w:val="0"/>
        <w:keepLines w:val="0"/>
        <w:pageBreakBefore w:val="0"/>
        <w:widowControl/>
        <w:spacing w:line="360" w:lineRule="auto"/>
        <w:ind w:firstLine="48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1、每个点位每半年出1份设备数据比对报告。</w:t>
      </w:r>
    </w:p>
    <w:p w14:paraId="675A2E8F">
      <w:pPr>
        <w:keepNext w:val="0"/>
        <w:keepLines w:val="0"/>
        <w:pageBreakBefore w:val="0"/>
        <w:widowControl/>
        <w:spacing w:line="360" w:lineRule="auto"/>
        <w:ind w:firstLine="48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2、每季度对在线监测数据进行人工监测校核，包括水质自动监测设备运行期定期采样检测的费用。</w:t>
      </w:r>
    </w:p>
    <w:p w14:paraId="5F46638C">
      <w:pPr>
        <w:keepNext w:val="0"/>
        <w:keepLines w:val="0"/>
        <w:pageBreakBefore w:val="0"/>
        <w:widowControl/>
        <w:spacing w:line="360" w:lineRule="auto"/>
        <w:ind w:firstLine="48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3、运维期间定期对设备进行检修、维修、易损器材更换等，对入河排污口动态管理平台进行平台维护、系统升级。</w:t>
      </w:r>
    </w:p>
    <w:p w14:paraId="412721E8">
      <w:pPr>
        <w:keepNext w:val="0"/>
        <w:keepLines w:val="0"/>
        <w:pageBreakBefore w:val="0"/>
        <w:widowControl/>
        <w:spacing w:line="360" w:lineRule="auto"/>
        <w:ind w:firstLine="48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</w:t>
      </w:r>
      <w:r>
        <w:rPr>
          <w:rFonts w:hint="default" w:ascii="宋体" w:hAnsi="宋体" w:eastAsia="宋体" w:cs="Times New Roman"/>
          <w:sz w:val="24"/>
          <w:szCs w:val="24"/>
        </w:rPr>
        <w:t>运维单位应遵守省国家、省关于水质自动站运行管理的各项规定，如运维期间出台新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的运行管理规定，则运维工作按最新规定执行。</w:t>
      </w:r>
    </w:p>
    <w:p w14:paraId="5F4FD065">
      <w:pPr>
        <w:keepNext w:val="0"/>
        <w:keepLines w:val="0"/>
        <w:pageBreakBefore w:val="0"/>
        <w:widowControl/>
        <w:spacing w:line="360" w:lineRule="auto"/>
        <w:ind w:firstLine="48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运维单位需认真落实质量管理制度，建立完善的运行维护工作质量管理体系，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按照《环境水质（地表水）自动监测站运行维护技术规范》（DB32/T4536-2023）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等规定要求，定期开展质控核查、水样比对、加标回收和系统干预检查等质控工作。</w:t>
      </w:r>
    </w:p>
    <w:p w14:paraId="7DF92766">
      <w:pPr>
        <w:tabs>
          <w:tab w:val="left" w:pos="2280"/>
        </w:tabs>
        <w:spacing w:line="480" w:lineRule="exact"/>
        <w:ind w:firstLine="480"/>
        <w:contextualSpacing/>
        <w:jc w:val="both"/>
        <w:rPr>
          <w:rFonts w:hint="default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</w:t>
      </w:r>
      <w:r>
        <w:rPr>
          <w:rFonts w:hint="default" w:ascii="宋体" w:hAnsi="宋体" w:eastAsia="宋体" w:cs="Times New Roman"/>
          <w:sz w:val="24"/>
          <w:szCs w:val="24"/>
        </w:rPr>
        <w:t>运维单位必须接受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徐州市丰县生态环境局</w:t>
      </w:r>
      <w:r>
        <w:rPr>
          <w:rFonts w:hint="default" w:ascii="宋体" w:hAnsi="宋体" w:eastAsia="宋体" w:cs="Times New Roman"/>
          <w:sz w:val="24"/>
          <w:szCs w:val="24"/>
        </w:rPr>
        <w:t>及其委托单位和人员的质量检查。</w:t>
      </w:r>
    </w:p>
    <w:p w14:paraId="31F3AB2B">
      <w:pPr>
        <w:tabs>
          <w:tab w:val="left" w:pos="2280"/>
        </w:tabs>
        <w:spacing w:line="480" w:lineRule="exact"/>
        <w:ind w:firstLine="480"/>
        <w:contextualSpacing/>
        <w:jc w:val="both"/>
        <w:rPr>
          <w:rFonts w:hint="default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7、</w:t>
      </w:r>
      <w:r>
        <w:rPr>
          <w:rFonts w:hint="default" w:ascii="宋体" w:hAnsi="宋体" w:eastAsia="宋体" w:cs="Times New Roman"/>
          <w:sz w:val="24"/>
          <w:szCs w:val="24"/>
        </w:rPr>
        <w:t>成交单位负责与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徐州市丰县生态环境局</w:t>
      </w:r>
      <w:r>
        <w:rPr>
          <w:rFonts w:hint="default" w:ascii="宋体" w:hAnsi="宋体" w:eastAsia="宋体" w:cs="Times New Roman"/>
          <w:sz w:val="24"/>
          <w:szCs w:val="24"/>
        </w:rPr>
        <w:t>对水站的资产进行清点、测试和查验，以及相关档案资料的移交等。</w:t>
      </w:r>
    </w:p>
    <w:p w14:paraId="10930361">
      <w:pPr>
        <w:tabs>
          <w:tab w:val="left" w:pos="2280"/>
        </w:tabs>
        <w:spacing w:line="360" w:lineRule="auto"/>
        <w:ind w:firstLine="480"/>
        <w:contextualSpacing/>
        <w:jc w:val="both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  <w:lang w:val="en-US" w:eastAsia="zh-CN"/>
        </w:rPr>
        <w:t>六、</w:t>
      </w:r>
      <w:r>
        <w:rPr>
          <w:rFonts w:hint="default" w:ascii="宋体" w:hAnsi="宋体" w:eastAsia="宋体" w:cs="Times New Roman"/>
          <w:b/>
          <w:sz w:val="24"/>
          <w:szCs w:val="24"/>
        </w:rPr>
        <w:t>参考</w:t>
      </w:r>
      <w:r>
        <w:rPr>
          <w:rFonts w:hint="eastAsia" w:ascii="宋体" w:hAnsi="宋体" w:eastAsia="宋体" w:cs="Times New Roman"/>
          <w:b/>
          <w:sz w:val="24"/>
          <w:szCs w:val="24"/>
          <w:lang w:eastAsia="zh-CN"/>
        </w:rPr>
        <w:t>或参照</w:t>
      </w:r>
      <w:r>
        <w:rPr>
          <w:rFonts w:hint="default" w:ascii="宋体" w:hAnsi="宋体" w:eastAsia="宋体" w:cs="Times New Roman"/>
          <w:b/>
          <w:sz w:val="24"/>
          <w:szCs w:val="24"/>
        </w:rPr>
        <w:t>技术规范和标准</w:t>
      </w:r>
    </w:p>
    <w:p w14:paraId="4C69B150">
      <w:pPr>
        <w:spacing w:line="360" w:lineRule="auto"/>
        <w:ind w:firstLine="480"/>
        <w:jc w:val="both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宋体" w:hAnsi="宋体" w:eastAsia="宋体" w:cs="Times New Roman"/>
          <w:sz w:val="24"/>
          <w:szCs w:val="24"/>
          <w:highlight w:val="none"/>
        </w:rPr>
        <w:t>1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、</w:t>
      </w:r>
      <w:r>
        <w:rPr>
          <w:rFonts w:hint="default" w:ascii="宋体" w:hAnsi="宋体" w:eastAsia="宋体" w:cs="Times New Roman"/>
          <w:sz w:val="24"/>
          <w:szCs w:val="24"/>
          <w:highlight w:val="none"/>
        </w:rPr>
        <w:t>国家环境保护总局发布的相关水质在线监测技术标准</w:t>
      </w:r>
    </w:p>
    <w:p w14:paraId="50AB548A">
      <w:pPr>
        <w:spacing w:line="360" w:lineRule="auto"/>
        <w:ind w:firstLine="480"/>
        <w:jc w:val="both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宋体" w:hAnsi="宋体" w:eastAsia="宋体" w:cs="Times New Roman"/>
          <w:sz w:val="24"/>
          <w:szCs w:val="24"/>
          <w:highlight w:val="none"/>
        </w:rPr>
        <w:t>2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、</w:t>
      </w:r>
      <w:r>
        <w:rPr>
          <w:rFonts w:hint="default" w:ascii="宋体" w:hAnsi="宋体" w:eastAsia="宋体" w:cs="Times New Roman"/>
          <w:sz w:val="24"/>
          <w:szCs w:val="24"/>
          <w:highlight w:val="none"/>
        </w:rPr>
        <w:t>国家标准方法和《水和废水监测分析方法》</w:t>
      </w:r>
    </w:p>
    <w:p w14:paraId="1A5B9613">
      <w:pPr>
        <w:spacing w:line="360" w:lineRule="auto"/>
        <w:ind w:firstLine="480"/>
        <w:jc w:val="both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宋体" w:hAnsi="宋体" w:eastAsia="宋体" w:cs="Times New Roman"/>
          <w:sz w:val="24"/>
          <w:szCs w:val="24"/>
          <w:highlight w:val="none"/>
        </w:rPr>
        <w:t>3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、</w:t>
      </w:r>
      <w:r>
        <w:rPr>
          <w:rFonts w:hint="default" w:ascii="宋体" w:hAnsi="宋体" w:eastAsia="宋体" w:cs="Times New Roman"/>
          <w:sz w:val="24"/>
          <w:szCs w:val="24"/>
          <w:highlight w:val="none"/>
        </w:rPr>
        <w:t>《国家地表水水质自动监测站运行管理办法》</w:t>
      </w:r>
    </w:p>
    <w:p w14:paraId="07371446">
      <w:pPr>
        <w:spacing w:line="360" w:lineRule="auto"/>
        <w:ind w:firstLine="480"/>
        <w:jc w:val="both"/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Times New Roman"/>
          <w:sz w:val="24"/>
          <w:szCs w:val="24"/>
          <w:highlight w:val="none"/>
        </w:rPr>
        <w:t>4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《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环境水质（地表水）自动监测站运行维护技术规范</w:t>
      </w:r>
      <w:r>
        <w:rPr>
          <w:rFonts w:hint="eastAsia" w:ascii="宋体" w:hAnsi="宋体" w:eastAsia="宋体" w:cs="Times New Roman"/>
          <w:sz w:val="24"/>
          <w:szCs w:val="24"/>
          <w:highlight w:val="none"/>
        </w:rPr>
        <w:t>》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val="en-US" w:eastAsia="zh-CN"/>
        </w:rPr>
        <w:t>DB32/T4536-2023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）</w:t>
      </w:r>
    </w:p>
    <w:p w14:paraId="76FAE329">
      <w:pPr>
        <w:spacing w:line="360" w:lineRule="auto"/>
        <w:ind w:firstLine="480"/>
        <w:jc w:val="both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宋体" w:hAnsi="宋体" w:eastAsia="宋体" w:cs="Times New Roman"/>
          <w:sz w:val="24"/>
          <w:szCs w:val="24"/>
          <w:highlight w:val="none"/>
        </w:rPr>
        <w:t>5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、</w:t>
      </w:r>
      <w:r>
        <w:rPr>
          <w:rFonts w:hint="default" w:ascii="宋体" w:hAnsi="宋体" w:eastAsia="宋体" w:cs="Times New Roman"/>
          <w:sz w:val="24"/>
          <w:szCs w:val="24"/>
          <w:highlight w:val="none"/>
        </w:rPr>
        <w:t>《环境水质监测质量保证手册》</w:t>
      </w:r>
    </w:p>
    <w:p w14:paraId="78FB232C">
      <w:pPr>
        <w:spacing w:line="360" w:lineRule="auto"/>
        <w:ind w:firstLine="480"/>
        <w:jc w:val="both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宋体" w:hAnsi="宋体" w:eastAsia="宋体" w:cs="Times New Roman"/>
          <w:sz w:val="24"/>
          <w:szCs w:val="24"/>
          <w:highlight w:val="none"/>
        </w:rPr>
        <w:t>6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、</w:t>
      </w:r>
      <w:r>
        <w:rPr>
          <w:rFonts w:hint="default" w:ascii="宋体" w:hAnsi="宋体" w:eastAsia="宋体" w:cs="Times New Roman"/>
          <w:sz w:val="24"/>
          <w:szCs w:val="24"/>
          <w:highlight w:val="none"/>
        </w:rPr>
        <w:t>《地表水和污水监测技术规范》（HJ/T91-2002 ）</w:t>
      </w:r>
    </w:p>
    <w:p w14:paraId="662684C6">
      <w:pPr>
        <w:spacing w:line="360" w:lineRule="auto"/>
        <w:ind w:firstLine="480"/>
        <w:jc w:val="both"/>
        <w:rPr>
          <w:rFonts w:hint="default" w:ascii="Times New Roman" w:hAnsi="Times New Roman" w:eastAsia="宋体" w:cs="Times New Roman"/>
          <w:sz w:val="20"/>
          <w:lang w:val="en-US" w:eastAsia="zh-CN"/>
        </w:rPr>
      </w:pPr>
      <w:r>
        <w:rPr>
          <w:rFonts w:hint="default" w:ascii="宋体" w:hAnsi="宋体" w:eastAsia="宋体" w:cs="Times New Roman"/>
          <w:sz w:val="24"/>
          <w:szCs w:val="24"/>
          <w:highlight w:val="none"/>
        </w:rPr>
        <w:t>7</w:t>
      </w:r>
      <w:r>
        <w:rPr>
          <w:rFonts w:hint="eastAsia" w:ascii="宋体" w:hAnsi="宋体" w:eastAsia="宋体" w:cs="Times New Roman"/>
          <w:sz w:val="24"/>
          <w:szCs w:val="24"/>
          <w:highlight w:val="none"/>
          <w:lang w:eastAsia="zh-CN"/>
        </w:rPr>
        <w:t>、</w:t>
      </w:r>
      <w:r>
        <w:rPr>
          <w:rFonts w:hint="default" w:ascii="宋体" w:hAnsi="宋体" w:eastAsia="宋体" w:cs="Times New Roman"/>
          <w:sz w:val="24"/>
          <w:szCs w:val="24"/>
          <w:highlight w:val="none"/>
        </w:rPr>
        <w:t>《水质河流采样技术指导》（HJ/T52-1999）</w:t>
      </w:r>
    </w:p>
    <w:p w14:paraId="4F2E79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12" w:lineRule="auto"/>
      </w:pPr>
      <w:r>
        <w:separator/>
      </w:r>
    </w:p>
  </w:footnote>
  <w:footnote w:type="continuationSeparator" w:id="1">
    <w:p>
      <w:pPr>
        <w:spacing w:line="31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8721EC"/>
    <w:rsid w:val="108721EC"/>
    <w:rsid w:val="204C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312" w:lineRule="auto"/>
    </w:pPr>
    <w:rPr>
      <w:rFonts w:hint="default" w:ascii="Times New Roman" w:hAnsi="Times New Roman" w:eastAsia="宋体" w:cs="Times New Roman"/>
      <w:sz w:val="24"/>
      <w:lang w:val="en-US" w:eastAsia="zh-CN" w:bidi="ar-SA"/>
    </w:rPr>
  </w:style>
  <w:style w:type="paragraph" w:styleId="3">
    <w:name w:val="heading 1"/>
    <w:basedOn w:val="4"/>
    <w:next w:val="4"/>
    <w:qFormat/>
    <w:uiPriority w:val="0"/>
    <w:pPr>
      <w:keepNext/>
      <w:keepLines/>
      <w:spacing w:line="360" w:lineRule="auto"/>
      <w:jc w:val="center"/>
      <w:outlineLvl w:val="0"/>
    </w:pPr>
    <w:rPr>
      <w:rFonts w:ascii="Arial" w:hAnsi="Arial" w:cs="Arial"/>
      <w:b/>
      <w:sz w:val="36"/>
      <w:szCs w:val="4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200"/>
    </w:pPr>
    <w:rPr>
      <w:rFonts w:ascii="Calibri" w:hAnsi="Calibri"/>
    </w:rPr>
  </w:style>
  <w:style w:type="paragraph" w:styleId="4">
    <w:name w:val="Block Text"/>
    <w:basedOn w:val="1"/>
    <w:qFormat/>
    <w:uiPriority w:val="0"/>
    <w:pPr>
      <w:spacing w:after="120"/>
      <w:ind w:left="1440"/>
    </w:pPr>
  </w:style>
  <w:style w:type="table" w:styleId="6">
    <w:name w:val="Table Grid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8">
    <w:name w:val="正文文本11"/>
    <w:basedOn w:val="9"/>
    <w:next w:val="1"/>
    <w:qFormat/>
    <w:uiPriority w:val="0"/>
    <w:pPr>
      <w:spacing w:after="120"/>
    </w:pPr>
  </w:style>
  <w:style w:type="paragraph" w:customStyle="1" w:styleId="9">
    <w:name w:val="正文11"/>
    <w:next w:val="10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0">
    <w:name w:val="文本块1"/>
    <w:basedOn w:val="11"/>
    <w:next w:val="1"/>
    <w:qFormat/>
    <w:uiPriority w:val="0"/>
    <w:pPr>
      <w:widowControl/>
      <w:ind w:left="567" w:right="454" w:firstLine="498"/>
      <w:jc w:val="left"/>
    </w:pPr>
    <w:rPr>
      <w:rFonts w:ascii="仿宋_GB2312" w:eastAsia="仿宋_GB2312"/>
      <w:sz w:val="30"/>
      <w:szCs w:val="20"/>
    </w:rPr>
  </w:style>
  <w:style w:type="paragraph" w:customStyle="1" w:styleId="11">
    <w:name w:val="正文12"/>
    <w:next w:val="12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2">
    <w:name w:val="标题 21"/>
    <w:basedOn w:val="11"/>
    <w:next w:val="11"/>
    <w:qFormat/>
    <w:uiPriority w:val="0"/>
    <w:pPr>
      <w:spacing w:line="520" w:lineRule="exact"/>
      <w:ind w:firstLine="600"/>
      <w:outlineLvl w:val="1"/>
    </w:pPr>
    <w:rPr>
      <w:rFonts w:ascii="黑体" w:hAnsi="黑体" w:eastAsia="黑体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2026-09-16T09:02:00Z</dcterms:created>
  <dc:creator>又屿、</dc:creator>
  <cp:lastModifiedBy>又屿、</cp:lastModifiedBy>
  <dcterms:modified xsi:type="dcterms:W3CDTF">2026-09-16T09:11:22Z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4979B9A554CC4A10AA634DD1F817CDCC_11</vt:lpwstr>
  </property>
  <property fmtid="{D5CDD505-2E9C-101B-9397-08002B2CF9AE}" pid="4" name="KSOTemplateDocerSaveRecord">
    <vt:lpwstr>eyJoZGlkIjoiNDJhN2FiZDA4YmVlZmY0ODdlYmU5OTRkMWRlN2E4NDYiLCJ1c2VySWQiOiIyNTM2NjQ0MzQifQ==</vt:lpwstr>
  </property>
</Properties>
</file>